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98A38" w14:textId="29BE16C1" w:rsidR="00C15F4C" w:rsidRDefault="00C15F4C">
      <w:r>
        <w:rPr>
          <w:noProof/>
        </w:rPr>
        <w:drawing>
          <wp:anchor distT="0" distB="0" distL="114300" distR="114300" simplePos="0" relativeHeight="251622400" behindDoc="0" locked="1" layoutInCell="1" allowOverlap="1" wp14:anchorId="7C7BA0A8" wp14:editId="07C1D8A3">
            <wp:simplePos x="0" y="0"/>
            <wp:positionH relativeFrom="column">
              <wp:posOffset>-914400</wp:posOffset>
            </wp:positionH>
            <wp:positionV relativeFrom="page">
              <wp:posOffset>-9525</wp:posOffset>
            </wp:positionV>
            <wp:extent cx="7567930" cy="10709275"/>
            <wp:effectExtent l="0" t="0" r="1270" b="0"/>
            <wp:wrapNone/>
            <wp:docPr id="930135744" name="Picture 1" descr="Review of Best Practice in Early Childhood Intervention&#10;Targeted Action Plan, Deliverable 1&#10;Desktop Review, Full Report&#10;&#10;Version 2.0, 20 September 2024&#10;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35744" name="Picture 1" descr="Review of Best Practice in Early Childhood Intervention&#10;Targeted Action Plan, Deliverable 1&#10;Desktop Review, Full Report&#10;&#10;Version 2.0, 20 September 2024&#10;The University of Melbourn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7930" cy="10709275"/>
                    </a:xfrm>
                    <a:prstGeom prst="rect">
                      <a:avLst/>
                    </a:prstGeom>
                  </pic:spPr>
                </pic:pic>
              </a:graphicData>
            </a:graphic>
            <wp14:sizeRelH relativeFrom="margin">
              <wp14:pctWidth>0</wp14:pctWidth>
            </wp14:sizeRelH>
            <wp14:sizeRelV relativeFrom="margin">
              <wp14:pctHeight>0</wp14:pctHeight>
            </wp14:sizeRelV>
          </wp:anchor>
        </w:drawing>
      </w:r>
    </w:p>
    <w:p w14:paraId="25BB2656" w14:textId="1444AD6E" w:rsidR="00C15F4C" w:rsidRDefault="00C15F4C">
      <w:r>
        <w:br w:type="page"/>
      </w:r>
    </w:p>
    <w:p w14:paraId="3E08DB94" w14:textId="77777777" w:rsidR="00533BF4" w:rsidRPr="00533BF4" w:rsidRDefault="00533BF4" w:rsidP="00533BF4">
      <w:pPr>
        <w:rPr>
          <w:color w:val="002060"/>
          <w:sz w:val="40"/>
          <w:szCs w:val="40"/>
        </w:rPr>
      </w:pPr>
      <w:r w:rsidRPr="00533BF4">
        <w:rPr>
          <w:color w:val="002060"/>
          <w:sz w:val="40"/>
          <w:szCs w:val="40"/>
        </w:rPr>
        <w:lastRenderedPageBreak/>
        <w:t>Acknowledgements</w:t>
      </w:r>
    </w:p>
    <w:p w14:paraId="74DC8B36" w14:textId="77777777" w:rsidR="00533BF4" w:rsidRDefault="00533BF4" w:rsidP="00533BF4">
      <w:r>
        <w:t>The University of Melbourne acknowledges the Traditional Owners of the unceded land on which we work, learn and live: the Wurundjeri Woi-wurrung and Bunurong peoples (Burnley, Fishermans Bend, Parkville, Southbank and Werribee campuses), the Yorta Yorta Nation (Dookie and Shepparton campuses), and the Dja Dja Wurrung people (Creswick campus).</w:t>
      </w:r>
    </w:p>
    <w:p w14:paraId="4BD59DA3" w14:textId="77777777" w:rsidR="00533BF4" w:rsidRDefault="00533BF4" w:rsidP="00533BF4">
      <w:r>
        <w:t>The University also acknowledges and is grateful to the Traditional Owners, Elders and Knowledge Holders of all Indigenous nations and clans who have been instrumental in our reconciliation journey.</w:t>
      </w:r>
    </w:p>
    <w:p w14:paraId="5D0D5C31" w14:textId="77777777" w:rsidR="00533BF4" w:rsidRDefault="00533BF4" w:rsidP="00533BF4">
      <w:r>
        <w:t>We recognise the unique place held by Aboriginal and Torres Strait Islander peoples as the original owners and custodians of the lands and waterways across the Australian continent, with histories of continuous connection dating back more than 60,000 years. We also acknowledge their enduring cultural practices of caring for Country.</w:t>
      </w:r>
    </w:p>
    <w:p w14:paraId="6496A5CE" w14:textId="77777777" w:rsidR="00533BF4" w:rsidRDefault="00533BF4" w:rsidP="00533BF4">
      <w:r>
        <w:t>We pay respect to Elders past, present and future, and acknowledge the importance of Indigenous knowledge in the Academy. As a community of researchers, teachers, professional staff and students we are privileged to work and learn every day with Indigenous colleagues and partners.</w:t>
      </w:r>
    </w:p>
    <w:p w14:paraId="0263C028" w14:textId="77777777" w:rsidR="00533BF4" w:rsidRDefault="00533BF4" w:rsidP="00533BF4">
      <w:r>
        <w:t>This document has been developed by a University of Melbourne-led Consortium as part of an independent review of best practice in early childhood intervention in Australia.</w:t>
      </w:r>
    </w:p>
    <w:p w14:paraId="47CF7CB9" w14:textId="77777777" w:rsidR="00533BF4" w:rsidRDefault="00533BF4" w:rsidP="00533BF4">
      <w:r>
        <w:t>Funded by the Department of Social Services, the consortium is led by Professor Christine Imms of the University of Melbourne in partnership with Murdoch Children’s Research Institute (MCRI), Professionals and Researchers in Early Childhood Intervention (PRECI), SNAICC - National Voice for our Children and Children and Young People with Disability Australia (CYDA).</w:t>
      </w:r>
    </w:p>
    <w:p w14:paraId="7DF095E7" w14:textId="77777777" w:rsidR="00533BF4" w:rsidRPr="00533BF4" w:rsidRDefault="00533BF4" w:rsidP="00533BF4">
      <w:pPr>
        <w:rPr>
          <w:color w:val="002060"/>
          <w:sz w:val="40"/>
          <w:szCs w:val="40"/>
        </w:rPr>
      </w:pPr>
      <w:r w:rsidRPr="00533BF4">
        <w:rPr>
          <w:color w:val="002060"/>
          <w:sz w:val="40"/>
          <w:szCs w:val="40"/>
        </w:rPr>
        <w:t>Recommended citation</w:t>
      </w:r>
    </w:p>
    <w:p w14:paraId="079D98CE" w14:textId="162F5966" w:rsidR="00E64675" w:rsidRDefault="00E64675" w:rsidP="00E64675">
      <w:r>
        <w:t xml:space="preserve">Imms, C., Moore T., Bull, K., Gavidia-Payne, S., Lami, F., Wilson, M., Allen, L. &amp; Knight S. (2024). </w:t>
      </w:r>
      <w:r w:rsidRPr="000163AD">
        <w:rPr>
          <w:i/>
          <w:iCs/>
        </w:rPr>
        <w:t xml:space="preserve">Review of best practice in early childhood intervention: Desktop review </w:t>
      </w:r>
      <w:r>
        <w:rPr>
          <w:i/>
          <w:iCs/>
        </w:rPr>
        <w:t>full</w:t>
      </w:r>
      <w:r w:rsidRPr="000163AD">
        <w:rPr>
          <w:i/>
          <w:iCs/>
        </w:rPr>
        <w:t xml:space="preserve"> report.</w:t>
      </w:r>
      <w:r>
        <w:t xml:space="preserve"> The University of Melbourne, funded by and provided to the Commonwealth of Australia’s Department of Social Services. </w:t>
      </w:r>
    </w:p>
    <w:p w14:paraId="43FBBE40" w14:textId="02DC53E5" w:rsidR="00E64675" w:rsidRDefault="00E64675" w:rsidP="00E64675">
      <w:r>
        <w:t xml:space="preserve">Along with the named authors of the report, we acknowledge Leadership Team members Denise Luscombe, Bruce Bonyhady, Kirsten Deane, Anita D’Aprano, Gretchen Young, Skye Kakoschke-Moore and Karen Dimmock, and </w:t>
      </w:r>
      <w:r w:rsidR="00CB5F91">
        <w:t xml:space="preserve">advice and </w:t>
      </w:r>
      <w:r>
        <w:t>research assistance from Nicole Merrick, Ellie Van Velsen, Anne Truong</w:t>
      </w:r>
      <w:r w:rsidR="00CB5F91">
        <w:t>,</w:t>
      </w:r>
      <w:r>
        <w:t xml:space="preserve"> </w:t>
      </w:r>
      <w:r w:rsidR="00A75507">
        <w:t>Anoo B</w:t>
      </w:r>
      <w:r w:rsidR="00210F93">
        <w:t>ho</w:t>
      </w:r>
      <w:r w:rsidR="00A75507">
        <w:t xml:space="preserve">pti, </w:t>
      </w:r>
      <w:r>
        <w:t>Poh Chua</w:t>
      </w:r>
      <w:r w:rsidR="00CB5F91">
        <w:t xml:space="preserve"> the SNAICC Policy and Research Team</w:t>
      </w:r>
      <w:r w:rsidR="00A47DDB">
        <w:t>, national and international expert advisors</w:t>
      </w:r>
      <w:r>
        <w:t xml:space="preserve">. </w:t>
      </w:r>
    </w:p>
    <w:p w14:paraId="5D33694D" w14:textId="77777777" w:rsidR="009D5041" w:rsidRDefault="009D5041" w:rsidP="00533BF4">
      <w:pPr>
        <w:rPr>
          <w:b/>
          <w:bCs/>
        </w:rPr>
      </w:pPr>
    </w:p>
    <w:p w14:paraId="2B5F94C4" w14:textId="77777777" w:rsidR="009D5041" w:rsidRDefault="009D5041" w:rsidP="00533BF4">
      <w:pPr>
        <w:rPr>
          <w:b/>
          <w:bCs/>
        </w:rPr>
      </w:pPr>
    </w:p>
    <w:p w14:paraId="2F96029D" w14:textId="77777777" w:rsidR="009D5041" w:rsidRDefault="009D5041" w:rsidP="00533BF4">
      <w:pPr>
        <w:rPr>
          <w:b/>
          <w:bCs/>
        </w:rPr>
      </w:pPr>
    </w:p>
    <w:p w14:paraId="759F4F4C" w14:textId="499CB634" w:rsidR="009D5041" w:rsidRDefault="009D5041" w:rsidP="00533BF4">
      <w:pPr>
        <w:rPr>
          <w:b/>
          <w:bCs/>
        </w:rPr>
      </w:pPr>
      <w:r w:rsidRPr="001952EB">
        <w:rPr>
          <w:b/>
          <w:bCs/>
          <w:noProof/>
          <w:color w:val="2B579A"/>
          <w:shd w:val="clear" w:color="auto" w:fill="E6E6E6"/>
        </w:rPr>
        <w:drawing>
          <wp:anchor distT="0" distB="0" distL="114300" distR="114300" simplePos="0" relativeHeight="251682816" behindDoc="0" locked="1" layoutInCell="1" allowOverlap="0" wp14:anchorId="1C06D5CD" wp14:editId="533F6D2E">
            <wp:simplePos x="0" y="0"/>
            <wp:positionH relativeFrom="column">
              <wp:posOffset>-27940</wp:posOffset>
            </wp:positionH>
            <wp:positionV relativeFrom="page">
              <wp:posOffset>8298180</wp:posOffset>
            </wp:positionV>
            <wp:extent cx="5732145" cy="1483995"/>
            <wp:effectExtent l="0" t="0" r="0" b="1905"/>
            <wp:wrapNone/>
            <wp:docPr id="1312383738" name="Picture 1" descr="Partn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83738" name="Picture 1" descr="Partner logos"/>
                    <pic:cNvPicPr/>
                  </pic:nvPicPr>
                  <pic:blipFill rotWithShape="1">
                    <a:blip r:embed="rId12">
                      <a:extLst>
                        <a:ext uri="{28A0092B-C50C-407E-A947-70E740481C1C}">
                          <a14:useLocalDpi xmlns:a14="http://schemas.microsoft.com/office/drawing/2010/main" val="0"/>
                        </a:ext>
                      </a:extLst>
                    </a:blip>
                    <a:srcRect r="5797"/>
                    <a:stretch/>
                  </pic:blipFill>
                  <pic:spPr bwMode="auto">
                    <a:xfrm>
                      <a:off x="0" y="0"/>
                      <a:ext cx="5732145" cy="148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428CF" w14:textId="77777777" w:rsidR="009D5041" w:rsidRDefault="009D5041" w:rsidP="00533BF4">
      <w:pPr>
        <w:rPr>
          <w:b/>
          <w:bCs/>
        </w:rPr>
      </w:pPr>
    </w:p>
    <w:p w14:paraId="15A02852" w14:textId="77777777" w:rsidR="009D5041" w:rsidRDefault="009D5041" w:rsidP="00533BF4">
      <w:pPr>
        <w:rPr>
          <w:b/>
          <w:bCs/>
        </w:rPr>
      </w:pPr>
    </w:p>
    <w:p w14:paraId="3AFD1C7C" w14:textId="77777777" w:rsidR="009D5041" w:rsidRDefault="009D5041" w:rsidP="00533BF4">
      <w:pPr>
        <w:rPr>
          <w:b/>
          <w:bCs/>
        </w:rPr>
      </w:pPr>
    </w:p>
    <w:p w14:paraId="5874A75F" w14:textId="0FB49E9D" w:rsidR="009D5041" w:rsidRPr="00E33C01" w:rsidRDefault="00E33C01" w:rsidP="00533BF4">
      <w:pPr>
        <w:rPr>
          <w:b/>
          <w:color w:val="0C2C74"/>
          <w:sz w:val="40"/>
          <w:szCs w:val="40"/>
        </w:rPr>
      </w:pPr>
      <w:r w:rsidRPr="00E33C01">
        <w:rPr>
          <w:b/>
          <w:bCs/>
          <w:color w:val="0C2C74"/>
          <w:sz w:val="40"/>
          <w:szCs w:val="40"/>
        </w:rPr>
        <w:t>Table of Contents</w:t>
      </w:r>
    </w:p>
    <w:p w14:paraId="283F2707" w14:textId="77777777" w:rsidR="009D5041" w:rsidRDefault="009D5041" w:rsidP="00533BF4">
      <w:pPr>
        <w:rPr>
          <w:b/>
          <w:bCs/>
        </w:rPr>
      </w:pPr>
    </w:p>
    <w:p w14:paraId="2F835FB1" w14:textId="736682F7" w:rsidR="00B42C33" w:rsidRDefault="004075EE">
      <w:pPr>
        <w:pStyle w:val="TOC1"/>
        <w:tabs>
          <w:tab w:val="right" w:leader="dot" w:pos="9016"/>
        </w:tabs>
        <w:rPr>
          <w:rFonts w:asciiTheme="minorHAnsi" w:eastAsiaTheme="minorEastAsia" w:hAnsiTheme="minorHAnsi" w:cstheme="minorBidi"/>
          <w:b w:val="0"/>
          <w:bCs w:val="0"/>
          <w:noProof/>
          <w:szCs w:val="24"/>
          <w:lang w:eastAsia="en-GB"/>
        </w:rPr>
      </w:pPr>
      <w:r>
        <w:fldChar w:fldCharType="begin"/>
      </w:r>
      <w:r>
        <w:instrText xml:space="preserve"> TOC \h \z \t "Heading 1,2,Heading 2,3,Heading 3,4,Section Header,1" </w:instrText>
      </w:r>
      <w:r>
        <w:fldChar w:fldCharType="separate"/>
      </w:r>
      <w:hyperlink w:anchor="_Toc177730811" w:history="1">
        <w:r w:rsidR="00B42C33" w:rsidRPr="00DD4012">
          <w:rPr>
            <w:rStyle w:val="Hyperlink"/>
            <w:noProof/>
          </w:rPr>
          <w:t>Introduction</w:t>
        </w:r>
        <w:r w:rsidR="00B42C33">
          <w:rPr>
            <w:noProof/>
            <w:webHidden/>
          </w:rPr>
          <w:tab/>
        </w:r>
        <w:r w:rsidR="00B42C33">
          <w:rPr>
            <w:noProof/>
            <w:webHidden/>
          </w:rPr>
          <w:fldChar w:fldCharType="begin"/>
        </w:r>
        <w:r w:rsidR="00B42C33">
          <w:rPr>
            <w:noProof/>
            <w:webHidden/>
          </w:rPr>
          <w:instrText xml:space="preserve"> PAGEREF _Toc177730811 \h </w:instrText>
        </w:r>
        <w:r w:rsidR="00B42C33">
          <w:rPr>
            <w:noProof/>
            <w:webHidden/>
          </w:rPr>
        </w:r>
        <w:r w:rsidR="00B42C33">
          <w:rPr>
            <w:noProof/>
            <w:webHidden/>
          </w:rPr>
          <w:fldChar w:fldCharType="separate"/>
        </w:r>
        <w:r w:rsidR="00303407">
          <w:rPr>
            <w:noProof/>
            <w:webHidden/>
          </w:rPr>
          <w:t>6</w:t>
        </w:r>
        <w:r w:rsidR="00B42C33">
          <w:rPr>
            <w:noProof/>
            <w:webHidden/>
          </w:rPr>
          <w:fldChar w:fldCharType="end"/>
        </w:r>
      </w:hyperlink>
    </w:p>
    <w:p w14:paraId="5DFADA26" w14:textId="2C4A395B" w:rsidR="00B42C33" w:rsidRDefault="00000000">
      <w:pPr>
        <w:pStyle w:val="TOC1"/>
        <w:tabs>
          <w:tab w:val="right" w:leader="dot" w:pos="9016"/>
        </w:tabs>
        <w:rPr>
          <w:rFonts w:asciiTheme="minorHAnsi" w:eastAsiaTheme="minorEastAsia" w:hAnsiTheme="minorHAnsi" w:cstheme="minorBidi"/>
          <w:b w:val="0"/>
          <w:bCs w:val="0"/>
          <w:noProof/>
          <w:szCs w:val="24"/>
          <w:lang w:eastAsia="en-GB"/>
        </w:rPr>
      </w:pPr>
      <w:hyperlink w:anchor="_Toc177730812" w:history="1">
        <w:r w:rsidR="00B42C33" w:rsidRPr="00DD4012">
          <w:rPr>
            <w:rStyle w:val="Hyperlink"/>
            <w:noProof/>
          </w:rPr>
          <w:t>Part One: The Context</w:t>
        </w:r>
        <w:r w:rsidR="00B42C33">
          <w:rPr>
            <w:noProof/>
            <w:webHidden/>
          </w:rPr>
          <w:tab/>
        </w:r>
        <w:r w:rsidR="00B42C33">
          <w:rPr>
            <w:noProof/>
            <w:webHidden/>
          </w:rPr>
          <w:fldChar w:fldCharType="begin"/>
        </w:r>
        <w:r w:rsidR="00B42C33">
          <w:rPr>
            <w:noProof/>
            <w:webHidden/>
          </w:rPr>
          <w:instrText xml:space="preserve"> PAGEREF _Toc177730812 \h </w:instrText>
        </w:r>
        <w:r w:rsidR="00B42C33">
          <w:rPr>
            <w:noProof/>
            <w:webHidden/>
          </w:rPr>
        </w:r>
        <w:r w:rsidR="00B42C33">
          <w:rPr>
            <w:noProof/>
            <w:webHidden/>
          </w:rPr>
          <w:fldChar w:fldCharType="separate"/>
        </w:r>
        <w:r w:rsidR="00303407">
          <w:rPr>
            <w:noProof/>
            <w:webHidden/>
          </w:rPr>
          <w:t>8</w:t>
        </w:r>
        <w:r w:rsidR="00B42C33">
          <w:rPr>
            <w:noProof/>
            <w:webHidden/>
          </w:rPr>
          <w:fldChar w:fldCharType="end"/>
        </w:r>
      </w:hyperlink>
    </w:p>
    <w:p w14:paraId="7B8FBD44" w14:textId="76F4AB60" w:rsidR="00B42C33" w:rsidRDefault="00000000">
      <w:pPr>
        <w:pStyle w:val="TOC2"/>
        <w:tabs>
          <w:tab w:val="left" w:pos="720"/>
          <w:tab w:val="right" w:leader="dot" w:pos="9016"/>
        </w:tabs>
        <w:rPr>
          <w:rFonts w:asciiTheme="minorHAnsi" w:eastAsiaTheme="minorEastAsia" w:hAnsiTheme="minorHAnsi" w:cstheme="minorBidi"/>
          <w:noProof/>
          <w:szCs w:val="24"/>
          <w:lang w:eastAsia="en-GB"/>
        </w:rPr>
      </w:pPr>
      <w:hyperlink w:anchor="_Toc177730813" w:history="1">
        <w:r w:rsidR="00B42C33" w:rsidRPr="00DD4012">
          <w:rPr>
            <w:rStyle w:val="Hyperlink"/>
            <w:noProof/>
          </w:rPr>
          <w:t>1</w:t>
        </w:r>
        <w:r w:rsidR="00B42C33">
          <w:rPr>
            <w:rFonts w:asciiTheme="minorHAnsi" w:eastAsiaTheme="minorEastAsia" w:hAnsiTheme="minorHAnsi" w:cstheme="minorBidi"/>
            <w:noProof/>
            <w:szCs w:val="24"/>
            <w:lang w:eastAsia="en-GB"/>
          </w:rPr>
          <w:tab/>
        </w:r>
        <w:r w:rsidR="00B42C33" w:rsidRPr="00DD4012">
          <w:rPr>
            <w:rStyle w:val="Hyperlink"/>
            <w:noProof/>
          </w:rPr>
          <w:t>Australian Policy Context</w:t>
        </w:r>
        <w:r w:rsidR="00B42C33">
          <w:rPr>
            <w:noProof/>
            <w:webHidden/>
          </w:rPr>
          <w:tab/>
        </w:r>
        <w:r w:rsidR="00B42C33">
          <w:rPr>
            <w:noProof/>
            <w:webHidden/>
          </w:rPr>
          <w:fldChar w:fldCharType="begin"/>
        </w:r>
        <w:r w:rsidR="00B42C33">
          <w:rPr>
            <w:noProof/>
            <w:webHidden/>
          </w:rPr>
          <w:instrText xml:space="preserve"> PAGEREF _Toc177730813 \h </w:instrText>
        </w:r>
        <w:r w:rsidR="00B42C33">
          <w:rPr>
            <w:noProof/>
            <w:webHidden/>
          </w:rPr>
        </w:r>
        <w:r w:rsidR="00B42C33">
          <w:rPr>
            <w:noProof/>
            <w:webHidden/>
          </w:rPr>
          <w:fldChar w:fldCharType="separate"/>
        </w:r>
        <w:r w:rsidR="00303407">
          <w:rPr>
            <w:noProof/>
            <w:webHidden/>
          </w:rPr>
          <w:t>8</w:t>
        </w:r>
        <w:r w:rsidR="00B42C33">
          <w:rPr>
            <w:noProof/>
            <w:webHidden/>
          </w:rPr>
          <w:fldChar w:fldCharType="end"/>
        </w:r>
      </w:hyperlink>
    </w:p>
    <w:p w14:paraId="545CD542" w14:textId="22DA21E8"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14" w:history="1">
        <w:r w:rsidR="00B42C33" w:rsidRPr="00DD4012">
          <w:rPr>
            <w:rStyle w:val="Hyperlink"/>
            <w:noProof/>
          </w:rPr>
          <w:t>1.1</w:t>
        </w:r>
        <w:r w:rsidR="00B42C33">
          <w:rPr>
            <w:rFonts w:asciiTheme="minorHAnsi" w:eastAsiaTheme="minorEastAsia" w:hAnsiTheme="minorHAnsi" w:cstheme="minorBidi"/>
            <w:iCs w:val="0"/>
            <w:noProof/>
            <w:szCs w:val="24"/>
            <w:lang w:eastAsia="en-GB"/>
          </w:rPr>
          <w:tab/>
        </w:r>
        <w:r w:rsidR="00B42C33" w:rsidRPr="00DD4012">
          <w:rPr>
            <w:rStyle w:val="Hyperlink"/>
            <w:noProof/>
          </w:rPr>
          <w:t>Disability and early years policies, reviews and frameworks</w:t>
        </w:r>
        <w:r w:rsidR="00B42C33">
          <w:rPr>
            <w:noProof/>
            <w:webHidden/>
          </w:rPr>
          <w:tab/>
        </w:r>
        <w:r w:rsidR="00B42C33">
          <w:rPr>
            <w:noProof/>
            <w:webHidden/>
          </w:rPr>
          <w:fldChar w:fldCharType="begin"/>
        </w:r>
        <w:r w:rsidR="00B42C33">
          <w:rPr>
            <w:noProof/>
            <w:webHidden/>
          </w:rPr>
          <w:instrText xml:space="preserve"> PAGEREF _Toc177730814 \h </w:instrText>
        </w:r>
        <w:r w:rsidR="00B42C33">
          <w:rPr>
            <w:noProof/>
            <w:webHidden/>
          </w:rPr>
        </w:r>
        <w:r w:rsidR="00B42C33">
          <w:rPr>
            <w:noProof/>
            <w:webHidden/>
          </w:rPr>
          <w:fldChar w:fldCharType="separate"/>
        </w:r>
        <w:r w:rsidR="00303407">
          <w:rPr>
            <w:noProof/>
            <w:webHidden/>
          </w:rPr>
          <w:t>8</w:t>
        </w:r>
        <w:r w:rsidR="00B42C33">
          <w:rPr>
            <w:noProof/>
            <w:webHidden/>
          </w:rPr>
          <w:fldChar w:fldCharType="end"/>
        </w:r>
      </w:hyperlink>
    </w:p>
    <w:p w14:paraId="086E330D" w14:textId="11DD782C"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15" w:history="1">
        <w:r w:rsidR="00B42C33" w:rsidRPr="00DD4012">
          <w:rPr>
            <w:rStyle w:val="Hyperlink"/>
            <w:noProof/>
          </w:rPr>
          <w:t>1.2</w:t>
        </w:r>
        <w:r w:rsidR="00B42C33">
          <w:rPr>
            <w:rFonts w:asciiTheme="minorHAnsi" w:eastAsiaTheme="minorEastAsia" w:hAnsiTheme="minorHAnsi" w:cstheme="minorBidi"/>
            <w:iCs w:val="0"/>
            <w:noProof/>
            <w:szCs w:val="24"/>
            <w:lang w:eastAsia="en-GB"/>
          </w:rPr>
          <w:tab/>
        </w:r>
        <w:r w:rsidR="00B42C33" w:rsidRPr="00DD4012">
          <w:rPr>
            <w:rStyle w:val="Hyperlink"/>
            <w:noProof/>
          </w:rPr>
          <w:t>Discussion and implications</w:t>
        </w:r>
        <w:r w:rsidR="00B42C33">
          <w:rPr>
            <w:noProof/>
            <w:webHidden/>
          </w:rPr>
          <w:tab/>
        </w:r>
        <w:r w:rsidR="00B42C33">
          <w:rPr>
            <w:noProof/>
            <w:webHidden/>
          </w:rPr>
          <w:fldChar w:fldCharType="begin"/>
        </w:r>
        <w:r w:rsidR="00B42C33">
          <w:rPr>
            <w:noProof/>
            <w:webHidden/>
          </w:rPr>
          <w:instrText xml:space="preserve"> PAGEREF _Toc177730815 \h </w:instrText>
        </w:r>
        <w:r w:rsidR="00B42C33">
          <w:rPr>
            <w:noProof/>
            <w:webHidden/>
          </w:rPr>
        </w:r>
        <w:r w:rsidR="00B42C33">
          <w:rPr>
            <w:noProof/>
            <w:webHidden/>
          </w:rPr>
          <w:fldChar w:fldCharType="separate"/>
        </w:r>
        <w:r w:rsidR="00303407">
          <w:rPr>
            <w:noProof/>
            <w:webHidden/>
          </w:rPr>
          <w:t>20</w:t>
        </w:r>
        <w:r w:rsidR="00B42C33">
          <w:rPr>
            <w:noProof/>
            <w:webHidden/>
          </w:rPr>
          <w:fldChar w:fldCharType="end"/>
        </w:r>
      </w:hyperlink>
    </w:p>
    <w:p w14:paraId="06A926AF" w14:textId="5F844E9D" w:rsidR="00B42C33" w:rsidRDefault="00000000">
      <w:pPr>
        <w:pStyle w:val="TOC2"/>
        <w:tabs>
          <w:tab w:val="left" w:pos="720"/>
          <w:tab w:val="right" w:leader="dot" w:pos="9016"/>
        </w:tabs>
        <w:rPr>
          <w:rFonts w:asciiTheme="minorHAnsi" w:eastAsiaTheme="minorEastAsia" w:hAnsiTheme="minorHAnsi" w:cstheme="minorBidi"/>
          <w:noProof/>
          <w:szCs w:val="24"/>
          <w:lang w:eastAsia="en-GB"/>
        </w:rPr>
      </w:pPr>
      <w:hyperlink w:anchor="_Toc177730816" w:history="1">
        <w:r w:rsidR="00B42C33" w:rsidRPr="00DD4012">
          <w:rPr>
            <w:rStyle w:val="Hyperlink"/>
            <w:noProof/>
          </w:rPr>
          <w:t>2</w:t>
        </w:r>
        <w:r w:rsidR="00B42C33">
          <w:rPr>
            <w:rFonts w:asciiTheme="minorHAnsi" w:eastAsiaTheme="minorEastAsia" w:hAnsiTheme="minorHAnsi" w:cstheme="minorBidi"/>
            <w:noProof/>
            <w:szCs w:val="24"/>
            <w:lang w:eastAsia="en-GB"/>
          </w:rPr>
          <w:tab/>
        </w:r>
        <w:r w:rsidR="00B42C33" w:rsidRPr="00DD4012">
          <w:rPr>
            <w:rStyle w:val="Hyperlink"/>
            <w:noProof/>
          </w:rPr>
          <w:t>Developments in policy, research and practice in ECI</w:t>
        </w:r>
        <w:r w:rsidR="00B42C33">
          <w:rPr>
            <w:noProof/>
            <w:webHidden/>
          </w:rPr>
          <w:tab/>
        </w:r>
        <w:r w:rsidR="00B42C33">
          <w:rPr>
            <w:noProof/>
            <w:webHidden/>
          </w:rPr>
          <w:fldChar w:fldCharType="begin"/>
        </w:r>
        <w:r w:rsidR="00B42C33">
          <w:rPr>
            <w:noProof/>
            <w:webHidden/>
          </w:rPr>
          <w:instrText xml:space="preserve"> PAGEREF _Toc177730816 \h </w:instrText>
        </w:r>
        <w:r w:rsidR="00B42C33">
          <w:rPr>
            <w:noProof/>
            <w:webHidden/>
          </w:rPr>
        </w:r>
        <w:r w:rsidR="00B42C33">
          <w:rPr>
            <w:noProof/>
            <w:webHidden/>
          </w:rPr>
          <w:fldChar w:fldCharType="separate"/>
        </w:r>
        <w:r w:rsidR="00303407">
          <w:rPr>
            <w:noProof/>
            <w:webHidden/>
          </w:rPr>
          <w:t>22</w:t>
        </w:r>
        <w:r w:rsidR="00B42C33">
          <w:rPr>
            <w:noProof/>
            <w:webHidden/>
          </w:rPr>
          <w:fldChar w:fldCharType="end"/>
        </w:r>
      </w:hyperlink>
    </w:p>
    <w:p w14:paraId="223DBA74" w14:textId="3F6F5AC4"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17" w:history="1">
        <w:r w:rsidR="00B42C33" w:rsidRPr="00DD4012">
          <w:rPr>
            <w:rStyle w:val="Hyperlink"/>
            <w:noProof/>
          </w:rPr>
          <w:t>2.1</w:t>
        </w:r>
        <w:r w:rsidR="00B42C33">
          <w:rPr>
            <w:rFonts w:asciiTheme="minorHAnsi" w:eastAsiaTheme="minorEastAsia" w:hAnsiTheme="minorHAnsi" w:cstheme="minorBidi"/>
            <w:iCs w:val="0"/>
            <w:noProof/>
            <w:szCs w:val="24"/>
            <w:lang w:eastAsia="en-GB"/>
          </w:rPr>
          <w:tab/>
        </w:r>
        <w:r w:rsidR="00B42C33" w:rsidRPr="00DD4012">
          <w:rPr>
            <w:rStyle w:val="Hyperlink"/>
            <w:noProof/>
          </w:rPr>
          <w:t>Changing social conditions and their impact</w:t>
        </w:r>
        <w:r w:rsidR="00B42C33">
          <w:rPr>
            <w:noProof/>
            <w:webHidden/>
          </w:rPr>
          <w:tab/>
        </w:r>
        <w:r w:rsidR="00B42C33">
          <w:rPr>
            <w:noProof/>
            <w:webHidden/>
          </w:rPr>
          <w:fldChar w:fldCharType="begin"/>
        </w:r>
        <w:r w:rsidR="00B42C33">
          <w:rPr>
            <w:noProof/>
            <w:webHidden/>
          </w:rPr>
          <w:instrText xml:space="preserve"> PAGEREF _Toc177730817 \h </w:instrText>
        </w:r>
        <w:r w:rsidR="00B42C33">
          <w:rPr>
            <w:noProof/>
            <w:webHidden/>
          </w:rPr>
        </w:r>
        <w:r w:rsidR="00B42C33">
          <w:rPr>
            <w:noProof/>
            <w:webHidden/>
          </w:rPr>
          <w:fldChar w:fldCharType="separate"/>
        </w:r>
        <w:r w:rsidR="00303407">
          <w:rPr>
            <w:noProof/>
            <w:webHidden/>
          </w:rPr>
          <w:t>22</w:t>
        </w:r>
        <w:r w:rsidR="00B42C33">
          <w:rPr>
            <w:noProof/>
            <w:webHidden/>
          </w:rPr>
          <w:fldChar w:fldCharType="end"/>
        </w:r>
      </w:hyperlink>
    </w:p>
    <w:p w14:paraId="3526B46E" w14:textId="68DA49BC"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18" w:history="1">
        <w:r w:rsidR="00B42C33" w:rsidRPr="00DD4012">
          <w:rPr>
            <w:rStyle w:val="Hyperlink"/>
            <w:noProof/>
          </w:rPr>
          <w:t>2.2</w:t>
        </w:r>
        <w:r w:rsidR="00B42C33">
          <w:rPr>
            <w:rFonts w:asciiTheme="minorHAnsi" w:eastAsiaTheme="minorEastAsia" w:hAnsiTheme="minorHAnsi" w:cstheme="minorBidi"/>
            <w:iCs w:val="0"/>
            <w:noProof/>
            <w:szCs w:val="24"/>
            <w:lang w:eastAsia="en-GB"/>
          </w:rPr>
          <w:tab/>
        </w:r>
        <w:r w:rsidR="00B42C33" w:rsidRPr="00DD4012">
          <w:rPr>
            <w:rStyle w:val="Hyperlink"/>
            <w:noProof/>
          </w:rPr>
          <w:t>Child development and the early years</w:t>
        </w:r>
        <w:r w:rsidR="00B42C33">
          <w:rPr>
            <w:noProof/>
            <w:webHidden/>
          </w:rPr>
          <w:tab/>
        </w:r>
        <w:r w:rsidR="00B42C33">
          <w:rPr>
            <w:noProof/>
            <w:webHidden/>
          </w:rPr>
          <w:fldChar w:fldCharType="begin"/>
        </w:r>
        <w:r w:rsidR="00B42C33">
          <w:rPr>
            <w:noProof/>
            <w:webHidden/>
          </w:rPr>
          <w:instrText xml:space="preserve"> PAGEREF _Toc177730818 \h </w:instrText>
        </w:r>
        <w:r w:rsidR="00B42C33">
          <w:rPr>
            <w:noProof/>
            <w:webHidden/>
          </w:rPr>
        </w:r>
        <w:r w:rsidR="00B42C33">
          <w:rPr>
            <w:noProof/>
            <w:webHidden/>
          </w:rPr>
          <w:fldChar w:fldCharType="separate"/>
        </w:r>
        <w:r w:rsidR="00303407">
          <w:rPr>
            <w:noProof/>
            <w:webHidden/>
          </w:rPr>
          <w:t>25</w:t>
        </w:r>
        <w:r w:rsidR="00B42C33">
          <w:rPr>
            <w:noProof/>
            <w:webHidden/>
          </w:rPr>
          <w:fldChar w:fldCharType="end"/>
        </w:r>
      </w:hyperlink>
    </w:p>
    <w:p w14:paraId="28E4B3F5" w14:textId="038FBF18"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19" w:history="1">
        <w:r w:rsidR="00B42C33" w:rsidRPr="00DD4012">
          <w:rPr>
            <w:rStyle w:val="Hyperlink"/>
            <w:noProof/>
          </w:rPr>
          <w:t>2.3</w:t>
        </w:r>
        <w:r w:rsidR="00B42C33">
          <w:rPr>
            <w:rFonts w:asciiTheme="minorHAnsi" w:eastAsiaTheme="minorEastAsia" w:hAnsiTheme="minorHAnsi" w:cstheme="minorBidi"/>
            <w:iCs w:val="0"/>
            <w:noProof/>
            <w:szCs w:val="24"/>
            <w:lang w:eastAsia="en-GB"/>
          </w:rPr>
          <w:tab/>
        </w:r>
        <w:r w:rsidR="00B42C33" w:rsidRPr="00DD4012">
          <w:rPr>
            <w:rStyle w:val="Hyperlink"/>
            <w:noProof/>
          </w:rPr>
          <w:t>Changing ideas about disability</w:t>
        </w:r>
        <w:r w:rsidR="00B42C33">
          <w:rPr>
            <w:noProof/>
            <w:webHidden/>
          </w:rPr>
          <w:tab/>
        </w:r>
        <w:r w:rsidR="00B42C33">
          <w:rPr>
            <w:noProof/>
            <w:webHidden/>
          </w:rPr>
          <w:fldChar w:fldCharType="begin"/>
        </w:r>
        <w:r w:rsidR="00B42C33">
          <w:rPr>
            <w:noProof/>
            <w:webHidden/>
          </w:rPr>
          <w:instrText xml:space="preserve"> PAGEREF _Toc177730819 \h </w:instrText>
        </w:r>
        <w:r w:rsidR="00B42C33">
          <w:rPr>
            <w:noProof/>
            <w:webHidden/>
          </w:rPr>
        </w:r>
        <w:r w:rsidR="00B42C33">
          <w:rPr>
            <w:noProof/>
            <w:webHidden/>
          </w:rPr>
          <w:fldChar w:fldCharType="separate"/>
        </w:r>
        <w:r w:rsidR="00303407">
          <w:rPr>
            <w:noProof/>
            <w:webHidden/>
          </w:rPr>
          <w:t>33</w:t>
        </w:r>
        <w:r w:rsidR="00B42C33">
          <w:rPr>
            <w:noProof/>
            <w:webHidden/>
          </w:rPr>
          <w:fldChar w:fldCharType="end"/>
        </w:r>
      </w:hyperlink>
    </w:p>
    <w:p w14:paraId="68D8893B" w14:textId="4AC2C4D5"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20" w:history="1">
        <w:r w:rsidR="00B42C33" w:rsidRPr="00DD4012">
          <w:rPr>
            <w:rStyle w:val="Hyperlink"/>
            <w:noProof/>
          </w:rPr>
          <w:t>2.4</w:t>
        </w:r>
        <w:r w:rsidR="00B42C33">
          <w:rPr>
            <w:rFonts w:asciiTheme="minorHAnsi" w:eastAsiaTheme="minorEastAsia" w:hAnsiTheme="minorHAnsi" w:cstheme="minorBidi"/>
            <w:iCs w:val="0"/>
            <w:noProof/>
            <w:szCs w:val="24"/>
            <w:lang w:eastAsia="en-GB"/>
          </w:rPr>
          <w:tab/>
        </w:r>
        <w:r w:rsidR="00B42C33" w:rsidRPr="00DD4012">
          <w:rPr>
            <w:rStyle w:val="Hyperlink"/>
            <w:noProof/>
          </w:rPr>
          <w:t>Developments in service delivery</w:t>
        </w:r>
        <w:r w:rsidR="00B42C33">
          <w:rPr>
            <w:noProof/>
            <w:webHidden/>
          </w:rPr>
          <w:tab/>
        </w:r>
        <w:r w:rsidR="00B42C33">
          <w:rPr>
            <w:noProof/>
            <w:webHidden/>
          </w:rPr>
          <w:fldChar w:fldCharType="begin"/>
        </w:r>
        <w:r w:rsidR="00B42C33">
          <w:rPr>
            <w:noProof/>
            <w:webHidden/>
          </w:rPr>
          <w:instrText xml:space="preserve"> PAGEREF _Toc177730820 \h </w:instrText>
        </w:r>
        <w:r w:rsidR="00B42C33">
          <w:rPr>
            <w:noProof/>
            <w:webHidden/>
          </w:rPr>
        </w:r>
        <w:r w:rsidR="00B42C33">
          <w:rPr>
            <w:noProof/>
            <w:webHidden/>
          </w:rPr>
          <w:fldChar w:fldCharType="separate"/>
        </w:r>
        <w:r w:rsidR="00303407">
          <w:rPr>
            <w:noProof/>
            <w:webHidden/>
          </w:rPr>
          <w:t>45</w:t>
        </w:r>
        <w:r w:rsidR="00B42C33">
          <w:rPr>
            <w:noProof/>
            <w:webHidden/>
          </w:rPr>
          <w:fldChar w:fldCharType="end"/>
        </w:r>
      </w:hyperlink>
    </w:p>
    <w:p w14:paraId="5615845C" w14:textId="5998669E"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21" w:history="1">
        <w:r w:rsidR="00B42C33" w:rsidRPr="00DD4012">
          <w:rPr>
            <w:rStyle w:val="Hyperlink"/>
            <w:noProof/>
            <w:lang w:val="en-US"/>
          </w:rPr>
          <w:t>2.5</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Discussion and implications</w:t>
        </w:r>
        <w:r w:rsidR="00B42C33">
          <w:rPr>
            <w:noProof/>
            <w:webHidden/>
          </w:rPr>
          <w:tab/>
        </w:r>
        <w:r w:rsidR="00B42C33">
          <w:rPr>
            <w:noProof/>
            <w:webHidden/>
          </w:rPr>
          <w:fldChar w:fldCharType="begin"/>
        </w:r>
        <w:r w:rsidR="00B42C33">
          <w:rPr>
            <w:noProof/>
            <w:webHidden/>
          </w:rPr>
          <w:instrText xml:space="preserve"> PAGEREF _Toc177730821 \h </w:instrText>
        </w:r>
        <w:r w:rsidR="00B42C33">
          <w:rPr>
            <w:noProof/>
            <w:webHidden/>
          </w:rPr>
        </w:r>
        <w:r w:rsidR="00B42C33">
          <w:rPr>
            <w:noProof/>
            <w:webHidden/>
          </w:rPr>
          <w:fldChar w:fldCharType="separate"/>
        </w:r>
        <w:r w:rsidR="00303407">
          <w:rPr>
            <w:noProof/>
            <w:webHidden/>
          </w:rPr>
          <w:t>55</w:t>
        </w:r>
        <w:r w:rsidR="00B42C33">
          <w:rPr>
            <w:noProof/>
            <w:webHidden/>
          </w:rPr>
          <w:fldChar w:fldCharType="end"/>
        </w:r>
      </w:hyperlink>
    </w:p>
    <w:p w14:paraId="128394CB" w14:textId="5B498096" w:rsidR="00B42C33" w:rsidRDefault="00000000">
      <w:pPr>
        <w:pStyle w:val="TOC2"/>
        <w:tabs>
          <w:tab w:val="left" w:pos="720"/>
          <w:tab w:val="right" w:leader="dot" w:pos="9016"/>
        </w:tabs>
        <w:rPr>
          <w:rFonts w:asciiTheme="minorHAnsi" w:eastAsiaTheme="minorEastAsia" w:hAnsiTheme="minorHAnsi" w:cstheme="minorBidi"/>
          <w:noProof/>
          <w:szCs w:val="24"/>
          <w:lang w:eastAsia="en-GB"/>
        </w:rPr>
      </w:pPr>
      <w:hyperlink w:anchor="_Toc177730822" w:history="1">
        <w:r w:rsidR="00B42C33" w:rsidRPr="00DD4012">
          <w:rPr>
            <w:rStyle w:val="Hyperlink"/>
            <w:noProof/>
          </w:rPr>
          <w:t>3</w:t>
        </w:r>
        <w:r w:rsidR="00B42C33">
          <w:rPr>
            <w:rFonts w:asciiTheme="minorHAnsi" w:eastAsiaTheme="minorEastAsia" w:hAnsiTheme="minorHAnsi" w:cstheme="minorBidi"/>
            <w:noProof/>
            <w:szCs w:val="24"/>
            <w:lang w:eastAsia="en-GB"/>
          </w:rPr>
          <w:tab/>
        </w:r>
        <w:r w:rsidR="00B42C33" w:rsidRPr="00DD4012">
          <w:rPr>
            <w:rStyle w:val="Hyperlink"/>
            <w:noProof/>
          </w:rPr>
          <w:t>The evidence base for ECI services</w:t>
        </w:r>
        <w:r w:rsidR="00B42C33">
          <w:rPr>
            <w:noProof/>
            <w:webHidden/>
          </w:rPr>
          <w:tab/>
        </w:r>
        <w:r w:rsidR="00B42C33">
          <w:rPr>
            <w:noProof/>
            <w:webHidden/>
          </w:rPr>
          <w:fldChar w:fldCharType="begin"/>
        </w:r>
        <w:r w:rsidR="00B42C33">
          <w:rPr>
            <w:noProof/>
            <w:webHidden/>
          </w:rPr>
          <w:instrText xml:space="preserve"> PAGEREF _Toc177730822 \h </w:instrText>
        </w:r>
        <w:r w:rsidR="00B42C33">
          <w:rPr>
            <w:noProof/>
            <w:webHidden/>
          </w:rPr>
        </w:r>
        <w:r w:rsidR="00B42C33">
          <w:rPr>
            <w:noProof/>
            <w:webHidden/>
          </w:rPr>
          <w:fldChar w:fldCharType="separate"/>
        </w:r>
        <w:r w:rsidR="00303407">
          <w:rPr>
            <w:noProof/>
            <w:webHidden/>
          </w:rPr>
          <w:t>58</w:t>
        </w:r>
        <w:r w:rsidR="00B42C33">
          <w:rPr>
            <w:noProof/>
            <w:webHidden/>
          </w:rPr>
          <w:fldChar w:fldCharType="end"/>
        </w:r>
      </w:hyperlink>
    </w:p>
    <w:p w14:paraId="5CEFDB47" w14:textId="288DB0AB"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23" w:history="1">
        <w:r w:rsidR="00B42C33" w:rsidRPr="00DD4012">
          <w:rPr>
            <w:rStyle w:val="Hyperlink"/>
            <w:noProof/>
            <w:lang w:val="en-US"/>
          </w:rPr>
          <w:t>3.1</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Biological / developmental evidence about children</w:t>
        </w:r>
        <w:r w:rsidR="00B42C33">
          <w:rPr>
            <w:noProof/>
            <w:webHidden/>
          </w:rPr>
          <w:tab/>
        </w:r>
        <w:r w:rsidR="00B42C33">
          <w:rPr>
            <w:noProof/>
            <w:webHidden/>
          </w:rPr>
          <w:fldChar w:fldCharType="begin"/>
        </w:r>
        <w:r w:rsidR="00B42C33">
          <w:rPr>
            <w:noProof/>
            <w:webHidden/>
          </w:rPr>
          <w:instrText xml:space="preserve"> PAGEREF _Toc177730823 \h </w:instrText>
        </w:r>
        <w:r w:rsidR="00B42C33">
          <w:rPr>
            <w:noProof/>
            <w:webHidden/>
          </w:rPr>
        </w:r>
        <w:r w:rsidR="00B42C33">
          <w:rPr>
            <w:noProof/>
            <w:webHidden/>
          </w:rPr>
          <w:fldChar w:fldCharType="separate"/>
        </w:r>
        <w:r w:rsidR="00303407">
          <w:rPr>
            <w:noProof/>
            <w:webHidden/>
          </w:rPr>
          <w:t>58</w:t>
        </w:r>
        <w:r w:rsidR="00B42C33">
          <w:rPr>
            <w:noProof/>
            <w:webHidden/>
          </w:rPr>
          <w:fldChar w:fldCharType="end"/>
        </w:r>
      </w:hyperlink>
    </w:p>
    <w:p w14:paraId="78BC2116" w14:textId="6F6ADE62"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24" w:history="1">
        <w:r w:rsidR="00B42C33" w:rsidRPr="00DD4012">
          <w:rPr>
            <w:rStyle w:val="Hyperlink"/>
            <w:noProof/>
          </w:rPr>
          <w:t>3.2</w:t>
        </w:r>
        <w:r w:rsidR="00B42C33">
          <w:rPr>
            <w:rFonts w:asciiTheme="minorHAnsi" w:eastAsiaTheme="minorEastAsia" w:hAnsiTheme="minorHAnsi" w:cstheme="minorBidi"/>
            <w:iCs w:val="0"/>
            <w:noProof/>
            <w:szCs w:val="24"/>
            <w:lang w:eastAsia="en-GB"/>
          </w:rPr>
          <w:tab/>
        </w:r>
        <w:r w:rsidR="00B42C33" w:rsidRPr="00DD4012">
          <w:rPr>
            <w:rStyle w:val="Hyperlink"/>
            <w:noProof/>
          </w:rPr>
          <w:t>Socioecological evidence about families</w:t>
        </w:r>
        <w:r w:rsidR="00B42C33">
          <w:rPr>
            <w:noProof/>
            <w:webHidden/>
          </w:rPr>
          <w:tab/>
        </w:r>
        <w:r w:rsidR="00B42C33">
          <w:rPr>
            <w:noProof/>
            <w:webHidden/>
          </w:rPr>
          <w:fldChar w:fldCharType="begin"/>
        </w:r>
        <w:r w:rsidR="00B42C33">
          <w:rPr>
            <w:noProof/>
            <w:webHidden/>
          </w:rPr>
          <w:instrText xml:space="preserve"> PAGEREF _Toc177730824 \h </w:instrText>
        </w:r>
        <w:r w:rsidR="00B42C33">
          <w:rPr>
            <w:noProof/>
            <w:webHidden/>
          </w:rPr>
        </w:r>
        <w:r w:rsidR="00B42C33">
          <w:rPr>
            <w:noProof/>
            <w:webHidden/>
          </w:rPr>
          <w:fldChar w:fldCharType="separate"/>
        </w:r>
        <w:r w:rsidR="00303407">
          <w:rPr>
            <w:noProof/>
            <w:webHidden/>
          </w:rPr>
          <w:t>63</w:t>
        </w:r>
        <w:r w:rsidR="00B42C33">
          <w:rPr>
            <w:noProof/>
            <w:webHidden/>
          </w:rPr>
          <w:fldChar w:fldCharType="end"/>
        </w:r>
      </w:hyperlink>
    </w:p>
    <w:p w14:paraId="644E3137" w14:textId="109B6D43"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25" w:history="1">
        <w:r w:rsidR="00B42C33" w:rsidRPr="00DD4012">
          <w:rPr>
            <w:rStyle w:val="Hyperlink"/>
            <w:noProof/>
            <w:lang w:val="en-US"/>
          </w:rPr>
          <w:t>3.3</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People’s lived experience</w:t>
        </w:r>
        <w:r w:rsidR="00B42C33">
          <w:rPr>
            <w:noProof/>
            <w:webHidden/>
          </w:rPr>
          <w:tab/>
        </w:r>
        <w:r w:rsidR="00B42C33">
          <w:rPr>
            <w:noProof/>
            <w:webHidden/>
          </w:rPr>
          <w:fldChar w:fldCharType="begin"/>
        </w:r>
        <w:r w:rsidR="00B42C33">
          <w:rPr>
            <w:noProof/>
            <w:webHidden/>
          </w:rPr>
          <w:instrText xml:space="preserve"> PAGEREF _Toc177730825 \h </w:instrText>
        </w:r>
        <w:r w:rsidR="00B42C33">
          <w:rPr>
            <w:noProof/>
            <w:webHidden/>
          </w:rPr>
        </w:r>
        <w:r w:rsidR="00B42C33">
          <w:rPr>
            <w:noProof/>
            <w:webHidden/>
          </w:rPr>
          <w:fldChar w:fldCharType="separate"/>
        </w:r>
        <w:r w:rsidR="00303407">
          <w:rPr>
            <w:noProof/>
            <w:webHidden/>
          </w:rPr>
          <w:t>69</w:t>
        </w:r>
        <w:r w:rsidR="00B42C33">
          <w:rPr>
            <w:noProof/>
            <w:webHidden/>
          </w:rPr>
          <w:fldChar w:fldCharType="end"/>
        </w:r>
      </w:hyperlink>
    </w:p>
    <w:p w14:paraId="26C2FE4C" w14:textId="6FEA16FE"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26" w:history="1">
        <w:r w:rsidR="00B42C33" w:rsidRPr="00DD4012">
          <w:rPr>
            <w:rStyle w:val="Hyperlink"/>
            <w:noProof/>
            <w:lang w:val="en-US"/>
          </w:rPr>
          <w:t>3.4</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Service delivery evidence</w:t>
        </w:r>
        <w:r w:rsidR="00B42C33">
          <w:rPr>
            <w:noProof/>
            <w:webHidden/>
          </w:rPr>
          <w:tab/>
        </w:r>
        <w:r w:rsidR="00B42C33">
          <w:rPr>
            <w:noProof/>
            <w:webHidden/>
          </w:rPr>
          <w:fldChar w:fldCharType="begin"/>
        </w:r>
        <w:r w:rsidR="00B42C33">
          <w:rPr>
            <w:noProof/>
            <w:webHidden/>
          </w:rPr>
          <w:instrText xml:space="preserve"> PAGEREF _Toc177730826 \h </w:instrText>
        </w:r>
        <w:r w:rsidR="00B42C33">
          <w:rPr>
            <w:noProof/>
            <w:webHidden/>
          </w:rPr>
        </w:r>
        <w:r w:rsidR="00B42C33">
          <w:rPr>
            <w:noProof/>
            <w:webHidden/>
          </w:rPr>
          <w:fldChar w:fldCharType="separate"/>
        </w:r>
        <w:r w:rsidR="00303407">
          <w:rPr>
            <w:noProof/>
            <w:webHidden/>
          </w:rPr>
          <w:t>71</w:t>
        </w:r>
        <w:r w:rsidR="00B42C33">
          <w:rPr>
            <w:noProof/>
            <w:webHidden/>
          </w:rPr>
          <w:fldChar w:fldCharType="end"/>
        </w:r>
      </w:hyperlink>
    </w:p>
    <w:p w14:paraId="21A271FE" w14:textId="275DE663"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27" w:history="1">
        <w:r w:rsidR="00B42C33" w:rsidRPr="00DD4012">
          <w:rPr>
            <w:rStyle w:val="Hyperlink"/>
            <w:noProof/>
          </w:rPr>
          <w:t>3.5</w:t>
        </w:r>
        <w:r w:rsidR="00B42C33">
          <w:rPr>
            <w:rFonts w:asciiTheme="minorHAnsi" w:eastAsiaTheme="minorEastAsia" w:hAnsiTheme="minorHAnsi" w:cstheme="minorBidi"/>
            <w:iCs w:val="0"/>
            <w:noProof/>
            <w:szCs w:val="24"/>
            <w:lang w:eastAsia="en-GB"/>
          </w:rPr>
          <w:tab/>
        </w:r>
        <w:r w:rsidR="00B42C33" w:rsidRPr="00DD4012">
          <w:rPr>
            <w:rStyle w:val="Hyperlink"/>
            <w:noProof/>
          </w:rPr>
          <w:t>Evidence-based practice</w:t>
        </w:r>
        <w:r w:rsidR="00B42C33">
          <w:rPr>
            <w:noProof/>
            <w:webHidden/>
          </w:rPr>
          <w:tab/>
        </w:r>
        <w:r w:rsidR="00B42C33">
          <w:rPr>
            <w:noProof/>
            <w:webHidden/>
          </w:rPr>
          <w:fldChar w:fldCharType="begin"/>
        </w:r>
        <w:r w:rsidR="00B42C33">
          <w:rPr>
            <w:noProof/>
            <w:webHidden/>
          </w:rPr>
          <w:instrText xml:space="preserve"> PAGEREF _Toc177730827 \h </w:instrText>
        </w:r>
        <w:r w:rsidR="00B42C33">
          <w:rPr>
            <w:noProof/>
            <w:webHidden/>
          </w:rPr>
        </w:r>
        <w:r w:rsidR="00B42C33">
          <w:rPr>
            <w:noProof/>
            <w:webHidden/>
          </w:rPr>
          <w:fldChar w:fldCharType="separate"/>
        </w:r>
        <w:r w:rsidR="00303407">
          <w:rPr>
            <w:noProof/>
            <w:webHidden/>
          </w:rPr>
          <w:t>73</w:t>
        </w:r>
        <w:r w:rsidR="00B42C33">
          <w:rPr>
            <w:noProof/>
            <w:webHidden/>
          </w:rPr>
          <w:fldChar w:fldCharType="end"/>
        </w:r>
      </w:hyperlink>
    </w:p>
    <w:p w14:paraId="6FFBE294" w14:textId="61A2BFB7"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28" w:history="1">
        <w:r w:rsidR="00B42C33" w:rsidRPr="00DD4012">
          <w:rPr>
            <w:rStyle w:val="Hyperlink"/>
            <w:noProof/>
            <w:lang w:val="en-US"/>
          </w:rPr>
          <w:t>3.6</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Practice wisdom / practice-based evidence</w:t>
        </w:r>
        <w:r w:rsidR="00B42C33">
          <w:rPr>
            <w:noProof/>
            <w:webHidden/>
          </w:rPr>
          <w:tab/>
        </w:r>
        <w:r w:rsidR="00B42C33">
          <w:rPr>
            <w:noProof/>
            <w:webHidden/>
          </w:rPr>
          <w:fldChar w:fldCharType="begin"/>
        </w:r>
        <w:r w:rsidR="00B42C33">
          <w:rPr>
            <w:noProof/>
            <w:webHidden/>
          </w:rPr>
          <w:instrText xml:space="preserve"> PAGEREF _Toc177730828 \h </w:instrText>
        </w:r>
        <w:r w:rsidR="00B42C33">
          <w:rPr>
            <w:noProof/>
            <w:webHidden/>
          </w:rPr>
        </w:r>
        <w:r w:rsidR="00B42C33">
          <w:rPr>
            <w:noProof/>
            <w:webHidden/>
          </w:rPr>
          <w:fldChar w:fldCharType="separate"/>
        </w:r>
        <w:r w:rsidR="00303407">
          <w:rPr>
            <w:noProof/>
            <w:webHidden/>
          </w:rPr>
          <w:t>74</w:t>
        </w:r>
        <w:r w:rsidR="00B42C33">
          <w:rPr>
            <w:noProof/>
            <w:webHidden/>
          </w:rPr>
          <w:fldChar w:fldCharType="end"/>
        </w:r>
      </w:hyperlink>
    </w:p>
    <w:p w14:paraId="2D3048A5" w14:textId="43B0030C"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29" w:history="1">
        <w:r w:rsidR="00B42C33" w:rsidRPr="00DD4012">
          <w:rPr>
            <w:rStyle w:val="Hyperlink"/>
            <w:noProof/>
            <w:lang w:val="en-US"/>
          </w:rPr>
          <w:t>3.7</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Indigenous and other cultural systems</w:t>
        </w:r>
        <w:r w:rsidR="00B42C33">
          <w:rPr>
            <w:noProof/>
            <w:webHidden/>
          </w:rPr>
          <w:tab/>
        </w:r>
        <w:r w:rsidR="00B42C33">
          <w:rPr>
            <w:noProof/>
            <w:webHidden/>
          </w:rPr>
          <w:fldChar w:fldCharType="begin"/>
        </w:r>
        <w:r w:rsidR="00B42C33">
          <w:rPr>
            <w:noProof/>
            <w:webHidden/>
          </w:rPr>
          <w:instrText xml:space="preserve"> PAGEREF _Toc177730829 \h </w:instrText>
        </w:r>
        <w:r w:rsidR="00B42C33">
          <w:rPr>
            <w:noProof/>
            <w:webHidden/>
          </w:rPr>
        </w:r>
        <w:r w:rsidR="00B42C33">
          <w:rPr>
            <w:noProof/>
            <w:webHidden/>
          </w:rPr>
          <w:fldChar w:fldCharType="separate"/>
        </w:r>
        <w:r w:rsidR="00303407">
          <w:rPr>
            <w:noProof/>
            <w:webHidden/>
          </w:rPr>
          <w:t>75</w:t>
        </w:r>
        <w:r w:rsidR="00B42C33">
          <w:rPr>
            <w:noProof/>
            <w:webHidden/>
          </w:rPr>
          <w:fldChar w:fldCharType="end"/>
        </w:r>
      </w:hyperlink>
    </w:p>
    <w:p w14:paraId="305FA59A" w14:textId="713D5625"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30" w:history="1">
        <w:r w:rsidR="00B42C33" w:rsidRPr="00DD4012">
          <w:rPr>
            <w:rStyle w:val="Hyperlink"/>
            <w:noProof/>
            <w:lang w:val="en-US"/>
          </w:rPr>
          <w:t>3.8</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Data and feedback</w:t>
        </w:r>
        <w:r w:rsidR="00B42C33">
          <w:rPr>
            <w:noProof/>
            <w:webHidden/>
          </w:rPr>
          <w:tab/>
        </w:r>
        <w:r w:rsidR="00B42C33">
          <w:rPr>
            <w:noProof/>
            <w:webHidden/>
          </w:rPr>
          <w:fldChar w:fldCharType="begin"/>
        </w:r>
        <w:r w:rsidR="00B42C33">
          <w:rPr>
            <w:noProof/>
            <w:webHidden/>
          </w:rPr>
          <w:instrText xml:space="preserve"> PAGEREF _Toc177730830 \h </w:instrText>
        </w:r>
        <w:r w:rsidR="00B42C33">
          <w:rPr>
            <w:noProof/>
            <w:webHidden/>
          </w:rPr>
        </w:r>
        <w:r w:rsidR="00B42C33">
          <w:rPr>
            <w:noProof/>
            <w:webHidden/>
          </w:rPr>
          <w:fldChar w:fldCharType="separate"/>
        </w:r>
        <w:r w:rsidR="00303407">
          <w:rPr>
            <w:noProof/>
            <w:webHidden/>
          </w:rPr>
          <w:t>80</w:t>
        </w:r>
        <w:r w:rsidR="00B42C33">
          <w:rPr>
            <w:noProof/>
            <w:webHidden/>
          </w:rPr>
          <w:fldChar w:fldCharType="end"/>
        </w:r>
      </w:hyperlink>
    </w:p>
    <w:p w14:paraId="6060DF9B" w14:textId="0A1CB3DE"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31" w:history="1">
        <w:r w:rsidR="00B42C33" w:rsidRPr="00DD4012">
          <w:rPr>
            <w:rStyle w:val="Hyperlink"/>
            <w:noProof/>
            <w:lang w:val="en-US"/>
          </w:rPr>
          <w:t>3.9</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Discussion and implications</w:t>
        </w:r>
        <w:r w:rsidR="00B42C33">
          <w:rPr>
            <w:noProof/>
            <w:webHidden/>
          </w:rPr>
          <w:tab/>
        </w:r>
        <w:r w:rsidR="00B42C33">
          <w:rPr>
            <w:noProof/>
            <w:webHidden/>
          </w:rPr>
          <w:fldChar w:fldCharType="begin"/>
        </w:r>
        <w:r w:rsidR="00B42C33">
          <w:rPr>
            <w:noProof/>
            <w:webHidden/>
          </w:rPr>
          <w:instrText xml:space="preserve"> PAGEREF _Toc177730831 \h </w:instrText>
        </w:r>
        <w:r w:rsidR="00B42C33">
          <w:rPr>
            <w:noProof/>
            <w:webHidden/>
          </w:rPr>
        </w:r>
        <w:r w:rsidR="00B42C33">
          <w:rPr>
            <w:noProof/>
            <w:webHidden/>
          </w:rPr>
          <w:fldChar w:fldCharType="separate"/>
        </w:r>
        <w:r w:rsidR="00303407">
          <w:rPr>
            <w:noProof/>
            <w:webHidden/>
          </w:rPr>
          <w:t>80</w:t>
        </w:r>
        <w:r w:rsidR="00B42C33">
          <w:rPr>
            <w:noProof/>
            <w:webHidden/>
          </w:rPr>
          <w:fldChar w:fldCharType="end"/>
        </w:r>
      </w:hyperlink>
    </w:p>
    <w:p w14:paraId="7F6F3544" w14:textId="7D80468F" w:rsidR="00B42C33" w:rsidRDefault="00000000">
      <w:pPr>
        <w:pStyle w:val="TOC1"/>
        <w:tabs>
          <w:tab w:val="right" w:leader="dot" w:pos="9016"/>
        </w:tabs>
        <w:rPr>
          <w:rFonts w:asciiTheme="minorHAnsi" w:eastAsiaTheme="minorEastAsia" w:hAnsiTheme="minorHAnsi" w:cstheme="minorBidi"/>
          <w:b w:val="0"/>
          <w:bCs w:val="0"/>
          <w:noProof/>
          <w:szCs w:val="24"/>
          <w:lang w:eastAsia="en-GB"/>
        </w:rPr>
      </w:pPr>
      <w:hyperlink w:anchor="_Toc177730832" w:history="1">
        <w:r w:rsidR="00B42C33" w:rsidRPr="00DD4012">
          <w:rPr>
            <w:rStyle w:val="Hyperlink"/>
            <w:noProof/>
          </w:rPr>
          <w:t>Part Two: ECI Services and Frameworks</w:t>
        </w:r>
        <w:r w:rsidR="00B42C33">
          <w:rPr>
            <w:noProof/>
            <w:webHidden/>
          </w:rPr>
          <w:tab/>
        </w:r>
        <w:r w:rsidR="00B42C33">
          <w:rPr>
            <w:noProof/>
            <w:webHidden/>
          </w:rPr>
          <w:fldChar w:fldCharType="begin"/>
        </w:r>
        <w:r w:rsidR="00B42C33">
          <w:rPr>
            <w:noProof/>
            <w:webHidden/>
          </w:rPr>
          <w:instrText xml:space="preserve"> PAGEREF _Toc177730832 \h </w:instrText>
        </w:r>
        <w:r w:rsidR="00B42C33">
          <w:rPr>
            <w:noProof/>
            <w:webHidden/>
          </w:rPr>
        </w:r>
        <w:r w:rsidR="00B42C33">
          <w:rPr>
            <w:noProof/>
            <w:webHidden/>
          </w:rPr>
          <w:fldChar w:fldCharType="separate"/>
        </w:r>
        <w:r w:rsidR="00303407">
          <w:rPr>
            <w:noProof/>
            <w:webHidden/>
          </w:rPr>
          <w:t>83</w:t>
        </w:r>
        <w:r w:rsidR="00B42C33">
          <w:rPr>
            <w:noProof/>
            <w:webHidden/>
          </w:rPr>
          <w:fldChar w:fldCharType="end"/>
        </w:r>
      </w:hyperlink>
    </w:p>
    <w:p w14:paraId="685B6A7C" w14:textId="08118F94" w:rsidR="00B42C33" w:rsidRDefault="00000000">
      <w:pPr>
        <w:pStyle w:val="TOC2"/>
        <w:tabs>
          <w:tab w:val="left" w:pos="720"/>
          <w:tab w:val="right" w:leader="dot" w:pos="9016"/>
        </w:tabs>
        <w:rPr>
          <w:rFonts w:asciiTheme="minorHAnsi" w:eastAsiaTheme="minorEastAsia" w:hAnsiTheme="minorHAnsi" w:cstheme="minorBidi"/>
          <w:noProof/>
          <w:szCs w:val="24"/>
          <w:lang w:eastAsia="en-GB"/>
        </w:rPr>
      </w:pPr>
      <w:hyperlink w:anchor="_Toc177730833" w:history="1">
        <w:r w:rsidR="00B42C33" w:rsidRPr="00DD4012">
          <w:rPr>
            <w:rStyle w:val="Hyperlink"/>
            <w:noProof/>
          </w:rPr>
          <w:t>4</w:t>
        </w:r>
        <w:r w:rsidR="00B42C33">
          <w:rPr>
            <w:rFonts w:asciiTheme="minorHAnsi" w:eastAsiaTheme="minorEastAsia" w:hAnsiTheme="minorHAnsi" w:cstheme="minorBidi"/>
            <w:noProof/>
            <w:szCs w:val="24"/>
            <w:lang w:eastAsia="en-GB"/>
          </w:rPr>
          <w:tab/>
        </w:r>
        <w:r w:rsidR="00B42C33" w:rsidRPr="00DD4012">
          <w:rPr>
            <w:rStyle w:val="Hyperlink"/>
            <w:noProof/>
          </w:rPr>
          <w:t>Aims, principles and practices of ECI services</w:t>
        </w:r>
        <w:r w:rsidR="00B42C33">
          <w:rPr>
            <w:noProof/>
            <w:webHidden/>
          </w:rPr>
          <w:tab/>
        </w:r>
        <w:r w:rsidR="00B42C33">
          <w:rPr>
            <w:noProof/>
            <w:webHidden/>
          </w:rPr>
          <w:fldChar w:fldCharType="begin"/>
        </w:r>
        <w:r w:rsidR="00B42C33">
          <w:rPr>
            <w:noProof/>
            <w:webHidden/>
          </w:rPr>
          <w:instrText xml:space="preserve"> PAGEREF _Toc177730833 \h </w:instrText>
        </w:r>
        <w:r w:rsidR="00B42C33">
          <w:rPr>
            <w:noProof/>
            <w:webHidden/>
          </w:rPr>
        </w:r>
        <w:r w:rsidR="00B42C33">
          <w:rPr>
            <w:noProof/>
            <w:webHidden/>
          </w:rPr>
          <w:fldChar w:fldCharType="separate"/>
        </w:r>
        <w:r w:rsidR="00303407">
          <w:rPr>
            <w:noProof/>
            <w:webHidden/>
          </w:rPr>
          <w:t>83</w:t>
        </w:r>
        <w:r w:rsidR="00B42C33">
          <w:rPr>
            <w:noProof/>
            <w:webHidden/>
          </w:rPr>
          <w:fldChar w:fldCharType="end"/>
        </w:r>
      </w:hyperlink>
    </w:p>
    <w:p w14:paraId="16110FC2" w14:textId="239DA803"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34" w:history="1">
        <w:r w:rsidR="00B42C33" w:rsidRPr="00DD4012">
          <w:rPr>
            <w:rStyle w:val="Hyperlink"/>
            <w:noProof/>
          </w:rPr>
          <w:t>4.1</w:t>
        </w:r>
        <w:r w:rsidR="00B42C33">
          <w:rPr>
            <w:rFonts w:asciiTheme="minorHAnsi" w:eastAsiaTheme="minorEastAsia" w:hAnsiTheme="minorHAnsi" w:cstheme="minorBidi"/>
            <w:iCs w:val="0"/>
            <w:noProof/>
            <w:szCs w:val="24"/>
            <w:lang w:eastAsia="en-GB"/>
          </w:rPr>
          <w:tab/>
        </w:r>
        <w:r w:rsidR="00B42C33" w:rsidRPr="00DD4012">
          <w:rPr>
            <w:rStyle w:val="Hyperlink"/>
            <w:noProof/>
          </w:rPr>
          <w:t>ECI aims and outcomes</w:t>
        </w:r>
        <w:r w:rsidR="00B42C33">
          <w:rPr>
            <w:noProof/>
            <w:webHidden/>
          </w:rPr>
          <w:tab/>
        </w:r>
        <w:r w:rsidR="00B42C33">
          <w:rPr>
            <w:noProof/>
            <w:webHidden/>
          </w:rPr>
          <w:fldChar w:fldCharType="begin"/>
        </w:r>
        <w:r w:rsidR="00B42C33">
          <w:rPr>
            <w:noProof/>
            <w:webHidden/>
          </w:rPr>
          <w:instrText xml:space="preserve"> PAGEREF _Toc177730834 \h </w:instrText>
        </w:r>
        <w:r w:rsidR="00B42C33">
          <w:rPr>
            <w:noProof/>
            <w:webHidden/>
          </w:rPr>
        </w:r>
        <w:r w:rsidR="00B42C33">
          <w:rPr>
            <w:noProof/>
            <w:webHidden/>
          </w:rPr>
          <w:fldChar w:fldCharType="separate"/>
        </w:r>
        <w:r w:rsidR="00303407">
          <w:rPr>
            <w:noProof/>
            <w:webHidden/>
          </w:rPr>
          <w:t>84</w:t>
        </w:r>
        <w:r w:rsidR="00B42C33">
          <w:rPr>
            <w:noProof/>
            <w:webHidden/>
          </w:rPr>
          <w:fldChar w:fldCharType="end"/>
        </w:r>
      </w:hyperlink>
    </w:p>
    <w:p w14:paraId="279650DB" w14:textId="1B8B66BB"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35" w:history="1">
        <w:r w:rsidR="00B42C33" w:rsidRPr="00DD4012">
          <w:rPr>
            <w:rStyle w:val="Hyperlink"/>
            <w:noProof/>
            <w:lang w:val="en-US"/>
          </w:rPr>
          <w:t>4.2</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ECI principles</w:t>
        </w:r>
        <w:r w:rsidR="00B42C33">
          <w:rPr>
            <w:noProof/>
            <w:webHidden/>
          </w:rPr>
          <w:tab/>
        </w:r>
        <w:r w:rsidR="00B42C33">
          <w:rPr>
            <w:noProof/>
            <w:webHidden/>
          </w:rPr>
          <w:fldChar w:fldCharType="begin"/>
        </w:r>
        <w:r w:rsidR="00B42C33">
          <w:rPr>
            <w:noProof/>
            <w:webHidden/>
          </w:rPr>
          <w:instrText xml:space="preserve"> PAGEREF _Toc177730835 \h </w:instrText>
        </w:r>
        <w:r w:rsidR="00B42C33">
          <w:rPr>
            <w:noProof/>
            <w:webHidden/>
          </w:rPr>
        </w:r>
        <w:r w:rsidR="00B42C33">
          <w:rPr>
            <w:noProof/>
            <w:webHidden/>
          </w:rPr>
          <w:fldChar w:fldCharType="separate"/>
        </w:r>
        <w:r w:rsidR="00303407">
          <w:rPr>
            <w:noProof/>
            <w:webHidden/>
          </w:rPr>
          <w:t>88</w:t>
        </w:r>
        <w:r w:rsidR="00B42C33">
          <w:rPr>
            <w:noProof/>
            <w:webHidden/>
          </w:rPr>
          <w:fldChar w:fldCharType="end"/>
        </w:r>
      </w:hyperlink>
    </w:p>
    <w:p w14:paraId="4CA8B10F" w14:textId="2BD0B9C8"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36" w:history="1">
        <w:r w:rsidR="00B42C33" w:rsidRPr="00DD4012">
          <w:rPr>
            <w:rStyle w:val="Hyperlink"/>
            <w:noProof/>
          </w:rPr>
          <w:t>4.3</w:t>
        </w:r>
        <w:r w:rsidR="00B42C33">
          <w:rPr>
            <w:rFonts w:asciiTheme="minorHAnsi" w:eastAsiaTheme="minorEastAsia" w:hAnsiTheme="minorHAnsi" w:cstheme="minorBidi"/>
            <w:iCs w:val="0"/>
            <w:noProof/>
            <w:szCs w:val="24"/>
            <w:lang w:eastAsia="en-GB"/>
          </w:rPr>
          <w:tab/>
        </w:r>
        <w:r w:rsidR="00B42C33" w:rsidRPr="00DD4012">
          <w:rPr>
            <w:rStyle w:val="Hyperlink"/>
            <w:noProof/>
          </w:rPr>
          <w:t>ECI practices</w:t>
        </w:r>
        <w:r w:rsidR="00B42C33">
          <w:rPr>
            <w:noProof/>
            <w:webHidden/>
          </w:rPr>
          <w:tab/>
        </w:r>
        <w:r w:rsidR="00B42C33">
          <w:rPr>
            <w:noProof/>
            <w:webHidden/>
          </w:rPr>
          <w:fldChar w:fldCharType="begin"/>
        </w:r>
        <w:r w:rsidR="00B42C33">
          <w:rPr>
            <w:noProof/>
            <w:webHidden/>
          </w:rPr>
          <w:instrText xml:space="preserve"> PAGEREF _Toc177730836 \h </w:instrText>
        </w:r>
        <w:r w:rsidR="00B42C33">
          <w:rPr>
            <w:noProof/>
            <w:webHidden/>
          </w:rPr>
        </w:r>
        <w:r w:rsidR="00B42C33">
          <w:rPr>
            <w:noProof/>
            <w:webHidden/>
          </w:rPr>
          <w:fldChar w:fldCharType="separate"/>
        </w:r>
        <w:r w:rsidR="00303407">
          <w:rPr>
            <w:noProof/>
            <w:webHidden/>
          </w:rPr>
          <w:t>93</w:t>
        </w:r>
        <w:r w:rsidR="00B42C33">
          <w:rPr>
            <w:noProof/>
            <w:webHidden/>
          </w:rPr>
          <w:fldChar w:fldCharType="end"/>
        </w:r>
      </w:hyperlink>
    </w:p>
    <w:p w14:paraId="7E9D5B92" w14:textId="56C15950"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37" w:history="1">
        <w:r w:rsidR="00B42C33" w:rsidRPr="00DD4012">
          <w:rPr>
            <w:rStyle w:val="Hyperlink"/>
            <w:noProof/>
            <w:lang w:val="en-US"/>
          </w:rPr>
          <w:t>4.4</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ECI practice frameworks</w:t>
        </w:r>
        <w:r w:rsidR="00B42C33">
          <w:rPr>
            <w:noProof/>
            <w:webHidden/>
          </w:rPr>
          <w:tab/>
        </w:r>
        <w:r w:rsidR="00B42C33">
          <w:rPr>
            <w:noProof/>
            <w:webHidden/>
          </w:rPr>
          <w:fldChar w:fldCharType="begin"/>
        </w:r>
        <w:r w:rsidR="00B42C33">
          <w:rPr>
            <w:noProof/>
            <w:webHidden/>
          </w:rPr>
          <w:instrText xml:space="preserve"> PAGEREF _Toc177730837 \h </w:instrText>
        </w:r>
        <w:r w:rsidR="00B42C33">
          <w:rPr>
            <w:noProof/>
            <w:webHidden/>
          </w:rPr>
        </w:r>
        <w:r w:rsidR="00B42C33">
          <w:rPr>
            <w:noProof/>
            <w:webHidden/>
          </w:rPr>
          <w:fldChar w:fldCharType="separate"/>
        </w:r>
        <w:r w:rsidR="00303407">
          <w:rPr>
            <w:noProof/>
            <w:webHidden/>
          </w:rPr>
          <w:t>100</w:t>
        </w:r>
        <w:r w:rsidR="00B42C33">
          <w:rPr>
            <w:noProof/>
            <w:webHidden/>
          </w:rPr>
          <w:fldChar w:fldCharType="end"/>
        </w:r>
      </w:hyperlink>
    </w:p>
    <w:p w14:paraId="75CEE90C" w14:textId="69F27238" w:rsidR="00B42C33" w:rsidRDefault="00000000">
      <w:pPr>
        <w:pStyle w:val="TOC2"/>
        <w:tabs>
          <w:tab w:val="left" w:pos="720"/>
          <w:tab w:val="right" w:leader="dot" w:pos="9016"/>
        </w:tabs>
        <w:rPr>
          <w:rFonts w:asciiTheme="minorHAnsi" w:eastAsiaTheme="minorEastAsia" w:hAnsiTheme="minorHAnsi" w:cstheme="minorBidi"/>
          <w:noProof/>
          <w:szCs w:val="24"/>
          <w:lang w:eastAsia="en-GB"/>
        </w:rPr>
      </w:pPr>
      <w:hyperlink w:anchor="_Toc177730838" w:history="1">
        <w:r w:rsidR="00B42C33" w:rsidRPr="00DD4012">
          <w:rPr>
            <w:rStyle w:val="Hyperlink"/>
            <w:noProof/>
          </w:rPr>
          <w:t>5</w:t>
        </w:r>
        <w:r w:rsidR="00B42C33">
          <w:rPr>
            <w:rFonts w:asciiTheme="minorHAnsi" w:eastAsiaTheme="minorEastAsia" w:hAnsiTheme="minorHAnsi" w:cstheme="minorBidi"/>
            <w:noProof/>
            <w:szCs w:val="24"/>
            <w:lang w:eastAsia="en-GB"/>
          </w:rPr>
          <w:tab/>
        </w:r>
        <w:r w:rsidR="00B42C33" w:rsidRPr="00DD4012">
          <w:rPr>
            <w:rStyle w:val="Hyperlink"/>
            <w:noProof/>
          </w:rPr>
          <w:t>Review of ECI Practice Frameworks</w:t>
        </w:r>
        <w:r w:rsidR="00B42C33">
          <w:rPr>
            <w:noProof/>
            <w:webHidden/>
          </w:rPr>
          <w:tab/>
        </w:r>
        <w:r w:rsidR="00B42C33">
          <w:rPr>
            <w:noProof/>
            <w:webHidden/>
          </w:rPr>
          <w:fldChar w:fldCharType="begin"/>
        </w:r>
        <w:r w:rsidR="00B42C33">
          <w:rPr>
            <w:noProof/>
            <w:webHidden/>
          </w:rPr>
          <w:instrText xml:space="preserve"> PAGEREF _Toc177730838 \h </w:instrText>
        </w:r>
        <w:r w:rsidR="00B42C33">
          <w:rPr>
            <w:noProof/>
            <w:webHidden/>
          </w:rPr>
        </w:r>
        <w:r w:rsidR="00B42C33">
          <w:rPr>
            <w:noProof/>
            <w:webHidden/>
          </w:rPr>
          <w:fldChar w:fldCharType="separate"/>
        </w:r>
        <w:r w:rsidR="00303407">
          <w:rPr>
            <w:noProof/>
            <w:webHidden/>
          </w:rPr>
          <w:t>103</w:t>
        </w:r>
        <w:r w:rsidR="00B42C33">
          <w:rPr>
            <w:noProof/>
            <w:webHidden/>
          </w:rPr>
          <w:fldChar w:fldCharType="end"/>
        </w:r>
      </w:hyperlink>
    </w:p>
    <w:p w14:paraId="1DCF58B0" w14:textId="588156D6"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39" w:history="1">
        <w:r w:rsidR="00B42C33" w:rsidRPr="00DD4012">
          <w:rPr>
            <w:rStyle w:val="Hyperlink"/>
            <w:noProof/>
            <w:lang w:val="en-US"/>
          </w:rPr>
          <w:t>5.1</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Introduction</w:t>
        </w:r>
        <w:r w:rsidR="00B42C33">
          <w:rPr>
            <w:noProof/>
            <w:webHidden/>
          </w:rPr>
          <w:tab/>
        </w:r>
        <w:r w:rsidR="00B42C33">
          <w:rPr>
            <w:noProof/>
            <w:webHidden/>
          </w:rPr>
          <w:fldChar w:fldCharType="begin"/>
        </w:r>
        <w:r w:rsidR="00B42C33">
          <w:rPr>
            <w:noProof/>
            <w:webHidden/>
          </w:rPr>
          <w:instrText xml:space="preserve"> PAGEREF _Toc177730839 \h </w:instrText>
        </w:r>
        <w:r w:rsidR="00B42C33">
          <w:rPr>
            <w:noProof/>
            <w:webHidden/>
          </w:rPr>
        </w:r>
        <w:r w:rsidR="00B42C33">
          <w:rPr>
            <w:noProof/>
            <w:webHidden/>
          </w:rPr>
          <w:fldChar w:fldCharType="separate"/>
        </w:r>
        <w:r w:rsidR="00303407">
          <w:rPr>
            <w:noProof/>
            <w:webHidden/>
          </w:rPr>
          <w:t>103</w:t>
        </w:r>
        <w:r w:rsidR="00B42C33">
          <w:rPr>
            <w:noProof/>
            <w:webHidden/>
          </w:rPr>
          <w:fldChar w:fldCharType="end"/>
        </w:r>
      </w:hyperlink>
    </w:p>
    <w:p w14:paraId="368A1DFF" w14:textId="48897480"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40" w:history="1">
        <w:r w:rsidR="00B42C33" w:rsidRPr="00DD4012">
          <w:rPr>
            <w:rStyle w:val="Hyperlink"/>
            <w:noProof/>
          </w:rPr>
          <w:t>5.2</w:t>
        </w:r>
        <w:r w:rsidR="00B42C33">
          <w:rPr>
            <w:rFonts w:asciiTheme="minorHAnsi" w:eastAsiaTheme="minorEastAsia" w:hAnsiTheme="minorHAnsi" w:cstheme="minorBidi"/>
            <w:iCs w:val="0"/>
            <w:noProof/>
            <w:szCs w:val="24"/>
            <w:lang w:eastAsia="en-GB"/>
          </w:rPr>
          <w:tab/>
        </w:r>
        <w:r w:rsidR="00B42C33" w:rsidRPr="00DD4012">
          <w:rPr>
            <w:rStyle w:val="Hyperlink"/>
            <w:noProof/>
          </w:rPr>
          <w:t>Team members</w:t>
        </w:r>
        <w:r w:rsidR="00B42C33">
          <w:rPr>
            <w:noProof/>
            <w:webHidden/>
          </w:rPr>
          <w:tab/>
        </w:r>
        <w:r w:rsidR="00B42C33">
          <w:rPr>
            <w:noProof/>
            <w:webHidden/>
          </w:rPr>
          <w:fldChar w:fldCharType="begin"/>
        </w:r>
        <w:r w:rsidR="00B42C33">
          <w:rPr>
            <w:noProof/>
            <w:webHidden/>
          </w:rPr>
          <w:instrText xml:space="preserve"> PAGEREF _Toc177730840 \h </w:instrText>
        </w:r>
        <w:r w:rsidR="00B42C33">
          <w:rPr>
            <w:noProof/>
            <w:webHidden/>
          </w:rPr>
        </w:r>
        <w:r w:rsidR="00B42C33">
          <w:rPr>
            <w:noProof/>
            <w:webHidden/>
          </w:rPr>
          <w:fldChar w:fldCharType="separate"/>
        </w:r>
        <w:r w:rsidR="00303407">
          <w:rPr>
            <w:noProof/>
            <w:webHidden/>
          </w:rPr>
          <w:t>104</w:t>
        </w:r>
        <w:r w:rsidR="00B42C33">
          <w:rPr>
            <w:noProof/>
            <w:webHidden/>
          </w:rPr>
          <w:fldChar w:fldCharType="end"/>
        </w:r>
      </w:hyperlink>
    </w:p>
    <w:p w14:paraId="6BAD931B" w14:textId="31C1D42D"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41" w:history="1">
        <w:r w:rsidR="00B42C33" w:rsidRPr="00DD4012">
          <w:rPr>
            <w:rStyle w:val="Hyperlink"/>
            <w:noProof/>
          </w:rPr>
          <w:t>5.3</w:t>
        </w:r>
        <w:r w:rsidR="00B42C33">
          <w:rPr>
            <w:rFonts w:asciiTheme="minorHAnsi" w:eastAsiaTheme="minorEastAsia" w:hAnsiTheme="minorHAnsi" w:cstheme="minorBidi"/>
            <w:iCs w:val="0"/>
            <w:noProof/>
            <w:szCs w:val="24"/>
            <w:lang w:eastAsia="en-GB"/>
          </w:rPr>
          <w:tab/>
        </w:r>
        <w:r w:rsidR="00B42C33" w:rsidRPr="00DD4012">
          <w:rPr>
            <w:rStyle w:val="Hyperlink"/>
            <w:noProof/>
          </w:rPr>
          <w:t>Methodology</w:t>
        </w:r>
        <w:r w:rsidR="00B42C33">
          <w:rPr>
            <w:noProof/>
            <w:webHidden/>
          </w:rPr>
          <w:tab/>
        </w:r>
        <w:r w:rsidR="00B42C33">
          <w:rPr>
            <w:noProof/>
            <w:webHidden/>
          </w:rPr>
          <w:fldChar w:fldCharType="begin"/>
        </w:r>
        <w:r w:rsidR="00B42C33">
          <w:rPr>
            <w:noProof/>
            <w:webHidden/>
          </w:rPr>
          <w:instrText xml:space="preserve"> PAGEREF _Toc177730841 \h </w:instrText>
        </w:r>
        <w:r w:rsidR="00B42C33">
          <w:rPr>
            <w:noProof/>
            <w:webHidden/>
          </w:rPr>
        </w:r>
        <w:r w:rsidR="00B42C33">
          <w:rPr>
            <w:noProof/>
            <w:webHidden/>
          </w:rPr>
          <w:fldChar w:fldCharType="separate"/>
        </w:r>
        <w:r w:rsidR="00303407">
          <w:rPr>
            <w:noProof/>
            <w:webHidden/>
          </w:rPr>
          <w:t>104</w:t>
        </w:r>
        <w:r w:rsidR="00B42C33">
          <w:rPr>
            <w:noProof/>
            <w:webHidden/>
          </w:rPr>
          <w:fldChar w:fldCharType="end"/>
        </w:r>
      </w:hyperlink>
    </w:p>
    <w:p w14:paraId="7CF159FB" w14:textId="2D11962B"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42" w:history="1">
        <w:r w:rsidR="00B42C33" w:rsidRPr="00DD4012">
          <w:rPr>
            <w:rStyle w:val="Hyperlink"/>
            <w:noProof/>
            <w:lang w:val="en-US"/>
          </w:rPr>
          <w:t>5.4</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Summaries of ECI practice frameworks</w:t>
        </w:r>
        <w:r w:rsidR="00B42C33">
          <w:rPr>
            <w:noProof/>
            <w:webHidden/>
          </w:rPr>
          <w:tab/>
        </w:r>
        <w:r w:rsidR="00B42C33">
          <w:rPr>
            <w:noProof/>
            <w:webHidden/>
          </w:rPr>
          <w:fldChar w:fldCharType="begin"/>
        </w:r>
        <w:r w:rsidR="00B42C33">
          <w:rPr>
            <w:noProof/>
            <w:webHidden/>
          </w:rPr>
          <w:instrText xml:space="preserve"> PAGEREF _Toc177730842 \h </w:instrText>
        </w:r>
        <w:r w:rsidR="00B42C33">
          <w:rPr>
            <w:noProof/>
            <w:webHidden/>
          </w:rPr>
        </w:r>
        <w:r w:rsidR="00B42C33">
          <w:rPr>
            <w:noProof/>
            <w:webHidden/>
          </w:rPr>
          <w:fldChar w:fldCharType="separate"/>
        </w:r>
        <w:r w:rsidR="00303407">
          <w:rPr>
            <w:noProof/>
            <w:webHidden/>
          </w:rPr>
          <w:t>106</w:t>
        </w:r>
        <w:r w:rsidR="00B42C33">
          <w:rPr>
            <w:noProof/>
            <w:webHidden/>
          </w:rPr>
          <w:fldChar w:fldCharType="end"/>
        </w:r>
      </w:hyperlink>
    </w:p>
    <w:p w14:paraId="5215F708" w14:textId="13882B4E" w:rsidR="00B42C33" w:rsidRDefault="00000000">
      <w:pPr>
        <w:pStyle w:val="TOC2"/>
        <w:tabs>
          <w:tab w:val="left" w:pos="720"/>
          <w:tab w:val="right" w:leader="dot" w:pos="9016"/>
        </w:tabs>
        <w:rPr>
          <w:rFonts w:asciiTheme="minorHAnsi" w:eastAsiaTheme="minorEastAsia" w:hAnsiTheme="minorHAnsi" w:cstheme="minorBidi"/>
          <w:noProof/>
          <w:szCs w:val="24"/>
          <w:lang w:eastAsia="en-GB"/>
        </w:rPr>
      </w:pPr>
      <w:hyperlink w:anchor="_Toc177730843" w:history="1">
        <w:r w:rsidR="00B42C33" w:rsidRPr="00DD4012">
          <w:rPr>
            <w:rStyle w:val="Hyperlink"/>
            <w:noProof/>
          </w:rPr>
          <w:t>6</w:t>
        </w:r>
        <w:r w:rsidR="00B42C33">
          <w:rPr>
            <w:rFonts w:asciiTheme="minorHAnsi" w:eastAsiaTheme="minorEastAsia" w:hAnsiTheme="minorHAnsi" w:cstheme="minorBidi"/>
            <w:noProof/>
            <w:szCs w:val="24"/>
            <w:lang w:eastAsia="en-GB"/>
          </w:rPr>
          <w:tab/>
        </w:r>
        <w:r w:rsidR="00B42C33" w:rsidRPr="00DD4012">
          <w:rPr>
            <w:rStyle w:val="Hyperlink"/>
            <w:noProof/>
          </w:rPr>
          <w:t>Comparison Tables</w:t>
        </w:r>
        <w:r w:rsidR="00B42C33">
          <w:rPr>
            <w:noProof/>
            <w:webHidden/>
          </w:rPr>
          <w:tab/>
        </w:r>
        <w:r w:rsidR="00B42C33">
          <w:rPr>
            <w:noProof/>
            <w:webHidden/>
          </w:rPr>
          <w:fldChar w:fldCharType="begin"/>
        </w:r>
        <w:r w:rsidR="00B42C33">
          <w:rPr>
            <w:noProof/>
            <w:webHidden/>
          </w:rPr>
          <w:instrText xml:space="preserve"> PAGEREF _Toc177730843 \h </w:instrText>
        </w:r>
        <w:r w:rsidR="00B42C33">
          <w:rPr>
            <w:noProof/>
            <w:webHidden/>
          </w:rPr>
        </w:r>
        <w:r w:rsidR="00B42C33">
          <w:rPr>
            <w:noProof/>
            <w:webHidden/>
          </w:rPr>
          <w:fldChar w:fldCharType="separate"/>
        </w:r>
        <w:r w:rsidR="00303407">
          <w:rPr>
            <w:noProof/>
            <w:webHidden/>
          </w:rPr>
          <w:t>130</w:t>
        </w:r>
        <w:r w:rsidR="00B42C33">
          <w:rPr>
            <w:noProof/>
            <w:webHidden/>
          </w:rPr>
          <w:fldChar w:fldCharType="end"/>
        </w:r>
      </w:hyperlink>
    </w:p>
    <w:p w14:paraId="2FB2C9B2" w14:textId="066DDFB3"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44" w:history="1">
        <w:r w:rsidR="00B42C33" w:rsidRPr="00DD4012">
          <w:rPr>
            <w:rStyle w:val="Hyperlink"/>
            <w:noProof/>
          </w:rPr>
          <w:t>6.1</w:t>
        </w:r>
        <w:r w:rsidR="00B42C33">
          <w:rPr>
            <w:rFonts w:asciiTheme="minorHAnsi" w:eastAsiaTheme="minorEastAsia" w:hAnsiTheme="minorHAnsi" w:cstheme="minorBidi"/>
            <w:iCs w:val="0"/>
            <w:noProof/>
            <w:szCs w:val="24"/>
            <w:lang w:eastAsia="en-GB"/>
          </w:rPr>
          <w:tab/>
        </w:r>
        <w:r w:rsidR="00B42C33" w:rsidRPr="00DD4012">
          <w:rPr>
            <w:rStyle w:val="Hyperlink"/>
            <w:noProof/>
          </w:rPr>
          <w:t>Summary and discussion</w:t>
        </w:r>
        <w:r w:rsidR="00B42C33">
          <w:rPr>
            <w:noProof/>
            <w:webHidden/>
          </w:rPr>
          <w:tab/>
        </w:r>
        <w:r w:rsidR="00B42C33">
          <w:rPr>
            <w:noProof/>
            <w:webHidden/>
          </w:rPr>
          <w:fldChar w:fldCharType="begin"/>
        </w:r>
        <w:r w:rsidR="00B42C33">
          <w:rPr>
            <w:noProof/>
            <w:webHidden/>
          </w:rPr>
          <w:instrText xml:space="preserve"> PAGEREF _Toc177730844 \h </w:instrText>
        </w:r>
        <w:r w:rsidR="00B42C33">
          <w:rPr>
            <w:noProof/>
            <w:webHidden/>
          </w:rPr>
        </w:r>
        <w:r w:rsidR="00B42C33">
          <w:rPr>
            <w:noProof/>
            <w:webHidden/>
          </w:rPr>
          <w:fldChar w:fldCharType="separate"/>
        </w:r>
        <w:r w:rsidR="00303407">
          <w:rPr>
            <w:noProof/>
            <w:webHidden/>
          </w:rPr>
          <w:t>149</w:t>
        </w:r>
        <w:r w:rsidR="00B42C33">
          <w:rPr>
            <w:noProof/>
            <w:webHidden/>
          </w:rPr>
          <w:fldChar w:fldCharType="end"/>
        </w:r>
      </w:hyperlink>
    </w:p>
    <w:p w14:paraId="78F078B1" w14:textId="63CACE90"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45" w:history="1">
        <w:r w:rsidR="00B42C33" w:rsidRPr="00DD4012">
          <w:rPr>
            <w:rStyle w:val="Hyperlink"/>
            <w:noProof/>
          </w:rPr>
          <w:t>6.2</w:t>
        </w:r>
        <w:r w:rsidR="00B42C33">
          <w:rPr>
            <w:rFonts w:asciiTheme="minorHAnsi" w:eastAsiaTheme="minorEastAsia" w:hAnsiTheme="minorHAnsi" w:cstheme="minorBidi"/>
            <w:iCs w:val="0"/>
            <w:noProof/>
            <w:szCs w:val="24"/>
            <w:lang w:eastAsia="en-GB"/>
          </w:rPr>
          <w:tab/>
        </w:r>
        <w:r w:rsidR="00B42C33" w:rsidRPr="00DD4012">
          <w:rPr>
            <w:rStyle w:val="Hyperlink"/>
            <w:noProof/>
          </w:rPr>
          <w:t>Principles and practices</w:t>
        </w:r>
        <w:r w:rsidR="00B42C33">
          <w:rPr>
            <w:noProof/>
            <w:webHidden/>
          </w:rPr>
          <w:tab/>
        </w:r>
        <w:r w:rsidR="00B42C33">
          <w:rPr>
            <w:noProof/>
            <w:webHidden/>
          </w:rPr>
          <w:fldChar w:fldCharType="begin"/>
        </w:r>
        <w:r w:rsidR="00B42C33">
          <w:rPr>
            <w:noProof/>
            <w:webHidden/>
          </w:rPr>
          <w:instrText xml:space="preserve"> PAGEREF _Toc177730845 \h </w:instrText>
        </w:r>
        <w:r w:rsidR="00B42C33">
          <w:rPr>
            <w:noProof/>
            <w:webHidden/>
          </w:rPr>
        </w:r>
        <w:r w:rsidR="00B42C33">
          <w:rPr>
            <w:noProof/>
            <w:webHidden/>
          </w:rPr>
          <w:fldChar w:fldCharType="separate"/>
        </w:r>
        <w:r w:rsidR="00303407">
          <w:rPr>
            <w:noProof/>
            <w:webHidden/>
          </w:rPr>
          <w:t>151</w:t>
        </w:r>
        <w:r w:rsidR="00B42C33">
          <w:rPr>
            <w:noProof/>
            <w:webHidden/>
          </w:rPr>
          <w:fldChar w:fldCharType="end"/>
        </w:r>
      </w:hyperlink>
    </w:p>
    <w:p w14:paraId="3C5325FF" w14:textId="5E8CE08A"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46" w:history="1">
        <w:r w:rsidR="00B42C33" w:rsidRPr="00DD4012">
          <w:rPr>
            <w:rStyle w:val="Hyperlink"/>
            <w:noProof/>
            <w:lang w:val="en-US"/>
          </w:rPr>
          <w:t>6.3</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Outcomes of early childhood intervention</w:t>
        </w:r>
        <w:r w:rsidR="00B42C33">
          <w:rPr>
            <w:noProof/>
            <w:webHidden/>
          </w:rPr>
          <w:tab/>
        </w:r>
        <w:r w:rsidR="00B42C33">
          <w:rPr>
            <w:noProof/>
            <w:webHidden/>
          </w:rPr>
          <w:fldChar w:fldCharType="begin"/>
        </w:r>
        <w:r w:rsidR="00B42C33">
          <w:rPr>
            <w:noProof/>
            <w:webHidden/>
          </w:rPr>
          <w:instrText xml:space="preserve"> PAGEREF _Toc177730846 \h </w:instrText>
        </w:r>
        <w:r w:rsidR="00B42C33">
          <w:rPr>
            <w:noProof/>
            <w:webHidden/>
          </w:rPr>
        </w:r>
        <w:r w:rsidR="00B42C33">
          <w:rPr>
            <w:noProof/>
            <w:webHidden/>
          </w:rPr>
          <w:fldChar w:fldCharType="separate"/>
        </w:r>
        <w:r w:rsidR="00303407">
          <w:rPr>
            <w:noProof/>
            <w:webHidden/>
          </w:rPr>
          <w:t>156</w:t>
        </w:r>
        <w:r w:rsidR="00B42C33">
          <w:rPr>
            <w:noProof/>
            <w:webHidden/>
          </w:rPr>
          <w:fldChar w:fldCharType="end"/>
        </w:r>
      </w:hyperlink>
    </w:p>
    <w:p w14:paraId="5CE57FAD" w14:textId="4ECD8879"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47" w:history="1">
        <w:r w:rsidR="00B42C33" w:rsidRPr="00DD4012">
          <w:rPr>
            <w:rStyle w:val="Hyperlink"/>
            <w:noProof/>
          </w:rPr>
          <w:t>6.4</w:t>
        </w:r>
        <w:r w:rsidR="00B42C33">
          <w:rPr>
            <w:rFonts w:asciiTheme="minorHAnsi" w:eastAsiaTheme="minorEastAsia" w:hAnsiTheme="minorHAnsi" w:cstheme="minorBidi"/>
            <w:iCs w:val="0"/>
            <w:noProof/>
            <w:szCs w:val="24"/>
            <w:lang w:eastAsia="en-GB"/>
          </w:rPr>
          <w:tab/>
        </w:r>
        <w:r w:rsidR="00B42C33" w:rsidRPr="00DD4012">
          <w:rPr>
            <w:rStyle w:val="Hyperlink"/>
            <w:noProof/>
          </w:rPr>
          <w:t>Implementation (processes, indicators and tools)</w:t>
        </w:r>
        <w:r w:rsidR="00B42C33">
          <w:rPr>
            <w:noProof/>
            <w:webHidden/>
          </w:rPr>
          <w:tab/>
        </w:r>
        <w:r w:rsidR="00B42C33">
          <w:rPr>
            <w:noProof/>
            <w:webHidden/>
          </w:rPr>
          <w:fldChar w:fldCharType="begin"/>
        </w:r>
        <w:r w:rsidR="00B42C33">
          <w:rPr>
            <w:noProof/>
            <w:webHidden/>
          </w:rPr>
          <w:instrText xml:space="preserve"> PAGEREF _Toc177730847 \h </w:instrText>
        </w:r>
        <w:r w:rsidR="00B42C33">
          <w:rPr>
            <w:noProof/>
            <w:webHidden/>
          </w:rPr>
        </w:r>
        <w:r w:rsidR="00B42C33">
          <w:rPr>
            <w:noProof/>
            <w:webHidden/>
          </w:rPr>
          <w:fldChar w:fldCharType="separate"/>
        </w:r>
        <w:r w:rsidR="00303407">
          <w:rPr>
            <w:noProof/>
            <w:webHidden/>
          </w:rPr>
          <w:t>158</w:t>
        </w:r>
        <w:r w:rsidR="00B42C33">
          <w:rPr>
            <w:noProof/>
            <w:webHidden/>
          </w:rPr>
          <w:fldChar w:fldCharType="end"/>
        </w:r>
      </w:hyperlink>
    </w:p>
    <w:p w14:paraId="6B5FFA18" w14:textId="242892C4"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48" w:history="1">
        <w:r w:rsidR="00B42C33" w:rsidRPr="00DD4012">
          <w:rPr>
            <w:rStyle w:val="Hyperlink"/>
            <w:noProof/>
          </w:rPr>
          <w:t>6.5</w:t>
        </w:r>
        <w:r w:rsidR="00B42C33">
          <w:rPr>
            <w:rFonts w:asciiTheme="minorHAnsi" w:eastAsiaTheme="minorEastAsia" w:hAnsiTheme="minorHAnsi" w:cstheme="minorBidi"/>
            <w:iCs w:val="0"/>
            <w:noProof/>
            <w:szCs w:val="24"/>
            <w:lang w:eastAsia="en-GB"/>
          </w:rPr>
          <w:tab/>
        </w:r>
        <w:r w:rsidR="00B42C33" w:rsidRPr="00DD4012">
          <w:rPr>
            <w:rStyle w:val="Hyperlink"/>
            <w:noProof/>
          </w:rPr>
          <w:t>Conclusion</w:t>
        </w:r>
        <w:r w:rsidR="00B42C33">
          <w:rPr>
            <w:noProof/>
            <w:webHidden/>
          </w:rPr>
          <w:tab/>
        </w:r>
        <w:r w:rsidR="00B42C33">
          <w:rPr>
            <w:noProof/>
            <w:webHidden/>
          </w:rPr>
          <w:fldChar w:fldCharType="begin"/>
        </w:r>
        <w:r w:rsidR="00B42C33">
          <w:rPr>
            <w:noProof/>
            <w:webHidden/>
          </w:rPr>
          <w:instrText xml:space="preserve"> PAGEREF _Toc177730848 \h </w:instrText>
        </w:r>
        <w:r w:rsidR="00B42C33">
          <w:rPr>
            <w:noProof/>
            <w:webHidden/>
          </w:rPr>
        </w:r>
        <w:r w:rsidR="00B42C33">
          <w:rPr>
            <w:noProof/>
            <w:webHidden/>
          </w:rPr>
          <w:fldChar w:fldCharType="separate"/>
        </w:r>
        <w:r w:rsidR="00303407">
          <w:rPr>
            <w:noProof/>
            <w:webHidden/>
          </w:rPr>
          <w:t>161</w:t>
        </w:r>
        <w:r w:rsidR="00B42C33">
          <w:rPr>
            <w:noProof/>
            <w:webHidden/>
          </w:rPr>
          <w:fldChar w:fldCharType="end"/>
        </w:r>
      </w:hyperlink>
    </w:p>
    <w:p w14:paraId="5C0A5A49" w14:textId="7FA2FB27" w:rsidR="00B42C33" w:rsidRDefault="00000000">
      <w:pPr>
        <w:pStyle w:val="TOC2"/>
        <w:tabs>
          <w:tab w:val="left" w:pos="720"/>
          <w:tab w:val="right" w:leader="dot" w:pos="9016"/>
        </w:tabs>
        <w:rPr>
          <w:rFonts w:asciiTheme="minorHAnsi" w:eastAsiaTheme="minorEastAsia" w:hAnsiTheme="minorHAnsi" w:cstheme="minorBidi"/>
          <w:noProof/>
          <w:szCs w:val="24"/>
          <w:lang w:eastAsia="en-GB"/>
        </w:rPr>
      </w:pPr>
      <w:hyperlink w:anchor="_Toc177730849" w:history="1">
        <w:r w:rsidR="00B42C33" w:rsidRPr="00DD4012">
          <w:rPr>
            <w:rStyle w:val="Hyperlink"/>
            <w:noProof/>
          </w:rPr>
          <w:t>7</w:t>
        </w:r>
        <w:r w:rsidR="00B42C33">
          <w:rPr>
            <w:rFonts w:asciiTheme="minorHAnsi" w:eastAsiaTheme="minorEastAsia" w:hAnsiTheme="minorHAnsi" w:cstheme="minorBidi"/>
            <w:noProof/>
            <w:szCs w:val="24"/>
            <w:lang w:eastAsia="en-GB"/>
          </w:rPr>
          <w:tab/>
        </w:r>
        <w:r w:rsidR="00B42C33" w:rsidRPr="00DD4012">
          <w:rPr>
            <w:rStyle w:val="Hyperlink"/>
            <w:noProof/>
          </w:rPr>
          <w:t>Review of evidence-based practices and strategies</w:t>
        </w:r>
        <w:r w:rsidR="00B42C33">
          <w:rPr>
            <w:noProof/>
            <w:webHidden/>
          </w:rPr>
          <w:tab/>
        </w:r>
        <w:r w:rsidR="00B42C33">
          <w:rPr>
            <w:noProof/>
            <w:webHidden/>
          </w:rPr>
          <w:fldChar w:fldCharType="begin"/>
        </w:r>
        <w:r w:rsidR="00B42C33">
          <w:rPr>
            <w:noProof/>
            <w:webHidden/>
          </w:rPr>
          <w:instrText xml:space="preserve"> PAGEREF _Toc177730849 \h </w:instrText>
        </w:r>
        <w:r w:rsidR="00B42C33">
          <w:rPr>
            <w:noProof/>
            <w:webHidden/>
          </w:rPr>
        </w:r>
        <w:r w:rsidR="00B42C33">
          <w:rPr>
            <w:noProof/>
            <w:webHidden/>
          </w:rPr>
          <w:fldChar w:fldCharType="separate"/>
        </w:r>
        <w:r w:rsidR="00303407">
          <w:rPr>
            <w:noProof/>
            <w:webHidden/>
          </w:rPr>
          <w:t>161</w:t>
        </w:r>
        <w:r w:rsidR="00B42C33">
          <w:rPr>
            <w:noProof/>
            <w:webHidden/>
          </w:rPr>
          <w:fldChar w:fldCharType="end"/>
        </w:r>
      </w:hyperlink>
    </w:p>
    <w:p w14:paraId="14368E32" w14:textId="0BF35D24"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0" w:history="1">
        <w:r w:rsidR="00B42C33" w:rsidRPr="00DD4012">
          <w:rPr>
            <w:rStyle w:val="Hyperlink"/>
            <w:noProof/>
          </w:rPr>
          <w:t>7.1</w:t>
        </w:r>
        <w:r w:rsidR="00B42C33">
          <w:rPr>
            <w:rFonts w:asciiTheme="minorHAnsi" w:eastAsiaTheme="minorEastAsia" w:hAnsiTheme="minorHAnsi" w:cstheme="minorBidi"/>
            <w:iCs w:val="0"/>
            <w:noProof/>
            <w:szCs w:val="24"/>
            <w:lang w:eastAsia="en-GB"/>
          </w:rPr>
          <w:tab/>
        </w:r>
        <w:r w:rsidR="00B42C33" w:rsidRPr="00DD4012">
          <w:rPr>
            <w:rStyle w:val="Hyperlink"/>
            <w:noProof/>
          </w:rPr>
          <w:t>Team members</w:t>
        </w:r>
        <w:r w:rsidR="00B42C33">
          <w:rPr>
            <w:noProof/>
            <w:webHidden/>
          </w:rPr>
          <w:tab/>
        </w:r>
        <w:r w:rsidR="00B42C33">
          <w:rPr>
            <w:noProof/>
            <w:webHidden/>
          </w:rPr>
          <w:fldChar w:fldCharType="begin"/>
        </w:r>
        <w:r w:rsidR="00B42C33">
          <w:rPr>
            <w:noProof/>
            <w:webHidden/>
          </w:rPr>
          <w:instrText xml:space="preserve"> PAGEREF _Toc177730850 \h </w:instrText>
        </w:r>
        <w:r w:rsidR="00B42C33">
          <w:rPr>
            <w:noProof/>
            <w:webHidden/>
          </w:rPr>
        </w:r>
        <w:r w:rsidR="00B42C33">
          <w:rPr>
            <w:noProof/>
            <w:webHidden/>
          </w:rPr>
          <w:fldChar w:fldCharType="separate"/>
        </w:r>
        <w:r w:rsidR="00303407">
          <w:rPr>
            <w:noProof/>
            <w:webHidden/>
          </w:rPr>
          <w:t>161</w:t>
        </w:r>
        <w:r w:rsidR="00B42C33">
          <w:rPr>
            <w:noProof/>
            <w:webHidden/>
          </w:rPr>
          <w:fldChar w:fldCharType="end"/>
        </w:r>
      </w:hyperlink>
    </w:p>
    <w:p w14:paraId="0BF9C851" w14:textId="13439C44"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1" w:history="1">
        <w:r w:rsidR="00B42C33" w:rsidRPr="00DD4012">
          <w:rPr>
            <w:rStyle w:val="Hyperlink"/>
            <w:noProof/>
          </w:rPr>
          <w:t>7.2</w:t>
        </w:r>
        <w:r w:rsidR="00B42C33">
          <w:rPr>
            <w:rFonts w:asciiTheme="minorHAnsi" w:eastAsiaTheme="minorEastAsia" w:hAnsiTheme="minorHAnsi" w:cstheme="minorBidi"/>
            <w:iCs w:val="0"/>
            <w:noProof/>
            <w:szCs w:val="24"/>
            <w:lang w:eastAsia="en-GB"/>
          </w:rPr>
          <w:tab/>
        </w:r>
        <w:r w:rsidR="00B42C33" w:rsidRPr="00DD4012">
          <w:rPr>
            <w:rStyle w:val="Hyperlink"/>
            <w:noProof/>
          </w:rPr>
          <w:t>Aims</w:t>
        </w:r>
        <w:r w:rsidR="00B42C33">
          <w:rPr>
            <w:noProof/>
            <w:webHidden/>
          </w:rPr>
          <w:tab/>
        </w:r>
        <w:r w:rsidR="00B42C33">
          <w:rPr>
            <w:noProof/>
            <w:webHidden/>
          </w:rPr>
          <w:fldChar w:fldCharType="begin"/>
        </w:r>
        <w:r w:rsidR="00B42C33">
          <w:rPr>
            <w:noProof/>
            <w:webHidden/>
          </w:rPr>
          <w:instrText xml:space="preserve"> PAGEREF _Toc177730851 \h </w:instrText>
        </w:r>
        <w:r w:rsidR="00B42C33">
          <w:rPr>
            <w:noProof/>
            <w:webHidden/>
          </w:rPr>
        </w:r>
        <w:r w:rsidR="00B42C33">
          <w:rPr>
            <w:noProof/>
            <w:webHidden/>
          </w:rPr>
          <w:fldChar w:fldCharType="separate"/>
        </w:r>
        <w:r w:rsidR="00303407">
          <w:rPr>
            <w:noProof/>
            <w:webHidden/>
          </w:rPr>
          <w:t>162</w:t>
        </w:r>
        <w:r w:rsidR="00B42C33">
          <w:rPr>
            <w:noProof/>
            <w:webHidden/>
          </w:rPr>
          <w:fldChar w:fldCharType="end"/>
        </w:r>
      </w:hyperlink>
    </w:p>
    <w:p w14:paraId="08868F17" w14:textId="48C58C21"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2" w:history="1">
        <w:r w:rsidR="00B42C33" w:rsidRPr="00DD4012">
          <w:rPr>
            <w:rStyle w:val="Hyperlink"/>
            <w:noProof/>
          </w:rPr>
          <w:t>7.3</w:t>
        </w:r>
        <w:r w:rsidR="00B42C33">
          <w:rPr>
            <w:rFonts w:asciiTheme="minorHAnsi" w:eastAsiaTheme="minorEastAsia" w:hAnsiTheme="minorHAnsi" w:cstheme="minorBidi"/>
            <w:iCs w:val="0"/>
            <w:noProof/>
            <w:szCs w:val="24"/>
            <w:lang w:eastAsia="en-GB"/>
          </w:rPr>
          <w:tab/>
        </w:r>
        <w:r w:rsidR="00B42C33" w:rsidRPr="00DD4012">
          <w:rPr>
            <w:rStyle w:val="Hyperlink"/>
            <w:noProof/>
          </w:rPr>
          <w:t>Objectives</w:t>
        </w:r>
        <w:r w:rsidR="00B42C33">
          <w:rPr>
            <w:noProof/>
            <w:webHidden/>
          </w:rPr>
          <w:tab/>
        </w:r>
        <w:r w:rsidR="00B42C33">
          <w:rPr>
            <w:noProof/>
            <w:webHidden/>
          </w:rPr>
          <w:fldChar w:fldCharType="begin"/>
        </w:r>
        <w:r w:rsidR="00B42C33">
          <w:rPr>
            <w:noProof/>
            <w:webHidden/>
          </w:rPr>
          <w:instrText xml:space="preserve"> PAGEREF _Toc177730852 \h </w:instrText>
        </w:r>
        <w:r w:rsidR="00B42C33">
          <w:rPr>
            <w:noProof/>
            <w:webHidden/>
          </w:rPr>
        </w:r>
        <w:r w:rsidR="00B42C33">
          <w:rPr>
            <w:noProof/>
            <w:webHidden/>
          </w:rPr>
          <w:fldChar w:fldCharType="separate"/>
        </w:r>
        <w:r w:rsidR="00303407">
          <w:rPr>
            <w:noProof/>
            <w:webHidden/>
          </w:rPr>
          <w:t>162</w:t>
        </w:r>
        <w:r w:rsidR="00B42C33">
          <w:rPr>
            <w:noProof/>
            <w:webHidden/>
          </w:rPr>
          <w:fldChar w:fldCharType="end"/>
        </w:r>
      </w:hyperlink>
    </w:p>
    <w:p w14:paraId="2D2C19A8" w14:textId="054795AA"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3" w:history="1">
        <w:r w:rsidR="00B42C33" w:rsidRPr="00DD4012">
          <w:rPr>
            <w:rStyle w:val="Hyperlink"/>
            <w:noProof/>
          </w:rPr>
          <w:t>7.4</w:t>
        </w:r>
        <w:r w:rsidR="00B42C33">
          <w:rPr>
            <w:rFonts w:asciiTheme="minorHAnsi" w:eastAsiaTheme="minorEastAsia" w:hAnsiTheme="minorHAnsi" w:cstheme="minorBidi"/>
            <w:iCs w:val="0"/>
            <w:noProof/>
            <w:szCs w:val="24"/>
            <w:lang w:eastAsia="en-GB"/>
          </w:rPr>
          <w:tab/>
        </w:r>
        <w:r w:rsidR="00B42C33" w:rsidRPr="00DD4012">
          <w:rPr>
            <w:rStyle w:val="Hyperlink"/>
            <w:noProof/>
          </w:rPr>
          <w:t>Research Questions</w:t>
        </w:r>
        <w:r w:rsidR="00B42C33">
          <w:rPr>
            <w:noProof/>
            <w:webHidden/>
          </w:rPr>
          <w:tab/>
        </w:r>
        <w:r w:rsidR="00B42C33">
          <w:rPr>
            <w:noProof/>
            <w:webHidden/>
          </w:rPr>
          <w:fldChar w:fldCharType="begin"/>
        </w:r>
        <w:r w:rsidR="00B42C33">
          <w:rPr>
            <w:noProof/>
            <w:webHidden/>
          </w:rPr>
          <w:instrText xml:space="preserve"> PAGEREF _Toc177730853 \h </w:instrText>
        </w:r>
        <w:r w:rsidR="00B42C33">
          <w:rPr>
            <w:noProof/>
            <w:webHidden/>
          </w:rPr>
        </w:r>
        <w:r w:rsidR="00B42C33">
          <w:rPr>
            <w:noProof/>
            <w:webHidden/>
          </w:rPr>
          <w:fldChar w:fldCharType="separate"/>
        </w:r>
        <w:r w:rsidR="00303407">
          <w:rPr>
            <w:noProof/>
            <w:webHidden/>
          </w:rPr>
          <w:t>163</w:t>
        </w:r>
        <w:r w:rsidR="00B42C33">
          <w:rPr>
            <w:noProof/>
            <w:webHidden/>
          </w:rPr>
          <w:fldChar w:fldCharType="end"/>
        </w:r>
      </w:hyperlink>
    </w:p>
    <w:p w14:paraId="0FE113A2" w14:textId="4BD44599"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4" w:history="1">
        <w:r w:rsidR="00B42C33" w:rsidRPr="00DD4012">
          <w:rPr>
            <w:rStyle w:val="Hyperlink"/>
            <w:noProof/>
          </w:rPr>
          <w:t>7.5</w:t>
        </w:r>
        <w:r w:rsidR="00B42C33">
          <w:rPr>
            <w:rFonts w:asciiTheme="minorHAnsi" w:eastAsiaTheme="minorEastAsia" w:hAnsiTheme="minorHAnsi" w:cstheme="minorBidi"/>
            <w:iCs w:val="0"/>
            <w:noProof/>
            <w:szCs w:val="24"/>
            <w:lang w:eastAsia="en-GB"/>
          </w:rPr>
          <w:tab/>
        </w:r>
        <w:r w:rsidR="00B42C33" w:rsidRPr="00DD4012">
          <w:rPr>
            <w:rStyle w:val="Hyperlink"/>
            <w:noProof/>
          </w:rPr>
          <w:t>Design</w:t>
        </w:r>
        <w:r w:rsidR="00B42C33">
          <w:rPr>
            <w:noProof/>
            <w:webHidden/>
          </w:rPr>
          <w:tab/>
        </w:r>
        <w:r w:rsidR="00B42C33">
          <w:rPr>
            <w:noProof/>
            <w:webHidden/>
          </w:rPr>
          <w:fldChar w:fldCharType="begin"/>
        </w:r>
        <w:r w:rsidR="00B42C33">
          <w:rPr>
            <w:noProof/>
            <w:webHidden/>
          </w:rPr>
          <w:instrText xml:space="preserve"> PAGEREF _Toc177730854 \h </w:instrText>
        </w:r>
        <w:r w:rsidR="00B42C33">
          <w:rPr>
            <w:noProof/>
            <w:webHidden/>
          </w:rPr>
        </w:r>
        <w:r w:rsidR="00B42C33">
          <w:rPr>
            <w:noProof/>
            <w:webHidden/>
          </w:rPr>
          <w:fldChar w:fldCharType="separate"/>
        </w:r>
        <w:r w:rsidR="00303407">
          <w:rPr>
            <w:noProof/>
            <w:webHidden/>
          </w:rPr>
          <w:t>163</w:t>
        </w:r>
        <w:r w:rsidR="00B42C33">
          <w:rPr>
            <w:noProof/>
            <w:webHidden/>
          </w:rPr>
          <w:fldChar w:fldCharType="end"/>
        </w:r>
      </w:hyperlink>
    </w:p>
    <w:p w14:paraId="48BAD9E9" w14:textId="02CE5293"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5" w:history="1">
        <w:r w:rsidR="00B42C33" w:rsidRPr="00DD4012">
          <w:rPr>
            <w:rStyle w:val="Hyperlink"/>
            <w:noProof/>
            <w:lang w:val="en-US"/>
          </w:rPr>
          <w:t>7.6</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Sources of information</w:t>
        </w:r>
        <w:r w:rsidR="00B42C33">
          <w:rPr>
            <w:noProof/>
            <w:webHidden/>
          </w:rPr>
          <w:tab/>
        </w:r>
        <w:r w:rsidR="00B42C33">
          <w:rPr>
            <w:noProof/>
            <w:webHidden/>
          </w:rPr>
          <w:fldChar w:fldCharType="begin"/>
        </w:r>
        <w:r w:rsidR="00B42C33">
          <w:rPr>
            <w:noProof/>
            <w:webHidden/>
          </w:rPr>
          <w:instrText xml:space="preserve"> PAGEREF _Toc177730855 \h </w:instrText>
        </w:r>
        <w:r w:rsidR="00B42C33">
          <w:rPr>
            <w:noProof/>
            <w:webHidden/>
          </w:rPr>
        </w:r>
        <w:r w:rsidR="00B42C33">
          <w:rPr>
            <w:noProof/>
            <w:webHidden/>
          </w:rPr>
          <w:fldChar w:fldCharType="separate"/>
        </w:r>
        <w:r w:rsidR="00303407">
          <w:rPr>
            <w:noProof/>
            <w:webHidden/>
          </w:rPr>
          <w:t>163</w:t>
        </w:r>
        <w:r w:rsidR="00B42C33">
          <w:rPr>
            <w:noProof/>
            <w:webHidden/>
          </w:rPr>
          <w:fldChar w:fldCharType="end"/>
        </w:r>
      </w:hyperlink>
    </w:p>
    <w:p w14:paraId="434691FE" w14:textId="515B2FA6"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6" w:history="1">
        <w:r w:rsidR="00B42C33" w:rsidRPr="00DD4012">
          <w:rPr>
            <w:rStyle w:val="Hyperlink"/>
            <w:noProof/>
          </w:rPr>
          <w:t>7.7</w:t>
        </w:r>
        <w:r w:rsidR="00B42C33">
          <w:rPr>
            <w:rFonts w:asciiTheme="minorHAnsi" w:eastAsiaTheme="minorEastAsia" w:hAnsiTheme="minorHAnsi" w:cstheme="minorBidi"/>
            <w:iCs w:val="0"/>
            <w:noProof/>
            <w:szCs w:val="24"/>
            <w:lang w:eastAsia="en-GB"/>
          </w:rPr>
          <w:tab/>
        </w:r>
        <w:r w:rsidR="00B42C33" w:rsidRPr="00DD4012">
          <w:rPr>
            <w:rStyle w:val="Hyperlink"/>
            <w:noProof/>
          </w:rPr>
          <w:t>Document selection</w:t>
        </w:r>
        <w:r w:rsidR="00B42C33">
          <w:rPr>
            <w:noProof/>
            <w:webHidden/>
          </w:rPr>
          <w:tab/>
        </w:r>
        <w:r w:rsidR="00B42C33">
          <w:rPr>
            <w:noProof/>
            <w:webHidden/>
          </w:rPr>
          <w:fldChar w:fldCharType="begin"/>
        </w:r>
        <w:r w:rsidR="00B42C33">
          <w:rPr>
            <w:noProof/>
            <w:webHidden/>
          </w:rPr>
          <w:instrText xml:space="preserve"> PAGEREF _Toc177730856 \h </w:instrText>
        </w:r>
        <w:r w:rsidR="00B42C33">
          <w:rPr>
            <w:noProof/>
            <w:webHidden/>
          </w:rPr>
        </w:r>
        <w:r w:rsidR="00B42C33">
          <w:rPr>
            <w:noProof/>
            <w:webHidden/>
          </w:rPr>
          <w:fldChar w:fldCharType="separate"/>
        </w:r>
        <w:r w:rsidR="00303407">
          <w:rPr>
            <w:noProof/>
            <w:webHidden/>
          </w:rPr>
          <w:t>164</w:t>
        </w:r>
        <w:r w:rsidR="00B42C33">
          <w:rPr>
            <w:noProof/>
            <w:webHidden/>
          </w:rPr>
          <w:fldChar w:fldCharType="end"/>
        </w:r>
      </w:hyperlink>
    </w:p>
    <w:p w14:paraId="055B88A8" w14:textId="5326E7B3"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7" w:history="1">
        <w:r w:rsidR="00B42C33" w:rsidRPr="00DD4012">
          <w:rPr>
            <w:rStyle w:val="Hyperlink"/>
            <w:noProof/>
            <w:lang w:val="en-US"/>
          </w:rPr>
          <w:t>7.8</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Data extraction and analysis</w:t>
        </w:r>
        <w:r w:rsidR="00B42C33">
          <w:rPr>
            <w:noProof/>
            <w:webHidden/>
          </w:rPr>
          <w:tab/>
        </w:r>
        <w:r w:rsidR="00B42C33">
          <w:rPr>
            <w:noProof/>
            <w:webHidden/>
          </w:rPr>
          <w:fldChar w:fldCharType="begin"/>
        </w:r>
        <w:r w:rsidR="00B42C33">
          <w:rPr>
            <w:noProof/>
            <w:webHidden/>
          </w:rPr>
          <w:instrText xml:space="preserve"> PAGEREF _Toc177730857 \h </w:instrText>
        </w:r>
        <w:r w:rsidR="00B42C33">
          <w:rPr>
            <w:noProof/>
            <w:webHidden/>
          </w:rPr>
        </w:r>
        <w:r w:rsidR="00B42C33">
          <w:rPr>
            <w:noProof/>
            <w:webHidden/>
          </w:rPr>
          <w:fldChar w:fldCharType="separate"/>
        </w:r>
        <w:r w:rsidR="00303407">
          <w:rPr>
            <w:noProof/>
            <w:webHidden/>
          </w:rPr>
          <w:t>170</w:t>
        </w:r>
        <w:r w:rsidR="00B42C33">
          <w:rPr>
            <w:noProof/>
            <w:webHidden/>
          </w:rPr>
          <w:fldChar w:fldCharType="end"/>
        </w:r>
      </w:hyperlink>
    </w:p>
    <w:p w14:paraId="23963E2B" w14:textId="3AA589BF"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8" w:history="1">
        <w:r w:rsidR="00B42C33" w:rsidRPr="00DD4012">
          <w:rPr>
            <w:rStyle w:val="Hyperlink"/>
            <w:noProof/>
          </w:rPr>
          <w:t>7.9</w:t>
        </w:r>
        <w:r w:rsidR="00B42C33">
          <w:rPr>
            <w:rFonts w:asciiTheme="minorHAnsi" w:eastAsiaTheme="minorEastAsia" w:hAnsiTheme="minorHAnsi" w:cstheme="minorBidi"/>
            <w:iCs w:val="0"/>
            <w:noProof/>
            <w:szCs w:val="24"/>
            <w:lang w:eastAsia="en-GB"/>
          </w:rPr>
          <w:tab/>
        </w:r>
        <w:r w:rsidR="00B42C33" w:rsidRPr="00DD4012">
          <w:rPr>
            <w:rStyle w:val="Hyperlink"/>
            <w:noProof/>
          </w:rPr>
          <w:t>Results</w:t>
        </w:r>
        <w:r w:rsidR="00B42C33">
          <w:rPr>
            <w:noProof/>
            <w:webHidden/>
          </w:rPr>
          <w:tab/>
        </w:r>
        <w:r w:rsidR="00B42C33">
          <w:rPr>
            <w:noProof/>
            <w:webHidden/>
          </w:rPr>
          <w:fldChar w:fldCharType="begin"/>
        </w:r>
        <w:r w:rsidR="00B42C33">
          <w:rPr>
            <w:noProof/>
            <w:webHidden/>
          </w:rPr>
          <w:instrText xml:space="preserve"> PAGEREF _Toc177730858 \h </w:instrText>
        </w:r>
        <w:r w:rsidR="00B42C33">
          <w:rPr>
            <w:noProof/>
            <w:webHidden/>
          </w:rPr>
        </w:r>
        <w:r w:rsidR="00B42C33">
          <w:rPr>
            <w:noProof/>
            <w:webHidden/>
          </w:rPr>
          <w:fldChar w:fldCharType="separate"/>
        </w:r>
        <w:r w:rsidR="00303407">
          <w:rPr>
            <w:noProof/>
            <w:webHidden/>
          </w:rPr>
          <w:t>173</w:t>
        </w:r>
        <w:r w:rsidR="00B42C33">
          <w:rPr>
            <w:noProof/>
            <w:webHidden/>
          </w:rPr>
          <w:fldChar w:fldCharType="end"/>
        </w:r>
      </w:hyperlink>
    </w:p>
    <w:p w14:paraId="55DBC6BF" w14:textId="1AE680FC"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59" w:history="1">
        <w:r w:rsidR="00B42C33" w:rsidRPr="00DD4012">
          <w:rPr>
            <w:rStyle w:val="Hyperlink"/>
            <w:noProof/>
            <w:lang w:val="en-US"/>
          </w:rPr>
          <w:t>7.10</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Discussion</w:t>
        </w:r>
        <w:r w:rsidR="00B42C33">
          <w:rPr>
            <w:noProof/>
            <w:webHidden/>
          </w:rPr>
          <w:tab/>
        </w:r>
        <w:r w:rsidR="00B42C33">
          <w:rPr>
            <w:noProof/>
            <w:webHidden/>
          </w:rPr>
          <w:fldChar w:fldCharType="begin"/>
        </w:r>
        <w:r w:rsidR="00B42C33">
          <w:rPr>
            <w:noProof/>
            <w:webHidden/>
          </w:rPr>
          <w:instrText xml:space="preserve"> PAGEREF _Toc177730859 \h </w:instrText>
        </w:r>
        <w:r w:rsidR="00B42C33">
          <w:rPr>
            <w:noProof/>
            <w:webHidden/>
          </w:rPr>
        </w:r>
        <w:r w:rsidR="00B42C33">
          <w:rPr>
            <w:noProof/>
            <w:webHidden/>
          </w:rPr>
          <w:fldChar w:fldCharType="separate"/>
        </w:r>
        <w:r w:rsidR="00303407">
          <w:rPr>
            <w:noProof/>
            <w:webHidden/>
          </w:rPr>
          <w:t>262</w:t>
        </w:r>
        <w:r w:rsidR="00B42C33">
          <w:rPr>
            <w:noProof/>
            <w:webHidden/>
          </w:rPr>
          <w:fldChar w:fldCharType="end"/>
        </w:r>
      </w:hyperlink>
    </w:p>
    <w:p w14:paraId="6B646008" w14:textId="48AC4EA4"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60" w:history="1">
        <w:r w:rsidR="00B42C33" w:rsidRPr="00DD4012">
          <w:rPr>
            <w:rStyle w:val="Hyperlink"/>
            <w:noProof/>
            <w:lang w:val="en-US"/>
          </w:rPr>
          <w:t>7.11</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Implications for Australian ECI practice framework</w:t>
        </w:r>
        <w:r w:rsidR="00B42C33">
          <w:rPr>
            <w:noProof/>
            <w:webHidden/>
          </w:rPr>
          <w:tab/>
        </w:r>
        <w:r w:rsidR="00B42C33">
          <w:rPr>
            <w:noProof/>
            <w:webHidden/>
          </w:rPr>
          <w:fldChar w:fldCharType="begin"/>
        </w:r>
        <w:r w:rsidR="00B42C33">
          <w:rPr>
            <w:noProof/>
            <w:webHidden/>
          </w:rPr>
          <w:instrText xml:space="preserve"> PAGEREF _Toc177730860 \h </w:instrText>
        </w:r>
        <w:r w:rsidR="00B42C33">
          <w:rPr>
            <w:noProof/>
            <w:webHidden/>
          </w:rPr>
        </w:r>
        <w:r w:rsidR="00B42C33">
          <w:rPr>
            <w:noProof/>
            <w:webHidden/>
          </w:rPr>
          <w:fldChar w:fldCharType="separate"/>
        </w:r>
        <w:r w:rsidR="00303407">
          <w:rPr>
            <w:noProof/>
            <w:webHidden/>
          </w:rPr>
          <w:t>270</w:t>
        </w:r>
        <w:r w:rsidR="00B42C33">
          <w:rPr>
            <w:noProof/>
            <w:webHidden/>
          </w:rPr>
          <w:fldChar w:fldCharType="end"/>
        </w:r>
      </w:hyperlink>
    </w:p>
    <w:p w14:paraId="04C4FA29" w14:textId="7C3E777D" w:rsidR="00B42C33" w:rsidRDefault="00000000">
      <w:pPr>
        <w:pStyle w:val="TOC2"/>
        <w:tabs>
          <w:tab w:val="left" w:pos="720"/>
          <w:tab w:val="right" w:leader="dot" w:pos="9016"/>
        </w:tabs>
        <w:rPr>
          <w:rFonts w:asciiTheme="minorHAnsi" w:eastAsiaTheme="minorEastAsia" w:hAnsiTheme="minorHAnsi" w:cstheme="minorBidi"/>
          <w:noProof/>
          <w:szCs w:val="24"/>
          <w:lang w:eastAsia="en-GB"/>
        </w:rPr>
      </w:pPr>
      <w:hyperlink w:anchor="_Toc177730861" w:history="1">
        <w:r w:rsidR="00B42C33" w:rsidRPr="00DD4012">
          <w:rPr>
            <w:rStyle w:val="Hyperlink"/>
            <w:noProof/>
          </w:rPr>
          <w:t>8</w:t>
        </w:r>
        <w:r w:rsidR="00B42C33">
          <w:rPr>
            <w:rFonts w:asciiTheme="minorHAnsi" w:eastAsiaTheme="minorEastAsia" w:hAnsiTheme="minorHAnsi" w:cstheme="minorBidi"/>
            <w:noProof/>
            <w:szCs w:val="24"/>
            <w:lang w:eastAsia="en-GB"/>
          </w:rPr>
          <w:tab/>
        </w:r>
        <w:r w:rsidR="00B42C33" w:rsidRPr="00DD4012">
          <w:rPr>
            <w:rStyle w:val="Hyperlink"/>
            <w:noProof/>
          </w:rPr>
          <w:t>Recommendations</w:t>
        </w:r>
        <w:r w:rsidR="00B42C33">
          <w:rPr>
            <w:noProof/>
            <w:webHidden/>
          </w:rPr>
          <w:tab/>
        </w:r>
        <w:r w:rsidR="00B42C33">
          <w:rPr>
            <w:noProof/>
            <w:webHidden/>
          </w:rPr>
          <w:fldChar w:fldCharType="begin"/>
        </w:r>
        <w:r w:rsidR="00B42C33">
          <w:rPr>
            <w:noProof/>
            <w:webHidden/>
          </w:rPr>
          <w:instrText xml:space="preserve"> PAGEREF _Toc177730861 \h </w:instrText>
        </w:r>
        <w:r w:rsidR="00B42C33">
          <w:rPr>
            <w:noProof/>
            <w:webHidden/>
          </w:rPr>
        </w:r>
        <w:r w:rsidR="00B42C33">
          <w:rPr>
            <w:noProof/>
            <w:webHidden/>
          </w:rPr>
          <w:fldChar w:fldCharType="separate"/>
        </w:r>
        <w:r w:rsidR="00303407">
          <w:rPr>
            <w:noProof/>
            <w:webHidden/>
          </w:rPr>
          <w:t>273</w:t>
        </w:r>
        <w:r w:rsidR="00B42C33">
          <w:rPr>
            <w:noProof/>
            <w:webHidden/>
          </w:rPr>
          <w:fldChar w:fldCharType="end"/>
        </w:r>
      </w:hyperlink>
    </w:p>
    <w:p w14:paraId="13BDB5EA" w14:textId="1EEC3B71"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62" w:history="1">
        <w:r w:rsidR="00B42C33" w:rsidRPr="00DD4012">
          <w:rPr>
            <w:rStyle w:val="Hyperlink"/>
            <w:noProof/>
          </w:rPr>
          <w:t>8.1</w:t>
        </w:r>
        <w:r w:rsidR="00B42C33">
          <w:rPr>
            <w:rFonts w:asciiTheme="minorHAnsi" w:eastAsiaTheme="minorEastAsia" w:hAnsiTheme="minorHAnsi" w:cstheme="minorBidi"/>
            <w:iCs w:val="0"/>
            <w:noProof/>
            <w:szCs w:val="24"/>
            <w:lang w:eastAsia="en-GB"/>
          </w:rPr>
          <w:tab/>
        </w:r>
        <w:r w:rsidR="00B42C33" w:rsidRPr="00DD4012">
          <w:rPr>
            <w:rStyle w:val="Hyperlink"/>
            <w:noProof/>
          </w:rPr>
          <w:t>Approaches/interventions with strongest evidence</w:t>
        </w:r>
        <w:r w:rsidR="00B42C33">
          <w:rPr>
            <w:noProof/>
            <w:webHidden/>
          </w:rPr>
          <w:tab/>
        </w:r>
        <w:r w:rsidR="00B42C33">
          <w:rPr>
            <w:noProof/>
            <w:webHidden/>
          </w:rPr>
          <w:fldChar w:fldCharType="begin"/>
        </w:r>
        <w:r w:rsidR="00B42C33">
          <w:rPr>
            <w:noProof/>
            <w:webHidden/>
          </w:rPr>
          <w:instrText xml:space="preserve"> PAGEREF _Toc177730862 \h </w:instrText>
        </w:r>
        <w:r w:rsidR="00B42C33">
          <w:rPr>
            <w:noProof/>
            <w:webHidden/>
          </w:rPr>
        </w:r>
        <w:r w:rsidR="00B42C33">
          <w:rPr>
            <w:noProof/>
            <w:webHidden/>
          </w:rPr>
          <w:fldChar w:fldCharType="separate"/>
        </w:r>
        <w:r w:rsidR="00303407">
          <w:rPr>
            <w:noProof/>
            <w:webHidden/>
          </w:rPr>
          <w:t>273</w:t>
        </w:r>
        <w:r w:rsidR="00B42C33">
          <w:rPr>
            <w:noProof/>
            <w:webHidden/>
          </w:rPr>
          <w:fldChar w:fldCharType="end"/>
        </w:r>
      </w:hyperlink>
    </w:p>
    <w:p w14:paraId="6FF87C44" w14:textId="0F30D743"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63" w:history="1">
        <w:r w:rsidR="00B42C33" w:rsidRPr="00DD4012">
          <w:rPr>
            <w:rStyle w:val="Hyperlink"/>
            <w:noProof/>
          </w:rPr>
          <w:t>8.2</w:t>
        </w:r>
        <w:r w:rsidR="00B42C33">
          <w:rPr>
            <w:rFonts w:asciiTheme="minorHAnsi" w:eastAsiaTheme="minorEastAsia" w:hAnsiTheme="minorHAnsi" w:cstheme="minorBidi"/>
            <w:iCs w:val="0"/>
            <w:noProof/>
            <w:szCs w:val="24"/>
            <w:lang w:eastAsia="en-GB"/>
          </w:rPr>
          <w:tab/>
        </w:r>
        <w:r w:rsidR="00B42C33" w:rsidRPr="00DD4012">
          <w:rPr>
            <w:rStyle w:val="Hyperlink"/>
            <w:noProof/>
          </w:rPr>
          <w:t>Instruments to measure key outcomes</w:t>
        </w:r>
        <w:r w:rsidR="00B42C33">
          <w:rPr>
            <w:noProof/>
            <w:webHidden/>
          </w:rPr>
          <w:tab/>
        </w:r>
        <w:r w:rsidR="00B42C33">
          <w:rPr>
            <w:noProof/>
            <w:webHidden/>
          </w:rPr>
          <w:fldChar w:fldCharType="begin"/>
        </w:r>
        <w:r w:rsidR="00B42C33">
          <w:rPr>
            <w:noProof/>
            <w:webHidden/>
          </w:rPr>
          <w:instrText xml:space="preserve"> PAGEREF _Toc177730863 \h </w:instrText>
        </w:r>
        <w:r w:rsidR="00B42C33">
          <w:rPr>
            <w:noProof/>
            <w:webHidden/>
          </w:rPr>
        </w:r>
        <w:r w:rsidR="00B42C33">
          <w:rPr>
            <w:noProof/>
            <w:webHidden/>
          </w:rPr>
          <w:fldChar w:fldCharType="separate"/>
        </w:r>
        <w:r w:rsidR="00303407">
          <w:rPr>
            <w:noProof/>
            <w:webHidden/>
          </w:rPr>
          <w:t>274</w:t>
        </w:r>
        <w:r w:rsidR="00B42C33">
          <w:rPr>
            <w:noProof/>
            <w:webHidden/>
          </w:rPr>
          <w:fldChar w:fldCharType="end"/>
        </w:r>
      </w:hyperlink>
    </w:p>
    <w:p w14:paraId="2AC427A1" w14:textId="3742FF17"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64" w:history="1">
        <w:r w:rsidR="00B42C33" w:rsidRPr="00DD4012">
          <w:rPr>
            <w:rStyle w:val="Hyperlink"/>
            <w:noProof/>
          </w:rPr>
          <w:t>8.3</w:t>
        </w:r>
        <w:r w:rsidR="00B42C33">
          <w:rPr>
            <w:rFonts w:asciiTheme="minorHAnsi" w:eastAsiaTheme="minorEastAsia" w:hAnsiTheme="minorHAnsi" w:cstheme="minorBidi"/>
            <w:iCs w:val="0"/>
            <w:noProof/>
            <w:szCs w:val="24"/>
            <w:lang w:eastAsia="en-GB"/>
          </w:rPr>
          <w:tab/>
        </w:r>
        <w:r w:rsidR="00B42C33" w:rsidRPr="00DD4012">
          <w:rPr>
            <w:rStyle w:val="Hyperlink"/>
            <w:noProof/>
          </w:rPr>
          <w:t>Focus of future research to address gaps</w:t>
        </w:r>
        <w:r w:rsidR="00B42C33">
          <w:rPr>
            <w:noProof/>
            <w:webHidden/>
          </w:rPr>
          <w:tab/>
        </w:r>
        <w:r w:rsidR="00B42C33">
          <w:rPr>
            <w:noProof/>
            <w:webHidden/>
          </w:rPr>
          <w:fldChar w:fldCharType="begin"/>
        </w:r>
        <w:r w:rsidR="00B42C33">
          <w:rPr>
            <w:noProof/>
            <w:webHidden/>
          </w:rPr>
          <w:instrText xml:space="preserve"> PAGEREF _Toc177730864 \h </w:instrText>
        </w:r>
        <w:r w:rsidR="00B42C33">
          <w:rPr>
            <w:noProof/>
            <w:webHidden/>
          </w:rPr>
        </w:r>
        <w:r w:rsidR="00B42C33">
          <w:rPr>
            <w:noProof/>
            <w:webHidden/>
          </w:rPr>
          <w:fldChar w:fldCharType="separate"/>
        </w:r>
        <w:r w:rsidR="00303407">
          <w:rPr>
            <w:noProof/>
            <w:webHidden/>
          </w:rPr>
          <w:t>275</w:t>
        </w:r>
        <w:r w:rsidR="00B42C33">
          <w:rPr>
            <w:noProof/>
            <w:webHidden/>
          </w:rPr>
          <w:fldChar w:fldCharType="end"/>
        </w:r>
      </w:hyperlink>
    </w:p>
    <w:p w14:paraId="423106C2" w14:textId="75814A34" w:rsidR="00B42C33" w:rsidRDefault="00000000">
      <w:pPr>
        <w:pStyle w:val="TOC1"/>
        <w:tabs>
          <w:tab w:val="right" w:leader="dot" w:pos="9016"/>
        </w:tabs>
        <w:rPr>
          <w:rFonts w:asciiTheme="minorHAnsi" w:eastAsiaTheme="minorEastAsia" w:hAnsiTheme="minorHAnsi" w:cstheme="minorBidi"/>
          <w:b w:val="0"/>
          <w:bCs w:val="0"/>
          <w:noProof/>
          <w:szCs w:val="24"/>
          <w:lang w:eastAsia="en-GB"/>
        </w:rPr>
      </w:pPr>
      <w:hyperlink w:anchor="_Toc177730865" w:history="1">
        <w:r w:rsidR="00B42C33" w:rsidRPr="00DD4012">
          <w:rPr>
            <w:rStyle w:val="Hyperlink"/>
            <w:noProof/>
          </w:rPr>
          <w:t>Part Three: Synthesis and Implications</w:t>
        </w:r>
        <w:r w:rsidR="00B42C33">
          <w:rPr>
            <w:noProof/>
            <w:webHidden/>
          </w:rPr>
          <w:tab/>
        </w:r>
        <w:r w:rsidR="00B42C33">
          <w:rPr>
            <w:noProof/>
            <w:webHidden/>
          </w:rPr>
          <w:fldChar w:fldCharType="begin"/>
        </w:r>
        <w:r w:rsidR="00B42C33">
          <w:rPr>
            <w:noProof/>
            <w:webHidden/>
          </w:rPr>
          <w:instrText xml:space="preserve"> PAGEREF _Toc177730865 \h </w:instrText>
        </w:r>
        <w:r w:rsidR="00B42C33">
          <w:rPr>
            <w:noProof/>
            <w:webHidden/>
          </w:rPr>
        </w:r>
        <w:r w:rsidR="00B42C33">
          <w:rPr>
            <w:noProof/>
            <w:webHidden/>
          </w:rPr>
          <w:fldChar w:fldCharType="separate"/>
        </w:r>
        <w:r w:rsidR="00303407">
          <w:rPr>
            <w:noProof/>
            <w:webHidden/>
          </w:rPr>
          <w:t>276</w:t>
        </w:r>
        <w:r w:rsidR="00B42C33">
          <w:rPr>
            <w:noProof/>
            <w:webHidden/>
          </w:rPr>
          <w:fldChar w:fldCharType="end"/>
        </w:r>
      </w:hyperlink>
    </w:p>
    <w:p w14:paraId="6DDD0DF3" w14:textId="74891C04" w:rsidR="00B42C33" w:rsidRDefault="00000000">
      <w:pPr>
        <w:pStyle w:val="TOC2"/>
        <w:tabs>
          <w:tab w:val="left" w:pos="720"/>
          <w:tab w:val="right" w:leader="dot" w:pos="9016"/>
        </w:tabs>
        <w:rPr>
          <w:rFonts w:asciiTheme="minorHAnsi" w:eastAsiaTheme="minorEastAsia" w:hAnsiTheme="minorHAnsi" w:cstheme="minorBidi"/>
          <w:noProof/>
          <w:szCs w:val="24"/>
          <w:lang w:eastAsia="en-GB"/>
        </w:rPr>
      </w:pPr>
      <w:hyperlink w:anchor="_Toc177730866" w:history="1">
        <w:r w:rsidR="00B42C33" w:rsidRPr="00DD4012">
          <w:rPr>
            <w:rStyle w:val="Hyperlink"/>
            <w:noProof/>
          </w:rPr>
          <w:t>9</w:t>
        </w:r>
        <w:r w:rsidR="00B42C33">
          <w:rPr>
            <w:rFonts w:asciiTheme="minorHAnsi" w:eastAsiaTheme="minorEastAsia" w:hAnsiTheme="minorHAnsi" w:cstheme="minorBidi"/>
            <w:noProof/>
            <w:szCs w:val="24"/>
            <w:lang w:eastAsia="en-GB"/>
          </w:rPr>
          <w:tab/>
        </w:r>
        <w:r w:rsidR="00B42C33" w:rsidRPr="00DD4012">
          <w:rPr>
            <w:rStyle w:val="Hyperlink"/>
            <w:noProof/>
          </w:rPr>
          <w:t>Synthesis and discussion</w:t>
        </w:r>
        <w:r w:rsidR="00B42C33">
          <w:rPr>
            <w:noProof/>
            <w:webHidden/>
          </w:rPr>
          <w:tab/>
        </w:r>
        <w:r w:rsidR="00B42C33">
          <w:rPr>
            <w:noProof/>
            <w:webHidden/>
          </w:rPr>
          <w:fldChar w:fldCharType="begin"/>
        </w:r>
        <w:r w:rsidR="00B42C33">
          <w:rPr>
            <w:noProof/>
            <w:webHidden/>
          </w:rPr>
          <w:instrText xml:space="preserve"> PAGEREF _Toc177730866 \h </w:instrText>
        </w:r>
        <w:r w:rsidR="00B42C33">
          <w:rPr>
            <w:noProof/>
            <w:webHidden/>
          </w:rPr>
        </w:r>
        <w:r w:rsidR="00B42C33">
          <w:rPr>
            <w:noProof/>
            <w:webHidden/>
          </w:rPr>
          <w:fldChar w:fldCharType="separate"/>
        </w:r>
        <w:r w:rsidR="00303407">
          <w:rPr>
            <w:noProof/>
            <w:webHidden/>
          </w:rPr>
          <w:t>276</w:t>
        </w:r>
        <w:r w:rsidR="00B42C33">
          <w:rPr>
            <w:noProof/>
            <w:webHidden/>
          </w:rPr>
          <w:fldChar w:fldCharType="end"/>
        </w:r>
      </w:hyperlink>
    </w:p>
    <w:p w14:paraId="546D1C6F" w14:textId="105C1893"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67" w:history="1">
        <w:r w:rsidR="00B42C33" w:rsidRPr="00DD4012">
          <w:rPr>
            <w:rStyle w:val="Hyperlink"/>
            <w:noProof/>
            <w:lang w:val="en-US"/>
          </w:rPr>
          <w:t>9.1</w:t>
        </w:r>
        <w:r w:rsidR="00B42C33">
          <w:rPr>
            <w:rFonts w:asciiTheme="minorHAnsi" w:eastAsiaTheme="minorEastAsia" w:hAnsiTheme="minorHAnsi" w:cstheme="minorBidi"/>
            <w:iCs w:val="0"/>
            <w:noProof/>
            <w:szCs w:val="24"/>
            <w:lang w:eastAsia="en-GB"/>
          </w:rPr>
          <w:tab/>
        </w:r>
        <w:r w:rsidR="00B42C33" w:rsidRPr="00DD4012">
          <w:rPr>
            <w:rStyle w:val="Hyperlink"/>
            <w:noProof/>
            <w:lang w:val="en-US"/>
          </w:rPr>
          <w:t>Implications for ECI services and service systems</w:t>
        </w:r>
        <w:r w:rsidR="00B42C33">
          <w:rPr>
            <w:noProof/>
            <w:webHidden/>
          </w:rPr>
          <w:tab/>
        </w:r>
        <w:r w:rsidR="00B42C33">
          <w:rPr>
            <w:noProof/>
            <w:webHidden/>
          </w:rPr>
          <w:fldChar w:fldCharType="begin"/>
        </w:r>
        <w:r w:rsidR="00B42C33">
          <w:rPr>
            <w:noProof/>
            <w:webHidden/>
          </w:rPr>
          <w:instrText xml:space="preserve"> PAGEREF _Toc177730867 \h </w:instrText>
        </w:r>
        <w:r w:rsidR="00B42C33">
          <w:rPr>
            <w:noProof/>
            <w:webHidden/>
          </w:rPr>
        </w:r>
        <w:r w:rsidR="00B42C33">
          <w:rPr>
            <w:noProof/>
            <w:webHidden/>
          </w:rPr>
          <w:fldChar w:fldCharType="separate"/>
        </w:r>
        <w:r w:rsidR="00303407">
          <w:rPr>
            <w:noProof/>
            <w:webHidden/>
          </w:rPr>
          <w:t>276</w:t>
        </w:r>
        <w:r w:rsidR="00B42C33">
          <w:rPr>
            <w:noProof/>
            <w:webHidden/>
          </w:rPr>
          <w:fldChar w:fldCharType="end"/>
        </w:r>
      </w:hyperlink>
    </w:p>
    <w:p w14:paraId="78E8C395" w14:textId="5F2973FB"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68" w:history="1">
        <w:r w:rsidR="00B42C33" w:rsidRPr="00DD4012">
          <w:rPr>
            <w:rStyle w:val="Hyperlink"/>
            <w:noProof/>
          </w:rPr>
          <w:t>9.2</w:t>
        </w:r>
        <w:r w:rsidR="00B42C33">
          <w:rPr>
            <w:rFonts w:asciiTheme="minorHAnsi" w:eastAsiaTheme="minorEastAsia" w:hAnsiTheme="minorHAnsi" w:cstheme="minorBidi"/>
            <w:iCs w:val="0"/>
            <w:noProof/>
            <w:szCs w:val="24"/>
            <w:lang w:eastAsia="en-GB"/>
          </w:rPr>
          <w:tab/>
        </w:r>
        <w:r w:rsidR="00B42C33" w:rsidRPr="00DD4012">
          <w:rPr>
            <w:rStyle w:val="Hyperlink"/>
            <w:noProof/>
          </w:rPr>
          <w:t>Implications for an ECI Practice Framework</w:t>
        </w:r>
        <w:r w:rsidR="00B42C33">
          <w:rPr>
            <w:noProof/>
            <w:webHidden/>
          </w:rPr>
          <w:tab/>
        </w:r>
        <w:r w:rsidR="00B42C33">
          <w:rPr>
            <w:noProof/>
            <w:webHidden/>
          </w:rPr>
          <w:fldChar w:fldCharType="begin"/>
        </w:r>
        <w:r w:rsidR="00B42C33">
          <w:rPr>
            <w:noProof/>
            <w:webHidden/>
          </w:rPr>
          <w:instrText xml:space="preserve"> PAGEREF _Toc177730868 \h </w:instrText>
        </w:r>
        <w:r w:rsidR="00B42C33">
          <w:rPr>
            <w:noProof/>
            <w:webHidden/>
          </w:rPr>
        </w:r>
        <w:r w:rsidR="00B42C33">
          <w:rPr>
            <w:noProof/>
            <w:webHidden/>
          </w:rPr>
          <w:fldChar w:fldCharType="separate"/>
        </w:r>
        <w:r w:rsidR="00303407">
          <w:rPr>
            <w:noProof/>
            <w:webHidden/>
          </w:rPr>
          <w:t>277</w:t>
        </w:r>
        <w:r w:rsidR="00B42C33">
          <w:rPr>
            <w:noProof/>
            <w:webHidden/>
          </w:rPr>
          <w:fldChar w:fldCharType="end"/>
        </w:r>
      </w:hyperlink>
    </w:p>
    <w:p w14:paraId="14A43599" w14:textId="1D956345" w:rsidR="00B42C33" w:rsidRDefault="00000000">
      <w:pPr>
        <w:pStyle w:val="TOC3"/>
        <w:tabs>
          <w:tab w:val="left" w:pos="1200"/>
          <w:tab w:val="right" w:leader="dot" w:pos="9016"/>
        </w:tabs>
        <w:rPr>
          <w:rFonts w:asciiTheme="minorHAnsi" w:eastAsiaTheme="minorEastAsia" w:hAnsiTheme="minorHAnsi" w:cstheme="minorBidi"/>
          <w:iCs w:val="0"/>
          <w:noProof/>
          <w:szCs w:val="24"/>
          <w:lang w:eastAsia="en-GB"/>
        </w:rPr>
      </w:pPr>
      <w:hyperlink w:anchor="_Toc177730869" w:history="1">
        <w:r w:rsidR="00B42C33" w:rsidRPr="00DD4012">
          <w:rPr>
            <w:rStyle w:val="Hyperlink"/>
            <w:noProof/>
          </w:rPr>
          <w:t>9.3</w:t>
        </w:r>
        <w:r w:rsidR="00B42C33">
          <w:rPr>
            <w:rFonts w:asciiTheme="minorHAnsi" w:eastAsiaTheme="minorEastAsia" w:hAnsiTheme="minorHAnsi" w:cstheme="minorBidi"/>
            <w:iCs w:val="0"/>
            <w:noProof/>
            <w:szCs w:val="24"/>
            <w:lang w:eastAsia="en-GB"/>
          </w:rPr>
          <w:tab/>
        </w:r>
        <w:r w:rsidR="00B42C33" w:rsidRPr="00DD4012">
          <w:rPr>
            <w:rStyle w:val="Hyperlink"/>
            <w:noProof/>
          </w:rPr>
          <w:t>Concluding remarks</w:t>
        </w:r>
        <w:r w:rsidR="00B42C33">
          <w:rPr>
            <w:noProof/>
            <w:webHidden/>
          </w:rPr>
          <w:tab/>
        </w:r>
        <w:r w:rsidR="00B42C33">
          <w:rPr>
            <w:noProof/>
            <w:webHidden/>
          </w:rPr>
          <w:fldChar w:fldCharType="begin"/>
        </w:r>
        <w:r w:rsidR="00B42C33">
          <w:rPr>
            <w:noProof/>
            <w:webHidden/>
          </w:rPr>
          <w:instrText xml:space="preserve"> PAGEREF _Toc177730869 \h </w:instrText>
        </w:r>
        <w:r w:rsidR="00B42C33">
          <w:rPr>
            <w:noProof/>
            <w:webHidden/>
          </w:rPr>
        </w:r>
        <w:r w:rsidR="00B42C33">
          <w:rPr>
            <w:noProof/>
            <w:webHidden/>
          </w:rPr>
          <w:fldChar w:fldCharType="separate"/>
        </w:r>
        <w:r w:rsidR="00303407">
          <w:rPr>
            <w:noProof/>
            <w:webHidden/>
          </w:rPr>
          <w:t>282</w:t>
        </w:r>
        <w:r w:rsidR="00B42C33">
          <w:rPr>
            <w:noProof/>
            <w:webHidden/>
          </w:rPr>
          <w:fldChar w:fldCharType="end"/>
        </w:r>
      </w:hyperlink>
    </w:p>
    <w:p w14:paraId="7AA8FBD4" w14:textId="413E0D92" w:rsidR="00B42C33" w:rsidRDefault="00000000">
      <w:pPr>
        <w:pStyle w:val="TOC1"/>
        <w:tabs>
          <w:tab w:val="right" w:leader="dot" w:pos="9016"/>
        </w:tabs>
        <w:rPr>
          <w:rFonts w:asciiTheme="minorHAnsi" w:eastAsiaTheme="minorEastAsia" w:hAnsiTheme="minorHAnsi" w:cstheme="minorBidi"/>
          <w:b w:val="0"/>
          <w:bCs w:val="0"/>
          <w:noProof/>
          <w:szCs w:val="24"/>
          <w:lang w:eastAsia="en-GB"/>
        </w:rPr>
      </w:pPr>
      <w:hyperlink w:anchor="_Toc177730870" w:history="1">
        <w:r w:rsidR="00B42C33" w:rsidRPr="00DD4012">
          <w:rPr>
            <w:rStyle w:val="Hyperlink"/>
            <w:noProof/>
          </w:rPr>
          <w:t>References</w:t>
        </w:r>
        <w:r w:rsidR="00B42C33">
          <w:rPr>
            <w:noProof/>
            <w:webHidden/>
          </w:rPr>
          <w:tab/>
        </w:r>
        <w:r w:rsidR="00B42C33">
          <w:rPr>
            <w:noProof/>
            <w:webHidden/>
          </w:rPr>
          <w:fldChar w:fldCharType="begin"/>
        </w:r>
        <w:r w:rsidR="00B42C33">
          <w:rPr>
            <w:noProof/>
            <w:webHidden/>
          </w:rPr>
          <w:instrText xml:space="preserve"> PAGEREF _Toc177730870 \h </w:instrText>
        </w:r>
        <w:r w:rsidR="00B42C33">
          <w:rPr>
            <w:noProof/>
            <w:webHidden/>
          </w:rPr>
        </w:r>
        <w:r w:rsidR="00B42C33">
          <w:rPr>
            <w:noProof/>
            <w:webHidden/>
          </w:rPr>
          <w:fldChar w:fldCharType="separate"/>
        </w:r>
        <w:r w:rsidR="00303407">
          <w:rPr>
            <w:noProof/>
            <w:webHidden/>
          </w:rPr>
          <w:t>283</w:t>
        </w:r>
        <w:r w:rsidR="00B42C33">
          <w:rPr>
            <w:noProof/>
            <w:webHidden/>
          </w:rPr>
          <w:fldChar w:fldCharType="end"/>
        </w:r>
      </w:hyperlink>
    </w:p>
    <w:p w14:paraId="3FD1FEA2" w14:textId="5B012D2D" w:rsidR="00B42C33" w:rsidRDefault="00000000">
      <w:pPr>
        <w:pStyle w:val="TOC1"/>
        <w:tabs>
          <w:tab w:val="right" w:leader="dot" w:pos="9016"/>
        </w:tabs>
        <w:rPr>
          <w:rFonts w:asciiTheme="minorHAnsi" w:eastAsiaTheme="minorEastAsia" w:hAnsiTheme="minorHAnsi" w:cstheme="minorBidi"/>
          <w:b w:val="0"/>
          <w:bCs w:val="0"/>
          <w:noProof/>
          <w:szCs w:val="24"/>
          <w:lang w:eastAsia="en-GB"/>
        </w:rPr>
      </w:pPr>
      <w:hyperlink w:anchor="_Toc177730871" w:history="1">
        <w:r w:rsidR="00B42C33" w:rsidRPr="00DD4012">
          <w:rPr>
            <w:rStyle w:val="Hyperlink"/>
            <w:noProof/>
          </w:rPr>
          <w:t>Appendix A</w:t>
        </w:r>
        <w:r w:rsidR="00B42C33">
          <w:rPr>
            <w:noProof/>
            <w:webHidden/>
          </w:rPr>
          <w:tab/>
        </w:r>
        <w:r w:rsidR="00B42C33">
          <w:rPr>
            <w:noProof/>
            <w:webHidden/>
          </w:rPr>
          <w:fldChar w:fldCharType="begin"/>
        </w:r>
        <w:r w:rsidR="00B42C33">
          <w:rPr>
            <w:noProof/>
            <w:webHidden/>
          </w:rPr>
          <w:instrText xml:space="preserve"> PAGEREF _Toc177730871 \h </w:instrText>
        </w:r>
        <w:r w:rsidR="00B42C33">
          <w:rPr>
            <w:noProof/>
            <w:webHidden/>
          </w:rPr>
        </w:r>
        <w:r w:rsidR="00B42C33">
          <w:rPr>
            <w:noProof/>
            <w:webHidden/>
          </w:rPr>
          <w:fldChar w:fldCharType="separate"/>
        </w:r>
        <w:r w:rsidR="00303407">
          <w:rPr>
            <w:noProof/>
            <w:webHidden/>
          </w:rPr>
          <w:t>387</w:t>
        </w:r>
        <w:r w:rsidR="00B42C33">
          <w:rPr>
            <w:noProof/>
            <w:webHidden/>
          </w:rPr>
          <w:fldChar w:fldCharType="end"/>
        </w:r>
      </w:hyperlink>
    </w:p>
    <w:p w14:paraId="65CF636F" w14:textId="76226809" w:rsidR="00535898" w:rsidRDefault="004075EE" w:rsidP="00E67855">
      <w:pPr>
        <w:pStyle w:val="SectionHeader"/>
      </w:pPr>
      <w:r>
        <w:rPr>
          <w:rFonts w:eastAsiaTheme="minorHAnsi"/>
        </w:rPr>
        <w:fldChar w:fldCharType="end"/>
      </w:r>
    </w:p>
    <w:p w14:paraId="3E45221F" w14:textId="2D3923A1" w:rsidR="00535898" w:rsidRDefault="00535898">
      <w:pPr>
        <w:spacing w:before="0" w:after="0"/>
        <w:rPr>
          <w:rFonts w:eastAsiaTheme="minorEastAsia"/>
          <w:b/>
          <w:color w:val="0E2841" w:themeColor="text2"/>
          <w:kern w:val="0"/>
          <w:sz w:val="40"/>
          <w:lang w:val="en-US"/>
          <w14:ligatures w14:val="none"/>
        </w:rPr>
      </w:pPr>
    </w:p>
    <w:p w14:paraId="210CA8E8" w14:textId="77777777" w:rsidR="004A5006" w:rsidRDefault="004A5006">
      <w:pPr>
        <w:spacing w:before="0" w:after="0"/>
        <w:rPr>
          <w:rFonts w:eastAsiaTheme="minorEastAsia"/>
          <w:b/>
          <w:color w:val="0E2841" w:themeColor="text2"/>
          <w:kern w:val="0"/>
          <w:sz w:val="40"/>
          <w:lang w:val="en-US"/>
          <w14:ligatures w14:val="none"/>
        </w:rPr>
      </w:pPr>
      <w:r>
        <w:br w:type="page"/>
      </w:r>
    </w:p>
    <w:p w14:paraId="5BF8AB93" w14:textId="5AE7B424" w:rsidR="00EC037E" w:rsidRDefault="00115702" w:rsidP="00115702">
      <w:pPr>
        <w:rPr>
          <w:b/>
          <w:bCs/>
          <w:color w:val="0C2C74"/>
          <w:sz w:val="40"/>
          <w:szCs w:val="40"/>
        </w:rPr>
      </w:pPr>
      <w:r w:rsidRPr="00115702">
        <w:rPr>
          <w:b/>
          <w:bCs/>
          <w:color w:val="0C2C74"/>
          <w:sz w:val="40"/>
          <w:szCs w:val="40"/>
        </w:rPr>
        <w:lastRenderedPageBreak/>
        <w:t>List of Tables</w:t>
      </w:r>
    </w:p>
    <w:p w14:paraId="7ABB4AB7" w14:textId="40A51C10" w:rsidR="00C469FC" w:rsidRDefault="00347C33">
      <w:pPr>
        <w:pStyle w:val="TableofFigures"/>
        <w:tabs>
          <w:tab w:val="right" w:leader="dot" w:pos="9016"/>
        </w:tabs>
        <w:rPr>
          <w:rFonts w:asciiTheme="minorHAnsi" w:eastAsiaTheme="minorEastAsia" w:hAnsiTheme="minorHAnsi" w:cstheme="minorBidi"/>
          <w:bCs w:val="0"/>
          <w:noProof/>
          <w:sz w:val="24"/>
          <w:szCs w:val="24"/>
          <w:lang w:eastAsia="en-GB"/>
        </w:rPr>
      </w:pPr>
      <w:r>
        <w:rPr>
          <w:b/>
          <w:bCs w:val="0"/>
          <w:color w:val="0C2C74"/>
          <w:sz w:val="40"/>
          <w:szCs w:val="40"/>
        </w:rPr>
        <w:fldChar w:fldCharType="begin"/>
      </w:r>
      <w:r>
        <w:rPr>
          <w:b/>
          <w:bCs w:val="0"/>
          <w:color w:val="0C2C74"/>
          <w:sz w:val="40"/>
          <w:szCs w:val="40"/>
        </w:rPr>
        <w:instrText xml:space="preserve"> TOC \h \z \c "Table" </w:instrText>
      </w:r>
      <w:r>
        <w:rPr>
          <w:b/>
          <w:bCs w:val="0"/>
          <w:color w:val="0C2C74"/>
          <w:sz w:val="40"/>
          <w:szCs w:val="40"/>
        </w:rPr>
        <w:fldChar w:fldCharType="separate"/>
      </w:r>
      <w:hyperlink w:anchor="_Toc177727319" w:history="1">
        <w:r w:rsidR="00C469FC" w:rsidRPr="00937785">
          <w:rPr>
            <w:rStyle w:val="Hyperlink"/>
            <w:b/>
            <w:noProof/>
          </w:rPr>
          <w:t>Table 1.</w:t>
        </w:r>
        <w:r w:rsidR="00C469FC" w:rsidRPr="00937785">
          <w:rPr>
            <w:rStyle w:val="Hyperlink"/>
            <w:noProof/>
          </w:rPr>
          <w:t xml:space="preserve"> Definitions of key terms</w:t>
        </w:r>
        <w:r w:rsidR="00C469FC">
          <w:rPr>
            <w:noProof/>
            <w:webHidden/>
          </w:rPr>
          <w:tab/>
        </w:r>
        <w:r w:rsidR="00C469FC">
          <w:rPr>
            <w:noProof/>
            <w:webHidden/>
          </w:rPr>
          <w:fldChar w:fldCharType="begin"/>
        </w:r>
        <w:r w:rsidR="00C469FC">
          <w:rPr>
            <w:noProof/>
            <w:webHidden/>
          </w:rPr>
          <w:instrText xml:space="preserve"> PAGEREF _Toc177727319 \h </w:instrText>
        </w:r>
        <w:r w:rsidR="00C469FC">
          <w:rPr>
            <w:noProof/>
            <w:webHidden/>
          </w:rPr>
        </w:r>
        <w:r w:rsidR="00C469FC">
          <w:rPr>
            <w:noProof/>
            <w:webHidden/>
          </w:rPr>
          <w:fldChar w:fldCharType="separate"/>
        </w:r>
        <w:r w:rsidR="00303407">
          <w:rPr>
            <w:noProof/>
            <w:webHidden/>
          </w:rPr>
          <w:t>83</w:t>
        </w:r>
        <w:r w:rsidR="00C469FC">
          <w:rPr>
            <w:noProof/>
            <w:webHidden/>
          </w:rPr>
          <w:fldChar w:fldCharType="end"/>
        </w:r>
      </w:hyperlink>
    </w:p>
    <w:p w14:paraId="7E2E5439" w14:textId="404A00F7"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0" w:history="1">
        <w:r w:rsidR="00C469FC" w:rsidRPr="00937785">
          <w:rPr>
            <w:rStyle w:val="Hyperlink"/>
            <w:b/>
            <w:noProof/>
          </w:rPr>
          <w:t>Table 2.</w:t>
        </w:r>
        <w:r w:rsidR="00C469FC" w:rsidRPr="00937785">
          <w:rPr>
            <w:rStyle w:val="Hyperlink"/>
            <w:noProof/>
          </w:rPr>
          <w:t xml:space="preserve"> Comparison of Early Childhood Intervention Frameworks in six Jurisdictions</w:t>
        </w:r>
        <w:r w:rsidR="00C469FC">
          <w:rPr>
            <w:noProof/>
            <w:webHidden/>
          </w:rPr>
          <w:tab/>
        </w:r>
        <w:r w:rsidR="00C469FC">
          <w:rPr>
            <w:noProof/>
            <w:webHidden/>
          </w:rPr>
          <w:fldChar w:fldCharType="begin"/>
        </w:r>
        <w:r w:rsidR="00C469FC">
          <w:rPr>
            <w:noProof/>
            <w:webHidden/>
          </w:rPr>
          <w:instrText xml:space="preserve"> PAGEREF _Toc177727320 \h </w:instrText>
        </w:r>
        <w:r w:rsidR="00C469FC">
          <w:rPr>
            <w:noProof/>
            <w:webHidden/>
          </w:rPr>
        </w:r>
        <w:r w:rsidR="00C469FC">
          <w:rPr>
            <w:noProof/>
            <w:webHidden/>
          </w:rPr>
          <w:fldChar w:fldCharType="separate"/>
        </w:r>
        <w:r w:rsidR="00303407">
          <w:rPr>
            <w:noProof/>
            <w:webHidden/>
          </w:rPr>
          <w:t>130</w:t>
        </w:r>
        <w:r w:rsidR="00C469FC">
          <w:rPr>
            <w:noProof/>
            <w:webHidden/>
          </w:rPr>
          <w:fldChar w:fldCharType="end"/>
        </w:r>
      </w:hyperlink>
    </w:p>
    <w:p w14:paraId="526217C0" w14:textId="017B00F2"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1" w:history="1">
        <w:r w:rsidR="00C469FC" w:rsidRPr="00937785">
          <w:rPr>
            <w:rStyle w:val="Hyperlink"/>
            <w:b/>
            <w:noProof/>
          </w:rPr>
          <w:t>Table 3.</w:t>
        </w:r>
        <w:r w:rsidR="00C469FC" w:rsidRPr="00937785">
          <w:rPr>
            <w:rStyle w:val="Hyperlink"/>
            <w:noProof/>
          </w:rPr>
          <w:t xml:space="preserve"> Scoping review results</w:t>
        </w:r>
        <w:r w:rsidR="00C469FC">
          <w:rPr>
            <w:noProof/>
            <w:webHidden/>
          </w:rPr>
          <w:tab/>
        </w:r>
        <w:r w:rsidR="00C469FC">
          <w:rPr>
            <w:noProof/>
            <w:webHidden/>
          </w:rPr>
          <w:fldChar w:fldCharType="begin"/>
        </w:r>
        <w:r w:rsidR="00C469FC">
          <w:rPr>
            <w:noProof/>
            <w:webHidden/>
          </w:rPr>
          <w:instrText xml:space="preserve"> PAGEREF _Toc177727321 \h </w:instrText>
        </w:r>
        <w:r w:rsidR="00C469FC">
          <w:rPr>
            <w:noProof/>
            <w:webHidden/>
          </w:rPr>
        </w:r>
        <w:r w:rsidR="00C469FC">
          <w:rPr>
            <w:noProof/>
            <w:webHidden/>
          </w:rPr>
          <w:fldChar w:fldCharType="separate"/>
        </w:r>
        <w:r w:rsidR="00303407">
          <w:rPr>
            <w:noProof/>
            <w:webHidden/>
          </w:rPr>
          <w:t>141</w:t>
        </w:r>
        <w:r w:rsidR="00C469FC">
          <w:rPr>
            <w:noProof/>
            <w:webHidden/>
          </w:rPr>
          <w:fldChar w:fldCharType="end"/>
        </w:r>
      </w:hyperlink>
    </w:p>
    <w:p w14:paraId="18360322" w14:textId="37B8594C"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2" w:history="1">
        <w:r w:rsidR="00C469FC" w:rsidRPr="00937785">
          <w:rPr>
            <w:rStyle w:val="Hyperlink"/>
            <w:b/>
            <w:noProof/>
          </w:rPr>
          <w:t>Table 4.</w:t>
        </w:r>
        <w:r w:rsidR="00C469FC" w:rsidRPr="00937785">
          <w:rPr>
            <w:rStyle w:val="Hyperlink"/>
            <w:noProof/>
          </w:rPr>
          <w:t xml:space="preserve"> Document inclusion and exclusion criteria</w:t>
        </w:r>
        <w:r w:rsidR="00C469FC">
          <w:rPr>
            <w:noProof/>
            <w:webHidden/>
          </w:rPr>
          <w:tab/>
        </w:r>
        <w:r w:rsidR="00C469FC">
          <w:rPr>
            <w:noProof/>
            <w:webHidden/>
          </w:rPr>
          <w:fldChar w:fldCharType="begin"/>
        </w:r>
        <w:r w:rsidR="00C469FC">
          <w:rPr>
            <w:noProof/>
            <w:webHidden/>
          </w:rPr>
          <w:instrText xml:space="preserve"> PAGEREF _Toc177727322 \h </w:instrText>
        </w:r>
        <w:r w:rsidR="00C469FC">
          <w:rPr>
            <w:noProof/>
            <w:webHidden/>
          </w:rPr>
        </w:r>
        <w:r w:rsidR="00C469FC">
          <w:rPr>
            <w:noProof/>
            <w:webHidden/>
          </w:rPr>
          <w:fldChar w:fldCharType="separate"/>
        </w:r>
        <w:r w:rsidR="00303407">
          <w:rPr>
            <w:noProof/>
            <w:webHidden/>
          </w:rPr>
          <w:t>167</w:t>
        </w:r>
        <w:r w:rsidR="00C469FC">
          <w:rPr>
            <w:noProof/>
            <w:webHidden/>
          </w:rPr>
          <w:fldChar w:fldCharType="end"/>
        </w:r>
      </w:hyperlink>
    </w:p>
    <w:p w14:paraId="6B22F5C8" w14:textId="4B678338"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3" w:history="1">
        <w:r w:rsidR="00C469FC" w:rsidRPr="00937785">
          <w:rPr>
            <w:rStyle w:val="Hyperlink"/>
            <w:b/>
            <w:noProof/>
          </w:rPr>
          <w:t>Table 5.</w:t>
        </w:r>
        <w:r w:rsidR="00C469FC" w:rsidRPr="00937785">
          <w:rPr>
            <w:rStyle w:val="Hyperlink"/>
            <w:noProof/>
          </w:rPr>
          <w:t xml:space="preserve"> Characteristics and outcomes of systematic reviews</w:t>
        </w:r>
        <w:r w:rsidR="00C469FC">
          <w:rPr>
            <w:noProof/>
            <w:webHidden/>
          </w:rPr>
          <w:tab/>
        </w:r>
        <w:r w:rsidR="00C469FC">
          <w:rPr>
            <w:noProof/>
            <w:webHidden/>
          </w:rPr>
          <w:fldChar w:fldCharType="begin"/>
        </w:r>
        <w:r w:rsidR="00C469FC">
          <w:rPr>
            <w:noProof/>
            <w:webHidden/>
          </w:rPr>
          <w:instrText xml:space="preserve"> PAGEREF _Toc177727323 \h </w:instrText>
        </w:r>
        <w:r w:rsidR="00C469FC">
          <w:rPr>
            <w:noProof/>
            <w:webHidden/>
          </w:rPr>
        </w:r>
        <w:r w:rsidR="00C469FC">
          <w:rPr>
            <w:noProof/>
            <w:webHidden/>
          </w:rPr>
          <w:fldChar w:fldCharType="separate"/>
        </w:r>
        <w:r w:rsidR="00303407">
          <w:rPr>
            <w:noProof/>
            <w:webHidden/>
          </w:rPr>
          <w:t>178</w:t>
        </w:r>
        <w:r w:rsidR="00C469FC">
          <w:rPr>
            <w:noProof/>
            <w:webHidden/>
          </w:rPr>
          <w:fldChar w:fldCharType="end"/>
        </w:r>
      </w:hyperlink>
    </w:p>
    <w:p w14:paraId="373BEFF8" w14:textId="74A06D64"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4" w:history="1">
        <w:r w:rsidR="00C469FC" w:rsidRPr="00937785">
          <w:rPr>
            <w:rStyle w:val="Hyperlink"/>
            <w:b/>
            <w:noProof/>
          </w:rPr>
          <w:t>Table 6.</w:t>
        </w:r>
        <w:r w:rsidR="00C469FC" w:rsidRPr="00937785">
          <w:rPr>
            <w:rStyle w:val="Hyperlink"/>
            <w:noProof/>
          </w:rPr>
          <w:t xml:space="preserve"> Risk of bias of included systematic reviews</w:t>
        </w:r>
        <w:r w:rsidR="00C469FC">
          <w:rPr>
            <w:noProof/>
            <w:webHidden/>
          </w:rPr>
          <w:tab/>
        </w:r>
        <w:r w:rsidR="00C469FC">
          <w:rPr>
            <w:noProof/>
            <w:webHidden/>
          </w:rPr>
          <w:fldChar w:fldCharType="begin"/>
        </w:r>
        <w:r w:rsidR="00C469FC">
          <w:rPr>
            <w:noProof/>
            <w:webHidden/>
          </w:rPr>
          <w:instrText xml:space="preserve"> PAGEREF _Toc177727324 \h </w:instrText>
        </w:r>
        <w:r w:rsidR="00C469FC">
          <w:rPr>
            <w:noProof/>
            <w:webHidden/>
          </w:rPr>
        </w:r>
        <w:r w:rsidR="00C469FC">
          <w:rPr>
            <w:noProof/>
            <w:webHidden/>
          </w:rPr>
          <w:fldChar w:fldCharType="separate"/>
        </w:r>
        <w:r w:rsidR="00303407">
          <w:rPr>
            <w:noProof/>
            <w:webHidden/>
          </w:rPr>
          <w:t>180</w:t>
        </w:r>
        <w:r w:rsidR="00C469FC">
          <w:rPr>
            <w:noProof/>
            <w:webHidden/>
          </w:rPr>
          <w:fldChar w:fldCharType="end"/>
        </w:r>
      </w:hyperlink>
    </w:p>
    <w:p w14:paraId="1171CFBE" w14:textId="710E34FB"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5" w:history="1">
        <w:r w:rsidR="00C469FC" w:rsidRPr="00937785">
          <w:rPr>
            <w:rStyle w:val="Hyperlink"/>
            <w:b/>
            <w:noProof/>
          </w:rPr>
          <w:t>Table 7.</w:t>
        </w:r>
        <w:r w:rsidR="00C469FC" w:rsidRPr="00937785">
          <w:rPr>
            <w:rStyle w:val="Hyperlink"/>
            <w:noProof/>
          </w:rPr>
          <w:t xml:space="preserve"> Study characteristics of included randomised controlled trials (n = 36)</w:t>
        </w:r>
        <w:r w:rsidR="00C469FC">
          <w:rPr>
            <w:noProof/>
            <w:webHidden/>
          </w:rPr>
          <w:tab/>
        </w:r>
        <w:r w:rsidR="00C469FC">
          <w:rPr>
            <w:noProof/>
            <w:webHidden/>
          </w:rPr>
          <w:fldChar w:fldCharType="begin"/>
        </w:r>
        <w:r w:rsidR="00C469FC">
          <w:rPr>
            <w:noProof/>
            <w:webHidden/>
          </w:rPr>
          <w:instrText xml:space="preserve"> PAGEREF _Toc177727325 \h </w:instrText>
        </w:r>
        <w:r w:rsidR="00C469FC">
          <w:rPr>
            <w:noProof/>
            <w:webHidden/>
          </w:rPr>
        </w:r>
        <w:r w:rsidR="00C469FC">
          <w:rPr>
            <w:noProof/>
            <w:webHidden/>
          </w:rPr>
          <w:fldChar w:fldCharType="separate"/>
        </w:r>
        <w:r w:rsidR="00303407">
          <w:rPr>
            <w:noProof/>
            <w:webHidden/>
          </w:rPr>
          <w:t>182</w:t>
        </w:r>
        <w:r w:rsidR="00C469FC">
          <w:rPr>
            <w:noProof/>
            <w:webHidden/>
          </w:rPr>
          <w:fldChar w:fldCharType="end"/>
        </w:r>
      </w:hyperlink>
    </w:p>
    <w:p w14:paraId="563B6CE9" w14:textId="0AD935FE"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6" w:history="1">
        <w:r w:rsidR="00C469FC" w:rsidRPr="00937785">
          <w:rPr>
            <w:rStyle w:val="Hyperlink"/>
            <w:b/>
            <w:noProof/>
          </w:rPr>
          <w:t>Table 8.</w:t>
        </w:r>
        <w:r w:rsidR="00C469FC" w:rsidRPr="00937785">
          <w:rPr>
            <w:rStyle w:val="Hyperlink"/>
            <w:noProof/>
          </w:rPr>
          <w:t xml:space="preserve"> Intervention characteristics</w:t>
        </w:r>
        <w:r w:rsidR="00C469FC">
          <w:rPr>
            <w:noProof/>
            <w:webHidden/>
          </w:rPr>
          <w:tab/>
        </w:r>
        <w:r w:rsidR="00C469FC">
          <w:rPr>
            <w:noProof/>
            <w:webHidden/>
          </w:rPr>
          <w:fldChar w:fldCharType="begin"/>
        </w:r>
        <w:r w:rsidR="00C469FC">
          <w:rPr>
            <w:noProof/>
            <w:webHidden/>
          </w:rPr>
          <w:instrText xml:space="preserve"> PAGEREF _Toc177727326 \h </w:instrText>
        </w:r>
        <w:r w:rsidR="00C469FC">
          <w:rPr>
            <w:noProof/>
            <w:webHidden/>
          </w:rPr>
        </w:r>
        <w:r w:rsidR="00C469FC">
          <w:rPr>
            <w:noProof/>
            <w:webHidden/>
          </w:rPr>
          <w:fldChar w:fldCharType="separate"/>
        </w:r>
        <w:r w:rsidR="00303407">
          <w:rPr>
            <w:noProof/>
            <w:webHidden/>
          </w:rPr>
          <w:t>190</w:t>
        </w:r>
        <w:r w:rsidR="00C469FC">
          <w:rPr>
            <w:noProof/>
            <w:webHidden/>
          </w:rPr>
          <w:fldChar w:fldCharType="end"/>
        </w:r>
      </w:hyperlink>
    </w:p>
    <w:p w14:paraId="40CE0C06" w14:textId="6F244358"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7" w:history="1">
        <w:r w:rsidR="00C469FC" w:rsidRPr="00937785">
          <w:rPr>
            <w:rStyle w:val="Hyperlink"/>
            <w:b/>
            <w:noProof/>
          </w:rPr>
          <w:t>Table 9.</w:t>
        </w:r>
        <w:r w:rsidR="00C469FC" w:rsidRPr="00937785">
          <w:rPr>
            <w:rStyle w:val="Hyperlink"/>
            <w:noProof/>
          </w:rPr>
          <w:t xml:space="preserve"> Body function outcomes for children</w:t>
        </w:r>
        <w:r w:rsidR="00C469FC">
          <w:rPr>
            <w:noProof/>
            <w:webHidden/>
          </w:rPr>
          <w:tab/>
        </w:r>
        <w:r w:rsidR="00C469FC">
          <w:rPr>
            <w:noProof/>
            <w:webHidden/>
          </w:rPr>
          <w:fldChar w:fldCharType="begin"/>
        </w:r>
        <w:r w:rsidR="00C469FC">
          <w:rPr>
            <w:noProof/>
            <w:webHidden/>
          </w:rPr>
          <w:instrText xml:space="preserve"> PAGEREF _Toc177727327 \h </w:instrText>
        </w:r>
        <w:r w:rsidR="00C469FC">
          <w:rPr>
            <w:noProof/>
            <w:webHidden/>
          </w:rPr>
        </w:r>
        <w:r w:rsidR="00C469FC">
          <w:rPr>
            <w:noProof/>
            <w:webHidden/>
          </w:rPr>
          <w:fldChar w:fldCharType="separate"/>
        </w:r>
        <w:r w:rsidR="00303407">
          <w:rPr>
            <w:noProof/>
            <w:webHidden/>
          </w:rPr>
          <w:t>202</w:t>
        </w:r>
        <w:r w:rsidR="00C469FC">
          <w:rPr>
            <w:noProof/>
            <w:webHidden/>
          </w:rPr>
          <w:fldChar w:fldCharType="end"/>
        </w:r>
      </w:hyperlink>
    </w:p>
    <w:p w14:paraId="3BB012CE" w14:textId="5BDA5DD6"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8" w:history="1">
        <w:r w:rsidR="00C469FC" w:rsidRPr="00937785">
          <w:rPr>
            <w:rStyle w:val="Hyperlink"/>
            <w:b/>
            <w:noProof/>
          </w:rPr>
          <w:t>Table 10.</w:t>
        </w:r>
        <w:r w:rsidR="00C469FC" w:rsidRPr="00937785">
          <w:rPr>
            <w:rStyle w:val="Hyperlink"/>
            <w:noProof/>
          </w:rPr>
          <w:t xml:space="preserve"> Outcomes according to diagnostic measures</w:t>
        </w:r>
        <w:r w:rsidR="00C469FC">
          <w:rPr>
            <w:noProof/>
            <w:webHidden/>
          </w:rPr>
          <w:tab/>
        </w:r>
        <w:r w:rsidR="00C469FC">
          <w:rPr>
            <w:noProof/>
            <w:webHidden/>
          </w:rPr>
          <w:fldChar w:fldCharType="begin"/>
        </w:r>
        <w:r w:rsidR="00C469FC">
          <w:rPr>
            <w:noProof/>
            <w:webHidden/>
          </w:rPr>
          <w:instrText xml:space="preserve"> PAGEREF _Toc177727328 \h </w:instrText>
        </w:r>
        <w:r w:rsidR="00C469FC">
          <w:rPr>
            <w:noProof/>
            <w:webHidden/>
          </w:rPr>
        </w:r>
        <w:r w:rsidR="00C469FC">
          <w:rPr>
            <w:noProof/>
            <w:webHidden/>
          </w:rPr>
          <w:fldChar w:fldCharType="separate"/>
        </w:r>
        <w:r w:rsidR="00303407">
          <w:rPr>
            <w:noProof/>
            <w:webHidden/>
          </w:rPr>
          <w:t>204</w:t>
        </w:r>
        <w:r w:rsidR="00C469FC">
          <w:rPr>
            <w:noProof/>
            <w:webHidden/>
          </w:rPr>
          <w:fldChar w:fldCharType="end"/>
        </w:r>
      </w:hyperlink>
    </w:p>
    <w:p w14:paraId="6CCE2D65" w14:textId="60FC0110"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29" w:history="1">
        <w:r w:rsidR="00C469FC" w:rsidRPr="00937785">
          <w:rPr>
            <w:rStyle w:val="Hyperlink"/>
            <w:b/>
            <w:noProof/>
          </w:rPr>
          <w:t>Table 11.</w:t>
        </w:r>
        <w:r w:rsidR="00C469FC" w:rsidRPr="00937785">
          <w:rPr>
            <w:rStyle w:val="Hyperlink"/>
            <w:noProof/>
          </w:rPr>
          <w:t xml:space="preserve"> Activity-level outcomes for children</w:t>
        </w:r>
        <w:r w:rsidR="00C469FC">
          <w:rPr>
            <w:noProof/>
            <w:webHidden/>
          </w:rPr>
          <w:tab/>
        </w:r>
        <w:r w:rsidR="00C469FC">
          <w:rPr>
            <w:noProof/>
            <w:webHidden/>
          </w:rPr>
          <w:fldChar w:fldCharType="begin"/>
        </w:r>
        <w:r w:rsidR="00C469FC">
          <w:rPr>
            <w:noProof/>
            <w:webHidden/>
          </w:rPr>
          <w:instrText xml:space="preserve"> PAGEREF _Toc177727329 \h </w:instrText>
        </w:r>
        <w:r w:rsidR="00C469FC">
          <w:rPr>
            <w:noProof/>
            <w:webHidden/>
          </w:rPr>
        </w:r>
        <w:r w:rsidR="00C469FC">
          <w:rPr>
            <w:noProof/>
            <w:webHidden/>
          </w:rPr>
          <w:fldChar w:fldCharType="separate"/>
        </w:r>
        <w:r w:rsidR="00303407">
          <w:rPr>
            <w:noProof/>
            <w:webHidden/>
          </w:rPr>
          <w:t>206</w:t>
        </w:r>
        <w:r w:rsidR="00C469FC">
          <w:rPr>
            <w:noProof/>
            <w:webHidden/>
          </w:rPr>
          <w:fldChar w:fldCharType="end"/>
        </w:r>
      </w:hyperlink>
    </w:p>
    <w:p w14:paraId="3CB05D40" w14:textId="2580DA62"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0" w:history="1">
        <w:r w:rsidR="00C469FC" w:rsidRPr="00937785">
          <w:rPr>
            <w:rStyle w:val="Hyperlink"/>
            <w:b/>
            <w:noProof/>
          </w:rPr>
          <w:t>Table 12.</w:t>
        </w:r>
        <w:r w:rsidR="00C469FC" w:rsidRPr="00937785">
          <w:rPr>
            <w:rStyle w:val="Hyperlink"/>
            <w:noProof/>
          </w:rPr>
          <w:t xml:space="preserve"> Participation and quality of life outcomes for children</w:t>
        </w:r>
        <w:r w:rsidR="00C469FC">
          <w:rPr>
            <w:noProof/>
            <w:webHidden/>
          </w:rPr>
          <w:tab/>
        </w:r>
        <w:r w:rsidR="00C469FC">
          <w:rPr>
            <w:noProof/>
            <w:webHidden/>
          </w:rPr>
          <w:fldChar w:fldCharType="begin"/>
        </w:r>
        <w:r w:rsidR="00C469FC">
          <w:rPr>
            <w:noProof/>
            <w:webHidden/>
          </w:rPr>
          <w:instrText xml:space="preserve"> PAGEREF _Toc177727330 \h </w:instrText>
        </w:r>
        <w:r w:rsidR="00C469FC">
          <w:rPr>
            <w:noProof/>
            <w:webHidden/>
          </w:rPr>
        </w:r>
        <w:r w:rsidR="00C469FC">
          <w:rPr>
            <w:noProof/>
            <w:webHidden/>
          </w:rPr>
          <w:fldChar w:fldCharType="separate"/>
        </w:r>
        <w:r w:rsidR="00303407">
          <w:rPr>
            <w:noProof/>
            <w:webHidden/>
          </w:rPr>
          <w:t>221</w:t>
        </w:r>
        <w:r w:rsidR="00C469FC">
          <w:rPr>
            <w:noProof/>
            <w:webHidden/>
          </w:rPr>
          <w:fldChar w:fldCharType="end"/>
        </w:r>
      </w:hyperlink>
    </w:p>
    <w:p w14:paraId="54F626C2" w14:textId="41F0E27A"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1" w:history="1">
        <w:r w:rsidR="00C469FC" w:rsidRPr="00937785">
          <w:rPr>
            <w:rStyle w:val="Hyperlink"/>
            <w:b/>
            <w:noProof/>
          </w:rPr>
          <w:t>Table 13.</w:t>
        </w:r>
        <w:r w:rsidR="00C469FC" w:rsidRPr="00937785">
          <w:rPr>
            <w:rStyle w:val="Hyperlink"/>
            <w:noProof/>
          </w:rPr>
          <w:t xml:space="preserve"> Outcomes for caregivers and families</w:t>
        </w:r>
        <w:r w:rsidR="00C469FC">
          <w:rPr>
            <w:noProof/>
            <w:webHidden/>
          </w:rPr>
          <w:tab/>
        </w:r>
        <w:r w:rsidR="00C469FC">
          <w:rPr>
            <w:noProof/>
            <w:webHidden/>
          </w:rPr>
          <w:fldChar w:fldCharType="begin"/>
        </w:r>
        <w:r w:rsidR="00C469FC">
          <w:rPr>
            <w:noProof/>
            <w:webHidden/>
          </w:rPr>
          <w:instrText xml:space="preserve"> PAGEREF _Toc177727331 \h </w:instrText>
        </w:r>
        <w:r w:rsidR="00C469FC">
          <w:rPr>
            <w:noProof/>
            <w:webHidden/>
          </w:rPr>
        </w:r>
        <w:r w:rsidR="00C469FC">
          <w:rPr>
            <w:noProof/>
            <w:webHidden/>
          </w:rPr>
          <w:fldChar w:fldCharType="separate"/>
        </w:r>
        <w:r w:rsidR="00303407">
          <w:rPr>
            <w:noProof/>
            <w:webHidden/>
          </w:rPr>
          <w:t>223</w:t>
        </w:r>
        <w:r w:rsidR="00C469FC">
          <w:rPr>
            <w:noProof/>
            <w:webHidden/>
          </w:rPr>
          <w:fldChar w:fldCharType="end"/>
        </w:r>
      </w:hyperlink>
    </w:p>
    <w:p w14:paraId="0239B766" w14:textId="4CE8BF68"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2" w:history="1">
        <w:r w:rsidR="00C469FC" w:rsidRPr="00937785">
          <w:rPr>
            <w:rStyle w:val="Hyperlink"/>
            <w:b/>
            <w:noProof/>
          </w:rPr>
          <w:t>Table 14.</w:t>
        </w:r>
        <w:r w:rsidR="00C469FC" w:rsidRPr="00937785">
          <w:rPr>
            <w:rStyle w:val="Hyperlink"/>
            <w:noProof/>
          </w:rPr>
          <w:t xml:space="preserve"> Outcomes for practitioners and organisations</w:t>
        </w:r>
        <w:r w:rsidR="00C469FC">
          <w:rPr>
            <w:noProof/>
            <w:webHidden/>
          </w:rPr>
          <w:tab/>
        </w:r>
        <w:r w:rsidR="00C469FC">
          <w:rPr>
            <w:noProof/>
            <w:webHidden/>
          </w:rPr>
          <w:fldChar w:fldCharType="begin"/>
        </w:r>
        <w:r w:rsidR="00C469FC">
          <w:rPr>
            <w:noProof/>
            <w:webHidden/>
          </w:rPr>
          <w:instrText xml:space="preserve"> PAGEREF _Toc177727332 \h </w:instrText>
        </w:r>
        <w:r w:rsidR="00C469FC">
          <w:rPr>
            <w:noProof/>
            <w:webHidden/>
          </w:rPr>
        </w:r>
        <w:r w:rsidR="00C469FC">
          <w:rPr>
            <w:noProof/>
            <w:webHidden/>
          </w:rPr>
          <w:fldChar w:fldCharType="separate"/>
        </w:r>
        <w:r w:rsidR="00303407">
          <w:rPr>
            <w:noProof/>
            <w:webHidden/>
          </w:rPr>
          <w:t>227</w:t>
        </w:r>
        <w:r w:rsidR="00C469FC">
          <w:rPr>
            <w:noProof/>
            <w:webHidden/>
          </w:rPr>
          <w:fldChar w:fldCharType="end"/>
        </w:r>
      </w:hyperlink>
    </w:p>
    <w:p w14:paraId="7B3D6C23" w14:textId="6560932F"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3" w:history="1">
        <w:r w:rsidR="00C469FC" w:rsidRPr="00937785">
          <w:rPr>
            <w:rStyle w:val="Hyperlink"/>
            <w:b/>
            <w:noProof/>
          </w:rPr>
          <w:t>Table 15.</w:t>
        </w:r>
        <w:r w:rsidR="00C469FC" w:rsidRPr="00937785">
          <w:rPr>
            <w:rStyle w:val="Hyperlink"/>
            <w:noProof/>
          </w:rPr>
          <w:t xml:space="preserve"> Risk of bias in included RCTs</w:t>
        </w:r>
        <w:r w:rsidR="00C469FC">
          <w:rPr>
            <w:noProof/>
            <w:webHidden/>
          </w:rPr>
          <w:tab/>
        </w:r>
        <w:r w:rsidR="00C469FC">
          <w:rPr>
            <w:noProof/>
            <w:webHidden/>
          </w:rPr>
          <w:fldChar w:fldCharType="begin"/>
        </w:r>
        <w:r w:rsidR="00C469FC">
          <w:rPr>
            <w:noProof/>
            <w:webHidden/>
          </w:rPr>
          <w:instrText xml:space="preserve"> PAGEREF _Toc177727333 \h </w:instrText>
        </w:r>
        <w:r w:rsidR="00C469FC">
          <w:rPr>
            <w:noProof/>
            <w:webHidden/>
          </w:rPr>
        </w:r>
        <w:r w:rsidR="00C469FC">
          <w:rPr>
            <w:noProof/>
            <w:webHidden/>
          </w:rPr>
          <w:fldChar w:fldCharType="separate"/>
        </w:r>
        <w:r w:rsidR="00303407">
          <w:rPr>
            <w:noProof/>
            <w:webHidden/>
          </w:rPr>
          <w:t>229</w:t>
        </w:r>
        <w:r w:rsidR="00C469FC">
          <w:rPr>
            <w:noProof/>
            <w:webHidden/>
          </w:rPr>
          <w:fldChar w:fldCharType="end"/>
        </w:r>
      </w:hyperlink>
    </w:p>
    <w:p w14:paraId="7E6A81BC" w14:textId="78347AD3"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4" w:history="1">
        <w:r w:rsidR="00C469FC" w:rsidRPr="00937785">
          <w:rPr>
            <w:rStyle w:val="Hyperlink"/>
            <w:b/>
            <w:noProof/>
          </w:rPr>
          <w:t>Table 16.</w:t>
        </w:r>
        <w:r w:rsidR="00C469FC" w:rsidRPr="00937785">
          <w:rPr>
            <w:rStyle w:val="Hyperlink"/>
            <w:noProof/>
          </w:rPr>
          <w:t xml:space="preserve">  Instruments used to measure outcomes for children</w:t>
        </w:r>
        <w:r w:rsidR="00C469FC">
          <w:rPr>
            <w:noProof/>
            <w:webHidden/>
          </w:rPr>
          <w:tab/>
        </w:r>
        <w:r w:rsidR="00C469FC">
          <w:rPr>
            <w:noProof/>
            <w:webHidden/>
          </w:rPr>
          <w:fldChar w:fldCharType="begin"/>
        </w:r>
        <w:r w:rsidR="00C469FC">
          <w:rPr>
            <w:noProof/>
            <w:webHidden/>
          </w:rPr>
          <w:instrText xml:space="preserve"> PAGEREF _Toc177727334 \h </w:instrText>
        </w:r>
        <w:r w:rsidR="00C469FC">
          <w:rPr>
            <w:noProof/>
            <w:webHidden/>
          </w:rPr>
        </w:r>
        <w:r w:rsidR="00C469FC">
          <w:rPr>
            <w:noProof/>
            <w:webHidden/>
          </w:rPr>
          <w:fldChar w:fldCharType="separate"/>
        </w:r>
        <w:r w:rsidR="00303407">
          <w:rPr>
            <w:noProof/>
            <w:webHidden/>
          </w:rPr>
          <w:t>232</w:t>
        </w:r>
        <w:r w:rsidR="00C469FC">
          <w:rPr>
            <w:noProof/>
            <w:webHidden/>
          </w:rPr>
          <w:fldChar w:fldCharType="end"/>
        </w:r>
      </w:hyperlink>
    </w:p>
    <w:p w14:paraId="57000634" w14:textId="3B0F2211"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5" w:history="1">
        <w:r w:rsidR="00C469FC" w:rsidRPr="00937785">
          <w:rPr>
            <w:rStyle w:val="Hyperlink"/>
            <w:b/>
            <w:noProof/>
          </w:rPr>
          <w:t>Table 17.</w:t>
        </w:r>
        <w:r w:rsidR="00C469FC" w:rsidRPr="00937785">
          <w:rPr>
            <w:rStyle w:val="Hyperlink"/>
            <w:noProof/>
          </w:rPr>
          <w:t xml:space="preserve"> Instruments used to measure outcomes for parents/caregivers or families</w:t>
        </w:r>
        <w:r w:rsidR="00C469FC">
          <w:rPr>
            <w:noProof/>
            <w:webHidden/>
          </w:rPr>
          <w:tab/>
        </w:r>
        <w:r w:rsidR="00C469FC">
          <w:rPr>
            <w:noProof/>
            <w:webHidden/>
          </w:rPr>
          <w:fldChar w:fldCharType="begin"/>
        </w:r>
        <w:r w:rsidR="00C469FC">
          <w:rPr>
            <w:noProof/>
            <w:webHidden/>
          </w:rPr>
          <w:instrText xml:space="preserve"> PAGEREF _Toc177727335 \h </w:instrText>
        </w:r>
        <w:r w:rsidR="00C469FC">
          <w:rPr>
            <w:noProof/>
            <w:webHidden/>
          </w:rPr>
        </w:r>
        <w:r w:rsidR="00C469FC">
          <w:rPr>
            <w:noProof/>
            <w:webHidden/>
          </w:rPr>
          <w:fldChar w:fldCharType="separate"/>
        </w:r>
        <w:r w:rsidR="00303407">
          <w:rPr>
            <w:noProof/>
            <w:webHidden/>
          </w:rPr>
          <w:t>234</w:t>
        </w:r>
        <w:r w:rsidR="00C469FC">
          <w:rPr>
            <w:noProof/>
            <w:webHidden/>
          </w:rPr>
          <w:fldChar w:fldCharType="end"/>
        </w:r>
      </w:hyperlink>
    </w:p>
    <w:p w14:paraId="36FACAF0" w14:textId="2285C276"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6" w:history="1">
        <w:r w:rsidR="00C469FC" w:rsidRPr="00937785">
          <w:rPr>
            <w:rStyle w:val="Hyperlink"/>
            <w:b/>
            <w:noProof/>
          </w:rPr>
          <w:t>Table 18.</w:t>
        </w:r>
        <w:r w:rsidR="00C469FC" w:rsidRPr="00937785">
          <w:rPr>
            <w:rStyle w:val="Hyperlink"/>
            <w:noProof/>
          </w:rPr>
          <w:t xml:space="preserve"> Instruments used to measure outcomes for practitioners and/or organisations</w:t>
        </w:r>
        <w:r w:rsidR="00C469FC">
          <w:rPr>
            <w:noProof/>
            <w:webHidden/>
          </w:rPr>
          <w:tab/>
        </w:r>
        <w:r w:rsidR="00C469FC">
          <w:rPr>
            <w:noProof/>
            <w:webHidden/>
          </w:rPr>
          <w:fldChar w:fldCharType="begin"/>
        </w:r>
        <w:r w:rsidR="00C469FC">
          <w:rPr>
            <w:noProof/>
            <w:webHidden/>
          </w:rPr>
          <w:instrText xml:space="preserve"> PAGEREF _Toc177727336 \h </w:instrText>
        </w:r>
        <w:r w:rsidR="00C469FC">
          <w:rPr>
            <w:noProof/>
            <w:webHidden/>
          </w:rPr>
        </w:r>
        <w:r w:rsidR="00C469FC">
          <w:rPr>
            <w:noProof/>
            <w:webHidden/>
          </w:rPr>
          <w:fldChar w:fldCharType="separate"/>
        </w:r>
        <w:r w:rsidR="00303407">
          <w:rPr>
            <w:noProof/>
            <w:webHidden/>
          </w:rPr>
          <w:t>234</w:t>
        </w:r>
        <w:r w:rsidR="00C469FC">
          <w:rPr>
            <w:noProof/>
            <w:webHidden/>
          </w:rPr>
          <w:fldChar w:fldCharType="end"/>
        </w:r>
      </w:hyperlink>
    </w:p>
    <w:p w14:paraId="4E482F0E" w14:textId="157B1944"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7" w:history="1">
        <w:r w:rsidR="00C469FC" w:rsidRPr="00937785">
          <w:rPr>
            <w:rStyle w:val="Hyperlink"/>
            <w:b/>
            <w:noProof/>
          </w:rPr>
          <w:t>Table 19.</w:t>
        </w:r>
        <w:r w:rsidR="00C469FC" w:rsidRPr="00937785">
          <w:rPr>
            <w:rStyle w:val="Hyperlink"/>
            <w:noProof/>
          </w:rPr>
          <w:t xml:space="preserve"> Qualitative Evidence (n=24)</w:t>
        </w:r>
        <w:r w:rsidR="00C469FC">
          <w:rPr>
            <w:noProof/>
            <w:webHidden/>
          </w:rPr>
          <w:tab/>
        </w:r>
        <w:r w:rsidR="00C469FC">
          <w:rPr>
            <w:noProof/>
            <w:webHidden/>
          </w:rPr>
          <w:fldChar w:fldCharType="begin"/>
        </w:r>
        <w:r w:rsidR="00C469FC">
          <w:rPr>
            <w:noProof/>
            <w:webHidden/>
          </w:rPr>
          <w:instrText xml:space="preserve"> PAGEREF _Toc177727337 \h </w:instrText>
        </w:r>
        <w:r w:rsidR="00C469FC">
          <w:rPr>
            <w:noProof/>
            <w:webHidden/>
          </w:rPr>
        </w:r>
        <w:r w:rsidR="00C469FC">
          <w:rPr>
            <w:noProof/>
            <w:webHidden/>
          </w:rPr>
          <w:fldChar w:fldCharType="separate"/>
        </w:r>
        <w:r w:rsidR="00303407">
          <w:rPr>
            <w:noProof/>
            <w:webHidden/>
          </w:rPr>
          <w:t>236</w:t>
        </w:r>
        <w:r w:rsidR="00C469FC">
          <w:rPr>
            <w:noProof/>
            <w:webHidden/>
          </w:rPr>
          <w:fldChar w:fldCharType="end"/>
        </w:r>
      </w:hyperlink>
    </w:p>
    <w:p w14:paraId="42420C12" w14:textId="411E36F1"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8" w:history="1">
        <w:r w:rsidR="00C469FC" w:rsidRPr="00937785">
          <w:rPr>
            <w:rStyle w:val="Hyperlink"/>
            <w:b/>
            <w:noProof/>
          </w:rPr>
          <w:t>Table 20.</w:t>
        </w:r>
        <w:r w:rsidR="00C469FC" w:rsidRPr="00937785">
          <w:rPr>
            <w:rStyle w:val="Hyperlink"/>
            <w:noProof/>
          </w:rPr>
          <w:t xml:space="preserve"> Risk of bias of qualitative studies</w:t>
        </w:r>
        <w:r w:rsidR="00C469FC">
          <w:rPr>
            <w:noProof/>
            <w:webHidden/>
          </w:rPr>
          <w:tab/>
        </w:r>
        <w:r w:rsidR="00C469FC">
          <w:rPr>
            <w:noProof/>
            <w:webHidden/>
          </w:rPr>
          <w:fldChar w:fldCharType="begin"/>
        </w:r>
        <w:r w:rsidR="00C469FC">
          <w:rPr>
            <w:noProof/>
            <w:webHidden/>
          </w:rPr>
          <w:instrText xml:space="preserve"> PAGEREF _Toc177727338 \h </w:instrText>
        </w:r>
        <w:r w:rsidR="00C469FC">
          <w:rPr>
            <w:noProof/>
            <w:webHidden/>
          </w:rPr>
        </w:r>
        <w:r w:rsidR="00C469FC">
          <w:rPr>
            <w:noProof/>
            <w:webHidden/>
          </w:rPr>
          <w:fldChar w:fldCharType="separate"/>
        </w:r>
        <w:r w:rsidR="00303407">
          <w:rPr>
            <w:noProof/>
            <w:webHidden/>
          </w:rPr>
          <w:t>248</w:t>
        </w:r>
        <w:r w:rsidR="00C469FC">
          <w:rPr>
            <w:noProof/>
            <w:webHidden/>
          </w:rPr>
          <w:fldChar w:fldCharType="end"/>
        </w:r>
      </w:hyperlink>
    </w:p>
    <w:p w14:paraId="7AD5DC29" w14:textId="7835E9C2"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39" w:history="1">
        <w:r w:rsidR="00C469FC" w:rsidRPr="00937785">
          <w:rPr>
            <w:rStyle w:val="Hyperlink"/>
            <w:b/>
            <w:noProof/>
          </w:rPr>
          <w:t>Table 21.</w:t>
        </w:r>
        <w:r w:rsidR="00C469FC" w:rsidRPr="00937785">
          <w:rPr>
            <w:rStyle w:val="Hyperlink"/>
            <w:noProof/>
          </w:rPr>
          <w:t xml:space="preserve"> Aboriginal and Torres Strait Islander evidence</w:t>
        </w:r>
        <w:r w:rsidR="00C469FC">
          <w:rPr>
            <w:noProof/>
            <w:webHidden/>
          </w:rPr>
          <w:tab/>
        </w:r>
        <w:r w:rsidR="00C469FC">
          <w:rPr>
            <w:noProof/>
            <w:webHidden/>
          </w:rPr>
          <w:fldChar w:fldCharType="begin"/>
        </w:r>
        <w:r w:rsidR="00C469FC">
          <w:rPr>
            <w:noProof/>
            <w:webHidden/>
          </w:rPr>
          <w:instrText xml:space="preserve"> PAGEREF _Toc177727339 \h </w:instrText>
        </w:r>
        <w:r w:rsidR="00C469FC">
          <w:rPr>
            <w:noProof/>
            <w:webHidden/>
          </w:rPr>
        </w:r>
        <w:r w:rsidR="00C469FC">
          <w:rPr>
            <w:noProof/>
            <w:webHidden/>
          </w:rPr>
          <w:fldChar w:fldCharType="separate"/>
        </w:r>
        <w:r w:rsidR="00303407">
          <w:rPr>
            <w:noProof/>
            <w:webHidden/>
          </w:rPr>
          <w:t>251</w:t>
        </w:r>
        <w:r w:rsidR="00C469FC">
          <w:rPr>
            <w:noProof/>
            <w:webHidden/>
          </w:rPr>
          <w:fldChar w:fldCharType="end"/>
        </w:r>
      </w:hyperlink>
    </w:p>
    <w:p w14:paraId="796C17FD" w14:textId="3DB0E8C1"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40" w:history="1">
        <w:r w:rsidR="00C469FC" w:rsidRPr="00937785">
          <w:rPr>
            <w:rStyle w:val="Hyperlink"/>
            <w:b/>
            <w:noProof/>
          </w:rPr>
          <w:t>Table 22.</w:t>
        </w:r>
        <w:r w:rsidR="00C469FC" w:rsidRPr="00937785">
          <w:rPr>
            <w:rStyle w:val="Hyperlink"/>
            <w:noProof/>
          </w:rPr>
          <w:t xml:space="preserve"> Medline search strategy</w:t>
        </w:r>
        <w:r w:rsidR="00C469FC">
          <w:rPr>
            <w:noProof/>
            <w:webHidden/>
          </w:rPr>
          <w:tab/>
        </w:r>
        <w:r w:rsidR="00C469FC">
          <w:rPr>
            <w:noProof/>
            <w:webHidden/>
          </w:rPr>
          <w:fldChar w:fldCharType="begin"/>
        </w:r>
        <w:r w:rsidR="00C469FC">
          <w:rPr>
            <w:noProof/>
            <w:webHidden/>
          </w:rPr>
          <w:instrText xml:space="preserve"> PAGEREF _Toc177727340 \h </w:instrText>
        </w:r>
        <w:r w:rsidR="00C469FC">
          <w:rPr>
            <w:noProof/>
            <w:webHidden/>
          </w:rPr>
        </w:r>
        <w:r w:rsidR="00C469FC">
          <w:rPr>
            <w:noProof/>
            <w:webHidden/>
          </w:rPr>
          <w:fldChar w:fldCharType="separate"/>
        </w:r>
        <w:r w:rsidR="00303407">
          <w:rPr>
            <w:noProof/>
            <w:webHidden/>
          </w:rPr>
          <w:t>387</w:t>
        </w:r>
        <w:r w:rsidR="00C469FC">
          <w:rPr>
            <w:noProof/>
            <w:webHidden/>
          </w:rPr>
          <w:fldChar w:fldCharType="end"/>
        </w:r>
      </w:hyperlink>
    </w:p>
    <w:p w14:paraId="42E131EE" w14:textId="4CC4DE1A" w:rsidR="00C469FC"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27341" w:history="1">
        <w:r w:rsidR="00C469FC" w:rsidRPr="00937785">
          <w:rPr>
            <w:rStyle w:val="Hyperlink"/>
            <w:b/>
            <w:noProof/>
          </w:rPr>
          <w:t>Table 23.</w:t>
        </w:r>
        <w:r w:rsidR="00C469FC" w:rsidRPr="00937785">
          <w:rPr>
            <w:rStyle w:val="Hyperlink"/>
            <w:noProof/>
          </w:rPr>
          <w:t xml:space="preserve"> Google scholar searches</w:t>
        </w:r>
        <w:r w:rsidR="00C469FC">
          <w:rPr>
            <w:noProof/>
            <w:webHidden/>
          </w:rPr>
          <w:tab/>
        </w:r>
        <w:r w:rsidR="00C469FC">
          <w:rPr>
            <w:noProof/>
            <w:webHidden/>
          </w:rPr>
          <w:fldChar w:fldCharType="begin"/>
        </w:r>
        <w:r w:rsidR="00C469FC">
          <w:rPr>
            <w:noProof/>
            <w:webHidden/>
          </w:rPr>
          <w:instrText xml:space="preserve"> PAGEREF _Toc177727341 \h </w:instrText>
        </w:r>
        <w:r w:rsidR="00C469FC">
          <w:rPr>
            <w:noProof/>
            <w:webHidden/>
          </w:rPr>
        </w:r>
        <w:r w:rsidR="00C469FC">
          <w:rPr>
            <w:noProof/>
            <w:webHidden/>
          </w:rPr>
          <w:fldChar w:fldCharType="separate"/>
        </w:r>
        <w:r w:rsidR="00303407">
          <w:rPr>
            <w:noProof/>
            <w:webHidden/>
          </w:rPr>
          <w:t>389</w:t>
        </w:r>
        <w:r w:rsidR="00C469FC">
          <w:rPr>
            <w:noProof/>
            <w:webHidden/>
          </w:rPr>
          <w:fldChar w:fldCharType="end"/>
        </w:r>
      </w:hyperlink>
    </w:p>
    <w:p w14:paraId="3B3AE390" w14:textId="54455C63" w:rsidR="00115702" w:rsidRDefault="00347C33" w:rsidP="00115702">
      <w:pPr>
        <w:rPr>
          <w:b/>
          <w:bCs/>
          <w:color w:val="0C2C74"/>
          <w:sz w:val="40"/>
          <w:szCs w:val="40"/>
        </w:rPr>
      </w:pPr>
      <w:r>
        <w:rPr>
          <w:rFonts w:cs="Times New Roman (Body CS)"/>
          <w:b/>
          <w:bCs/>
          <w:color w:val="0C2C74"/>
          <w:sz w:val="40"/>
          <w:szCs w:val="40"/>
        </w:rPr>
        <w:fldChar w:fldCharType="end"/>
      </w:r>
      <w:r w:rsidR="002A77A5">
        <w:rPr>
          <w:rFonts w:cs="Times New Roman (Body CS)"/>
          <w:b/>
          <w:bCs/>
          <w:color w:val="0C2C74"/>
          <w:sz w:val="40"/>
          <w:szCs w:val="40"/>
        </w:rPr>
        <w:br/>
      </w:r>
      <w:r w:rsidR="00115702" w:rsidRPr="00115702">
        <w:rPr>
          <w:b/>
          <w:bCs/>
          <w:color w:val="0C2C74"/>
          <w:sz w:val="40"/>
          <w:szCs w:val="40"/>
        </w:rPr>
        <w:t>List of Figures</w:t>
      </w:r>
    </w:p>
    <w:p w14:paraId="7F31F002" w14:textId="2C55DAD3" w:rsidR="00B42C33" w:rsidRDefault="00E61CDB">
      <w:pPr>
        <w:pStyle w:val="TableofFigures"/>
        <w:tabs>
          <w:tab w:val="right" w:leader="dot" w:pos="9016"/>
        </w:tabs>
        <w:rPr>
          <w:rFonts w:asciiTheme="minorHAnsi" w:eastAsiaTheme="minorEastAsia" w:hAnsiTheme="minorHAnsi" w:cstheme="minorBidi"/>
          <w:bCs w:val="0"/>
          <w:noProof/>
          <w:sz w:val="24"/>
          <w:szCs w:val="24"/>
          <w:lang w:eastAsia="en-GB"/>
        </w:rPr>
      </w:pPr>
      <w:r>
        <w:rPr>
          <w:b/>
          <w:bCs w:val="0"/>
          <w:color w:val="0C2C74"/>
          <w:sz w:val="40"/>
          <w:szCs w:val="40"/>
        </w:rPr>
        <w:fldChar w:fldCharType="begin"/>
      </w:r>
      <w:r>
        <w:rPr>
          <w:b/>
          <w:bCs w:val="0"/>
          <w:color w:val="0C2C74"/>
          <w:sz w:val="40"/>
          <w:szCs w:val="40"/>
        </w:rPr>
        <w:instrText xml:space="preserve"> TOC \h \z \c "Figure" </w:instrText>
      </w:r>
      <w:r>
        <w:rPr>
          <w:b/>
          <w:bCs w:val="0"/>
          <w:color w:val="0C2C74"/>
          <w:sz w:val="40"/>
          <w:szCs w:val="40"/>
        </w:rPr>
        <w:fldChar w:fldCharType="separate"/>
      </w:r>
      <w:hyperlink w:anchor="_Toc177730755" w:history="1">
        <w:r w:rsidR="00B42C33" w:rsidRPr="00191B6C">
          <w:rPr>
            <w:rStyle w:val="Hyperlink"/>
            <w:b/>
            <w:noProof/>
          </w:rPr>
          <w:t>Figure 1:</w:t>
        </w:r>
        <w:r w:rsidR="00B42C33" w:rsidRPr="00191B6C">
          <w:rPr>
            <w:rStyle w:val="Hyperlink"/>
            <w:noProof/>
          </w:rPr>
          <w:t xml:space="preserve"> PRISMA Flow Diagram for scoping review</w:t>
        </w:r>
        <w:r w:rsidR="00B42C33">
          <w:rPr>
            <w:noProof/>
            <w:webHidden/>
          </w:rPr>
          <w:tab/>
        </w:r>
        <w:r w:rsidR="00B42C33">
          <w:rPr>
            <w:noProof/>
            <w:webHidden/>
          </w:rPr>
          <w:fldChar w:fldCharType="begin"/>
        </w:r>
        <w:r w:rsidR="00B42C33">
          <w:rPr>
            <w:noProof/>
            <w:webHidden/>
          </w:rPr>
          <w:instrText xml:space="preserve"> PAGEREF _Toc177730755 \h </w:instrText>
        </w:r>
        <w:r w:rsidR="00B42C33">
          <w:rPr>
            <w:noProof/>
            <w:webHidden/>
          </w:rPr>
        </w:r>
        <w:r w:rsidR="00B42C33">
          <w:rPr>
            <w:noProof/>
            <w:webHidden/>
          </w:rPr>
          <w:fldChar w:fldCharType="separate"/>
        </w:r>
        <w:r w:rsidR="00303407">
          <w:rPr>
            <w:noProof/>
            <w:webHidden/>
          </w:rPr>
          <w:t>106</w:t>
        </w:r>
        <w:r w:rsidR="00B42C33">
          <w:rPr>
            <w:noProof/>
            <w:webHidden/>
          </w:rPr>
          <w:fldChar w:fldCharType="end"/>
        </w:r>
      </w:hyperlink>
    </w:p>
    <w:p w14:paraId="39D171D7" w14:textId="6791C210" w:rsidR="00B42C33"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30756" w:history="1">
        <w:r w:rsidR="00B42C33" w:rsidRPr="00191B6C">
          <w:rPr>
            <w:rStyle w:val="Hyperlink"/>
            <w:b/>
            <w:noProof/>
          </w:rPr>
          <w:t>Figure 2.</w:t>
        </w:r>
        <w:r w:rsidR="00B42C33" w:rsidRPr="00191B6C">
          <w:rPr>
            <w:rStyle w:val="Hyperlink"/>
            <w:noProof/>
          </w:rPr>
          <w:t xml:space="preserve"> PRISMA flow diagram for the systematic review</w:t>
        </w:r>
        <w:r w:rsidR="00B42C33">
          <w:rPr>
            <w:noProof/>
            <w:webHidden/>
          </w:rPr>
          <w:tab/>
        </w:r>
        <w:r w:rsidR="00B42C33">
          <w:rPr>
            <w:noProof/>
            <w:webHidden/>
          </w:rPr>
          <w:fldChar w:fldCharType="begin"/>
        </w:r>
        <w:r w:rsidR="00B42C33">
          <w:rPr>
            <w:noProof/>
            <w:webHidden/>
          </w:rPr>
          <w:instrText xml:space="preserve"> PAGEREF _Toc177730756 \h </w:instrText>
        </w:r>
        <w:r w:rsidR="00B42C33">
          <w:rPr>
            <w:noProof/>
            <w:webHidden/>
          </w:rPr>
        </w:r>
        <w:r w:rsidR="00B42C33">
          <w:rPr>
            <w:noProof/>
            <w:webHidden/>
          </w:rPr>
          <w:fldChar w:fldCharType="separate"/>
        </w:r>
        <w:r w:rsidR="00303407">
          <w:rPr>
            <w:noProof/>
            <w:webHidden/>
          </w:rPr>
          <w:t>174</w:t>
        </w:r>
        <w:r w:rsidR="00B42C33">
          <w:rPr>
            <w:noProof/>
            <w:webHidden/>
          </w:rPr>
          <w:fldChar w:fldCharType="end"/>
        </w:r>
      </w:hyperlink>
    </w:p>
    <w:p w14:paraId="33091B59" w14:textId="5EFFC9FA" w:rsidR="00B42C33"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30757" w:history="1">
        <w:r w:rsidR="00B42C33" w:rsidRPr="00191B6C">
          <w:rPr>
            <w:rStyle w:val="Hyperlink"/>
            <w:b/>
            <w:noProof/>
          </w:rPr>
          <w:t>Figure 3.</w:t>
        </w:r>
        <w:r w:rsidR="00B42C33" w:rsidRPr="00191B6C">
          <w:rPr>
            <w:rStyle w:val="Hyperlink"/>
            <w:noProof/>
          </w:rPr>
          <w:t xml:space="preserve"> Number of publications by year of publication</w:t>
        </w:r>
        <w:r w:rsidR="00B42C33">
          <w:rPr>
            <w:noProof/>
            <w:webHidden/>
          </w:rPr>
          <w:tab/>
        </w:r>
        <w:r w:rsidR="00B42C33">
          <w:rPr>
            <w:noProof/>
            <w:webHidden/>
          </w:rPr>
          <w:fldChar w:fldCharType="begin"/>
        </w:r>
        <w:r w:rsidR="00B42C33">
          <w:rPr>
            <w:noProof/>
            <w:webHidden/>
          </w:rPr>
          <w:instrText xml:space="preserve"> PAGEREF _Toc177730757 \h </w:instrText>
        </w:r>
        <w:r w:rsidR="00B42C33">
          <w:rPr>
            <w:noProof/>
            <w:webHidden/>
          </w:rPr>
        </w:r>
        <w:r w:rsidR="00B42C33">
          <w:rPr>
            <w:noProof/>
            <w:webHidden/>
          </w:rPr>
          <w:fldChar w:fldCharType="separate"/>
        </w:r>
        <w:r w:rsidR="00303407">
          <w:rPr>
            <w:noProof/>
            <w:webHidden/>
          </w:rPr>
          <w:t>175</w:t>
        </w:r>
        <w:r w:rsidR="00B42C33">
          <w:rPr>
            <w:noProof/>
            <w:webHidden/>
          </w:rPr>
          <w:fldChar w:fldCharType="end"/>
        </w:r>
      </w:hyperlink>
    </w:p>
    <w:p w14:paraId="7F6B01CA" w14:textId="5AA67922" w:rsidR="00B42C33"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30758" w:history="1">
        <w:r w:rsidR="00B42C33" w:rsidRPr="00191B6C">
          <w:rPr>
            <w:rStyle w:val="Hyperlink"/>
            <w:b/>
            <w:noProof/>
          </w:rPr>
          <w:t>Figure 4.</w:t>
        </w:r>
        <w:r w:rsidR="00B42C33" w:rsidRPr="00191B6C">
          <w:rPr>
            <w:rStyle w:val="Hyperlink"/>
            <w:noProof/>
          </w:rPr>
          <w:t xml:space="preserve">  Study design of relevant papers.</w:t>
        </w:r>
        <w:r w:rsidR="00B42C33">
          <w:rPr>
            <w:noProof/>
            <w:webHidden/>
          </w:rPr>
          <w:tab/>
        </w:r>
        <w:r w:rsidR="00B42C33">
          <w:rPr>
            <w:noProof/>
            <w:webHidden/>
          </w:rPr>
          <w:fldChar w:fldCharType="begin"/>
        </w:r>
        <w:r w:rsidR="00B42C33">
          <w:rPr>
            <w:noProof/>
            <w:webHidden/>
          </w:rPr>
          <w:instrText xml:space="preserve"> PAGEREF _Toc177730758 \h </w:instrText>
        </w:r>
        <w:r w:rsidR="00B42C33">
          <w:rPr>
            <w:noProof/>
            <w:webHidden/>
          </w:rPr>
        </w:r>
        <w:r w:rsidR="00B42C33">
          <w:rPr>
            <w:noProof/>
            <w:webHidden/>
          </w:rPr>
          <w:fldChar w:fldCharType="separate"/>
        </w:r>
        <w:r w:rsidR="00303407">
          <w:rPr>
            <w:noProof/>
            <w:webHidden/>
          </w:rPr>
          <w:t>176</w:t>
        </w:r>
        <w:r w:rsidR="00B42C33">
          <w:rPr>
            <w:noProof/>
            <w:webHidden/>
          </w:rPr>
          <w:fldChar w:fldCharType="end"/>
        </w:r>
      </w:hyperlink>
    </w:p>
    <w:p w14:paraId="4730A821" w14:textId="76F9442D" w:rsidR="00B42C33"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30759" w:history="1">
        <w:r w:rsidR="00B42C33" w:rsidRPr="00191B6C">
          <w:rPr>
            <w:rStyle w:val="Hyperlink"/>
            <w:b/>
            <w:noProof/>
          </w:rPr>
          <w:t>Figure 5.</w:t>
        </w:r>
        <w:r w:rsidR="00B42C33" w:rsidRPr="00191B6C">
          <w:rPr>
            <w:rStyle w:val="Hyperlink"/>
            <w:noProof/>
          </w:rPr>
          <w:t xml:space="preserve"> Child condition in focus in relevant publications</w:t>
        </w:r>
        <w:r w:rsidR="00B42C33">
          <w:rPr>
            <w:noProof/>
            <w:webHidden/>
          </w:rPr>
          <w:tab/>
        </w:r>
        <w:r w:rsidR="00B42C33">
          <w:rPr>
            <w:noProof/>
            <w:webHidden/>
          </w:rPr>
          <w:fldChar w:fldCharType="begin"/>
        </w:r>
        <w:r w:rsidR="00B42C33">
          <w:rPr>
            <w:noProof/>
            <w:webHidden/>
          </w:rPr>
          <w:instrText xml:space="preserve"> PAGEREF _Toc177730759 \h </w:instrText>
        </w:r>
        <w:r w:rsidR="00B42C33">
          <w:rPr>
            <w:noProof/>
            <w:webHidden/>
          </w:rPr>
        </w:r>
        <w:r w:rsidR="00B42C33">
          <w:rPr>
            <w:noProof/>
            <w:webHidden/>
          </w:rPr>
          <w:fldChar w:fldCharType="separate"/>
        </w:r>
        <w:r w:rsidR="00303407">
          <w:rPr>
            <w:noProof/>
            <w:webHidden/>
          </w:rPr>
          <w:t>176</w:t>
        </w:r>
        <w:r w:rsidR="00B42C33">
          <w:rPr>
            <w:noProof/>
            <w:webHidden/>
          </w:rPr>
          <w:fldChar w:fldCharType="end"/>
        </w:r>
      </w:hyperlink>
    </w:p>
    <w:p w14:paraId="30AEDCAC" w14:textId="0947812F" w:rsidR="00B42C33" w:rsidRDefault="00000000">
      <w:pPr>
        <w:pStyle w:val="TableofFigures"/>
        <w:tabs>
          <w:tab w:val="right" w:leader="dot" w:pos="9016"/>
        </w:tabs>
        <w:rPr>
          <w:rFonts w:asciiTheme="minorHAnsi" w:eastAsiaTheme="minorEastAsia" w:hAnsiTheme="minorHAnsi" w:cstheme="minorBidi"/>
          <w:bCs w:val="0"/>
          <w:noProof/>
          <w:sz w:val="24"/>
          <w:szCs w:val="24"/>
          <w:lang w:eastAsia="en-GB"/>
        </w:rPr>
      </w:pPr>
      <w:hyperlink w:anchor="_Toc177730760" w:history="1">
        <w:r w:rsidR="00B42C33" w:rsidRPr="00191B6C">
          <w:rPr>
            <w:rStyle w:val="Hyperlink"/>
            <w:b/>
            <w:noProof/>
          </w:rPr>
          <w:t>Figure 6.</w:t>
        </w:r>
        <w:r w:rsidR="00B42C33" w:rsidRPr="00191B6C">
          <w:rPr>
            <w:rStyle w:val="Hyperlink"/>
            <w:noProof/>
          </w:rPr>
          <w:t xml:space="preserve"> Populations in focus in the outcomes collected.</w:t>
        </w:r>
        <w:r w:rsidR="00B42C33">
          <w:rPr>
            <w:noProof/>
            <w:webHidden/>
          </w:rPr>
          <w:tab/>
        </w:r>
        <w:r w:rsidR="00B42C33">
          <w:rPr>
            <w:noProof/>
            <w:webHidden/>
          </w:rPr>
          <w:fldChar w:fldCharType="begin"/>
        </w:r>
        <w:r w:rsidR="00B42C33">
          <w:rPr>
            <w:noProof/>
            <w:webHidden/>
          </w:rPr>
          <w:instrText xml:space="preserve"> PAGEREF _Toc177730760 \h </w:instrText>
        </w:r>
        <w:r w:rsidR="00B42C33">
          <w:rPr>
            <w:noProof/>
            <w:webHidden/>
          </w:rPr>
        </w:r>
        <w:r w:rsidR="00B42C33">
          <w:rPr>
            <w:noProof/>
            <w:webHidden/>
          </w:rPr>
          <w:fldChar w:fldCharType="separate"/>
        </w:r>
        <w:r w:rsidR="00303407">
          <w:rPr>
            <w:noProof/>
            <w:webHidden/>
          </w:rPr>
          <w:t>177</w:t>
        </w:r>
        <w:r w:rsidR="00B42C33">
          <w:rPr>
            <w:noProof/>
            <w:webHidden/>
          </w:rPr>
          <w:fldChar w:fldCharType="end"/>
        </w:r>
      </w:hyperlink>
    </w:p>
    <w:p w14:paraId="6961F928" w14:textId="3F546E6D" w:rsidR="00115702" w:rsidRDefault="00E61CDB" w:rsidP="00115702">
      <w:pPr>
        <w:rPr>
          <w:b/>
          <w:bCs/>
          <w:color w:val="0C2C74"/>
          <w:sz w:val="40"/>
          <w:szCs w:val="40"/>
        </w:rPr>
      </w:pPr>
      <w:r>
        <w:rPr>
          <w:b/>
          <w:bCs/>
          <w:color w:val="0C2C74"/>
          <w:sz w:val="40"/>
          <w:szCs w:val="40"/>
        </w:rPr>
        <w:fldChar w:fldCharType="end"/>
      </w:r>
    </w:p>
    <w:p w14:paraId="45EB7466" w14:textId="77777777" w:rsidR="00B42C33" w:rsidRPr="00115702" w:rsidRDefault="00B42C33" w:rsidP="00115702">
      <w:pPr>
        <w:rPr>
          <w:b/>
          <w:bCs/>
          <w:color w:val="0C2C74"/>
          <w:sz w:val="40"/>
          <w:szCs w:val="40"/>
        </w:rPr>
      </w:pPr>
    </w:p>
    <w:p w14:paraId="3D927408" w14:textId="77777777" w:rsidR="00852275" w:rsidRDefault="00852275" w:rsidP="00852275">
      <w:pPr>
        <w:spacing w:before="0" w:after="0"/>
      </w:pPr>
    </w:p>
    <w:p w14:paraId="69C7FB7A" w14:textId="55DDEB23" w:rsidR="00E757E6" w:rsidRPr="00852275" w:rsidRDefault="00E757E6" w:rsidP="00852275">
      <w:pPr>
        <w:pStyle w:val="SectionHeader"/>
      </w:pPr>
      <w:bookmarkStart w:id="0" w:name="_Toc177730811"/>
      <w:r w:rsidRPr="00E757E6">
        <w:lastRenderedPageBreak/>
        <w:t>Introduction</w:t>
      </w:r>
      <w:bookmarkEnd w:id="0"/>
    </w:p>
    <w:p w14:paraId="38075D00" w14:textId="5B0F0017" w:rsidR="00E757E6" w:rsidRPr="00E67855" w:rsidRDefault="00E757E6" w:rsidP="00E67855">
      <w:pPr>
        <w:rPr>
          <w:b/>
          <w:bCs/>
        </w:rPr>
      </w:pPr>
      <w:r w:rsidRPr="00E67855">
        <w:rPr>
          <w:b/>
          <w:bCs/>
        </w:rPr>
        <w:t>Project rationale and aim</w:t>
      </w:r>
    </w:p>
    <w:p w14:paraId="0D878F23" w14:textId="77777777" w:rsidR="00E757E6" w:rsidRPr="00E757E6" w:rsidRDefault="00E757E6" w:rsidP="00E757E6">
      <w:r w:rsidRPr="00E757E6">
        <w:t xml:space="preserve">This report has been prepared as part of an independent review of early childhood intervention (ECI) best practice commissioned by the Department of Social Services (DSS). The review is being undertaken in fulfilment of Action 2.4 of the Early Childhood Targeted Action Plan, which is part of the implementation of Australia’s Disability Strategy 2021-2031:  </w:t>
      </w:r>
    </w:p>
    <w:p w14:paraId="248AE5CB" w14:textId="77777777" w:rsidR="00E757E6" w:rsidRPr="00E757E6" w:rsidRDefault="00E757E6" w:rsidP="00E757E6">
      <w:r w:rsidRPr="00E757E6">
        <w:t xml:space="preserve">Review guidance for best practice in early childhood intervention, seek to review current guidance and prepare a framework for best practice in early childhood intervention that reflects current research and evidence </w:t>
      </w:r>
    </w:p>
    <w:p w14:paraId="7F9E596F" w14:textId="3EB98A4B" w:rsidR="00E757E6" w:rsidRPr="00E757E6" w:rsidRDefault="00E757E6" w:rsidP="00E757E6">
      <w:r w:rsidRPr="00E757E6">
        <w:t>This project will contribute to the second objective of the Early Childhood Targeted Action Plan</w:t>
      </w:r>
      <w:r w:rsidR="00141501">
        <w:t>, which is to</w:t>
      </w:r>
      <w:r w:rsidRPr="00E757E6">
        <w:t xml:space="preserve">:  </w:t>
      </w:r>
    </w:p>
    <w:p w14:paraId="78D9FC78" w14:textId="01E748A3" w:rsidR="00E757E6" w:rsidRPr="00E757E6" w:rsidRDefault="00E757E6" w:rsidP="00141501">
      <w:pPr>
        <w:ind w:left="709"/>
      </w:pPr>
      <w:r w:rsidRPr="00E757E6">
        <w:t>Strengthen the capability and capacity of key services and systems to support parents and carers to make informed choices about their child</w:t>
      </w:r>
      <w:r w:rsidR="00141501">
        <w:t>.</w:t>
      </w:r>
      <w:r w:rsidRPr="00E757E6">
        <w:t xml:space="preserve">  </w:t>
      </w:r>
    </w:p>
    <w:p w14:paraId="5DB77F41" w14:textId="77777777" w:rsidR="00E757E6" w:rsidRPr="00E757E6" w:rsidRDefault="00E757E6" w:rsidP="00E757E6">
      <w:r w:rsidRPr="00E757E6">
        <w:t xml:space="preserve">The primary objective of this work is to co-produce an Australian Early Childhood Intervention Framework that is founded on the best available evidence and can be implemented and evaluated for effectiveness and impact. The goal is that all children growing up in Australia live in thriving families and communities that support their health, development and wellbeing, and that children with developmental delay/concerns, or disability receive the support they need to participate fully in their families and community.  </w:t>
      </w:r>
    </w:p>
    <w:p w14:paraId="4B98A77D" w14:textId="4C3D5D94" w:rsidR="00C92BBA" w:rsidRPr="00C94E0B" w:rsidRDefault="00E757E6" w:rsidP="00C92BBA">
      <w:r w:rsidRPr="00E757E6">
        <w:t xml:space="preserve">This is the Full Report of the Desktop review that was undertaken as a first step in gathering evidence and designing the Australian Early Childhood Intervention framework. </w:t>
      </w:r>
      <w:r w:rsidR="00C92BBA">
        <w:t>Both the Full Report and an Executive Summary will be</w:t>
      </w:r>
      <w:r w:rsidR="00C92BBA" w:rsidRPr="00C94E0B">
        <w:t xml:space="preserve"> available</w:t>
      </w:r>
      <w:r w:rsidR="00C92BBA">
        <w:t xml:space="preserve"> from the </w:t>
      </w:r>
      <w:hyperlink r:id="rId13" w:history="1">
        <w:r w:rsidR="00C92BBA" w:rsidRPr="00160A2B">
          <w:rPr>
            <w:rStyle w:val="Hyperlink"/>
          </w:rPr>
          <w:t>Healthy Trajectories ECI Review website</w:t>
        </w:r>
      </w:hyperlink>
      <w:r w:rsidR="00C92BBA">
        <w:t xml:space="preserve">. </w:t>
      </w:r>
      <w:r w:rsidR="00C92BBA" w:rsidRPr="00C94E0B">
        <w:t xml:space="preserve"> </w:t>
      </w:r>
    </w:p>
    <w:p w14:paraId="1C0B8062" w14:textId="058B10C0" w:rsidR="00E757E6" w:rsidRPr="00E67855" w:rsidRDefault="00E757E6" w:rsidP="00E67855">
      <w:pPr>
        <w:rPr>
          <w:b/>
          <w:bCs/>
        </w:rPr>
      </w:pPr>
      <w:r w:rsidRPr="00E67855">
        <w:rPr>
          <w:b/>
          <w:bCs/>
        </w:rPr>
        <w:t>Aim and methodology</w:t>
      </w:r>
    </w:p>
    <w:p w14:paraId="0048F55D" w14:textId="77777777" w:rsidR="00E757E6" w:rsidRPr="00E757E6" w:rsidRDefault="00E757E6" w:rsidP="00E757E6">
      <w:r w:rsidRPr="00E757E6">
        <w:t xml:space="preserve">This paper reports a series of three desktop reviews that address the overarching question posed by DSS: What is best practice in ECI? </w:t>
      </w:r>
    </w:p>
    <w:p w14:paraId="09F9A863" w14:textId="430E5A29" w:rsidR="00E757E6" w:rsidRPr="00E757E6" w:rsidRDefault="00E757E6" w:rsidP="0031511B">
      <w:pPr>
        <w:pStyle w:val="ListParagraph"/>
        <w:numPr>
          <w:ilvl w:val="0"/>
          <w:numId w:val="3"/>
        </w:numPr>
        <w:ind w:left="714" w:hanging="357"/>
        <w:contextualSpacing w:val="0"/>
      </w:pPr>
      <w:r w:rsidRPr="00E757E6">
        <w:t xml:space="preserve">The first review paper (covered in sections 1 to 5) provides an overall picture of key developments in policy, research and practice relating to young children with and without developmental disabilities and their families. The paper uses a narrative review approach to make sense of key developments in policy, research and practice. Narrative reviews are scholarly summaries along with interpretation and critique and are useful for topics that are complex or broad and that require nuanced description and interpretation (Greenhalgh et al., 2018; Sukhera, 2022). The paper builds upon an earlier comprehensive overview of policy and practice relating to early childhood intervention (Moore, 2019) and draws on a wide range of research and policy analyses from both peer reviewed journals and grey literature publications by key institutes and organisations.   </w:t>
      </w:r>
    </w:p>
    <w:p w14:paraId="49BD88E6" w14:textId="18A5AA84" w:rsidR="00E757E6" w:rsidRPr="00E757E6" w:rsidRDefault="00E757E6" w:rsidP="0031511B">
      <w:pPr>
        <w:pStyle w:val="ListParagraph"/>
        <w:numPr>
          <w:ilvl w:val="0"/>
          <w:numId w:val="3"/>
        </w:numPr>
        <w:ind w:left="714" w:hanging="357"/>
        <w:contextualSpacing w:val="0"/>
      </w:pPr>
      <w:r w:rsidRPr="00E757E6">
        <w:t xml:space="preserve">The second paper (section 6) explores what can be learned from a comparison between the frameworks/guidelines developed in Australia, including for Aboriginal and Torres Strait Islander contexts, NZ, the USA, Europe and UK, and includes a scoping review of related literature. The key questions addressed include how best practice is defined, what principles are </w:t>
      </w:r>
      <w:r w:rsidRPr="00E757E6">
        <w:lastRenderedPageBreak/>
        <w:t xml:space="preserve">identified, and what are the strengths, weaknesses and challenges of the different frameworks’ approaches? </w:t>
      </w:r>
    </w:p>
    <w:p w14:paraId="0739CAD9" w14:textId="268B58B4" w:rsidR="00E757E6" w:rsidRPr="00E757E6" w:rsidRDefault="00E757E6" w:rsidP="0031511B">
      <w:pPr>
        <w:pStyle w:val="ListParagraph"/>
        <w:numPr>
          <w:ilvl w:val="0"/>
          <w:numId w:val="3"/>
        </w:numPr>
        <w:ind w:left="714" w:hanging="357"/>
        <w:contextualSpacing w:val="0"/>
      </w:pPr>
      <w:r w:rsidRPr="00E757E6">
        <w:t xml:space="preserve">The third review (section 7) is a systematic review of the evidence regarding the effects and impacts of the ECI frameworks/guidelines on child, family and/or service outcomes. </w:t>
      </w:r>
    </w:p>
    <w:p w14:paraId="4F278F38" w14:textId="4B2361AB" w:rsidR="00E757E6" w:rsidRPr="009B66D2" w:rsidRDefault="00E757E6" w:rsidP="00E67855">
      <w:pPr>
        <w:rPr>
          <w:b/>
          <w:bCs/>
        </w:rPr>
      </w:pPr>
      <w:r w:rsidRPr="009B66D2">
        <w:rPr>
          <w:b/>
          <w:bCs/>
        </w:rPr>
        <w:t xml:space="preserve">Terminology </w:t>
      </w:r>
    </w:p>
    <w:p w14:paraId="3BAE2D83" w14:textId="77777777" w:rsidR="00E757E6" w:rsidRPr="00E757E6" w:rsidRDefault="00E757E6" w:rsidP="6A439164">
      <w:r>
        <w:t xml:space="preserve">The desktop reviews contained in this report use the term </w:t>
      </w:r>
      <w:r w:rsidRPr="00C477CD">
        <w:rPr>
          <w:i/>
          <w:iCs/>
        </w:rPr>
        <w:t>early childhood intervention</w:t>
      </w:r>
      <w:r w:rsidRPr="6A439164">
        <w:t xml:space="preserve"> (ECI) to refer to specialist services for young children with developmental concerns, delays and disability. However, we note that, as the ECI sector has evolved, questions have been raised regarding the continued use of the term </w:t>
      </w:r>
      <w:r w:rsidRPr="00C477CD">
        <w:rPr>
          <w:i/>
          <w:iCs/>
        </w:rPr>
        <w:t>intervention</w:t>
      </w:r>
      <w:r w:rsidRPr="6A439164">
        <w:t xml:space="preserve">. Parent groups have indicated that the term can be problematic for parents, as have Aboriginal and Torres Strait Islander groups where it is commonly and negatively associated with child protection ‘interventions.’ Johnsson and Bulkeley (2024) strongly advocate for the replacement of the term ‘intervention’ with strengths-based language. Whether a change is recommended will be determined through the consultation process. Whatever term is used, it needs to convey to parents and others that these specialist services are the additional supports needed by children with developmental concerns, delays and disability and their families to ensure that they have the conditions they need to thrive. </w:t>
      </w:r>
    </w:p>
    <w:p w14:paraId="2414D016" w14:textId="574EC08D" w:rsidR="00E757E6" w:rsidRPr="00E757E6" w:rsidRDefault="00573E9A" w:rsidP="00E757E6">
      <w:r w:rsidRPr="6A439164">
        <w:t xml:space="preserve">We also use </w:t>
      </w:r>
      <w:r w:rsidRPr="00C477CD">
        <w:rPr>
          <w:i/>
          <w:iCs/>
        </w:rPr>
        <w:t>Aboriginal and Torres Strait Islander</w:t>
      </w:r>
      <w:r w:rsidRPr="6A439164">
        <w:t xml:space="preserve">, </w:t>
      </w:r>
      <w:r w:rsidRPr="00C477CD">
        <w:rPr>
          <w:i/>
          <w:iCs/>
        </w:rPr>
        <w:t>Indigenous</w:t>
      </w:r>
      <w:r w:rsidRPr="6A439164">
        <w:t xml:space="preserve"> and </w:t>
      </w:r>
      <w:r w:rsidRPr="00C477CD">
        <w:rPr>
          <w:i/>
          <w:iCs/>
        </w:rPr>
        <w:t>First Nations</w:t>
      </w:r>
      <w:r w:rsidRPr="6A439164">
        <w:t xml:space="preserve"> through</w:t>
      </w:r>
      <w:r w:rsidR="20C24036" w:rsidRPr="6A439164">
        <w:t>out</w:t>
      </w:r>
      <w:r w:rsidRPr="6A439164">
        <w:t xml:space="preserve"> the report, depending on context. We use Aboriginal and Torres Strait Islander when referring to Aboriginal and Torres Strait Islander people in the Australian context, and Indigenous and/or First Nations when referring to peoples from </w:t>
      </w:r>
      <w:r>
        <w:t>jurisdictions outside Australia and when the terms Indigenous or First Nations are used in an article or other titles</w:t>
      </w:r>
      <w:r w:rsidR="00E757E6">
        <w:t>.</w:t>
      </w:r>
    </w:p>
    <w:p w14:paraId="4D7F9922" w14:textId="2766B8E9" w:rsidR="00E757E6" w:rsidRPr="009B66D2" w:rsidRDefault="00E757E6" w:rsidP="00E67855">
      <w:pPr>
        <w:rPr>
          <w:b/>
          <w:bCs/>
        </w:rPr>
      </w:pPr>
      <w:r w:rsidRPr="009B66D2">
        <w:rPr>
          <w:b/>
          <w:bCs/>
        </w:rPr>
        <w:t>Outline of paper</w:t>
      </w:r>
    </w:p>
    <w:p w14:paraId="33228F95" w14:textId="28C7F4C0" w:rsidR="00E757E6" w:rsidRPr="00E757E6" w:rsidRDefault="00E757E6" w:rsidP="00E757E6">
      <w:r w:rsidRPr="00E757E6">
        <w:t xml:space="preserve">The paper is divided into three parts. </w:t>
      </w:r>
    </w:p>
    <w:p w14:paraId="4FEB25FD" w14:textId="77777777" w:rsidR="00E757E6" w:rsidRPr="00E757E6" w:rsidRDefault="00E757E6" w:rsidP="00E757E6">
      <w:r w:rsidRPr="008F482B">
        <w:rPr>
          <w:b/>
          <w:bCs/>
        </w:rPr>
        <w:t>Part One</w:t>
      </w:r>
      <w:r w:rsidRPr="00E757E6">
        <w:t xml:space="preserve"> provides an overview of the context in which a best practice framework is being developed. It includes three sections, each concluding with general implications for ECI services and specific implications for an ECI practice framework.  It begins with an outline of the Australian policy context relating to early childhood and children with disability in particular.  This is followed a section that summarises the major developments in policy, research and practice that have occurred over the past two decades that are of relevance to ECI services. The third section looks at the evidence base for ECI services and discusses eight sources of evidence that ECI practices draw upon. </w:t>
      </w:r>
    </w:p>
    <w:p w14:paraId="0B1D331B" w14:textId="77777777" w:rsidR="00E757E6" w:rsidRPr="00E757E6" w:rsidRDefault="00E757E6" w:rsidP="00E757E6">
      <w:r w:rsidRPr="008F482B">
        <w:rPr>
          <w:b/>
          <w:bCs/>
        </w:rPr>
        <w:t>Part Two</w:t>
      </w:r>
      <w:r w:rsidRPr="00E757E6">
        <w:t xml:space="preserve"> reviews what is known about early childhood intervention and ECI practice frameworks. consists of three sections. The first looks at what we know about the aims, principles and practices of ECI services, and what form a practice framework should take. The second section is a review of six practice frameworks from different national jurisdictions. The third section reports a systematic review of ECI strategies. As before, each section concludes with a consideration of the general implications for ECI services and the specific implications for an ECI practice framework. </w:t>
      </w:r>
    </w:p>
    <w:p w14:paraId="58471F78" w14:textId="06C72727" w:rsidR="00E67855" w:rsidRDefault="00E757E6" w:rsidP="004134B4">
      <w:pPr>
        <w:rPr>
          <w:rFonts w:eastAsiaTheme="minorEastAsia"/>
          <w:b/>
          <w:color w:val="0E2841" w:themeColor="text2"/>
          <w:kern w:val="0"/>
          <w:sz w:val="40"/>
          <w:lang w:val="en-US"/>
          <w14:ligatures w14:val="none"/>
        </w:rPr>
      </w:pPr>
      <w:r w:rsidRPr="008F482B">
        <w:rPr>
          <w:b/>
          <w:bCs/>
        </w:rPr>
        <w:t>Part Three</w:t>
      </w:r>
      <w:r w:rsidRPr="00E757E6">
        <w:t xml:space="preserve"> discusses the implications for ECI services and an ECI practice framework.  </w:t>
      </w:r>
      <w:bookmarkStart w:id="1" w:name="_Toc177645571"/>
      <w:r w:rsidR="00E67855">
        <w:br w:type="page"/>
      </w:r>
    </w:p>
    <w:p w14:paraId="67374990" w14:textId="4B355693" w:rsidR="00344947" w:rsidRPr="00344947" w:rsidRDefault="00344947" w:rsidP="00E67855">
      <w:pPr>
        <w:pStyle w:val="SectionHeader"/>
      </w:pPr>
      <w:bookmarkStart w:id="2" w:name="_Toc177730812"/>
      <w:r w:rsidRPr="00344947">
        <w:lastRenderedPageBreak/>
        <w:t>Part One: The Context</w:t>
      </w:r>
      <w:bookmarkEnd w:id="1"/>
      <w:bookmarkEnd w:id="2"/>
    </w:p>
    <w:p w14:paraId="4F0DF7F2" w14:textId="77777777" w:rsidR="00344947" w:rsidRPr="004E058B" w:rsidRDefault="00344947" w:rsidP="00344947">
      <w:r w:rsidRPr="00372354">
        <w:t>Part One provides an overview of the context in which a best practice framework is being developed. It includes three sections, each concluding with general implications for ECI services and specific implications for an ECI practice framework. </w:t>
      </w:r>
      <w:r w:rsidRPr="004E058B">
        <w:t xml:space="preserve"> It begins </w:t>
      </w:r>
      <w:r w:rsidRPr="00372354">
        <w:t>with an outline of the Australian policy context relating to early childhood and children with disability in particular. </w:t>
      </w:r>
      <w:r w:rsidRPr="004E058B">
        <w:t xml:space="preserve">This is followed a section that </w:t>
      </w:r>
      <w:r w:rsidRPr="00372354">
        <w:t xml:space="preserve">summarises the major developments in policy, research and practice that have occurred over the past two decades that are of relevance to ECI services. The third section looks at the evidence base for ECI services and discusses eight sources of evidence that ECI practices draw upon. </w:t>
      </w:r>
    </w:p>
    <w:p w14:paraId="65EDE890" w14:textId="77777777" w:rsidR="00344947" w:rsidRPr="00344947" w:rsidRDefault="00344947" w:rsidP="00344947">
      <w:pPr>
        <w:pStyle w:val="Heading1"/>
      </w:pPr>
      <w:bookmarkStart w:id="3" w:name="_Toc176543489"/>
      <w:bookmarkStart w:id="4" w:name="_Toc177645572"/>
      <w:bookmarkStart w:id="5" w:name="_Toc177730813"/>
      <w:r w:rsidRPr="00344947">
        <w:t>Australian Policy Context</w:t>
      </w:r>
      <w:bookmarkEnd w:id="3"/>
      <w:bookmarkEnd w:id="4"/>
      <w:bookmarkEnd w:id="5"/>
    </w:p>
    <w:p w14:paraId="72FFBA7F" w14:textId="77777777" w:rsidR="00344947" w:rsidRPr="00E23F33" w:rsidRDefault="00344947" w:rsidP="00344947">
      <w:pPr>
        <w:pStyle w:val="Heading2"/>
      </w:pPr>
      <w:bookmarkStart w:id="6" w:name="_Toc176543490"/>
      <w:bookmarkStart w:id="7" w:name="_Toc177645573"/>
      <w:bookmarkStart w:id="8" w:name="_Toc177730814"/>
      <w:r w:rsidRPr="00E23F33">
        <w:t>Disability and early years policies, reviews and frameworks</w:t>
      </w:r>
      <w:bookmarkEnd w:id="6"/>
      <w:bookmarkEnd w:id="7"/>
      <w:bookmarkEnd w:id="8"/>
    </w:p>
    <w:p w14:paraId="57A28056" w14:textId="697014F6" w:rsidR="00344947" w:rsidRPr="006B3648" w:rsidRDefault="00344947" w:rsidP="00344947">
      <w:r w:rsidRPr="00907A4D">
        <w:t>In developing an ECI best practice framework, we need to consider several major policy reviews that have been published recently. Some of these have addressed disability services directly while others have focused on general issues regarding early years services.</w:t>
      </w:r>
      <w:r w:rsidR="00BF3C21">
        <w:rPr>
          <w:rStyle w:val="FootnoteReference"/>
        </w:rPr>
        <w:footnoteReference w:id="2"/>
      </w:r>
      <w:r w:rsidRPr="00907A4D">
        <w:t xml:space="preserve"> </w:t>
      </w:r>
      <w:r w:rsidRPr="006B3648">
        <w:t>In addition, there are various quality, safeguarding and accountability frameworks and clinical guidelines that directly or indirectly affect ECI services and therefore may have implications for a national ECI best practice framework.</w:t>
      </w:r>
    </w:p>
    <w:p w14:paraId="10225A28" w14:textId="77777777" w:rsidR="00344947" w:rsidRPr="00013565" w:rsidRDefault="00344947" w:rsidP="00344947">
      <w:pPr>
        <w:rPr>
          <w:rStyle w:val="UnresolvedMention"/>
          <w:color w:val="auto"/>
        </w:rPr>
      </w:pPr>
      <w:r>
        <w:t>These policies, reviews and frameworks are summarised below.</w:t>
      </w:r>
    </w:p>
    <w:p w14:paraId="10E96E20" w14:textId="77777777" w:rsidR="00344947" w:rsidRPr="00560647" w:rsidRDefault="00344947" w:rsidP="00344947">
      <w:pPr>
        <w:rPr>
          <w:b/>
        </w:rPr>
      </w:pPr>
      <w:r w:rsidRPr="00560647">
        <w:rPr>
          <w:b/>
        </w:rPr>
        <w:t>Disability policies and reviews </w:t>
      </w:r>
    </w:p>
    <w:p w14:paraId="3430D81B" w14:textId="77777777" w:rsidR="004A2BC2" w:rsidRPr="004A2BC2" w:rsidRDefault="00344947" w:rsidP="003B0B17">
      <w:pPr>
        <w:pStyle w:val="ListParagraph"/>
        <w:numPr>
          <w:ilvl w:val="0"/>
          <w:numId w:val="277"/>
        </w:numPr>
        <w:contextualSpacing w:val="0"/>
      </w:pPr>
      <w:r w:rsidRPr="004A2BC2">
        <w:rPr>
          <w:b/>
        </w:rPr>
        <w:t>Australia’s Disability Strategy 2021-2031 – Early Childhood Targeted Action Plan</w:t>
      </w:r>
      <w:r w:rsidR="00A242D8">
        <w:rPr>
          <w:rStyle w:val="FootnoteReference"/>
          <w:b/>
        </w:rPr>
        <w:footnoteReference w:id="3"/>
      </w:r>
    </w:p>
    <w:p w14:paraId="3A8963AF" w14:textId="05FF74CF" w:rsidR="00344947" w:rsidRPr="008A2BAD" w:rsidRDefault="00344947" w:rsidP="003B0B17">
      <w:pPr>
        <w:pStyle w:val="ListParagraph"/>
        <w:ind w:left="360"/>
        <w:contextualSpacing w:val="0"/>
      </w:pPr>
      <w:r w:rsidRPr="008A2BAD">
        <w:t>The Early Childhood Targeted Action Plan (TAP) is part of the implementation of Australia’s Disability Strategy 2021-2031 and focuses on children from infancy to school age with disability or developmental concerns, their families and caregivers. Key objectives of this TAP are: </w:t>
      </w:r>
    </w:p>
    <w:p w14:paraId="43C20B03" w14:textId="77777777" w:rsidR="00344947" w:rsidRPr="008A2BAD" w:rsidRDefault="00344947" w:rsidP="003B0B17">
      <w:pPr>
        <w:pStyle w:val="ListParagraph"/>
        <w:numPr>
          <w:ilvl w:val="0"/>
          <w:numId w:val="278"/>
        </w:numPr>
        <w:contextualSpacing w:val="0"/>
      </w:pPr>
      <w:r w:rsidRPr="008A2BAD">
        <w:t>Enable early identification of disability or developmental concerns and develop clearer pathways and timely access to appropriate supports. </w:t>
      </w:r>
    </w:p>
    <w:p w14:paraId="062D5526" w14:textId="77777777" w:rsidR="00344947" w:rsidRPr="008A2BAD" w:rsidRDefault="00344947" w:rsidP="003B0B17">
      <w:pPr>
        <w:pStyle w:val="ListParagraph"/>
        <w:numPr>
          <w:ilvl w:val="0"/>
          <w:numId w:val="278"/>
        </w:numPr>
        <w:contextualSpacing w:val="0"/>
      </w:pPr>
      <w:r w:rsidRPr="008A2BAD">
        <w:t>Strengthen the capability and capacity of key services and systems to support parents and carers to make informed choices about their child. (This includes reviewing guidance for best practice early intervention’, the subject of the current project).  </w:t>
      </w:r>
    </w:p>
    <w:p w14:paraId="14284B3B" w14:textId="77777777" w:rsidR="00344947" w:rsidRPr="008A2BAD" w:rsidRDefault="00344947" w:rsidP="003B0B17">
      <w:pPr>
        <w:pStyle w:val="ListParagraph"/>
        <w:numPr>
          <w:ilvl w:val="0"/>
          <w:numId w:val="278"/>
        </w:numPr>
        <w:contextualSpacing w:val="0"/>
      </w:pPr>
      <w:r w:rsidRPr="008A2BAD">
        <w:t>Encourage a stronger sense of inclusion and provide opportunities for parents, carers and children to build peer networks, including for Aboriginal and Torres Strait Islander and culturally and linguistically diverse parents and carers. </w:t>
      </w:r>
    </w:p>
    <w:p w14:paraId="259A0CE4" w14:textId="50B1F910" w:rsidR="00D635B3" w:rsidRPr="00992A10" w:rsidRDefault="00D635B3" w:rsidP="00992A10">
      <w:pPr>
        <w:pStyle w:val="ListParagraph"/>
        <w:numPr>
          <w:ilvl w:val="0"/>
          <w:numId w:val="4"/>
        </w:numPr>
        <w:rPr>
          <w:b/>
          <w:bCs/>
        </w:rPr>
      </w:pPr>
      <w:r w:rsidRPr="00992A10">
        <w:rPr>
          <w:b/>
          <w:bCs/>
        </w:rPr>
        <w:lastRenderedPageBreak/>
        <w:t>Independent Review of the National Disability Insurance Scheme (2023)</w:t>
      </w:r>
      <w:r w:rsidR="006D3C73">
        <w:rPr>
          <w:rStyle w:val="FootnoteReference"/>
          <w:b/>
          <w:bCs/>
        </w:rPr>
        <w:footnoteReference w:id="4"/>
      </w:r>
    </w:p>
    <w:p w14:paraId="2B363031" w14:textId="39C715BF" w:rsidR="00344947" w:rsidRPr="00912559" w:rsidRDefault="00344947" w:rsidP="00912559">
      <w:pPr>
        <w:ind w:left="360"/>
      </w:pPr>
      <w:r w:rsidRPr="00912559">
        <w:t>The first of the NDIS review’s 26 recommendations was for the establishment of a separate tier of disability services, to be called ‘foundational supports’, sitting outside the NDIS and accessible to many more people with disability: This was to be part of a continuum of mainstream, foundational and specialist supports to address the needs of all children with disability and developmental concerns. Supports provided outside the NDIS should include: mainstream supports (including early identification of children with developmental concerns and inclusive education), and foundational supports (including expanded supports for children with emerging developmental concerns and disability and programs. Within the NDIS, children under the age of 9 with higher levels of need should receive specialist support through a reformed early intervention pathway. This should include an agreed definition of ‘likely to benefit’, that is, who would be likely to benefit from the specialist support and whose needs could be appropriately met through the reformed foundational supports system.  </w:t>
      </w:r>
    </w:p>
    <w:p w14:paraId="58E38863" w14:textId="77777777" w:rsidR="00344947" w:rsidRPr="00912559" w:rsidRDefault="00344947" w:rsidP="00912559">
      <w:pPr>
        <w:ind w:left="360"/>
      </w:pPr>
      <w:r w:rsidRPr="00912559">
        <w:t>Another recommendation of the Review was that federal and state governments should jointly invest in a capacity building program for families and caregivers of children with development concerns and disability. This would take the form of universally available family programs which include information, peer support and creating and implementing a vision for their child for a valued and included life. This will mean families have access to timely support, be empowered with information and resources and connected with other families so they can build skills and confidence to support their child. This should be underpinned by building the capacity of mainstream services and practitioners to identify developmental concerns and disability, and providing greater support for families to navigate mainstream, foundational and NDIS service systems.  </w:t>
      </w:r>
    </w:p>
    <w:p w14:paraId="2BF42DD6" w14:textId="77777777" w:rsidR="00344947" w:rsidRPr="00912559" w:rsidRDefault="00344947" w:rsidP="00912559">
      <w:pPr>
        <w:ind w:left="360"/>
      </w:pPr>
      <w:r w:rsidRPr="00912559">
        <w:t>A further recommendation was that federal and state governments should jointly invest in early supports for children with emerging development concerns and disability. This should include support from a Lead Practitioner to help children who are not eligible for the NDIS to build their skills and participate in everyday activities. The Lead Practitioner should provide families with information about child development, building their confidence and knowledge to support their child in everyday routines. It should also include implementing and evaluating a range of other early support models. The delivery of these early supports should be closely linked to and integrated with mainstream services, particularly education and early childhood services. </w:t>
      </w:r>
    </w:p>
    <w:p w14:paraId="518F257C" w14:textId="77777777" w:rsidR="00344947" w:rsidRPr="00912559" w:rsidRDefault="00344947" w:rsidP="00912559">
      <w:pPr>
        <w:ind w:left="360"/>
      </w:pPr>
      <w:r w:rsidRPr="00912559">
        <w:t>The Federal government has not yet announced its response to these recommendations. If the recommendations were accepted and acted upon, this would have a significant impact on the ECI service sector. </w:t>
      </w:r>
    </w:p>
    <w:p w14:paraId="7B9DEF78" w14:textId="77777777" w:rsidR="00344947" w:rsidRPr="008637F0" w:rsidRDefault="00344947" w:rsidP="0031511B">
      <w:pPr>
        <w:numPr>
          <w:ilvl w:val="0"/>
          <w:numId w:val="4"/>
        </w:numPr>
        <w:rPr>
          <w:rFonts w:cs="Arial"/>
          <w:color w:val="000000"/>
        </w:rPr>
      </w:pPr>
      <w:r w:rsidRPr="008637F0">
        <w:rPr>
          <w:rStyle w:val="normaltextrun"/>
          <w:rFonts w:cs="Arial"/>
          <w:b/>
          <w:bCs/>
          <w:i/>
          <w:iCs/>
          <w:color w:val="000000"/>
          <w:lang w:val="en-US"/>
        </w:rPr>
        <w:t>National Autism Strategy </w:t>
      </w:r>
      <w:r w:rsidRPr="008637F0">
        <w:rPr>
          <w:rStyle w:val="FootnoteReference"/>
          <w:rFonts w:cs="Arial"/>
          <w:b/>
          <w:bCs/>
          <w:color w:val="000000"/>
        </w:rPr>
        <w:footnoteReference w:id="5"/>
      </w:r>
    </w:p>
    <w:p w14:paraId="74F8BE3C" w14:textId="77777777" w:rsidR="00344947" w:rsidRPr="008637F0" w:rsidRDefault="00344947" w:rsidP="00344947">
      <w:pPr>
        <w:ind w:left="360"/>
        <w:rPr>
          <w:rStyle w:val="normaltextrun"/>
          <w:rFonts w:cs="Arial"/>
          <w:lang w:val="en-US"/>
        </w:rPr>
      </w:pPr>
      <w:r w:rsidRPr="008637F0">
        <w:rPr>
          <w:rStyle w:val="normaltextrun"/>
          <w:rFonts w:cs="Arial"/>
          <w:color w:val="000000"/>
          <w:lang w:val="en-US"/>
        </w:rPr>
        <w:t xml:space="preserve">This Strategy, still being developed, will be for all Autistic Australians. It will cover key reform areas including access to services, healthcare, education, and employment. It will help to guide a more coordinated, national approach supporting autistic people at each stage of life. The draft National Autism Strategy was released by the Department of Social Services for public feedback </w:t>
      </w:r>
      <w:r w:rsidRPr="008637F0">
        <w:rPr>
          <w:rStyle w:val="normaltextrun"/>
          <w:rFonts w:cs="Arial"/>
          <w:color w:val="000000"/>
          <w:lang w:val="en-US"/>
        </w:rPr>
        <w:lastRenderedPageBreak/>
        <w:t>in April and it is expected that the final Strategy will be considered by Government by the end of 2024.</w:t>
      </w:r>
      <w:r w:rsidRPr="008637F0">
        <w:rPr>
          <w:rStyle w:val="normaltextrun"/>
          <w:rFonts w:cs="Arial"/>
          <w:lang w:val="en-US"/>
        </w:rPr>
        <w:t> </w:t>
      </w:r>
    </w:p>
    <w:p w14:paraId="05A6F65E" w14:textId="77777777" w:rsidR="00344947" w:rsidRPr="008637F0" w:rsidRDefault="00344947" w:rsidP="0031511B">
      <w:pPr>
        <w:numPr>
          <w:ilvl w:val="0"/>
          <w:numId w:val="4"/>
        </w:numPr>
        <w:rPr>
          <w:rFonts w:cs="Arial"/>
        </w:rPr>
      </w:pPr>
      <w:r w:rsidRPr="008637F0">
        <w:rPr>
          <w:rStyle w:val="eop"/>
          <w:rFonts w:cs="Arial"/>
          <w:b/>
          <w:bCs/>
          <w:i/>
          <w:iCs/>
          <w:color w:val="000000"/>
        </w:rPr>
        <w:t xml:space="preserve">National Fetal Alcohol Spectrum Disorder (FASD) Strategic Action Plan 2018–2028 </w:t>
      </w:r>
      <w:r w:rsidRPr="008637F0">
        <w:rPr>
          <w:rStyle w:val="FootnoteReference"/>
          <w:rFonts w:cs="Arial"/>
          <w:b/>
          <w:bCs/>
        </w:rPr>
        <w:footnoteReference w:id="6"/>
      </w:r>
    </w:p>
    <w:p w14:paraId="71461D48" w14:textId="77777777" w:rsidR="00344947" w:rsidRPr="008637F0" w:rsidRDefault="00344947" w:rsidP="00344947">
      <w:pPr>
        <w:shd w:val="clear" w:color="auto" w:fill="FFFFFF"/>
        <w:ind w:left="360"/>
        <w:rPr>
          <w:rFonts w:eastAsia="Times New Roman" w:cs="Arial"/>
          <w:color w:val="313131"/>
          <w:lang w:eastAsia="en-AU"/>
        </w:rPr>
      </w:pPr>
      <w:r w:rsidRPr="008637F0">
        <w:rPr>
          <w:rStyle w:val="normaltextrun"/>
          <w:rFonts w:cs="Arial"/>
          <w:color w:val="000000"/>
          <w:lang w:val="en-US"/>
        </w:rPr>
        <w:t>This Plan aims to improve the quality of life for children and adults who have FASD. The Plan is built around 4 key national priorities: prevention, screening and diagnosis, support and management, and priority groups and people at increased risk. A National FASD Advisory Group (FASD Advisory Group) has been established to monitor and report on the implementation progress of the plan. A three-year implementation review of the Plan has been published</w:t>
      </w:r>
      <w:r w:rsidRPr="00711AF4">
        <w:t>.</w:t>
      </w:r>
      <w:r w:rsidRPr="008637F0">
        <w:rPr>
          <w:rStyle w:val="FootnoteReference"/>
          <w:rFonts w:eastAsia="Times New Roman" w:cs="Arial"/>
          <w:color w:val="313131"/>
          <w:lang w:eastAsia="en-AU"/>
        </w:rPr>
        <w:footnoteReference w:id="7"/>
      </w:r>
      <w:r w:rsidRPr="008637F0">
        <w:rPr>
          <w:rFonts w:eastAsia="Times New Roman" w:cs="Arial"/>
          <w:color w:val="313131"/>
          <w:shd w:val="clear" w:color="auto" w:fill="E6E6E6"/>
          <w:lang w:eastAsia="en-AU"/>
        </w:rPr>
        <w:t xml:space="preserve"> </w:t>
      </w:r>
    </w:p>
    <w:p w14:paraId="29DE48A5" w14:textId="77777777" w:rsidR="00344947" w:rsidRPr="008637F0" w:rsidRDefault="00344947" w:rsidP="0031511B">
      <w:pPr>
        <w:numPr>
          <w:ilvl w:val="0"/>
          <w:numId w:val="4"/>
        </w:numPr>
        <w:rPr>
          <w:rStyle w:val="eop"/>
          <w:rFonts w:cs="Arial"/>
          <w:b/>
          <w:bCs/>
          <w:i/>
          <w:iCs/>
          <w:color w:val="000000"/>
        </w:rPr>
      </w:pPr>
      <w:r w:rsidRPr="008637F0">
        <w:rPr>
          <w:rStyle w:val="eop"/>
          <w:rFonts w:cs="Arial"/>
          <w:b/>
          <w:bCs/>
          <w:i/>
          <w:iCs/>
          <w:color w:val="000000"/>
        </w:rPr>
        <w:t xml:space="preserve">The Royal Commission into Violence, Abuse, Neglect and Exploitation of People with Disability (2023) </w:t>
      </w:r>
      <w:r w:rsidRPr="008637F0">
        <w:rPr>
          <w:rStyle w:val="FootnoteReference"/>
          <w:rFonts w:cs="Arial"/>
          <w:b/>
          <w:bCs/>
          <w:i/>
          <w:iCs/>
          <w:color w:val="000000"/>
        </w:rPr>
        <w:footnoteReference w:id="8"/>
      </w:r>
    </w:p>
    <w:p w14:paraId="4F95B496" w14:textId="77777777" w:rsidR="00344947" w:rsidRPr="008637F0" w:rsidRDefault="00344947" w:rsidP="00344947">
      <w:pPr>
        <w:ind w:left="360"/>
        <w:rPr>
          <w:rStyle w:val="normaltextrun"/>
          <w:rFonts w:cs="Arial"/>
        </w:rPr>
      </w:pPr>
      <w:r w:rsidRPr="008637F0">
        <w:rPr>
          <w:rStyle w:val="normaltextrun"/>
          <w:rFonts w:cs="Arial"/>
          <w:color w:val="000000"/>
        </w:rPr>
        <w:t xml:space="preserve">Established in 2019, the Royal Commission sought to examine and expose violence against, and abuse, neglect and exploitation of, people with disability in all settings and contexts. It recognised that Australia has international obligations to promote the human rights of people with disability, including the protection of people with disability from all forms of exploitation, violence and abuse under the Convention on the Rights of People with Disabilities (2008). The Commission’s final report, published in 2023, contained 222 recommendations. These were based upon a common vision: a </w:t>
      </w:r>
      <w:bookmarkStart w:id="9" w:name="_Hlk129956274"/>
      <w:r w:rsidRPr="008637F0">
        <w:rPr>
          <w:rStyle w:val="normaltextrun"/>
          <w:rFonts w:cs="Arial"/>
          <w:color w:val="000000"/>
        </w:rPr>
        <w:t xml:space="preserve">future where people with disability live free from </w:t>
      </w:r>
      <w:bookmarkStart w:id="10" w:name="_Hlk130040316"/>
      <w:r w:rsidRPr="008637F0">
        <w:rPr>
          <w:rStyle w:val="normaltextrun"/>
          <w:rFonts w:cs="Arial"/>
          <w:color w:val="000000"/>
        </w:rPr>
        <w:t>violence, abuse, neglect and exploitation</w:t>
      </w:r>
      <w:bookmarkEnd w:id="10"/>
      <w:r w:rsidRPr="008637F0">
        <w:rPr>
          <w:rStyle w:val="normaltextrun"/>
          <w:rFonts w:cs="Arial"/>
          <w:color w:val="000000"/>
        </w:rPr>
        <w:t>; human rights are protected; and individuals live with dignity, equality and respect, can take risks, and develop and fulfil their potential.</w:t>
      </w:r>
      <w:bookmarkEnd w:id="9"/>
      <w:r w:rsidRPr="008637F0">
        <w:rPr>
          <w:rStyle w:val="normaltextrun"/>
          <w:rFonts w:cs="Arial"/>
          <w:color w:val="000000"/>
        </w:rPr>
        <w:t xml:space="preserve"> </w:t>
      </w:r>
    </w:p>
    <w:p w14:paraId="3D3DC5BE" w14:textId="1A06C7E0" w:rsidR="00344947" w:rsidRPr="008637F0" w:rsidRDefault="00344947" w:rsidP="00344947">
      <w:pPr>
        <w:ind w:left="360"/>
        <w:rPr>
          <w:rStyle w:val="normaltextrun"/>
          <w:rFonts w:cs="Arial"/>
          <w:color w:val="000000"/>
        </w:rPr>
      </w:pPr>
      <w:r w:rsidRPr="008637F0">
        <w:rPr>
          <w:rStyle w:val="normaltextrun"/>
          <w:rFonts w:cs="Arial"/>
          <w:color w:val="000000"/>
        </w:rPr>
        <w:t>In its response to the Commission’s recommendations</w:t>
      </w:r>
      <w:r w:rsidR="003E5760">
        <w:rPr>
          <w:rStyle w:val="FootnoteReference"/>
          <w:rFonts w:cs="Arial"/>
          <w:color w:val="000000"/>
        </w:rPr>
        <w:footnoteReference w:id="9"/>
      </w:r>
      <w:r w:rsidRPr="008637F0">
        <w:rPr>
          <w:rStyle w:val="normaltextrun"/>
          <w:rFonts w:cs="Arial"/>
          <w:color w:val="000000"/>
        </w:rPr>
        <w:t>, the Government commits to enabling policy and delivering services that realise the vision set out by the Commission of an Australian community where people with disability: live free from violence, abuse, neglect, and exploitation; where human rights are protected; and individuals live with dignity, equality and respect and can fulfil their potential. This includes a future where people with and without disability:</w:t>
      </w:r>
    </w:p>
    <w:p w14:paraId="05D7EF68" w14:textId="77777777" w:rsidR="00344947" w:rsidRPr="008637F0" w:rsidRDefault="00344947" w:rsidP="0031511B">
      <w:pPr>
        <w:pStyle w:val="ListParagraph"/>
        <w:numPr>
          <w:ilvl w:val="0"/>
          <w:numId w:val="6"/>
        </w:numPr>
        <w:contextualSpacing w:val="0"/>
        <w:rPr>
          <w:rStyle w:val="normaltextrun"/>
          <w:rFonts w:cs="Arial"/>
          <w:color w:val="000000"/>
        </w:rPr>
      </w:pPr>
      <w:r w:rsidRPr="008637F0">
        <w:rPr>
          <w:rStyle w:val="normaltextrun"/>
          <w:rFonts w:cs="Arial"/>
          <w:color w:val="000000"/>
        </w:rPr>
        <w:t>live, learn, work, play, create, and engage together in safe and diverse communities,</w:t>
      </w:r>
    </w:p>
    <w:p w14:paraId="4808130A" w14:textId="77777777" w:rsidR="00344947" w:rsidRPr="008637F0" w:rsidRDefault="00344947" w:rsidP="0031511B">
      <w:pPr>
        <w:pStyle w:val="ListParagraph"/>
        <w:numPr>
          <w:ilvl w:val="0"/>
          <w:numId w:val="6"/>
        </w:numPr>
        <w:contextualSpacing w:val="0"/>
        <w:rPr>
          <w:rStyle w:val="normaltextrun"/>
          <w:rFonts w:cs="Arial"/>
          <w:color w:val="000000"/>
        </w:rPr>
      </w:pPr>
      <w:r w:rsidRPr="008637F0">
        <w:rPr>
          <w:rStyle w:val="normaltextrun"/>
          <w:rFonts w:cs="Arial"/>
          <w:color w:val="000000"/>
        </w:rPr>
        <w:t>have the power of choice, independence, and the dignity to take risks,</w:t>
      </w:r>
    </w:p>
    <w:p w14:paraId="78CF518D" w14:textId="77777777" w:rsidR="00344947" w:rsidRPr="008637F0" w:rsidRDefault="00344947" w:rsidP="0031511B">
      <w:pPr>
        <w:pStyle w:val="ListParagraph"/>
        <w:numPr>
          <w:ilvl w:val="0"/>
          <w:numId w:val="6"/>
        </w:numPr>
        <w:contextualSpacing w:val="0"/>
        <w:rPr>
          <w:rStyle w:val="normaltextrun"/>
          <w:rFonts w:cs="Arial"/>
          <w:color w:val="000000"/>
        </w:rPr>
      </w:pPr>
      <w:r w:rsidRPr="008637F0">
        <w:rPr>
          <w:rStyle w:val="normaltextrun"/>
          <w:rFonts w:cs="Arial"/>
          <w:color w:val="000000"/>
        </w:rPr>
        <w:t>make significant contributions to communities that value their presence and treat them with respect, and</w:t>
      </w:r>
    </w:p>
    <w:p w14:paraId="44789625" w14:textId="77777777" w:rsidR="00344947" w:rsidRDefault="00344947" w:rsidP="0031511B">
      <w:pPr>
        <w:pStyle w:val="ListParagraph"/>
        <w:numPr>
          <w:ilvl w:val="0"/>
          <w:numId w:val="6"/>
        </w:numPr>
        <w:contextualSpacing w:val="0"/>
        <w:rPr>
          <w:rStyle w:val="normaltextrun"/>
          <w:rFonts w:cs="Arial"/>
          <w:color w:val="000000"/>
        </w:rPr>
      </w:pPr>
      <w:r w:rsidRPr="008637F0">
        <w:rPr>
          <w:rStyle w:val="normaltextrun"/>
          <w:rFonts w:cs="Arial"/>
          <w:color w:val="000000"/>
        </w:rPr>
        <w:t>are culturally safe and belong in families, communities, and peer networks.</w:t>
      </w:r>
    </w:p>
    <w:p w14:paraId="0FE7EAEE" w14:textId="77777777" w:rsidR="00B937A4" w:rsidRPr="008637F0" w:rsidRDefault="00B937A4" w:rsidP="00B937A4">
      <w:pPr>
        <w:pStyle w:val="ListParagraph"/>
        <w:ind w:left="1080"/>
        <w:contextualSpacing w:val="0"/>
        <w:rPr>
          <w:rStyle w:val="normaltextrun"/>
          <w:rFonts w:cs="Arial"/>
          <w:color w:val="000000"/>
        </w:rPr>
      </w:pPr>
    </w:p>
    <w:p w14:paraId="6124CFF2" w14:textId="77777777" w:rsidR="00344947" w:rsidRPr="008637F0" w:rsidRDefault="00344947" w:rsidP="00344947">
      <w:pPr>
        <w:pStyle w:val="ListParagraph"/>
        <w:ind w:left="1080"/>
        <w:rPr>
          <w:rStyle w:val="normaltextrun"/>
          <w:rFonts w:cs="Arial"/>
          <w:color w:val="000000"/>
        </w:rPr>
      </w:pPr>
    </w:p>
    <w:p w14:paraId="5C4A7431" w14:textId="77777777" w:rsidR="00344947" w:rsidRPr="008637F0" w:rsidRDefault="00344947" w:rsidP="00344947">
      <w:pPr>
        <w:spacing w:after="240"/>
        <w:rPr>
          <w:rFonts w:cs="Arial"/>
          <w:color w:val="000000"/>
        </w:rPr>
      </w:pPr>
      <w:r w:rsidRPr="008637F0">
        <w:rPr>
          <w:rStyle w:val="normaltextrun"/>
          <w:rFonts w:cs="Arial"/>
          <w:b/>
          <w:bCs/>
          <w:color w:val="000000"/>
        </w:rPr>
        <w:lastRenderedPageBreak/>
        <w:t>Early years policies and reviews</w:t>
      </w:r>
      <w:r w:rsidRPr="008637F0">
        <w:rPr>
          <w:rStyle w:val="eop"/>
          <w:rFonts w:cs="Arial"/>
          <w:color w:val="000000"/>
        </w:rPr>
        <w:t> </w:t>
      </w:r>
    </w:p>
    <w:p w14:paraId="2F58709E" w14:textId="77777777" w:rsidR="00344947" w:rsidRPr="00D41FFE" w:rsidRDefault="00344947" w:rsidP="00344947">
      <w:pPr>
        <w:rPr>
          <w:rStyle w:val="normaltextrun"/>
          <w:rFonts w:cs="Arial"/>
          <w:lang w:val="en-US"/>
        </w:rPr>
      </w:pPr>
      <w:r w:rsidRPr="00D41FFE">
        <w:rPr>
          <w:rStyle w:val="normaltextrun"/>
          <w:rFonts w:cs="Arial"/>
          <w:color w:val="000000"/>
          <w:lang w:val="en-US"/>
        </w:rPr>
        <w:t>In addition to the disability-specific policies and strategies, there are numerous policies, strategies and reviews of the early years services in general. Many of these have implications for ECI services and best practice. </w:t>
      </w:r>
      <w:r w:rsidRPr="00D41FFE">
        <w:rPr>
          <w:rStyle w:val="normaltextrun"/>
          <w:rFonts w:cs="Arial"/>
          <w:lang w:val="en-US"/>
        </w:rPr>
        <w:t> </w:t>
      </w:r>
    </w:p>
    <w:p w14:paraId="6EE517B1" w14:textId="77777777" w:rsidR="00344947" w:rsidRPr="00D41FFE" w:rsidRDefault="00344947" w:rsidP="0031511B">
      <w:pPr>
        <w:numPr>
          <w:ilvl w:val="0"/>
          <w:numId w:val="4"/>
        </w:numPr>
        <w:rPr>
          <w:rFonts w:cs="Arial"/>
          <w:color w:val="000000"/>
        </w:rPr>
      </w:pPr>
      <w:r w:rsidRPr="00D41FFE">
        <w:rPr>
          <w:rStyle w:val="normaltextrun"/>
          <w:rFonts w:cs="Arial"/>
          <w:b/>
          <w:bCs/>
          <w:i/>
          <w:iCs/>
          <w:color w:val="000000"/>
          <w:lang w:val="en-US"/>
        </w:rPr>
        <w:t>National Early Years Strategy (2024-2034)</w:t>
      </w:r>
      <w:r w:rsidRPr="00D41FFE">
        <w:rPr>
          <w:rStyle w:val="eop"/>
          <w:rFonts w:cs="Arial"/>
          <w:b/>
          <w:bCs/>
          <w:color w:val="000000"/>
        </w:rPr>
        <w:t> </w:t>
      </w:r>
      <w:r w:rsidRPr="00D41FFE">
        <w:rPr>
          <w:rStyle w:val="FootnoteReference"/>
          <w:rFonts w:cs="Arial"/>
          <w:b/>
          <w:bCs/>
          <w:color w:val="000000"/>
        </w:rPr>
        <w:footnoteReference w:id="10"/>
      </w:r>
    </w:p>
    <w:p w14:paraId="65CAC747" w14:textId="77777777" w:rsidR="00344947" w:rsidRPr="00D41FFE" w:rsidRDefault="00344947" w:rsidP="00344947">
      <w:pPr>
        <w:ind w:left="357"/>
        <w:rPr>
          <w:rFonts w:cs="Arial"/>
          <w:color w:val="000000"/>
        </w:rPr>
      </w:pPr>
      <w:r w:rsidRPr="00D41FFE">
        <w:rPr>
          <w:rStyle w:val="normaltextrun"/>
          <w:rFonts w:cs="Arial"/>
          <w:color w:val="000000"/>
          <w:lang w:val="en-US"/>
        </w:rPr>
        <w:t xml:space="preserve">This is the Australian Government’s overarching framework </w:t>
      </w:r>
      <w:r w:rsidRPr="00D41FFE">
        <w:rPr>
          <w:rFonts w:cs="Arial"/>
          <w:color w:val="000000"/>
        </w:rPr>
        <w:t>which sets out the Government’s vision to best support Australia’s children and their families in the early years.</w:t>
      </w:r>
      <w:r w:rsidRPr="00D41FFE" w:rsidDel="00DB2A6A">
        <w:rPr>
          <w:rStyle w:val="normaltextrun"/>
          <w:rFonts w:cs="Arial"/>
          <w:color w:val="000000"/>
          <w:lang w:val="en-US"/>
        </w:rPr>
        <w:t xml:space="preserve"> </w:t>
      </w:r>
      <w:r w:rsidRPr="00D41FFE">
        <w:rPr>
          <w:rStyle w:val="normaltextrun"/>
          <w:rFonts w:cs="Arial"/>
          <w:color w:val="000000"/>
        </w:rPr>
        <w:t>The aims are to reduce silos across Government programs, integrate and coordinate early childhood initiatives for greater impact, achieve better outcomes for children and their families, and meet Australia’s commitments under human rights treaties. </w:t>
      </w:r>
      <w:r w:rsidRPr="00D41FFE">
        <w:rPr>
          <w:rStyle w:val="eop"/>
          <w:rFonts w:cs="Arial"/>
          <w:color w:val="000000"/>
        </w:rPr>
        <w:t xml:space="preserve"> This Strategy aims </w:t>
      </w:r>
      <w:r w:rsidRPr="00D41FFE">
        <w:rPr>
          <w:rFonts w:cs="Arial"/>
          <w:color w:val="000000"/>
        </w:rPr>
        <w:t>to empower and support those who form foundational relationships with children, including parents, caregivers, kin, family and the early years workforce.</w:t>
      </w:r>
    </w:p>
    <w:p w14:paraId="2F4BD0E0" w14:textId="77777777" w:rsidR="00344947" w:rsidRDefault="00344947" w:rsidP="00344947">
      <w:pPr>
        <w:ind w:left="357"/>
        <w:rPr>
          <w:rStyle w:val="normaltextrun"/>
          <w:rFonts w:cs="Arial"/>
          <w:color w:val="000000"/>
        </w:rPr>
      </w:pPr>
      <w:r w:rsidRPr="00D41FFE">
        <w:rPr>
          <w:rStyle w:val="normaltextrun"/>
          <w:rFonts w:cs="Arial"/>
          <w:color w:val="000000"/>
        </w:rPr>
        <w:t xml:space="preserve">The Strategy’s vision is </w:t>
      </w:r>
      <w:r w:rsidRPr="00D41FFE">
        <w:rPr>
          <w:rStyle w:val="normaltextrun"/>
          <w:rFonts w:cs="Arial"/>
          <w:i/>
          <w:iCs/>
          <w:color w:val="000000"/>
        </w:rPr>
        <w:t>that all children in Australia thrive in their early years. They have the opportunity to reach their full potential when nurtured by empowered and connected families who are supported by strong communities.</w:t>
      </w:r>
    </w:p>
    <w:p w14:paraId="0A98F24D" w14:textId="77777777" w:rsidR="00344947" w:rsidRPr="00D41FFE" w:rsidRDefault="00344947" w:rsidP="00344947">
      <w:pPr>
        <w:ind w:left="357"/>
        <w:rPr>
          <w:rStyle w:val="normaltextrun"/>
          <w:rFonts w:cs="Arial"/>
          <w:color w:val="000000"/>
        </w:rPr>
      </w:pPr>
      <w:r w:rsidRPr="00D41FFE">
        <w:rPr>
          <w:rStyle w:val="normaltextrun"/>
          <w:rFonts w:cs="Arial"/>
          <w:color w:val="000000"/>
        </w:rPr>
        <w:t xml:space="preserve">The specific outcomes that that the Strategy is seeking to achieve are: </w:t>
      </w:r>
    </w:p>
    <w:p w14:paraId="28942E0B" w14:textId="77777777" w:rsidR="00344947" w:rsidRPr="00D41FFE" w:rsidRDefault="00344947" w:rsidP="0031511B">
      <w:pPr>
        <w:numPr>
          <w:ilvl w:val="0"/>
          <w:numId w:val="12"/>
        </w:numPr>
        <w:rPr>
          <w:rStyle w:val="normaltextrun"/>
          <w:rFonts w:cs="Arial"/>
          <w:color w:val="000000"/>
        </w:rPr>
      </w:pPr>
      <w:r w:rsidRPr="00D41FFE">
        <w:rPr>
          <w:rStyle w:val="normaltextrun"/>
          <w:rFonts w:cs="Arial"/>
          <w:color w:val="000000"/>
        </w:rPr>
        <w:t>Children are nurtured and safe</w:t>
      </w:r>
    </w:p>
    <w:p w14:paraId="57B72D11" w14:textId="77777777" w:rsidR="00344947" w:rsidRPr="00D41FFE" w:rsidRDefault="00344947" w:rsidP="0031511B">
      <w:pPr>
        <w:numPr>
          <w:ilvl w:val="0"/>
          <w:numId w:val="12"/>
        </w:numPr>
        <w:rPr>
          <w:rStyle w:val="normaltextrun"/>
          <w:rFonts w:cs="Arial"/>
          <w:color w:val="000000"/>
        </w:rPr>
      </w:pPr>
      <w:r w:rsidRPr="00D41FFE">
        <w:rPr>
          <w:rStyle w:val="normaltextrun"/>
          <w:rFonts w:cs="Arial"/>
          <w:color w:val="000000"/>
        </w:rPr>
        <w:t xml:space="preserve">Children are socially, emotionally, physically and mentally healthy </w:t>
      </w:r>
    </w:p>
    <w:p w14:paraId="2948D38C" w14:textId="77777777" w:rsidR="00344947" w:rsidRPr="00D41FFE" w:rsidRDefault="00344947" w:rsidP="0031511B">
      <w:pPr>
        <w:numPr>
          <w:ilvl w:val="0"/>
          <w:numId w:val="12"/>
        </w:numPr>
        <w:rPr>
          <w:rStyle w:val="normaltextrun"/>
          <w:rFonts w:cs="Arial"/>
          <w:color w:val="000000"/>
        </w:rPr>
      </w:pPr>
      <w:r w:rsidRPr="00D41FFE">
        <w:rPr>
          <w:rStyle w:val="normaltextrun"/>
          <w:rFonts w:cs="Arial"/>
          <w:color w:val="000000"/>
        </w:rPr>
        <w:t xml:space="preserve">Children are learning </w:t>
      </w:r>
    </w:p>
    <w:p w14:paraId="69E86AB0" w14:textId="77777777" w:rsidR="00344947" w:rsidRPr="00D41FFE" w:rsidRDefault="00344947" w:rsidP="0031511B">
      <w:pPr>
        <w:numPr>
          <w:ilvl w:val="0"/>
          <w:numId w:val="12"/>
        </w:numPr>
        <w:rPr>
          <w:rStyle w:val="normaltextrun"/>
          <w:rFonts w:cs="Arial"/>
          <w:color w:val="000000"/>
        </w:rPr>
      </w:pPr>
      <w:r w:rsidRPr="00D41FFE">
        <w:rPr>
          <w:rStyle w:val="normaltextrun"/>
          <w:rFonts w:cs="Arial"/>
          <w:color w:val="000000"/>
        </w:rPr>
        <w:t xml:space="preserve">Children have strong identities and connections to culture </w:t>
      </w:r>
    </w:p>
    <w:p w14:paraId="1451D10F" w14:textId="77777777" w:rsidR="00344947" w:rsidRPr="00D41FFE" w:rsidRDefault="00344947" w:rsidP="0031511B">
      <w:pPr>
        <w:numPr>
          <w:ilvl w:val="0"/>
          <w:numId w:val="12"/>
        </w:numPr>
        <w:rPr>
          <w:rStyle w:val="normaltextrun"/>
          <w:rFonts w:cs="Arial"/>
          <w:color w:val="000000"/>
        </w:rPr>
      </w:pPr>
      <w:r w:rsidRPr="00D41FFE">
        <w:rPr>
          <w:rStyle w:val="normaltextrun"/>
          <w:rFonts w:cs="Arial"/>
          <w:color w:val="000000"/>
        </w:rPr>
        <w:t xml:space="preserve">Children have opportunities to play and imagine </w:t>
      </w:r>
    </w:p>
    <w:p w14:paraId="21CDEE3D" w14:textId="77777777" w:rsidR="00344947" w:rsidRPr="00D41FFE" w:rsidRDefault="00344947" w:rsidP="0031511B">
      <w:pPr>
        <w:numPr>
          <w:ilvl w:val="0"/>
          <w:numId w:val="12"/>
        </w:numPr>
        <w:rPr>
          <w:rStyle w:val="normaltextrun"/>
          <w:rFonts w:cs="Arial"/>
          <w:color w:val="000000"/>
        </w:rPr>
      </w:pPr>
      <w:r w:rsidRPr="00D41FFE">
        <w:rPr>
          <w:rStyle w:val="normaltextrun"/>
          <w:rFonts w:cs="Arial"/>
          <w:color w:val="000000"/>
        </w:rPr>
        <w:t xml:space="preserve">Basic needs are met </w:t>
      </w:r>
    </w:p>
    <w:p w14:paraId="74396011" w14:textId="77777777" w:rsidR="00344947" w:rsidRPr="00D41FFE" w:rsidRDefault="00344947" w:rsidP="0031511B">
      <w:pPr>
        <w:numPr>
          <w:ilvl w:val="0"/>
          <w:numId w:val="12"/>
        </w:numPr>
        <w:rPr>
          <w:rStyle w:val="normaltextrun"/>
          <w:rFonts w:cs="Arial"/>
          <w:color w:val="000000"/>
        </w:rPr>
      </w:pPr>
      <w:r w:rsidRPr="00D41FFE">
        <w:rPr>
          <w:rStyle w:val="normaltextrun"/>
          <w:rFonts w:cs="Arial"/>
          <w:color w:val="000000"/>
        </w:rPr>
        <w:t xml:space="preserve">Families are empowered, connected and supported </w:t>
      </w:r>
    </w:p>
    <w:p w14:paraId="58275812" w14:textId="77777777" w:rsidR="00344947" w:rsidRPr="00D41FFE" w:rsidRDefault="00344947" w:rsidP="0031511B">
      <w:pPr>
        <w:numPr>
          <w:ilvl w:val="0"/>
          <w:numId w:val="12"/>
        </w:numPr>
        <w:rPr>
          <w:rStyle w:val="normaltextrun"/>
          <w:rFonts w:cs="Arial"/>
          <w:color w:val="000000"/>
        </w:rPr>
      </w:pPr>
      <w:r w:rsidRPr="00D41FFE">
        <w:rPr>
          <w:rStyle w:val="normaltextrun"/>
          <w:rFonts w:cs="Arial"/>
          <w:color w:val="000000"/>
        </w:rPr>
        <w:t xml:space="preserve">Communities are strong and inclusive places for children and their parents or caregivers to live, grow, play and connect </w:t>
      </w:r>
    </w:p>
    <w:p w14:paraId="786A99F4" w14:textId="77777777" w:rsidR="00344947" w:rsidRPr="00D41FFE" w:rsidRDefault="00344947" w:rsidP="00344947">
      <w:pPr>
        <w:ind w:left="357"/>
        <w:rPr>
          <w:rFonts w:cs="Arial"/>
          <w:color w:val="000000"/>
        </w:rPr>
      </w:pPr>
      <w:r w:rsidRPr="00D41FFE">
        <w:rPr>
          <w:rStyle w:val="normaltextrun"/>
          <w:rFonts w:cs="Arial"/>
          <w:color w:val="000000"/>
        </w:rPr>
        <w:t>The Strategy is based on the following principles: child- and family-centred; strengths-based; respect for families and communities; equitable, inclusive and respectful of diversity; and evidence-informed.</w:t>
      </w:r>
      <w:r w:rsidRPr="00D41FFE">
        <w:rPr>
          <w:rStyle w:val="eop"/>
          <w:rFonts w:cs="Arial"/>
          <w:color w:val="000000"/>
        </w:rPr>
        <w:t> </w:t>
      </w:r>
    </w:p>
    <w:p w14:paraId="2CA129AA" w14:textId="77777777" w:rsidR="00344947" w:rsidRPr="00D41FFE" w:rsidRDefault="00344947" w:rsidP="0031511B">
      <w:pPr>
        <w:numPr>
          <w:ilvl w:val="0"/>
          <w:numId w:val="4"/>
        </w:numPr>
        <w:rPr>
          <w:rFonts w:cs="Arial"/>
          <w:b/>
          <w:bCs/>
          <w:color w:val="000000"/>
        </w:rPr>
      </w:pPr>
      <w:r w:rsidRPr="00D41FFE">
        <w:rPr>
          <w:rStyle w:val="normaltextrun"/>
          <w:rFonts w:cs="Arial"/>
          <w:b/>
          <w:bCs/>
          <w:i/>
          <w:iCs/>
          <w:color w:val="000000"/>
        </w:rPr>
        <w:t>Improving Outcomes for All: The Report of the Independent Expert Panel’s Review to Inform a Better and Fairer Education System (Department of Education, 2023)</w:t>
      </w:r>
      <w:r w:rsidRPr="00D41FFE">
        <w:rPr>
          <w:rStyle w:val="eop"/>
          <w:rFonts w:cs="Arial"/>
          <w:b/>
          <w:bCs/>
          <w:color w:val="000000"/>
        </w:rPr>
        <w:t> </w:t>
      </w:r>
      <w:r w:rsidRPr="00D41FFE">
        <w:rPr>
          <w:rStyle w:val="FootnoteReference"/>
          <w:rFonts w:cs="Arial"/>
          <w:b/>
          <w:bCs/>
          <w:color w:val="000000"/>
        </w:rPr>
        <w:footnoteReference w:id="11"/>
      </w:r>
    </w:p>
    <w:p w14:paraId="3DC83A8C" w14:textId="77777777" w:rsidR="00344947" w:rsidRPr="00D41FFE" w:rsidRDefault="00344947" w:rsidP="00344947">
      <w:pPr>
        <w:ind w:left="357"/>
        <w:rPr>
          <w:rStyle w:val="normaltextrun"/>
          <w:rFonts w:cs="Arial"/>
          <w:lang w:val="en-US"/>
        </w:rPr>
      </w:pPr>
      <w:r w:rsidRPr="00D41FFE">
        <w:rPr>
          <w:rStyle w:val="normaltextrun"/>
          <w:rFonts w:cs="Arial"/>
          <w:color w:val="000000"/>
          <w:lang w:val="en-US"/>
        </w:rPr>
        <w:t xml:space="preserve">This Review outlines a roadmap to strengthening Australia’s school education system, including both government and non-government sectors, to ensure it delivers excellence and equity for the whole Australian community. The Panel recommended seven reform directions to be considered by all parties to the next Agreement, including improving equity. Far too many students face barriers to participation and achievement, particularly those who come from priority equity </w:t>
      </w:r>
      <w:r w:rsidRPr="00D41FFE">
        <w:rPr>
          <w:rStyle w:val="normaltextrun"/>
          <w:rFonts w:cs="Arial"/>
          <w:color w:val="000000"/>
          <w:lang w:val="en-US"/>
        </w:rPr>
        <w:lastRenderedPageBreak/>
        <w:t>cohorts, including First Nations students; students living in regional, rural and remote locations; students with disability; and students from educationally disadvantaged backgrounds. </w:t>
      </w:r>
      <w:r w:rsidRPr="00D41FFE">
        <w:rPr>
          <w:rStyle w:val="normaltextrun"/>
          <w:rFonts w:cs="Arial"/>
          <w:lang w:val="en-US"/>
        </w:rPr>
        <w:t> </w:t>
      </w:r>
    </w:p>
    <w:p w14:paraId="457AD3E4" w14:textId="77777777" w:rsidR="00344947" w:rsidRPr="00D41FFE" w:rsidRDefault="00344947" w:rsidP="00344947">
      <w:pPr>
        <w:ind w:left="357"/>
        <w:rPr>
          <w:rStyle w:val="normaltextrun"/>
          <w:rFonts w:cs="Arial"/>
          <w:lang w:val="en-US"/>
        </w:rPr>
      </w:pPr>
      <w:r w:rsidRPr="00D41FFE">
        <w:rPr>
          <w:rStyle w:val="normaltextrun"/>
          <w:rFonts w:cs="Arial"/>
          <w:color w:val="000000"/>
          <w:lang w:val="en-US"/>
        </w:rPr>
        <w:t>Regarding students with disability, the Panel considered that more should be done to strengthen the quality of inclusive education, and that there is an urgent need to better support students with disability. Governments, school systems and approved authorities must commit to continuing to build the capability of schools and educators to embed inclusive education in their school culture and teaching practices. This would ensure every student with disability receives an education that values their strengths and capabilities. Accordingly, the Panel recommended that all governments, school systems and approved authorities jointly develop an implementation plan to deliver on their commitment under Australia’s Disability Strategy 2021–2031 to build capability in delivery of inclusive education for students with disability.</w:t>
      </w:r>
      <w:r w:rsidRPr="00D41FFE">
        <w:rPr>
          <w:rStyle w:val="normaltextrun"/>
          <w:rFonts w:cs="Arial"/>
          <w:lang w:val="en-US"/>
        </w:rPr>
        <w:t> </w:t>
      </w:r>
    </w:p>
    <w:p w14:paraId="141FB32A" w14:textId="77777777" w:rsidR="00344947" w:rsidRPr="00180517" w:rsidRDefault="00344947" w:rsidP="00344947">
      <w:pPr>
        <w:ind w:left="357"/>
        <w:rPr>
          <w:rStyle w:val="normaltextrun"/>
          <w:rFonts w:cs="Arial"/>
          <w:lang w:val="en-US"/>
        </w:rPr>
      </w:pPr>
      <w:r w:rsidRPr="00D41FFE">
        <w:rPr>
          <w:rStyle w:val="normaltextrun"/>
          <w:rFonts w:cs="Arial"/>
          <w:color w:val="000000"/>
          <w:lang w:val="en-US"/>
        </w:rPr>
        <w:t xml:space="preserve">The Panel also commented on the importance of all students coming to school ready and able to learn. To ensure that this happens, the Panel recommended that all governments take steps to embed and strengthen linkages between schools and other services, such as community, family, health (including speech and occupational therapists), and disability support services, by implementing full-service school models that better integrate these services within schools and improve partnerships </w:t>
      </w:r>
      <w:r w:rsidRPr="00180517">
        <w:rPr>
          <w:rStyle w:val="normaltextrun"/>
          <w:rFonts w:cs="Arial"/>
          <w:color w:val="000000"/>
          <w:lang w:val="en-US"/>
        </w:rPr>
        <w:t>between schools and external agencies, institutions and community members.</w:t>
      </w:r>
      <w:r w:rsidRPr="00180517">
        <w:rPr>
          <w:rStyle w:val="normaltextrun"/>
          <w:rFonts w:cs="Arial"/>
          <w:lang w:val="en-US"/>
        </w:rPr>
        <w:t> </w:t>
      </w:r>
    </w:p>
    <w:p w14:paraId="1F2903DD" w14:textId="77777777" w:rsidR="00344947" w:rsidRPr="00180517" w:rsidRDefault="00344947" w:rsidP="0031511B">
      <w:pPr>
        <w:numPr>
          <w:ilvl w:val="0"/>
          <w:numId w:val="4"/>
        </w:numPr>
        <w:rPr>
          <w:rFonts w:cs="Arial"/>
          <w:color w:val="000000"/>
        </w:rPr>
      </w:pPr>
      <w:r w:rsidRPr="00180517">
        <w:rPr>
          <w:rStyle w:val="normaltextrun"/>
          <w:rFonts w:cs="Arial"/>
          <w:b/>
          <w:bCs/>
          <w:i/>
          <w:iCs/>
          <w:color w:val="000000"/>
          <w:lang w:val="en-US"/>
        </w:rPr>
        <w:t>Australian Consumer and Competition Commission childcare inquiry (2023) </w:t>
      </w:r>
      <w:r w:rsidRPr="00180517">
        <w:rPr>
          <w:rStyle w:val="FootnoteReference"/>
          <w:rFonts w:cs="Arial"/>
          <w:b/>
          <w:bCs/>
          <w:color w:val="000000"/>
        </w:rPr>
        <w:footnoteReference w:id="12"/>
      </w:r>
    </w:p>
    <w:p w14:paraId="0385F235" w14:textId="77777777" w:rsidR="00344947" w:rsidRPr="00180517" w:rsidRDefault="00344947" w:rsidP="00344947">
      <w:pPr>
        <w:ind w:left="357"/>
        <w:rPr>
          <w:rFonts w:cs="Arial"/>
          <w:color w:val="000000"/>
        </w:rPr>
      </w:pPr>
      <w:r w:rsidRPr="00180517">
        <w:rPr>
          <w:rStyle w:val="normaltextrun"/>
          <w:rFonts w:cs="Arial"/>
          <w:color w:val="000000"/>
          <w:lang w:val="en-US"/>
        </w:rPr>
        <w:t>This report focused on the market for the supply of childcare services. The review found that childcare markets under current market settings are not delivering on accessibility and affordability for all children and households across Australia. The report also notes that childcare services and government support and regulation (across different levels of government) are highly interconnected. A change to one aspect of the system can have wide-ranging impacts across the sector. Issues and policy responses cannot be considered in isolation and must be assessed across the whole childcare sector.</w:t>
      </w:r>
      <w:r w:rsidRPr="00180517">
        <w:rPr>
          <w:rStyle w:val="eop"/>
          <w:rFonts w:cs="Arial"/>
          <w:color w:val="000000"/>
        </w:rPr>
        <w:t> </w:t>
      </w:r>
    </w:p>
    <w:p w14:paraId="44A98237" w14:textId="77777777" w:rsidR="00344947" w:rsidRPr="00180517" w:rsidRDefault="00344947" w:rsidP="0031511B">
      <w:pPr>
        <w:numPr>
          <w:ilvl w:val="0"/>
          <w:numId w:val="4"/>
        </w:numPr>
        <w:rPr>
          <w:rFonts w:cs="Arial"/>
          <w:color w:val="000000"/>
        </w:rPr>
      </w:pPr>
      <w:r w:rsidRPr="00180517">
        <w:rPr>
          <w:rStyle w:val="normaltextrun"/>
          <w:rFonts w:cs="Arial"/>
          <w:b/>
          <w:bCs/>
          <w:i/>
          <w:iCs/>
          <w:color w:val="000000"/>
          <w:lang w:val="en-US"/>
        </w:rPr>
        <w:t>Review of Inclusion Support Program (Department of Education, 2023)</w:t>
      </w:r>
      <w:r w:rsidRPr="00180517">
        <w:rPr>
          <w:rStyle w:val="eop"/>
          <w:rFonts w:cs="Arial"/>
          <w:color w:val="000000"/>
        </w:rPr>
        <w:t> </w:t>
      </w:r>
      <w:r w:rsidRPr="00180517">
        <w:rPr>
          <w:rStyle w:val="FootnoteReference"/>
          <w:rFonts w:cs="Arial"/>
          <w:b/>
          <w:bCs/>
          <w:color w:val="000000"/>
        </w:rPr>
        <w:footnoteReference w:id="13"/>
      </w:r>
    </w:p>
    <w:p w14:paraId="35F56334" w14:textId="77777777" w:rsidR="00344947" w:rsidRPr="00180517" w:rsidRDefault="00344947" w:rsidP="00344947">
      <w:pPr>
        <w:ind w:left="357"/>
        <w:rPr>
          <w:rStyle w:val="eop"/>
          <w:rFonts w:cs="Arial"/>
          <w:color w:val="000000"/>
        </w:rPr>
      </w:pPr>
      <w:r w:rsidRPr="00180517">
        <w:rPr>
          <w:rStyle w:val="normaltextrun"/>
          <w:rFonts w:cs="Arial"/>
          <w:color w:val="000000"/>
          <w:lang w:val="en-US"/>
        </w:rPr>
        <w:t xml:space="preserve">This review by Deloitte Access Economics found that the Inclusion Support Program (ISP) was aligned with the broader government focus on inclusion and ECEC was not adequately connected or integrated with other Commonwealth and state inclusion and early intervention services or programs. It also found that although the ISP is intended to develop workforce capability, it is not optimised to do so. Instead, the supports provided tend to be interpreted and applied as relief or capacity measures. While ISP is intended to focus on a broad measure of inclusion, the program has a strong focus on disability and prioritises funding based on diagnosis. Further, it does not effectively allocate resources to proactively invest in capability building, reflective practice and service improvement. Program monitoring has a strong focus on payment acquittal and </w:t>
      </w:r>
      <w:r w:rsidRPr="00180517">
        <w:rPr>
          <w:rStyle w:val="normaltextrun"/>
          <w:rFonts w:cs="Arial"/>
          <w:color w:val="000000"/>
          <w:lang w:val="en-US"/>
        </w:rPr>
        <w:lastRenderedPageBreak/>
        <w:t>short-term KPIs; it is not presently focused on outcomes or practice improvement. </w:t>
      </w:r>
      <w:r w:rsidRPr="00180517">
        <w:rPr>
          <w:rStyle w:val="eop"/>
          <w:rFonts w:cs="Arial"/>
          <w:color w:val="000000"/>
        </w:rPr>
        <w:t> </w:t>
      </w:r>
    </w:p>
    <w:p w14:paraId="21EB98F6" w14:textId="77777777" w:rsidR="00344947" w:rsidRPr="00180517" w:rsidRDefault="00344947" w:rsidP="0031511B">
      <w:pPr>
        <w:numPr>
          <w:ilvl w:val="0"/>
          <w:numId w:val="4"/>
        </w:numPr>
        <w:rPr>
          <w:rFonts w:cs="Arial"/>
          <w:color w:val="000000"/>
        </w:rPr>
      </w:pPr>
      <w:r w:rsidRPr="00180517">
        <w:rPr>
          <w:rStyle w:val="normaltextrun"/>
          <w:rFonts w:cs="Arial"/>
          <w:b/>
          <w:bCs/>
          <w:i/>
          <w:iCs/>
          <w:color w:val="000000"/>
          <w:lang w:val="en-US"/>
        </w:rPr>
        <w:t>Productivity Commission Inquiry into the Early Childhood Education and Care Sector (2023-24)</w:t>
      </w:r>
      <w:r w:rsidRPr="00180517">
        <w:rPr>
          <w:rStyle w:val="eop"/>
          <w:rFonts w:cs="Arial"/>
          <w:color w:val="000000"/>
        </w:rPr>
        <w:t> </w:t>
      </w:r>
      <w:r w:rsidRPr="00180517">
        <w:rPr>
          <w:rStyle w:val="FootnoteReference"/>
          <w:rFonts w:cs="Arial"/>
          <w:b/>
          <w:bCs/>
          <w:color w:val="000000"/>
        </w:rPr>
        <w:footnoteReference w:id="14"/>
      </w:r>
    </w:p>
    <w:p w14:paraId="6657CB63" w14:textId="77777777" w:rsidR="00344947" w:rsidRPr="00180517" w:rsidRDefault="00344947" w:rsidP="00344947">
      <w:pPr>
        <w:ind w:left="357"/>
        <w:rPr>
          <w:rFonts w:cs="Arial"/>
          <w:color w:val="000000"/>
        </w:rPr>
      </w:pPr>
      <w:r w:rsidRPr="00180517">
        <w:rPr>
          <w:rStyle w:val="normaltextrun"/>
          <w:rFonts w:cs="Arial"/>
          <w:color w:val="000000"/>
          <w:lang w:val="en-US"/>
        </w:rPr>
        <w:t>Among other issues, the draft report from the Productivity Commission (2023) notes that ECEC services should be inclusive of all children, including those with disability and those from diverse cultural backgrounds. But current government supports fail to reach many children who require them. The report recommends that the Australian Government should significantly increase funding for the Inclusion Support Program and streamline the requirements of the program to expand its reach.</w:t>
      </w:r>
      <w:r w:rsidRPr="00180517">
        <w:rPr>
          <w:rStyle w:val="eop"/>
          <w:rFonts w:cs="Arial"/>
          <w:color w:val="000000"/>
        </w:rPr>
        <w:t> </w:t>
      </w:r>
    </w:p>
    <w:p w14:paraId="512293BE" w14:textId="77777777" w:rsidR="00344947" w:rsidRPr="00180517" w:rsidRDefault="00344947" w:rsidP="0031511B">
      <w:pPr>
        <w:numPr>
          <w:ilvl w:val="0"/>
          <w:numId w:val="4"/>
        </w:numPr>
        <w:rPr>
          <w:rFonts w:cs="Arial"/>
          <w:color w:val="000000"/>
        </w:rPr>
      </w:pPr>
      <w:r w:rsidRPr="00180517">
        <w:rPr>
          <w:rStyle w:val="normaltextrun"/>
          <w:rFonts w:cs="Arial"/>
          <w:b/>
          <w:bCs/>
          <w:i/>
          <w:iCs/>
          <w:color w:val="000000"/>
        </w:rPr>
        <w:t>Belonging, Being and Becoming — The Early Years Learning Framework for Australia V2.0 (2022)</w:t>
      </w:r>
      <w:r w:rsidRPr="00180517">
        <w:rPr>
          <w:rStyle w:val="eop"/>
          <w:rFonts w:cs="Arial"/>
          <w:b/>
          <w:bCs/>
          <w:color w:val="000000"/>
        </w:rPr>
        <w:t> </w:t>
      </w:r>
      <w:r w:rsidRPr="00180517">
        <w:rPr>
          <w:rStyle w:val="FootnoteReference"/>
          <w:rFonts w:cs="Arial"/>
          <w:b/>
          <w:bCs/>
          <w:color w:val="000000"/>
        </w:rPr>
        <w:footnoteReference w:id="15"/>
      </w:r>
    </w:p>
    <w:p w14:paraId="368AC6C0" w14:textId="77777777" w:rsidR="00344947" w:rsidRPr="00180517" w:rsidRDefault="00344947" w:rsidP="00344947">
      <w:pPr>
        <w:ind w:left="360"/>
        <w:rPr>
          <w:rFonts w:cs="Arial"/>
          <w:color w:val="000000"/>
        </w:rPr>
      </w:pPr>
      <w:r w:rsidRPr="00180517">
        <w:rPr>
          <w:rStyle w:val="normaltextrun"/>
          <w:rFonts w:cs="Arial"/>
          <w:color w:val="000000"/>
        </w:rPr>
        <w:t xml:space="preserve">This Framework provides broad direction for early childhood educators to facilitate all children’s learning, development and wellbeing and ensure children are supported, celebrated, and connected to their community. Fundamental to the Framework is a view of children’s lives as characterised by </w:t>
      </w:r>
      <w:r w:rsidRPr="00180517">
        <w:rPr>
          <w:rStyle w:val="normaltextrun"/>
          <w:rFonts w:cs="Arial"/>
          <w:i/>
          <w:iCs/>
          <w:color w:val="000000"/>
        </w:rPr>
        <w:t>belonging, being</w:t>
      </w:r>
      <w:r w:rsidRPr="00180517">
        <w:rPr>
          <w:rStyle w:val="normaltextrun"/>
          <w:rFonts w:cs="Arial"/>
          <w:color w:val="000000"/>
        </w:rPr>
        <w:t xml:space="preserve"> and </w:t>
      </w:r>
      <w:r w:rsidRPr="00180517">
        <w:rPr>
          <w:rStyle w:val="normaltextrun"/>
          <w:rFonts w:cs="Arial"/>
          <w:i/>
          <w:iCs/>
          <w:color w:val="000000"/>
        </w:rPr>
        <w:t>becoming</w:t>
      </w:r>
      <w:r w:rsidRPr="00180517">
        <w:rPr>
          <w:rStyle w:val="normaltextrun"/>
          <w:rFonts w:cs="Arial"/>
          <w:color w:val="000000"/>
        </w:rPr>
        <w:t>. </w:t>
      </w:r>
      <w:r w:rsidRPr="00180517">
        <w:rPr>
          <w:rStyle w:val="eop"/>
          <w:rFonts w:cs="Arial"/>
          <w:color w:val="000000"/>
        </w:rPr>
        <w:t> </w:t>
      </w:r>
    </w:p>
    <w:p w14:paraId="04F78EB8" w14:textId="77777777" w:rsidR="00344947" w:rsidRPr="00180517" w:rsidRDefault="00344947" w:rsidP="0031511B">
      <w:pPr>
        <w:pStyle w:val="ListParagraph"/>
        <w:numPr>
          <w:ilvl w:val="0"/>
          <w:numId w:val="11"/>
        </w:numPr>
        <w:contextualSpacing w:val="0"/>
        <w:rPr>
          <w:rFonts w:cs="Arial"/>
          <w:color w:val="000000"/>
        </w:rPr>
      </w:pPr>
      <w:r w:rsidRPr="00180517">
        <w:rPr>
          <w:rStyle w:val="normaltextrun"/>
          <w:rFonts w:cs="Arial"/>
          <w:i/>
          <w:iCs/>
          <w:color w:val="000000"/>
        </w:rPr>
        <w:t>Belonging.</w:t>
      </w:r>
      <w:r w:rsidRPr="00180517">
        <w:rPr>
          <w:rStyle w:val="normaltextrun"/>
          <w:rFonts w:cs="Arial"/>
          <w:color w:val="000000"/>
        </w:rPr>
        <w:t xml:space="preserve"> Experiencing belonging – knowing where and with whom you belong – is integral to human existence. Children belong to diverse families, neighbourhoods, local and global communities. Belonging acknowledges children’s interdependence with others and the basis of relationships in defining identities. In early childhood, and throughout life, trusting relationships and affirming experiences are crucial to a sense of belonging. Belonging is central to being and becoming in that it shapes who children are and who they can become. </w:t>
      </w:r>
      <w:r w:rsidRPr="00180517">
        <w:rPr>
          <w:rStyle w:val="eop"/>
          <w:rFonts w:cs="Arial"/>
          <w:color w:val="000000"/>
        </w:rPr>
        <w:t> </w:t>
      </w:r>
    </w:p>
    <w:p w14:paraId="282AC997" w14:textId="77777777" w:rsidR="00344947" w:rsidRPr="00180517" w:rsidRDefault="00344947" w:rsidP="0031511B">
      <w:pPr>
        <w:pStyle w:val="ListParagraph"/>
        <w:numPr>
          <w:ilvl w:val="0"/>
          <w:numId w:val="11"/>
        </w:numPr>
        <w:contextualSpacing w:val="0"/>
        <w:rPr>
          <w:rFonts w:cs="Arial"/>
          <w:color w:val="000000"/>
        </w:rPr>
      </w:pPr>
      <w:r w:rsidRPr="00180517">
        <w:rPr>
          <w:rStyle w:val="normaltextrun"/>
          <w:rFonts w:cs="Arial"/>
          <w:i/>
          <w:iCs/>
          <w:color w:val="000000"/>
        </w:rPr>
        <w:t>Being.</w:t>
      </w:r>
      <w:r w:rsidRPr="00180517">
        <w:rPr>
          <w:rStyle w:val="normaltextrun"/>
          <w:rFonts w:cs="Arial"/>
          <w:color w:val="000000"/>
        </w:rPr>
        <w:t xml:space="preserve"> Childhood is a time to be, to seek and make meaning of the world. Being recognises the significance of the present, as well as the past in children’s lives. It is about children knowing themselves, developing their identity, building and maintaining relationships with others, engaging with life’s joys and complexities, and meeting challenges in everyday life. The early childhood years are not solely preparation for the future but also about children being in the here and now. </w:t>
      </w:r>
      <w:r w:rsidRPr="00180517">
        <w:rPr>
          <w:rStyle w:val="eop"/>
          <w:rFonts w:cs="Arial"/>
          <w:color w:val="000000"/>
        </w:rPr>
        <w:t> </w:t>
      </w:r>
    </w:p>
    <w:p w14:paraId="0C8467CC" w14:textId="5C4FEE21" w:rsidR="00344947" w:rsidRPr="00180517" w:rsidRDefault="00344947" w:rsidP="0031511B">
      <w:pPr>
        <w:pStyle w:val="ListParagraph"/>
        <w:numPr>
          <w:ilvl w:val="0"/>
          <w:numId w:val="11"/>
        </w:numPr>
        <w:contextualSpacing w:val="0"/>
        <w:rPr>
          <w:rFonts w:eastAsia="Times New Roman" w:cs="Arial"/>
          <w:b/>
          <w:bCs/>
          <w:i/>
          <w:iCs/>
          <w:lang w:val="en-US"/>
        </w:rPr>
      </w:pPr>
      <w:r w:rsidRPr="00180517">
        <w:rPr>
          <w:rStyle w:val="normaltextrun"/>
          <w:rFonts w:cs="Arial"/>
          <w:i/>
          <w:iCs/>
          <w:color w:val="000000"/>
        </w:rPr>
        <w:t>Becoming.</w:t>
      </w:r>
      <w:r w:rsidRPr="00180517">
        <w:rPr>
          <w:rStyle w:val="normaltextrun"/>
          <w:rFonts w:cs="Arial"/>
          <w:color w:val="000000"/>
        </w:rPr>
        <w:t xml:space="preserve"> Children’s identities, knowledge, understandings, dispositions, capabilities, skills and relationships change during childhood. They are shaped by different events and circumstances. Becoming reflects this process of rapid and significant change that occurs in the early years as children learn and grow. It emphasises the collaboration of educators, families and children to support and enhance children’s connections and capabilities, and for children to actively participate as citizens.</w:t>
      </w:r>
      <w:r w:rsidRPr="00180517">
        <w:rPr>
          <w:rStyle w:val="eop"/>
          <w:rFonts w:cs="Arial"/>
          <w:color w:val="000000"/>
        </w:rPr>
        <w:t> </w:t>
      </w:r>
      <w:r w:rsidR="00711AF4">
        <w:rPr>
          <w:rStyle w:val="eop"/>
          <w:rFonts w:cs="Arial"/>
          <w:color w:val="000000"/>
        </w:rPr>
        <w:br/>
      </w:r>
      <w:r w:rsidR="00711AF4">
        <w:rPr>
          <w:rStyle w:val="eop"/>
          <w:rFonts w:cs="Arial"/>
          <w:color w:val="000000"/>
        </w:rPr>
        <w:br/>
      </w:r>
    </w:p>
    <w:p w14:paraId="4E8EAA97" w14:textId="77777777" w:rsidR="00344947" w:rsidRPr="00180517" w:rsidRDefault="00344947" w:rsidP="0031511B">
      <w:pPr>
        <w:numPr>
          <w:ilvl w:val="0"/>
          <w:numId w:val="4"/>
        </w:numPr>
        <w:rPr>
          <w:rFonts w:eastAsia="Times New Roman" w:cs="Arial"/>
          <w:b/>
          <w:bCs/>
          <w:i/>
          <w:iCs/>
          <w:lang w:val="en-US"/>
        </w:rPr>
      </w:pPr>
      <w:r w:rsidRPr="00180517">
        <w:rPr>
          <w:rStyle w:val="normaltextrun"/>
          <w:rFonts w:cs="Arial"/>
          <w:b/>
          <w:bCs/>
          <w:i/>
          <w:iCs/>
          <w:color w:val="000000"/>
        </w:rPr>
        <w:lastRenderedPageBreak/>
        <w:t>The Nest (ARACY, 2014</w:t>
      </w:r>
      <w:r w:rsidRPr="00180517">
        <w:rPr>
          <w:rStyle w:val="normaltextrun"/>
          <w:rFonts w:cs="Arial"/>
          <w:b/>
          <w:bCs/>
          <w:color w:val="000000"/>
        </w:rPr>
        <w:t xml:space="preserve">) </w:t>
      </w:r>
      <w:r w:rsidRPr="00180517">
        <w:rPr>
          <w:rStyle w:val="FootnoteReference"/>
          <w:rFonts w:eastAsia="Times New Roman" w:cs="Arial"/>
          <w:b/>
          <w:bCs/>
          <w:lang w:val="en-US"/>
        </w:rPr>
        <w:footnoteReference w:id="16"/>
      </w:r>
    </w:p>
    <w:p w14:paraId="52334682" w14:textId="77777777" w:rsidR="00344947" w:rsidRPr="00180517" w:rsidRDefault="00344947" w:rsidP="00344947">
      <w:pPr>
        <w:ind w:left="357"/>
        <w:rPr>
          <w:rFonts w:cs="Arial"/>
          <w:color w:val="000000"/>
        </w:rPr>
      </w:pPr>
      <w:r w:rsidRPr="00180517">
        <w:rPr>
          <w:rStyle w:val="normaltextrun"/>
          <w:rFonts w:cs="Arial"/>
          <w:color w:val="000000"/>
        </w:rPr>
        <w:t xml:space="preserve">Developed by the Australian Research Alliance for Children and Youth (ARACY), The Nest is a national plan for child and youth wellbeing. It’s shared vision for Australia’s children and youth (aged 0-24) is an Australia where </w:t>
      </w:r>
      <w:r w:rsidRPr="00180517">
        <w:rPr>
          <w:rStyle w:val="normaltextrun"/>
          <w:rFonts w:cs="Arial"/>
          <w:i/>
          <w:iCs/>
          <w:color w:val="000000"/>
        </w:rPr>
        <w:t>All young people are loved and safe, have material basics, are healthy, are learning and participating and have a positive sense of identity and culture</w:t>
      </w:r>
      <w:r w:rsidRPr="00180517">
        <w:rPr>
          <w:rStyle w:val="normaltextrun"/>
          <w:rFonts w:cs="Arial"/>
          <w:color w:val="000000"/>
        </w:rPr>
        <w:t>. This vision applies to all Australian children and youth, regardless of age, gender, ability, ethnicity, race and socio-economic status.</w:t>
      </w:r>
      <w:r w:rsidRPr="00180517">
        <w:rPr>
          <w:rStyle w:val="eop"/>
          <w:rFonts w:cs="Arial"/>
          <w:color w:val="000000"/>
        </w:rPr>
        <w:t> </w:t>
      </w:r>
    </w:p>
    <w:p w14:paraId="1424D966" w14:textId="77777777" w:rsidR="00344947" w:rsidRPr="00180517" w:rsidRDefault="00344947" w:rsidP="00344947">
      <w:pPr>
        <w:ind w:left="360"/>
        <w:rPr>
          <w:rFonts w:cs="Arial"/>
          <w:color w:val="000000"/>
        </w:rPr>
      </w:pPr>
      <w:r w:rsidRPr="00180517">
        <w:rPr>
          <w:rStyle w:val="normaltextrun"/>
          <w:rFonts w:cs="Arial"/>
          <w:color w:val="000000"/>
        </w:rPr>
        <w:t>The Nest identifies six child outcomes: </w:t>
      </w:r>
      <w:r w:rsidRPr="00180517">
        <w:rPr>
          <w:rStyle w:val="eop"/>
          <w:rFonts w:cs="Arial"/>
          <w:color w:val="000000"/>
        </w:rPr>
        <w:t> </w:t>
      </w:r>
    </w:p>
    <w:p w14:paraId="64B4CE4E" w14:textId="77777777" w:rsidR="00344947" w:rsidRPr="00180517" w:rsidRDefault="00344947" w:rsidP="0031511B">
      <w:pPr>
        <w:pStyle w:val="ListParagraph"/>
        <w:numPr>
          <w:ilvl w:val="0"/>
          <w:numId w:val="7"/>
        </w:numPr>
        <w:contextualSpacing w:val="0"/>
        <w:rPr>
          <w:rFonts w:cs="Arial"/>
          <w:color w:val="000000"/>
        </w:rPr>
      </w:pPr>
      <w:r w:rsidRPr="00180517">
        <w:rPr>
          <w:rStyle w:val="normaltextrun"/>
          <w:rFonts w:cs="Arial"/>
          <w:i/>
          <w:iCs/>
          <w:color w:val="000000"/>
        </w:rPr>
        <w:t>Valued, loved and safe</w:t>
      </w:r>
      <w:r w:rsidRPr="00180517">
        <w:rPr>
          <w:rStyle w:val="normaltextrun"/>
          <w:rFonts w:cs="Arial"/>
          <w:color w:val="000000"/>
        </w:rPr>
        <w:t xml:space="preserve"> - feels loved and secure, and aware environment is protected</w:t>
      </w:r>
      <w:r w:rsidRPr="00180517">
        <w:rPr>
          <w:rStyle w:val="eop"/>
          <w:rFonts w:cs="Arial"/>
          <w:color w:val="000000"/>
        </w:rPr>
        <w:t> </w:t>
      </w:r>
    </w:p>
    <w:p w14:paraId="075B85A5" w14:textId="77777777" w:rsidR="00344947" w:rsidRPr="00180517" w:rsidRDefault="00344947" w:rsidP="0031511B">
      <w:pPr>
        <w:pStyle w:val="ListParagraph"/>
        <w:numPr>
          <w:ilvl w:val="0"/>
          <w:numId w:val="7"/>
        </w:numPr>
        <w:contextualSpacing w:val="0"/>
        <w:rPr>
          <w:rFonts w:cs="Arial"/>
          <w:color w:val="000000"/>
        </w:rPr>
      </w:pPr>
      <w:r w:rsidRPr="00180517">
        <w:rPr>
          <w:rStyle w:val="normaltextrun"/>
          <w:rFonts w:cs="Arial"/>
          <w:i/>
          <w:iCs/>
          <w:color w:val="000000"/>
        </w:rPr>
        <w:t>Material basics</w:t>
      </w:r>
      <w:r w:rsidRPr="00180517">
        <w:rPr>
          <w:rStyle w:val="normaltextrun"/>
          <w:rFonts w:cs="Arial"/>
          <w:color w:val="000000"/>
        </w:rPr>
        <w:t xml:space="preserve"> – feels provided for</w:t>
      </w:r>
      <w:r w:rsidRPr="00180517">
        <w:rPr>
          <w:rStyle w:val="eop"/>
          <w:rFonts w:cs="Arial"/>
          <w:color w:val="000000"/>
        </w:rPr>
        <w:t> </w:t>
      </w:r>
    </w:p>
    <w:p w14:paraId="5D22AF5B" w14:textId="77777777" w:rsidR="00344947" w:rsidRPr="00180517" w:rsidRDefault="00344947" w:rsidP="0031511B">
      <w:pPr>
        <w:pStyle w:val="ListParagraph"/>
        <w:numPr>
          <w:ilvl w:val="0"/>
          <w:numId w:val="7"/>
        </w:numPr>
        <w:contextualSpacing w:val="0"/>
        <w:rPr>
          <w:rFonts w:cs="Arial"/>
          <w:color w:val="000000"/>
        </w:rPr>
      </w:pPr>
      <w:r w:rsidRPr="00180517">
        <w:rPr>
          <w:rStyle w:val="normaltextrun"/>
          <w:rFonts w:cs="Arial"/>
          <w:i/>
          <w:iCs/>
          <w:color w:val="000000"/>
        </w:rPr>
        <w:t>Healthy</w:t>
      </w:r>
      <w:r w:rsidRPr="00180517">
        <w:rPr>
          <w:rStyle w:val="normaltextrun"/>
          <w:rFonts w:cs="Arial"/>
          <w:color w:val="000000"/>
        </w:rPr>
        <w:t xml:space="preserve"> - emotionally and mentally well and supported, and physically healthy and active</w:t>
      </w:r>
      <w:r w:rsidRPr="00180517">
        <w:rPr>
          <w:rStyle w:val="eop"/>
          <w:rFonts w:cs="Arial"/>
          <w:color w:val="000000"/>
        </w:rPr>
        <w:t> </w:t>
      </w:r>
    </w:p>
    <w:p w14:paraId="16AE1A8A" w14:textId="77777777" w:rsidR="00344947" w:rsidRPr="00180517" w:rsidRDefault="00344947" w:rsidP="0031511B">
      <w:pPr>
        <w:pStyle w:val="ListParagraph"/>
        <w:numPr>
          <w:ilvl w:val="0"/>
          <w:numId w:val="7"/>
        </w:numPr>
        <w:contextualSpacing w:val="0"/>
        <w:rPr>
          <w:rFonts w:cs="Arial"/>
          <w:color w:val="000000"/>
        </w:rPr>
      </w:pPr>
      <w:r w:rsidRPr="00180517">
        <w:rPr>
          <w:rStyle w:val="normaltextrun"/>
          <w:rFonts w:cs="Arial"/>
          <w:i/>
          <w:iCs/>
          <w:color w:val="000000"/>
        </w:rPr>
        <w:t>Learning</w:t>
      </w:r>
      <w:r w:rsidRPr="00180517">
        <w:rPr>
          <w:rStyle w:val="normaltextrun"/>
          <w:rFonts w:cs="Arial"/>
          <w:color w:val="000000"/>
        </w:rPr>
        <w:t xml:space="preserve"> - goes to school or early education and enjoys learning</w:t>
      </w:r>
      <w:r w:rsidRPr="00180517">
        <w:rPr>
          <w:rStyle w:val="eop"/>
          <w:rFonts w:cs="Arial"/>
          <w:color w:val="000000"/>
        </w:rPr>
        <w:t> </w:t>
      </w:r>
    </w:p>
    <w:p w14:paraId="303CE9DD" w14:textId="77777777" w:rsidR="00344947" w:rsidRPr="00180517" w:rsidRDefault="00344947" w:rsidP="0031511B">
      <w:pPr>
        <w:pStyle w:val="ListParagraph"/>
        <w:numPr>
          <w:ilvl w:val="0"/>
          <w:numId w:val="7"/>
        </w:numPr>
        <w:contextualSpacing w:val="0"/>
        <w:rPr>
          <w:rFonts w:cs="Arial"/>
          <w:color w:val="000000"/>
        </w:rPr>
      </w:pPr>
      <w:r w:rsidRPr="00180517">
        <w:rPr>
          <w:rStyle w:val="normaltextrun"/>
          <w:rFonts w:cs="Arial"/>
          <w:i/>
          <w:iCs/>
          <w:color w:val="000000"/>
        </w:rPr>
        <w:t xml:space="preserve">Participating - </w:t>
      </w:r>
      <w:r w:rsidRPr="00180517">
        <w:rPr>
          <w:rStyle w:val="normaltextrun"/>
          <w:rFonts w:cs="Arial"/>
          <w:color w:val="000000"/>
        </w:rPr>
        <w:t>feels heard, plays, and has opportunities to have a say</w:t>
      </w:r>
      <w:r w:rsidRPr="00180517">
        <w:rPr>
          <w:rStyle w:val="eop"/>
          <w:rFonts w:cs="Arial"/>
          <w:color w:val="000000"/>
        </w:rPr>
        <w:t> </w:t>
      </w:r>
    </w:p>
    <w:p w14:paraId="2BE492EF" w14:textId="77777777" w:rsidR="00344947" w:rsidRPr="00180517" w:rsidRDefault="00344947" w:rsidP="0031511B">
      <w:pPr>
        <w:pStyle w:val="ListParagraph"/>
        <w:numPr>
          <w:ilvl w:val="0"/>
          <w:numId w:val="7"/>
        </w:numPr>
        <w:contextualSpacing w:val="0"/>
        <w:rPr>
          <w:rFonts w:cs="Arial"/>
          <w:color w:val="000000"/>
        </w:rPr>
      </w:pPr>
      <w:r w:rsidRPr="00180517">
        <w:rPr>
          <w:rStyle w:val="normaltextrun"/>
          <w:rFonts w:cs="Arial"/>
          <w:i/>
          <w:iCs/>
          <w:color w:val="000000"/>
        </w:rPr>
        <w:t>Positive sense of identity and culture</w:t>
      </w:r>
      <w:r w:rsidRPr="00180517">
        <w:rPr>
          <w:rStyle w:val="normaltextrun"/>
          <w:rFonts w:cs="Arial"/>
          <w:color w:val="000000"/>
        </w:rPr>
        <w:t xml:space="preserve"> - belonging, positive sense of self, and positive cultural and spiritual identity.</w:t>
      </w:r>
      <w:r w:rsidRPr="00180517">
        <w:rPr>
          <w:rStyle w:val="eop"/>
          <w:rFonts w:cs="Arial"/>
          <w:color w:val="000000"/>
        </w:rPr>
        <w:t> </w:t>
      </w:r>
    </w:p>
    <w:p w14:paraId="7AE5B7E2" w14:textId="77777777" w:rsidR="00344947" w:rsidRPr="00180517" w:rsidRDefault="00344947" w:rsidP="0031511B">
      <w:pPr>
        <w:numPr>
          <w:ilvl w:val="0"/>
          <w:numId w:val="4"/>
        </w:numPr>
        <w:shd w:val="clear" w:color="auto" w:fill="FFFFFF"/>
        <w:ind w:left="357"/>
        <w:rPr>
          <w:rFonts w:eastAsia="Times New Roman" w:cs="Arial"/>
          <w:i/>
          <w:iCs/>
          <w:lang w:eastAsia="en-AU"/>
        </w:rPr>
      </w:pPr>
      <w:r w:rsidRPr="00180517">
        <w:rPr>
          <w:rStyle w:val="normaltextrun"/>
          <w:rFonts w:cs="Arial"/>
          <w:b/>
          <w:bCs/>
          <w:i/>
          <w:iCs/>
          <w:color w:val="000000"/>
        </w:rPr>
        <w:t xml:space="preserve">The Alice Springs (Mparntwe) Education Declaration (2020) </w:t>
      </w:r>
      <w:r w:rsidRPr="00180517">
        <w:rPr>
          <w:rStyle w:val="FootnoteReference"/>
          <w:rFonts w:cs="Arial"/>
          <w:b/>
          <w:bCs/>
        </w:rPr>
        <w:footnoteReference w:id="17"/>
      </w:r>
    </w:p>
    <w:p w14:paraId="59CC49DE" w14:textId="77777777" w:rsidR="00344947" w:rsidRPr="00180517" w:rsidRDefault="00344947" w:rsidP="00344947">
      <w:pPr>
        <w:shd w:val="clear" w:color="auto" w:fill="FFFFFF"/>
        <w:ind w:left="357"/>
        <w:rPr>
          <w:rFonts w:eastAsia="Times New Roman" w:cs="Arial"/>
          <w:i/>
          <w:iCs/>
          <w:lang w:eastAsia="en-AU"/>
        </w:rPr>
      </w:pPr>
      <w:r w:rsidRPr="00180517">
        <w:rPr>
          <w:rStyle w:val="normaltextrun"/>
          <w:rFonts w:cs="Arial"/>
          <w:color w:val="000000"/>
        </w:rPr>
        <w:t>This Declaration sets out a vision for a world class education system that encourages and supports every student to be the very best they can be, no matter where they live or what kind of learning challenges they may face. The Declaration places students at the centre of their education by emphasising the importance of meeting the individual needs of all learners, and outlines education’s role in supporting the wellbeing, mental health and resilience of young people.</w:t>
      </w:r>
      <w:r w:rsidRPr="00180517">
        <w:rPr>
          <w:rStyle w:val="eop"/>
          <w:rFonts w:cs="Arial"/>
          <w:color w:val="000000"/>
        </w:rPr>
        <w:t> </w:t>
      </w:r>
    </w:p>
    <w:p w14:paraId="0D3AB1BA" w14:textId="77777777" w:rsidR="00344947" w:rsidRPr="00180517" w:rsidRDefault="00344947" w:rsidP="00344947">
      <w:pPr>
        <w:ind w:left="360"/>
        <w:rPr>
          <w:rFonts w:cs="Arial"/>
          <w:color w:val="000000"/>
        </w:rPr>
      </w:pPr>
      <w:r w:rsidRPr="00180517">
        <w:rPr>
          <w:rStyle w:val="normaltextrun"/>
          <w:rFonts w:cs="Arial"/>
          <w:color w:val="000000"/>
        </w:rPr>
        <w:t>The Declaration has two distinct but interconnected goals: </w:t>
      </w:r>
      <w:r w:rsidRPr="00180517">
        <w:rPr>
          <w:rStyle w:val="eop"/>
          <w:rFonts w:cs="Arial"/>
          <w:color w:val="000000"/>
        </w:rPr>
        <w:t> </w:t>
      </w:r>
    </w:p>
    <w:p w14:paraId="1FC0EB83" w14:textId="77777777" w:rsidR="00344947" w:rsidRPr="00180517" w:rsidRDefault="00344947" w:rsidP="0031511B">
      <w:pPr>
        <w:pStyle w:val="ListParagraph"/>
        <w:numPr>
          <w:ilvl w:val="0"/>
          <w:numId w:val="8"/>
        </w:numPr>
        <w:contextualSpacing w:val="0"/>
        <w:rPr>
          <w:rFonts w:cs="Arial"/>
          <w:color w:val="000000"/>
        </w:rPr>
      </w:pPr>
      <w:r w:rsidRPr="00180517">
        <w:rPr>
          <w:rStyle w:val="normaltextrun"/>
          <w:rFonts w:cs="Arial"/>
          <w:color w:val="000000"/>
        </w:rPr>
        <w:t>The Australian education system promotes excellence and equity </w:t>
      </w:r>
      <w:r w:rsidRPr="00180517">
        <w:rPr>
          <w:rStyle w:val="eop"/>
          <w:rFonts w:cs="Arial"/>
          <w:color w:val="000000"/>
        </w:rPr>
        <w:t> </w:t>
      </w:r>
    </w:p>
    <w:p w14:paraId="4717CA3F" w14:textId="77777777" w:rsidR="00344947" w:rsidRPr="00180517" w:rsidRDefault="00344947" w:rsidP="0031511B">
      <w:pPr>
        <w:pStyle w:val="ListParagraph"/>
        <w:numPr>
          <w:ilvl w:val="0"/>
          <w:numId w:val="8"/>
        </w:numPr>
        <w:contextualSpacing w:val="0"/>
        <w:rPr>
          <w:rFonts w:cs="Arial"/>
          <w:color w:val="000000"/>
        </w:rPr>
      </w:pPr>
      <w:r w:rsidRPr="00180517">
        <w:rPr>
          <w:rStyle w:val="normaltextrun"/>
          <w:rFonts w:cs="Arial"/>
          <w:color w:val="000000"/>
        </w:rPr>
        <w:t>All young Australians become confident and creative individuals, successful lifelong learners, and active and informed members of the community.</w:t>
      </w:r>
      <w:r w:rsidRPr="00180517">
        <w:rPr>
          <w:rStyle w:val="eop"/>
          <w:rFonts w:cs="Arial"/>
          <w:color w:val="000000"/>
        </w:rPr>
        <w:t> </w:t>
      </w:r>
    </w:p>
    <w:p w14:paraId="76B69B90" w14:textId="77777777" w:rsidR="00344947" w:rsidRPr="00180517" w:rsidRDefault="00344947" w:rsidP="00344947">
      <w:pPr>
        <w:ind w:left="357"/>
        <w:rPr>
          <w:rFonts w:cs="Arial"/>
          <w:color w:val="000000"/>
        </w:rPr>
      </w:pPr>
      <w:r w:rsidRPr="00180517">
        <w:rPr>
          <w:rStyle w:val="normaltextrun"/>
          <w:rFonts w:cs="Arial"/>
          <w:color w:val="000000"/>
        </w:rPr>
        <w:t>Through the Declaration, Australian Governments also renewed their commitment to celebrating and learning from Aboriginal and Torres Strait Islander cultures, knowledge and histories and ensuring that Aboriginal and Torres Strait Islander peoples are supported to imagine, discover and unlock their potential.</w:t>
      </w:r>
      <w:r w:rsidRPr="00180517">
        <w:rPr>
          <w:rStyle w:val="eop"/>
          <w:rFonts w:cs="Arial"/>
          <w:color w:val="000000"/>
        </w:rPr>
        <w:t> </w:t>
      </w:r>
    </w:p>
    <w:p w14:paraId="567AEADB" w14:textId="77777777" w:rsidR="00344947" w:rsidRPr="00180517" w:rsidRDefault="00344947" w:rsidP="0031511B">
      <w:pPr>
        <w:numPr>
          <w:ilvl w:val="0"/>
          <w:numId w:val="4"/>
        </w:numPr>
        <w:rPr>
          <w:rFonts w:cs="Arial"/>
          <w:color w:val="000000"/>
        </w:rPr>
      </w:pPr>
      <w:r w:rsidRPr="00180517">
        <w:rPr>
          <w:rStyle w:val="normaltextrun"/>
          <w:rFonts w:cs="Arial"/>
          <w:b/>
          <w:bCs/>
          <w:i/>
          <w:iCs/>
          <w:color w:val="000000"/>
        </w:rPr>
        <w:lastRenderedPageBreak/>
        <w:t xml:space="preserve">Safe and Supported: National Framework for Protecting Australia’s Children 2021 </w:t>
      </w:r>
      <w:r w:rsidRPr="00180517">
        <w:rPr>
          <w:rStyle w:val="normaltextrun"/>
          <w:rFonts w:cs="Arial"/>
          <w:b/>
          <w:bCs/>
          <w:i/>
          <w:iCs/>
          <w:color w:val="000000"/>
          <w:lang w:val="en-US"/>
        </w:rPr>
        <w:t>–</w:t>
      </w:r>
      <w:r w:rsidRPr="00180517">
        <w:rPr>
          <w:rStyle w:val="normaltextrun"/>
          <w:rFonts w:cs="Arial"/>
          <w:b/>
          <w:bCs/>
          <w:i/>
          <w:iCs/>
          <w:color w:val="000000"/>
        </w:rPr>
        <w:t xml:space="preserve"> 2031</w:t>
      </w:r>
      <w:r w:rsidRPr="00180517">
        <w:rPr>
          <w:rStyle w:val="eop"/>
          <w:rFonts w:cs="Arial"/>
          <w:b/>
          <w:bCs/>
          <w:color w:val="000000"/>
        </w:rPr>
        <w:t> </w:t>
      </w:r>
      <w:r w:rsidRPr="00180517">
        <w:rPr>
          <w:rStyle w:val="FootnoteReference"/>
          <w:rFonts w:cs="Arial"/>
          <w:b/>
          <w:bCs/>
          <w:color w:val="000000"/>
        </w:rPr>
        <w:footnoteReference w:id="18"/>
      </w:r>
    </w:p>
    <w:p w14:paraId="4490C407" w14:textId="4B0B3ACB" w:rsidR="00344947" w:rsidRPr="00180517" w:rsidRDefault="00344947" w:rsidP="00344947">
      <w:pPr>
        <w:ind w:left="357"/>
        <w:rPr>
          <w:rFonts w:cs="Arial"/>
          <w:color w:val="000000"/>
        </w:rPr>
      </w:pPr>
      <w:r w:rsidRPr="00180517">
        <w:rPr>
          <w:rStyle w:val="normaltextrun"/>
          <w:rFonts w:cs="Arial"/>
          <w:color w:val="000000"/>
          <w:lang w:val="en-US"/>
        </w:rPr>
        <w:t>Safe and Supported sets out how all governments, Aboriginal and Torres Strait Islander leaders, the non-government sector and the Australian community will work together to help children, young people and families in need of support. The focus areas are: a</w:t>
      </w:r>
      <w:r w:rsidRPr="00180517">
        <w:rPr>
          <w:rStyle w:val="normaltextrun"/>
          <w:rFonts w:cs="Arial"/>
          <w:color w:val="000000"/>
        </w:rPr>
        <w:t xml:space="preserve"> national approach to early intervention and targeted support for children and families experiencing vulnerability or disadvantage</w:t>
      </w:r>
      <w:r w:rsidRPr="00180517">
        <w:rPr>
          <w:rStyle w:val="normaltextrun"/>
          <w:rFonts w:cs="Arial"/>
          <w:color w:val="000000"/>
          <w:lang w:val="en-US"/>
        </w:rPr>
        <w:t xml:space="preserve">; </w:t>
      </w:r>
      <w:r w:rsidRPr="00180517">
        <w:rPr>
          <w:rStyle w:val="normaltextrun"/>
          <w:rFonts w:cs="Arial"/>
          <w:color w:val="000000"/>
        </w:rPr>
        <w:t>addressing the over-representation of Aboriginal and Torres Strait Islander children in child protection systems</w:t>
      </w:r>
      <w:r w:rsidRPr="00180517">
        <w:rPr>
          <w:rStyle w:val="normaltextrun"/>
          <w:rFonts w:cs="Arial"/>
          <w:color w:val="000000"/>
          <w:lang w:val="en-US"/>
        </w:rPr>
        <w:t xml:space="preserve">; </w:t>
      </w:r>
      <w:r w:rsidR="00D3224D">
        <w:rPr>
          <w:rStyle w:val="normaltextrun"/>
          <w:rFonts w:cs="Arial"/>
          <w:color w:val="000000"/>
          <w:lang w:val="en-US"/>
        </w:rPr>
        <w:t>improving</w:t>
      </w:r>
      <w:r w:rsidRPr="00180517">
        <w:rPr>
          <w:rStyle w:val="normaltextrun"/>
          <w:rFonts w:cs="Arial"/>
          <w:color w:val="000000"/>
        </w:rPr>
        <w:t xml:space="preserve"> information sharing, data development and analysis</w:t>
      </w:r>
      <w:r w:rsidRPr="00180517">
        <w:rPr>
          <w:rStyle w:val="normaltextrun"/>
          <w:rFonts w:cs="Arial"/>
          <w:color w:val="000000"/>
          <w:lang w:val="en-US"/>
        </w:rPr>
        <w:t xml:space="preserve">; and </w:t>
      </w:r>
      <w:r w:rsidRPr="00180517">
        <w:rPr>
          <w:rStyle w:val="normaltextrun"/>
          <w:rFonts w:cs="Arial"/>
          <w:color w:val="000000"/>
        </w:rPr>
        <w:t>strengthening the child and family sector and workforce capability.</w:t>
      </w:r>
      <w:r w:rsidRPr="00180517">
        <w:rPr>
          <w:rStyle w:val="normaltextrun"/>
          <w:rFonts w:cs="Arial"/>
          <w:color w:val="000000"/>
          <w:lang w:val="en-US"/>
        </w:rPr>
        <w:t xml:space="preserve"> The first of six guiding principles is ensuring </w:t>
      </w:r>
      <w:r w:rsidRPr="00180517">
        <w:rPr>
          <w:rStyle w:val="normaltextrun"/>
          <w:rFonts w:cs="Arial"/>
          <w:color w:val="000000"/>
        </w:rPr>
        <w:t>access to quality universal and targeted services designed to improve outcomes for children, young people and families. </w:t>
      </w:r>
      <w:r w:rsidRPr="00180517">
        <w:rPr>
          <w:rStyle w:val="eop"/>
          <w:rFonts w:cs="Arial"/>
          <w:color w:val="000000"/>
        </w:rPr>
        <w:t> </w:t>
      </w:r>
    </w:p>
    <w:p w14:paraId="00BD0CAD" w14:textId="77777777" w:rsidR="00344947" w:rsidRPr="00180517" w:rsidRDefault="00344947" w:rsidP="0031511B">
      <w:pPr>
        <w:numPr>
          <w:ilvl w:val="0"/>
          <w:numId w:val="4"/>
        </w:numPr>
        <w:ind w:left="357"/>
        <w:rPr>
          <w:rFonts w:eastAsia="Times New Roman" w:cs="Arial"/>
          <w:i/>
          <w:iCs/>
          <w:color w:val="2E2E2E"/>
          <w:lang w:eastAsia="en-AU"/>
        </w:rPr>
      </w:pPr>
      <w:r w:rsidRPr="00180517">
        <w:rPr>
          <w:rStyle w:val="normaltextrun"/>
          <w:rFonts w:cs="Arial"/>
          <w:b/>
          <w:bCs/>
          <w:i/>
          <w:iCs/>
          <w:color w:val="000000"/>
        </w:rPr>
        <w:t>National Principles for Child Safe Organisations (</w:t>
      </w:r>
      <w:r w:rsidRPr="00180517">
        <w:rPr>
          <w:rStyle w:val="normaltextrun"/>
          <w:rFonts w:cs="Arial"/>
          <w:b/>
          <w:bCs/>
          <w:i/>
          <w:iCs/>
        </w:rPr>
        <w:t>2019)</w:t>
      </w:r>
      <w:r w:rsidRPr="00180517">
        <w:rPr>
          <w:rStyle w:val="normaltextrun"/>
          <w:rFonts w:cs="Arial"/>
        </w:rPr>
        <w:t xml:space="preserve"> </w:t>
      </w:r>
      <w:r w:rsidRPr="00180517">
        <w:rPr>
          <w:rStyle w:val="FootnoteReference"/>
          <w:rFonts w:eastAsia="Times New Roman" w:cs="Arial"/>
          <w:b/>
          <w:bCs/>
          <w:i/>
          <w:iCs/>
          <w:lang w:eastAsia="en-AU"/>
        </w:rPr>
        <w:footnoteReference w:id="19"/>
      </w:r>
    </w:p>
    <w:p w14:paraId="6F9BEAF0" w14:textId="77777777" w:rsidR="00344947" w:rsidRPr="00180517" w:rsidRDefault="00344947" w:rsidP="00344947">
      <w:pPr>
        <w:ind w:left="360"/>
        <w:rPr>
          <w:rFonts w:cs="Arial"/>
          <w:color w:val="000000"/>
        </w:rPr>
      </w:pPr>
      <w:r w:rsidRPr="00180517">
        <w:rPr>
          <w:rStyle w:val="normaltextrun"/>
          <w:rFonts w:cs="Arial"/>
          <w:color w:val="000000"/>
        </w:rPr>
        <w:t xml:space="preserve">Developed by the Australian Human Rights Commission, these principles are designed to build capacity and deliver child safety and wellbeing in organisations, families and communities and prevent future harm. To allow flexibility in implementation and in recognition of the variety of organisational types, sizes and capacities, the National Principles outline at a high level the 10 elements that are fundamental for making an organisation safe for children. The principles emphasise the importance of culturally safe environments and practices for Aboriginal and Torres Strait Islander children and young people. Aboriginal and Torres Strait Islander families and communities are more </w:t>
      </w:r>
      <w:r w:rsidRPr="00180517">
        <w:rPr>
          <w:rStyle w:val="normaltextrun"/>
          <w:rFonts w:cs="Arial"/>
          <w:b/>
          <w:bCs/>
          <w:color w:val="000000"/>
        </w:rPr>
        <w:t>likely</w:t>
      </w:r>
      <w:r w:rsidRPr="00180517">
        <w:rPr>
          <w:rStyle w:val="normaltextrun"/>
          <w:rFonts w:cs="Arial"/>
          <w:color w:val="000000"/>
        </w:rPr>
        <w:t xml:space="preserve"> to access services that are culturally safe and experience better outcomes in such services. This includes improving the way organisations engage with Aboriginal and Torres Strait Islander children and their families, recognising the impact of intergenerational trauma, and respecting cultural diversity. </w:t>
      </w:r>
    </w:p>
    <w:p w14:paraId="4B90EBD4" w14:textId="77777777" w:rsidR="00344947" w:rsidRPr="00180517" w:rsidRDefault="00344947" w:rsidP="0031511B">
      <w:pPr>
        <w:numPr>
          <w:ilvl w:val="0"/>
          <w:numId w:val="4"/>
        </w:numPr>
        <w:rPr>
          <w:rFonts w:eastAsia="Times New Roman" w:cs="Arial"/>
          <w:i/>
          <w:iCs/>
          <w:color w:val="2C2A29"/>
          <w:lang w:eastAsia="en-AU"/>
        </w:rPr>
      </w:pPr>
      <w:r w:rsidRPr="00180517">
        <w:rPr>
          <w:rStyle w:val="normaltextrun"/>
          <w:rFonts w:cs="Arial"/>
          <w:b/>
          <w:bCs/>
          <w:i/>
          <w:iCs/>
          <w:color w:val="000000"/>
        </w:rPr>
        <w:t xml:space="preserve">The National Children’s Mental Health and Wellbeing Strategy (2021) </w:t>
      </w:r>
      <w:r w:rsidRPr="00180517">
        <w:rPr>
          <w:rStyle w:val="FootnoteReference"/>
          <w:rFonts w:cs="Arial"/>
          <w:b/>
          <w:bCs/>
        </w:rPr>
        <w:footnoteReference w:id="20"/>
      </w:r>
    </w:p>
    <w:p w14:paraId="11B405F3" w14:textId="77777777" w:rsidR="00344947" w:rsidRPr="00180517" w:rsidRDefault="00344947" w:rsidP="00344947">
      <w:pPr>
        <w:ind w:left="357"/>
        <w:rPr>
          <w:rFonts w:cs="Arial"/>
          <w:color w:val="000000"/>
        </w:rPr>
      </w:pPr>
      <w:r w:rsidRPr="00180517">
        <w:rPr>
          <w:rStyle w:val="normaltextrun"/>
          <w:rFonts w:cs="Arial"/>
          <w:color w:val="000000"/>
        </w:rPr>
        <w:t>This Strategy provides a framework to guide critical investment in the mental health and wellbeing of children and families. The Strategy provides clear pathways for proactively promoting child wellbeing and helping those who are struggling as early as possible to reduce long-term impacts of poor mental health. The Strategy adopts a broad scope to consider all settings in which children should be supported. </w:t>
      </w:r>
      <w:r w:rsidRPr="00180517">
        <w:rPr>
          <w:rStyle w:val="eop"/>
          <w:rFonts w:cs="Arial"/>
          <w:color w:val="000000"/>
        </w:rPr>
        <w:t> </w:t>
      </w:r>
    </w:p>
    <w:p w14:paraId="4254FE43" w14:textId="77777777" w:rsidR="00344947" w:rsidRPr="00180517" w:rsidRDefault="00344947" w:rsidP="00344947">
      <w:pPr>
        <w:ind w:left="360"/>
        <w:rPr>
          <w:rFonts w:cs="Arial"/>
          <w:color w:val="000000"/>
        </w:rPr>
      </w:pPr>
      <w:r w:rsidRPr="00180517">
        <w:rPr>
          <w:rStyle w:val="normaltextrun"/>
          <w:rFonts w:cs="Arial"/>
          <w:color w:val="000000"/>
        </w:rPr>
        <w:t>Eight principles have been used as the foundation of the Strategy’s development. </w:t>
      </w:r>
      <w:r w:rsidRPr="00180517">
        <w:rPr>
          <w:rStyle w:val="eop"/>
          <w:rFonts w:cs="Arial"/>
          <w:color w:val="000000"/>
        </w:rPr>
        <w:t> </w:t>
      </w:r>
    </w:p>
    <w:p w14:paraId="51AB3904" w14:textId="77777777" w:rsidR="00344947" w:rsidRPr="00180517" w:rsidRDefault="00344947" w:rsidP="0031511B">
      <w:pPr>
        <w:pStyle w:val="ListParagraph"/>
        <w:numPr>
          <w:ilvl w:val="0"/>
          <w:numId w:val="9"/>
        </w:numPr>
        <w:contextualSpacing w:val="0"/>
        <w:rPr>
          <w:rFonts w:cs="Arial"/>
          <w:color w:val="000000"/>
        </w:rPr>
      </w:pPr>
      <w:r w:rsidRPr="00180517">
        <w:rPr>
          <w:rStyle w:val="normaltextrun"/>
          <w:rFonts w:cs="Arial"/>
          <w:i/>
          <w:iCs/>
          <w:color w:val="000000"/>
        </w:rPr>
        <w:t>Child-centred.</w:t>
      </w:r>
      <w:r w:rsidRPr="00180517">
        <w:rPr>
          <w:rStyle w:val="normaltextrun"/>
          <w:rFonts w:cs="Arial"/>
          <w:color w:val="000000"/>
        </w:rPr>
        <w:t xml:space="preserve"> Giving priority to the interests and needs of children. </w:t>
      </w:r>
      <w:r w:rsidRPr="00180517">
        <w:rPr>
          <w:rStyle w:val="eop"/>
          <w:rFonts w:cs="Arial"/>
          <w:color w:val="000000"/>
        </w:rPr>
        <w:t> </w:t>
      </w:r>
    </w:p>
    <w:p w14:paraId="30B71EC7" w14:textId="77777777" w:rsidR="00344947" w:rsidRPr="00180517" w:rsidRDefault="00344947" w:rsidP="0031511B">
      <w:pPr>
        <w:pStyle w:val="ListParagraph"/>
        <w:numPr>
          <w:ilvl w:val="0"/>
          <w:numId w:val="9"/>
        </w:numPr>
        <w:contextualSpacing w:val="0"/>
        <w:rPr>
          <w:rFonts w:cs="Arial"/>
          <w:color w:val="000000"/>
        </w:rPr>
      </w:pPr>
      <w:r w:rsidRPr="00180517">
        <w:rPr>
          <w:rStyle w:val="normaltextrun"/>
          <w:rFonts w:cs="Arial"/>
          <w:i/>
          <w:iCs/>
          <w:color w:val="000000"/>
        </w:rPr>
        <w:lastRenderedPageBreak/>
        <w:t>Strengths-based.</w:t>
      </w:r>
      <w:r w:rsidRPr="00180517">
        <w:rPr>
          <w:rStyle w:val="normaltextrun"/>
          <w:rFonts w:cs="Arial"/>
          <w:color w:val="000000"/>
        </w:rPr>
        <w:t xml:space="preserve"> All services have a perspective that builds on child and family strengths, to inform a holistic and family-centred approach. </w:t>
      </w:r>
      <w:r w:rsidRPr="00180517">
        <w:rPr>
          <w:rStyle w:val="eop"/>
          <w:rFonts w:cs="Arial"/>
          <w:color w:val="000000"/>
        </w:rPr>
        <w:t> </w:t>
      </w:r>
    </w:p>
    <w:p w14:paraId="7C248757" w14:textId="77777777" w:rsidR="00344947" w:rsidRPr="00180517" w:rsidRDefault="00344947" w:rsidP="0031511B">
      <w:pPr>
        <w:pStyle w:val="ListParagraph"/>
        <w:numPr>
          <w:ilvl w:val="0"/>
          <w:numId w:val="9"/>
        </w:numPr>
        <w:contextualSpacing w:val="0"/>
        <w:rPr>
          <w:rFonts w:cs="Arial"/>
          <w:color w:val="000000"/>
        </w:rPr>
      </w:pPr>
      <w:r w:rsidRPr="00180517">
        <w:rPr>
          <w:rStyle w:val="normaltextrun"/>
          <w:rFonts w:cs="Arial"/>
          <w:i/>
          <w:iCs/>
          <w:color w:val="000000"/>
        </w:rPr>
        <w:t>Prevention-focused.</w:t>
      </w:r>
      <w:r w:rsidRPr="00180517">
        <w:rPr>
          <w:rStyle w:val="normaltextrun"/>
          <w:rFonts w:cs="Arial"/>
          <w:color w:val="000000"/>
        </w:rPr>
        <w:t xml:space="preserve"> Both universal and targeted prevention of mental illness by promoting mental wellbeing. </w:t>
      </w:r>
      <w:r w:rsidRPr="00180517">
        <w:rPr>
          <w:rStyle w:val="eop"/>
          <w:rFonts w:cs="Arial"/>
          <w:color w:val="000000"/>
        </w:rPr>
        <w:t> </w:t>
      </w:r>
    </w:p>
    <w:p w14:paraId="206906A6" w14:textId="77777777" w:rsidR="00344947" w:rsidRPr="00180517" w:rsidRDefault="00344947" w:rsidP="0031511B">
      <w:pPr>
        <w:pStyle w:val="ListParagraph"/>
        <w:numPr>
          <w:ilvl w:val="0"/>
          <w:numId w:val="9"/>
        </w:numPr>
        <w:contextualSpacing w:val="0"/>
        <w:rPr>
          <w:rFonts w:cs="Arial"/>
          <w:color w:val="000000"/>
        </w:rPr>
      </w:pPr>
      <w:r w:rsidRPr="00180517">
        <w:rPr>
          <w:rStyle w:val="normaltextrun"/>
          <w:rFonts w:cs="Arial"/>
          <w:i/>
          <w:iCs/>
          <w:color w:val="000000"/>
        </w:rPr>
        <w:t>Equity and access.</w:t>
      </w:r>
      <w:r w:rsidRPr="00180517">
        <w:rPr>
          <w:rStyle w:val="normaltextrun"/>
          <w:rFonts w:cs="Arial"/>
          <w:color w:val="000000"/>
        </w:rPr>
        <w:t xml:space="preserve"> Ensuring that all children and families have access to health, education and social services. </w:t>
      </w:r>
      <w:r w:rsidRPr="00180517">
        <w:rPr>
          <w:rStyle w:val="eop"/>
          <w:rFonts w:cs="Arial"/>
          <w:color w:val="000000"/>
        </w:rPr>
        <w:t> </w:t>
      </w:r>
    </w:p>
    <w:p w14:paraId="7830D34F" w14:textId="77777777" w:rsidR="00344947" w:rsidRPr="00180517" w:rsidRDefault="00344947" w:rsidP="0031511B">
      <w:pPr>
        <w:pStyle w:val="ListParagraph"/>
        <w:numPr>
          <w:ilvl w:val="0"/>
          <w:numId w:val="9"/>
        </w:numPr>
        <w:contextualSpacing w:val="0"/>
        <w:rPr>
          <w:rFonts w:cs="Arial"/>
          <w:color w:val="000000"/>
        </w:rPr>
      </w:pPr>
      <w:r w:rsidRPr="00180517">
        <w:rPr>
          <w:rStyle w:val="normaltextrun"/>
          <w:rFonts w:cs="Arial"/>
          <w:i/>
          <w:iCs/>
          <w:color w:val="000000"/>
        </w:rPr>
        <w:t>Universal system.</w:t>
      </w:r>
      <w:r w:rsidRPr="00180517">
        <w:rPr>
          <w:rStyle w:val="normaltextrun"/>
          <w:rFonts w:cs="Arial"/>
          <w:color w:val="000000"/>
        </w:rPr>
        <w:t xml:space="preserve"> Programs and services are developmentally appropriate, culturally responsive and treat children in the context of families and communities. </w:t>
      </w:r>
      <w:r w:rsidRPr="00180517">
        <w:rPr>
          <w:rStyle w:val="eop"/>
          <w:rFonts w:cs="Arial"/>
          <w:color w:val="000000"/>
        </w:rPr>
        <w:t> </w:t>
      </w:r>
    </w:p>
    <w:p w14:paraId="04278912" w14:textId="77777777" w:rsidR="00344947" w:rsidRPr="00180517" w:rsidRDefault="00344947" w:rsidP="0031511B">
      <w:pPr>
        <w:pStyle w:val="ListParagraph"/>
        <w:numPr>
          <w:ilvl w:val="0"/>
          <w:numId w:val="9"/>
        </w:numPr>
        <w:contextualSpacing w:val="0"/>
        <w:rPr>
          <w:rFonts w:cs="Arial"/>
          <w:color w:val="000000"/>
        </w:rPr>
      </w:pPr>
      <w:r w:rsidRPr="00180517">
        <w:rPr>
          <w:rStyle w:val="normaltextrun"/>
          <w:rFonts w:cs="Arial"/>
          <w:i/>
          <w:iCs/>
          <w:color w:val="000000"/>
        </w:rPr>
        <w:t>Evidence-informed best practice and continuous quality evaluation.</w:t>
      </w:r>
      <w:r w:rsidRPr="00180517">
        <w:rPr>
          <w:rStyle w:val="normaltextrun"/>
          <w:rFonts w:cs="Arial"/>
          <w:color w:val="000000"/>
        </w:rPr>
        <w:t xml:space="preserve"> The use of data and indicators to create a continuous feedback loop between research and clinical practice. </w:t>
      </w:r>
      <w:r w:rsidRPr="00180517">
        <w:rPr>
          <w:rStyle w:val="eop"/>
          <w:rFonts w:cs="Arial"/>
          <w:color w:val="000000"/>
        </w:rPr>
        <w:t> </w:t>
      </w:r>
    </w:p>
    <w:p w14:paraId="7BC22551" w14:textId="77777777" w:rsidR="00344947" w:rsidRPr="00180517" w:rsidRDefault="00344947" w:rsidP="0031511B">
      <w:pPr>
        <w:pStyle w:val="ListParagraph"/>
        <w:numPr>
          <w:ilvl w:val="0"/>
          <w:numId w:val="9"/>
        </w:numPr>
        <w:contextualSpacing w:val="0"/>
        <w:rPr>
          <w:rFonts w:cs="Arial"/>
          <w:color w:val="000000"/>
        </w:rPr>
      </w:pPr>
      <w:r w:rsidRPr="00180517">
        <w:rPr>
          <w:rStyle w:val="normaltextrun"/>
          <w:rFonts w:cs="Arial"/>
          <w:i/>
          <w:iCs/>
          <w:color w:val="000000"/>
        </w:rPr>
        <w:t>Early intervention.</w:t>
      </w:r>
      <w:r w:rsidRPr="00180517">
        <w:rPr>
          <w:rStyle w:val="normaltextrun"/>
          <w:rFonts w:cs="Arial"/>
          <w:color w:val="000000"/>
        </w:rPr>
        <w:t xml:space="preserve"> Early intervention for those in need, while addressing the impacts of trauma and social determinants. </w:t>
      </w:r>
      <w:r w:rsidRPr="00180517">
        <w:rPr>
          <w:rStyle w:val="eop"/>
          <w:rFonts w:cs="Arial"/>
          <w:color w:val="000000"/>
        </w:rPr>
        <w:t> </w:t>
      </w:r>
    </w:p>
    <w:p w14:paraId="621E93F4" w14:textId="77777777" w:rsidR="00344947" w:rsidRPr="00180517" w:rsidRDefault="00344947" w:rsidP="0031511B">
      <w:pPr>
        <w:pStyle w:val="ListParagraph"/>
        <w:numPr>
          <w:ilvl w:val="0"/>
          <w:numId w:val="9"/>
        </w:numPr>
        <w:contextualSpacing w:val="0"/>
        <w:rPr>
          <w:rFonts w:cs="Arial"/>
          <w:color w:val="000000"/>
        </w:rPr>
      </w:pPr>
      <w:r w:rsidRPr="00180517">
        <w:rPr>
          <w:rStyle w:val="normaltextrun"/>
          <w:rFonts w:cs="Arial"/>
          <w:i/>
          <w:iCs/>
          <w:color w:val="000000"/>
        </w:rPr>
        <w:t>Needs based, not diagnosis driven.</w:t>
      </w:r>
      <w:r w:rsidRPr="00180517">
        <w:rPr>
          <w:rStyle w:val="normaltextrun"/>
          <w:rFonts w:cs="Arial"/>
          <w:color w:val="000000"/>
        </w:rPr>
        <w:t xml:space="preserve"> Service delivery based on individual needs and reduced focus on requiring a diagnosis to access services.</w:t>
      </w:r>
      <w:r w:rsidRPr="00180517">
        <w:rPr>
          <w:rStyle w:val="eop"/>
          <w:rFonts w:cs="Arial"/>
          <w:color w:val="000000"/>
        </w:rPr>
        <w:t> </w:t>
      </w:r>
    </w:p>
    <w:p w14:paraId="4A1ED753" w14:textId="77777777" w:rsidR="00344947" w:rsidRPr="00180517" w:rsidRDefault="00344947" w:rsidP="00344947">
      <w:pPr>
        <w:ind w:left="357"/>
        <w:rPr>
          <w:rFonts w:cs="Arial"/>
          <w:color w:val="000000"/>
        </w:rPr>
      </w:pPr>
      <w:r w:rsidRPr="00180517">
        <w:rPr>
          <w:rStyle w:val="normaltextrun"/>
          <w:rFonts w:cs="Arial"/>
          <w:color w:val="000000"/>
        </w:rPr>
        <w:t xml:space="preserve">Importantly, beyond individual objectives and focus areas, the Strategy proposes a </w:t>
      </w:r>
      <w:r w:rsidRPr="00180517">
        <w:rPr>
          <w:rStyle w:val="normaltextrun"/>
          <w:rFonts w:cs="Arial"/>
          <w:i/>
          <w:iCs/>
          <w:color w:val="000000"/>
        </w:rPr>
        <w:t>fundamental, cultural shift in the way we think about the mental health and wellbeing of children</w:t>
      </w:r>
      <w:r w:rsidRPr="00180517">
        <w:rPr>
          <w:rStyle w:val="normaltextrun"/>
          <w:rFonts w:cs="Arial"/>
          <w:color w:val="000000"/>
        </w:rPr>
        <w:t xml:space="preserve">. This shift includes a change in language, adopting a continuum-based model of mental health and wellbeing. This moves away from terminology that may be stigmatising or too narrow to capture the full range of a child’s emotional experiences. The continuum approach highlights that there are opportunities to promote improved wellbeing and possibly intervene before a child becomes unwell. It also focuses on a </w:t>
      </w:r>
      <w:r w:rsidRPr="00180517">
        <w:rPr>
          <w:rStyle w:val="normaltextrun"/>
          <w:rFonts w:cs="Arial"/>
          <w:i/>
          <w:iCs/>
          <w:color w:val="000000"/>
        </w:rPr>
        <w:t>child’s functioning rather than diagnosis.</w:t>
      </w:r>
      <w:r w:rsidRPr="00180517">
        <w:rPr>
          <w:rStyle w:val="eop"/>
          <w:rFonts w:cs="Arial"/>
          <w:color w:val="000000"/>
        </w:rPr>
        <w:t> </w:t>
      </w:r>
    </w:p>
    <w:p w14:paraId="1C376345" w14:textId="77777777" w:rsidR="00344947" w:rsidRPr="00180517" w:rsidRDefault="00344947" w:rsidP="0031511B">
      <w:pPr>
        <w:numPr>
          <w:ilvl w:val="0"/>
          <w:numId w:val="4"/>
        </w:numPr>
        <w:rPr>
          <w:rFonts w:cs="Arial"/>
          <w:color w:val="000000"/>
        </w:rPr>
      </w:pPr>
      <w:r w:rsidRPr="00180517">
        <w:rPr>
          <w:rStyle w:val="normaltextrun"/>
          <w:rFonts w:cs="Arial"/>
          <w:b/>
          <w:bCs/>
          <w:i/>
          <w:iCs/>
          <w:color w:val="000000"/>
        </w:rPr>
        <w:t>National Agreement on Closing the Gap (2020)</w:t>
      </w:r>
      <w:r w:rsidRPr="00180517">
        <w:rPr>
          <w:rStyle w:val="eop"/>
          <w:rFonts w:cs="Arial"/>
          <w:b/>
          <w:bCs/>
          <w:color w:val="000000"/>
        </w:rPr>
        <w:t> </w:t>
      </w:r>
      <w:r w:rsidRPr="00180517">
        <w:rPr>
          <w:rStyle w:val="FootnoteReference"/>
          <w:rFonts w:cs="Arial"/>
          <w:b/>
          <w:bCs/>
          <w:color w:val="000000"/>
        </w:rPr>
        <w:footnoteReference w:id="21"/>
      </w:r>
    </w:p>
    <w:p w14:paraId="13E818EC" w14:textId="77777777" w:rsidR="00344947" w:rsidRPr="00180517" w:rsidRDefault="00344947" w:rsidP="00344947">
      <w:pPr>
        <w:ind w:left="360"/>
        <w:rPr>
          <w:rFonts w:cs="Arial"/>
          <w:color w:val="000000"/>
        </w:rPr>
      </w:pPr>
      <w:r w:rsidRPr="00180517">
        <w:rPr>
          <w:rStyle w:val="normaltextrun"/>
          <w:rFonts w:cs="Arial"/>
          <w:color w:val="000000"/>
        </w:rPr>
        <w:t xml:space="preserve">The National Agreement on Closing the Gap (the Agreement) aims to overcome the entrenched inequality faced by many Aboriginal and Torres Strait Islander people so that their life outcomes are equal to all Australians. </w:t>
      </w:r>
      <w:r w:rsidRPr="00180517">
        <w:rPr>
          <w:rStyle w:val="normaltextrun"/>
          <w:rFonts w:cs="Arial"/>
          <w:color w:val="000000"/>
          <w:lang w:val="en-GB"/>
        </w:rPr>
        <w:t xml:space="preserve">The Agreement recognises that when Aboriginal and Torres Strait Islander people have a genuine say in the design and delivery of services that affect them, better outcomes are achieved. It sets out </w:t>
      </w:r>
      <w:r w:rsidRPr="00180517">
        <w:rPr>
          <w:rStyle w:val="normaltextrun"/>
          <w:rFonts w:cs="Arial"/>
          <w:color w:val="000000"/>
          <w:shd w:val="clear" w:color="auto" w:fill="FFFFFF"/>
        </w:rPr>
        <w:t>a strategy for closing the gaps in life outcomes that embeds the priorities of Aboriginal and Torres Strait Islander peoples. </w:t>
      </w:r>
      <w:r w:rsidRPr="00180517">
        <w:rPr>
          <w:rStyle w:val="eop"/>
          <w:rFonts w:cs="Arial"/>
          <w:color w:val="000000"/>
        </w:rPr>
        <w:t> </w:t>
      </w:r>
    </w:p>
    <w:p w14:paraId="4A10DAD1" w14:textId="77777777" w:rsidR="00344947" w:rsidRPr="00180517" w:rsidRDefault="00344947" w:rsidP="00344947">
      <w:pPr>
        <w:ind w:left="360"/>
        <w:rPr>
          <w:rFonts w:cs="Arial"/>
          <w:color w:val="000000"/>
        </w:rPr>
      </w:pPr>
      <w:r w:rsidRPr="00180517">
        <w:rPr>
          <w:rStyle w:val="normaltextrun"/>
          <w:rFonts w:cs="Arial"/>
          <w:color w:val="000000"/>
          <w:shd w:val="clear" w:color="auto" w:fill="FFFFFF"/>
        </w:rPr>
        <w:t xml:space="preserve">The Agreement is built around </w:t>
      </w:r>
      <w:r w:rsidRPr="00180517">
        <w:rPr>
          <w:rStyle w:val="normaltextrun"/>
          <w:rFonts w:cs="Arial"/>
          <w:color w:val="000000"/>
        </w:rPr>
        <w:t>four priority reforms for</w:t>
      </w:r>
      <w:r w:rsidRPr="00180517">
        <w:rPr>
          <w:rStyle w:val="normaltextrun"/>
          <w:rFonts w:cs="Arial"/>
          <w:color w:val="000000"/>
          <w:shd w:val="clear" w:color="auto" w:fill="FFFFFF"/>
        </w:rPr>
        <w:t xml:space="preserve"> transforming how governments work with and for Aboriginal and Torres Strait Islander peoples: </w:t>
      </w:r>
      <w:r w:rsidRPr="00180517">
        <w:rPr>
          <w:rStyle w:val="eop"/>
          <w:rFonts w:cs="Arial"/>
          <w:color w:val="000000"/>
        </w:rPr>
        <w:t> </w:t>
      </w:r>
    </w:p>
    <w:p w14:paraId="03A76FE7" w14:textId="77777777" w:rsidR="00344947" w:rsidRPr="00180517" w:rsidRDefault="00344947" w:rsidP="0031511B">
      <w:pPr>
        <w:pStyle w:val="ListParagraph"/>
        <w:numPr>
          <w:ilvl w:val="0"/>
          <w:numId w:val="10"/>
        </w:numPr>
        <w:contextualSpacing w:val="0"/>
        <w:rPr>
          <w:rFonts w:cs="Arial"/>
          <w:color w:val="000000"/>
        </w:rPr>
      </w:pPr>
      <w:r w:rsidRPr="00180517">
        <w:rPr>
          <w:rStyle w:val="normaltextrun"/>
          <w:rFonts w:cs="Arial"/>
          <w:i/>
          <w:iCs/>
          <w:color w:val="000000"/>
        </w:rPr>
        <w:t>Shared decision-making</w:t>
      </w:r>
      <w:r w:rsidRPr="00180517">
        <w:rPr>
          <w:rStyle w:val="normaltextrun"/>
          <w:rFonts w:cs="Arial"/>
          <w:color w:val="000000"/>
        </w:rPr>
        <w:t>. Outcome: Aboriginal and Torres Strait Islander people are empowered to share decision-making authority with governments to accelerate policy and place-based progress on Closing the Gap through formal partnership arrangements. </w:t>
      </w:r>
      <w:r w:rsidRPr="00180517">
        <w:rPr>
          <w:rStyle w:val="eop"/>
          <w:rFonts w:cs="Arial"/>
          <w:color w:val="000000"/>
        </w:rPr>
        <w:t> </w:t>
      </w:r>
    </w:p>
    <w:p w14:paraId="497C9A94" w14:textId="77777777" w:rsidR="00344947" w:rsidRPr="00180517" w:rsidRDefault="00344947" w:rsidP="0031511B">
      <w:pPr>
        <w:pStyle w:val="ListParagraph"/>
        <w:numPr>
          <w:ilvl w:val="0"/>
          <w:numId w:val="10"/>
        </w:numPr>
        <w:contextualSpacing w:val="0"/>
        <w:rPr>
          <w:rFonts w:cs="Arial"/>
          <w:color w:val="000000"/>
        </w:rPr>
      </w:pPr>
      <w:r w:rsidRPr="00180517">
        <w:rPr>
          <w:rStyle w:val="normaltextrun"/>
          <w:rFonts w:cs="Arial"/>
          <w:i/>
          <w:iCs/>
          <w:color w:val="000000"/>
        </w:rPr>
        <w:t>Building the community-controlled sector</w:t>
      </w:r>
      <w:r w:rsidRPr="00180517">
        <w:rPr>
          <w:rStyle w:val="normaltextrun"/>
          <w:rFonts w:cs="Arial"/>
          <w:color w:val="000000"/>
        </w:rPr>
        <w:t>. Outcome: There is a strong and sustainable Aboriginal and Torres Strait Islander community-controlled sector delivering high quality services to meet the needs of Aboriginal and Torres Strait Islander people across the country. </w:t>
      </w:r>
      <w:r w:rsidRPr="00180517">
        <w:rPr>
          <w:rStyle w:val="eop"/>
          <w:rFonts w:cs="Arial"/>
          <w:color w:val="000000"/>
        </w:rPr>
        <w:t> </w:t>
      </w:r>
    </w:p>
    <w:p w14:paraId="4C42F94E" w14:textId="77777777" w:rsidR="00344947" w:rsidRPr="00180517" w:rsidRDefault="00344947" w:rsidP="0031511B">
      <w:pPr>
        <w:pStyle w:val="ListParagraph"/>
        <w:numPr>
          <w:ilvl w:val="0"/>
          <w:numId w:val="10"/>
        </w:numPr>
        <w:contextualSpacing w:val="0"/>
        <w:rPr>
          <w:rFonts w:cs="Arial"/>
          <w:color w:val="000000"/>
        </w:rPr>
      </w:pPr>
      <w:r w:rsidRPr="00180517">
        <w:rPr>
          <w:rStyle w:val="normaltextrun"/>
          <w:rFonts w:cs="Arial"/>
          <w:i/>
          <w:iCs/>
          <w:color w:val="000000"/>
        </w:rPr>
        <w:lastRenderedPageBreak/>
        <w:t>Improving mainstream institutions</w:t>
      </w:r>
      <w:r w:rsidRPr="00180517">
        <w:rPr>
          <w:rStyle w:val="normaltextrun"/>
          <w:rFonts w:cs="Arial"/>
          <w:color w:val="000000"/>
        </w:rPr>
        <w:t>. Outcome: Governments, their organisations and their institutions are accountable for Closing the Gap and are culturally safe and responsive to the needs of Aboriginal and Torres Strait Islander people, including through the services they fund. </w:t>
      </w:r>
      <w:r w:rsidRPr="00180517">
        <w:rPr>
          <w:rStyle w:val="eop"/>
          <w:rFonts w:cs="Arial"/>
          <w:color w:val="000000"/>
        </w:rPr>
        <w:t> </w:t>
      </w:r>
    </w:p>
    <w:p w14:paraId="4063017F" w14:textId="32C07BD2" w:rsidR="00344947" w:rsidRPr="00180517" w:rsidRDefault="00344947" w:rsidP="0031511B">
      <w:pPr>
        <w:pStyle w:val="ListParagraph"/>
        <w:numPr>
          <w:ilvl w:val="0"/>
          <w:numId w:val="10"/>
        </w:numPr>
        <w:contextualSpacing w:val="0"/>
        <w:rPr>
          <w:rStyle w:val="normaltextrun"/>
          <w:rFonts w:cs="Arial"/>
          <w:color w:val="000000"/>
        </w:rPr>
      </w:pPr>
      <w:r w:rsidRPr="00180517">
        <w:rPr>
          <w:rStyle w:val="normaltextrun"/>
          <w:rFonts w:cs="Arial"/>
          <w:i/>
          <w:iCs/>
          <w:color w:val="000000"/>
        </w:rPr>
        <w:t>Aboriginal and Torres Strait Islander-led data</w:t>
      </w:r>
      <w:r w:rsidRPr="00180517">
        <w:rPr>
          <w:rStyle w:val="normaltextrun"/>
          <w:rFonts w:cs="Arial"/>
          <w:color w:val="000000"/>
        </w:rPr>
        <w:t>. Outcome: Aboriginal and Torres Strait Islander people have access to, and the capability to use, locally</w:t>
      </w:r>
      <w:r w:rsidR="005C6ADB">
        <w:rPr>
          <w:rStyle w:val="normaltextrun"/>
          <w:rFonts w:cs="Arial"/>
          <w:color w:val="000000"/>
        </w:rPr>
        <w:t xml:space="preserve"> </w:t>
      </w:r>
      <w:r w:rsidRPr="00180517">
        <w:rPr>
          <w:rStyle w:val="normaltextrun"/>
          <w:rFonts w:cs="Arial"/>
          <w:color w:val="000000"/>
        </w:rPr>
        <w:t>relevant data and information to set and monitor the implementation of efforts to close the gap, their priorities and drive their own development. </w:t>
      </w:r>
      <w:r w:rsidRPr="00180517">
        <w:rPr>
          <w:rStyle w:val="eop"/>
          <w:rFonts w:cs="Arial"/>
          <w:color w:val="000000"/>
        </w:rPr>
        <w:t> </w:t>
      </w:r>
    </w:p>
    <w:p w14:paraId="313D4F03" w14:textId="77777777" w:rsidR="00344947" w:rsidRPr="00180517" w:rsidRDefault="00344947" w:rsidP="00344947">
      <w:pPr>
        <w:ind w:left="360"/>
        <w:rPr>
          <w:rStyle w:val="normaltextrun"/>
          <w:rFonts w:cs="Arial"/>
          <w:color w:val="000000"/>
        </w:rPr>
      </w:pPr>
      <w:r w:rsidRPr="00180517">
        <w:rPr>
          <w:rFonts w:cs="Arial"/>
        </w:rPr>
        <w:t>Closing the Gap Target 4 seeks to increase the proportion of Aboriginal and Torres Strait Islander children assessed as developmentally on track in all five domains of the Australian Early Development Census (AEDC) to 55% by 2031 compared to the 2018 baseline of 35%.</w:t>
      </w:r>
      <w:r w:rsidRPr="00180517">
        <w:rPr>
          <w:rStyle w:val="normaltextrun"/>
          <w:rFonts w:cs="Arial"/>
          <w:color w:val="000000"/>
        </w:rPr>
        <w:t xml:space="preserve"> Data is presented by jurisdiction, by remoteness, by disability status, and by socio-economic status, based on data from the AEDC (Productivity Commission, 2023).</w:t>
      </w:r>
    </w:p>
    <w:p w14:paraId="180CF2D2" w14:textId="77777777" w:rsidR="00344947" w:rsidRPr="00180517" w:rsidRDefault="00344947" w:rsidP="00344947">
      <w:pPr>
        <w:rPr>
          <w:rStyle w:val="normaltextrun"/>
          <w:rFonts w:cs="Arial"/>
          <w:b/>
          <w:bCs/>
          <w:color w:val="000000"/>
        </w:rPr>
      </w:pPr>
      <w:bookmarkStart w:id="11" w:name="_Hlk173423246"/>
      <w:r w:rsidRPr="00180517">
        <w:rPr>
          <w:rStyle w:val="normaltextrun"/>
          <w:rFonts w:cs="Arial"/>
          <w:b/>
          <w:bCs/>
          <w:color w:val="000000"/>
        </w:rPr>
        <w:t xml:space="preserve">Quality, safeguarding and accountability frameworks and clinical guidelines </w:t>
      </w:r>
    </w:p>
    <w:p w14:paraId="43CC15C4" w14:textId="77777777" w:rsidR="00344947" w:rsidRPr="00180517" w:rsidRDefault="00344947" w:rsidP="00344947">
      <w:pPr>
        <w:rPr>
          <w:rStyle w:val="normaltextrun"/>
          <w:rFonts w:cs="Arial"/>
          <w:bCs/>
          <w:color w:val="000000"/>
        </w:rPr>
      </w:pPr>
      <w:bookmarkStart w:id="12" w:name="_Hlk173422962"/>
      <w:bookmarkEnd w:id="11"/>
      <w:r w:rsidRPr="00180517">
        <w:rPr>
          <w:rStyle w:val="normaltextrun"/>
          <w:rFonts w:cs="Arial"/>
          <w:bCs/>
          <w:color w:val="000000"/>
        </w:rPr>
        <w:t>In addition to this array of disability and early years policies, strategies and reviews, there are various quality, safeguarding and accountability frameworks and clinical guidelines that directly or indirectly affect ECI services and therefore may have implications for a national ECI best practice framework.</w:t>
      </w:r>
    </w:p>
    <w:bookmarkEnd w:id="12"/>
    <w:p w14:paraId="076BD1E1" w14:textId="77777777" w:rsidR="00344947" w:rsidRPr="00180517" w:rsidRDefault="00344947" w:rsidP="0031511B">
      <w:pPr>
        <w:numPr>
          <w:ilvl w:val="0"/>
          <w:numId w:val="4"/>
        </w:numPr>
        <w:rPr>
          <w:rFonts w:cs="Arial"/>
          <w:b/>
          <w:bCs/>
          <w:i/>
          <w:iCs/>
        </w:rPr>
      </w:pPr>
      <w:r w:rsidRPr="00180517">
        <w:rPr>
          <w:rFonts w:cs="Arial"/>
          <w:b/>
          <w:bCs/>
          <w:i/>
          <w:iCs/>
        </w:rPr>
        <w:t xml:space="preserve">National Quality Framework </w:t>
      </w:r>
      <w:r w:rsidRPr="00180517">
        <w:rPr>
          <w:rStyle w:val="FootnoteReference"/>
          <w:rFonts w:cs="Arial"/>
          <w:b/>
          <w:bCs/>
          <w:i/>
          <w:iCs/>
        </w:rPr>
        <w:footnoteReference w:id="22"/>
      </w:r>
    </w:p>
    <w:p w14:paraId="4E5F57C4" w14:textId="77777777" w:rsidR="00344947" w:rsidRPr="00180517" w:rsidRDefault="00344947" w:rsidP="00344947">
      <w:pPr>
        <w:ind w:left="357"/>
        <w:rPr>
          <w:rFonts w:cs="Arial"/>
        </w:rPr>
      </w:pPr>
      <w:r w:rsidRPr="00180517">
        <w:rPr>
          <w:rFonts w:cs="Arial"/>
        </w:rPr>
        <w:t>The National Quality Framework (NQF) is Australia’s system for regulating early learning and school age care including: legislation and national quality standard, sector profiles and data, and learning frameworks. The NQF applies to most childcare providers and services, including: centre based day care, family day care, outside school hours care, and preschool and kindergarten. Under the National Law and Regulations, services are required to base their educational program on an approved learning framework.</w:t>
      </w:r>
    </w:p>
    <w:p w14:paraId="3AB6C86E" w14:textId="77777777" w:rsidR="00344947" w:rsidRPr="00180517" w:rsidRDefault="00344947" w:rsidP="0031511B">
      <w:pPr>
        <w:numPr>
          <w:ilvl w:val="0"/>
          <w:numId w:val="5"/>
        </w:numPr>
        <w:rPr>
          <w:rFonts w:cs="Arial"/>
          <w:b/>
          <w:bCs/>
          <w:i/>
          <w:iCs/>
        </w:rPr>
      </w:pPr>
      <w:r w:rsidRPr="00180517">
        <w:rPr>
          <w:rFonts w:cs="Arial"/>
          <w:b/>
          <w:bCs/>
          <w:i/>
          <w:iCs/>
        </w:rPr>
        <w:t xml:space="preserve">Australian Children’s Education and Care Authority (ACECQA) </w:t>
      </w:r>
      <w:r w:rsidRPr="00180517">
        <w:rPr>
          <w:rStyle w:val="FootnoteReference"/>
          <w:rFonts w:cs="Arial"/>
          <w:b/>
          <w:bCs/>
          <w:i/>
          <w:iCs/>
        </w:rPr>
        <w:footnoteReference w:id="23"/>
      </w:r>
    </w:p>
    <w:p w14:paraId="1133EFB7" w14:textId="77777777" w:rsidR="00344947" w:rsidRPr="00180517" w:rsidRDefault="00344947" w:rsidP="00344947">
      <w:pPr>
        <w:pStyle w:val="NormalWeb"/>
        <w:shd w:val="clear" w:color="auto" w:fill="FFFFFF"/>
        <w:spacing w:before="120" w:beforeAutospacing="0" w:after="120" w:afterAutospacing="0"/>
        <w:ind w:left="357"/>
        <w:rPr>
          <w:rFonts w:ascii="Arial" w:hAnsi="Arial" w:cs="Arial"/>
          <w:lang w:eastAsia="en-US"/>
        </w:rPr>
      </w:pPr>
      <w:r w:rsidRPr="00180517">
        <w:rPr>
          <w:rFonts w:ascii="Arial" w:hAnsi="Arial" w:cs="Arial"/>
          <w:lang w:eastAsia="en-US"/>
        </w:rPr>
        <w:t>The Australian Children’s Education and Care Quality Authority (ACECQA) is the independent national authority that assists governments in administering the National Quality Framework (NQF) for children's education and care. ACECQA works with the Australian and state and territory governments to:</w:t>
      </w:r>
    </w:p>
    <w:p w14:paraId="10800B76" w14:textId="77777777"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t>implement changes that benefit children birth to 13 years of age and their families</w:t>
      </w:r>
    </w:p>
    <w:p w14:paraId="1B446864" w14:textId="77777777"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t>monitor and promote the consistent application of the Education and Care Services National Law across all states and territories</w:t>
      </w:r>
    </w:p>
    <w:p w14:paraId="2A65727C" w14:textId="689F354C"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t>support the children's education and care sector to improve quality outcomes for children.</w:t>
      </w:r>
      <w:r w:rsidR="007A2E75">
        <w:rPr>
          <w:rStyle w:val="normaltextrun"/>
          <w:rFonts w:cs="Arial"/>
          <w:bCs/>
          <w:color w:val="000000"/>
        </w:rPr>
        <w:br/>
      </w:r>
      <w:r w:rsidR="007A2E75">
        <w:rPr>
          <w:rStyle w:val="normaltextrun"/>
          <w:rFonts w:cs="Arial"/>
          <w:bCs/>
          <w:color w:val="000000"/>
        </w:rPr>
        <w:br/>
      </w:r>
    </w:p>
    <w:p w14:paraId="10E5D4B1" w14:textId="77777777" w:rsidR="00344947" w:rsidRPr="00180517" w:rsidRDefault="00344947" w:rsidP="0031511B">
      <w:pPr>
        <w:pStyle w:val="NormalWeb"/>
        <w:numPr>
          <w:ilvl w:val="0"/>
          <w:numId w:val="5"/>
        </w:numPr>
        <w:shd w:val="clear" w:color="auto" w:fill="FFFFFF"/>
        <w:spacing w:before="120" w:beforeAutospacing="0" w:after="120" w:afterAutospacing="0"/>
        <w:rPr>
          <w:rFonts w:ascii="Arial" w:hAnsi="Arial" w:cs="Arial"/>
          <w:b/>
          <w:bCs/>
          <w:color w:val="313131"/>
        </w:rPr>
      </w:pPr>
      <w:r w:rsidRPr="00180517">
        <w:rPr>
          <w:rFonts w:ascii="Arial" w:eastAsiaTheme="minorHAnsi" w:hAnsi="Arial" w:cs="Arial"/>
          <w:b/>
          <w:bCs/>
          <w:i/>
          <w:iCs/>
          <w:lang w:eastAsia="en-US"/>
        </w:rPr>
        <w:lastRenderedPageBreak/>
        <w:t xml:space="preserve">National Safety and Quality Health Service (NSQHS) Standards (2021) </w:t>
      </w:r>
      <w:r w:rsidRPr="00180517">
        <w:rPr>
          <w:rStyle w:val="FootnoteReference"/>
          <w:rFonts w:ascii="Arial" w:hAnsi="Arial" w:cs="Arial"/>
          <w:b/>
          <w:bCs/>
          <w:color w:val="313131"/>
        </w:rPr>
        <w:footnoteReference w:id="24"/>
      </w:r>
    </w:p>
    <w:p w14:paraId="6C61443A" w14:textId="6CEBC434" w:rsidR="00344947" w:rsidRPr="007A2E75" w:rsidRDefault="00344947" w:rsidP="007A2E75">
      <w:pPr>
        <w:ind w:left="360"/>
      </w:pPr>
      <w:r w:rsidRPr="00180517">
        <w:t>Developed by the Australian Commission on Safety and Quality in Healthcare</w:t>
      </w:r>
      <w:r w:rsidR="007A2E75">
        <w:t xml:space="preserve"> </w:t>
      </w:r>
      <w:r w:rsidRPr="00180517">
        <w:t xml:space="preserve">Commission, in partnership with the Australian Government, states and territories, and other stakeholders, these standards are designed to protect the public from harm and to improve the quality of health service provision. The eight NSQHS Standards provide a nationally consistent statement about the level of care consumers can expect from health services. </w:t>
      </w:r>
    </w:p>
    <w:p w14:paraId="6A8344AD" w14:textId="77777777" w:rsidR="00344947" w:rsidRPr="00180517" w:rsidRDefault="00344947" w:rsidP="00344947">
      <w:pPr>
        <w:ind w:left="360"/>
        <w:rPr>
          <w:rFonts w:cs="Arial"/>
          <w:color w:val="313131"/>
          <w:shd w:val="clear" w:color="auto" w:fill="FFFFFF"/>
        </w:rPr>
      </w:pPr>
      <w:r w:rsidRPr="00180517">
        <w:rPr>
          <w:rFonts w:cs="Arial"/>
          <w:color w:val="313131"/>
          <w:shd w:val="clear" w:color="auto" w:fill="FFFFFF"/>
        </w:rPr>
        <w:t xml:space="preserve">The Commission has also developed an </w:t>
      </w:r>
      <w:r w:rsidRPr="00180517">
        <w:rPr>
          <w:rFonts w:cs="Arial"/>
          <w:b/>
          <w:bCs/>
          <w:i/>
          <w:iCs/>
        </w:rPr>
        <w:t xml:space="preserve">Australian Charter of Healthcare Rights </w:t>
      </w:r>
      <w:r w:rsidRPr="00180517">
        <w:rPr>
          <w:rStyle w:val="FootnoteReference"/>
          <w:rFonts w:cs="Arial"/>
          <w:b/>
          <w:bCs/>
          <w:lang w:eastAsia="en-AU"/>
        </w:rPr>
        <w:footnoteReference w:id="25"/>
      </w:r>
      <w:r w:rsidRPr="00180517">
        <w:rPr>
          <w:rFonts w:cs="Arial"/>
          <w:color w:val="313131"/>
          <w:shd w:val="clear" w:color="auto" w:fill="FFFFFF"/>
        </w:rPr>
        <w:t xml:space="preserve"> that describes the rights that consumers, or someone they care for, can expect when receiving health care. These rights apply to all people in all places where health care is provided in Australia. This includes public and private hospitals, day procedure services, general practice and other community health services.</w:t>
      </w:r>
    </w:p>
    <w:p w14:paraId="48EE985C" w14:textId="77777777" w:rsidR="00344947" w:rsidRPr="00180517" w:rsidRDefault="00344947" w:rsidP="0031511B">
      <w:pPr>
        <w:numPr>
          <w:ilvl w:val="0"/>
          <w:numId w:val="4"/>
        </w:numPr>
        <w:rPr>
          <w:rFonts w:cs="Arial"/>
          <w:b/>
          <w:bCs/>
          <w:i/>
          <w:iCs/>
          <w:lang w:eastAsia="en-AU"/>
        </w:rPr>
      </w:pPr>
      <w:r w:rsidRPr="00180517">
        <w:rPr>
          <w:rFonts w:cs="Arial"/>
          <w:b/>
          <w:bCs/>
          <w:i/>
          <w:iCs/>
        </w:rPr>
        <w:t xml:space="preserve">NDIS Quality and Safeguarding Framework (Department of Social Services, 2016) </w:t>
      </w:r>
      <w:r w:rsidRPr="00180517">
        <w:rPr>
          <w:rStyle w:val="FootnoteReference"/>
          <w:rFonts w:cs="Arial"/>
          <w:b/>
          <w:bCs/>
          <w:i/>
          <w:iCs/>
          <w:lang w:eastAsia="en-AU"/>
        </w:rPr>
        <w:footnoteReference w:id="26"/>
      </w:r>
    </w:p>
    <w:p w14:paraId="0457D066" w14:textId="2265CFF1" w:rsidR="00344947" w:rsidRPr="00180517" w:rsidRDefault="00344947" w:rsidP="00344947">
      <w:pPr>
        <w:ind w:left="360"/>
        <w:rPr>
          <w:rFonts w:cs="Arial"/>
          <w:color w:val="2C2A29"/>
          <w:shd w:val="clear" w:color="auto" w:fill="FFFFFF"/>
        </w:rPr>
      </w:pPr>
      <w:r w:rsidRPr="00180517">
        <w:rPr>
          <w:rFonts w:cs="Arial"/>
          <w:color w:val="2C2A29"/>
          <w:shd w:val="clear" w:color="auto" w:fill="FFFFFF"/>
        </w:rPr>
        <w:t>The NDIS Quality and Safeguarding Framework is designed to ensure high quality supports and safe environments for all NDIS participants</w:t>
      </w:r>
      <w:r w:rsidR="00146EBC">
        <w:rPr>
          <w:rFonts w:cs="Arial"/>
          <w:color w:val="2C2A29"/>
          <w:shd w:val="clear" w:color="auto" w:fill="FFFFFF"/>
        </w:rPr>
        <w:t xml:space="preserve">. </w:t>
      </w:r>
      <w:r w:rsidRPr="00180517">
        <w:rPr>
          <w:rFonts w:cs="Arial"/>
          <w:color w:val="2C2A29"/>
          <w:shd w:val="clear" w:color="auto" w:fill="FFFFFF"/>
        </w:rPr>
        <w:t xml:space="preserve">The overall objectives of the NDIS Quality and Safeguarding Framework are to ensure NDIS funded supports: </w:t>
      </w:r>
    </w:p>
    <w:p w14:paraId="37E29DC4" w14:textId="77777777"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t xml:space="preserve">uphold the rights of people with disability, including their rights as consumers </w:t>
      </w:r>
    </w:p>
    <w:p w14:paraId="0BCB3156" w14:textId="77777777"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t xml:space="preserve">facilitate informed decision making by people with disability </w:t>
      </w:r>
    </w:p>
    <w:p w14:paraId="0D306E83" w14:textId="77777777"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t xml:space="preserve">are effective in achieving person-centred outcomes for people with disability in ways that support and reflect their preferences and expectations </w:t>
      </w:r>
    </w:p>
    <w:p w14:paraId="160C48E5" w14:textId="77777777"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t xml:space="preserve">are safe and fit for purpose allow participants to live free from abuse, violence, neglect and exploitation, and </w:t>
      </w:r>
    </w:p>
    <w:p w14:paraId="70554098" w14:textId="77777777" w:rsidR="00344947" w:rsidRPr="00180517" w:rsidRDefault="00344947" w:rsidP="0031511B">
      <w:pPr>
        <w:pStyle w:val="ListParagraph"/>
        <w:numPr>
          <w:ilvl w:val="0"/>
          <w:numId w:val="9"/>
        </w:numPr>
        <w:contextualSpacing w:val="0"/>
        <w:rPr>
          <w:rFonts w:cs="Arial"/>
          <w:bCs/>
          <w:color w:val="000000"/>
        </w:rPr>
      </w:pPr>
      <w:r w:rsidRPr="00180517">
        <w:rPr>
          <w:rStyle w:val="normaltextrun"/>
          <w:rFonts w:cs="Arial"/>
          <w:bCs/>
          <w:color w:val="000000"/>
        </w:rPr>
        <w:t>enable effective monitoring and responses to emerging issues as the NDIS develops</w:t>
      </w:r>
    </w:p>
    <w:p w14:paraId="119C0B65" w14:textId="77777777" w:rsidR="00344947" w:rsidRPr="00180517" w:rsidRDefault="00344947" w:rsidP="00344947">
      <w:pPr>
        <w:ind w:left="360"/>
        <w:rPr>
          <w:rFonts w:cs="Arial"/>
          <w:color w:val="2C2A29"/>
          <w:shd w:val="clear" w:color="auto" w:fill="FFFFFF"/>
        </w:rPr>
      </w:pPr>
      <w:r w:rsidRPr="00180517">
        <w:rPr>
          <w:rFonts w:cs="Arial"/>
          <w:color w:val="2C2A29"/>
          <w:shd w:val="clear" w:color="auto" w:fill="FFFFFF"/>
        </w:rPr>
        <w:t xml:space="preserve">The Framework itself consists of measures targeted at individuals, the workforce and providers within developmental, preventative and corrective domains. </w:t>
      </w:r>
    </w:p>
    <w:p w14:paraId="2A6DE50E" w14:textId="77777777"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t xml:space="preserve">Measures in the developmental domain are intended to strengthen the capability of people with disability, the workforce and providers. While these are not regulatory functions, they are included in the Framework because they are fundamental to supporting quality and safeguarding. </w:t>
      </w:r>
    </w:p>
    <w:p w14:paraId="54F908E0" w14:textId="77777777"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t xml:space="preserve">Measures in the preventative domain are intended to prevent harm and ensure quality services are delivered to people with disability. </w:t>
      </w:r>
    </w:p>
    <w:p w14:paraId="70D65B74" w14:textId="77777777" w:rsidR="00344947" w:rsidRPr="00180517" w:rsidRDefault="00344947" w:rsidP="0031511B">
      <w:pPr>
        <w:pStyle w:val="ListParagraph"/>
        <w:numPr>
          <w:ilvl w:val="0"/>
          <w:numId w:val="9"/>
        </w:numPr>
        <w:contextualSpacing w:val="0"/>
        <w:rPr>
          <w:rStyle w:val="normaltextrun"/>
          <w:rFonts w:cs="Arial"/>
          <w:bCs/>
          <w:color w:val="000000"/>
        </w:rPr>
      </w:pPr>
      <w:r w:rsidRPr="00180517">
        <w:rPr>
          <w:rStyle w:val="normaltextrun"/>
          <w:rFonts w:cs="Arial"/>
          <w:bCs/>
          <w:color w:val="000000"/>
        </w:rPr>
        <w:lastRenderedPageBreak/>
        <w:t>Measures in the corrective domain are intended to resolve problems, enable improvements to be identified to avoid the same problems recurring, and provide oversight of the system.</w:t>
      </w:r>
    </w:p>
    <w:p w14:paraId="6A7F686D" w14:textId="77777777" w:rsidR="00344947" w:rsidRPr="00180517" w:rsidRDefault="00344947" w:rsidP="0031511B">
      <w:pPr>
        <w:numPr>
          <w:ilvl w:val="0"/>
          <w:numId w:val="4"/>
        </w:numPr>
        <w:rPr>
          <w:rFonts w:cs="Arial"/>
          <w:b/>
          <w:bCs/>
          <w:i/>
          <w:iCs/>
          <w:color w:val="2C2A29"/>
          <w:shd w:val="clear" w:color="auto" w:fill="FFFFFF"/>
        </w:rPr>
      </w:pPr>
      <w:r w:rsidRPr="00180517">
        <w:rPr>
          <w:rFonts w:cs="Arial"/>
          <w:b/>
          <w:bCs/>
          <w:i/>
          <w:iCs/>
          <w:color w:val="2C2A29"/>
          <w:shd w:val="clear" w:color="auto" w:fill="FFFFFF"/>
        </w:rPr>
        <w:t xml:space="preserve">NDIS Quality and Safeguards Commission </w:t>
      </w:r>
      <w:r w:rsidRPr="00180517">
        <w:rPr>
          <w:rStyle w:val="FootnoteReference"/>
          <w:rFonts w:cs="Arial"/>
          <w:b/>
          <w:bCs/>
          <w:i/>
          <w:iCs/>
          <w:color w:val="2C2A29"/>
          <w:shd w:val="clear" w:color="auto" w:fill="FFFFFF"/>
        </w:rPr>
        <w:footnoteReference w:id="27"/>
      </w:r>
    </w:p>
    <w:p w14:paraId="34D5FE08" w14:textId="77777777" w:rsidR="00344947" w:rsidRPr="00180517" w:rsidRDefault="00344947" w:rsidP="00344947">
      <w:pPr>
        <w:ind w:left="357"/>
        <w:rPr>
          <w:rFonts w:cs="Arial"/>
          <w:color w:val="2C2A29"/>
          <w:shd w:val="clear" w:color="auto" w:fill="FFFFFF"/>
        </w:rPr>
      </w:pPr>
      <w:r w:rsidRPr="00180517">
        <w:rPr>
          <w:rFonts w:cs="Arial"/>
          <w:color w:val="2C2A29"/>
          <w:shd w:val="clear" w:color="auto" w:fill="FFFFFF"/>
        </w:rPr>
        <w:t>The NDIS Commission works with participants and providers to improve the quality and safety of NDIS services and supports. The Commission has produced an Evidence-Informed Practice Guide that outlines the NDIS Commission’s position on evidence-informed practice and what is expected of NDIS providers. It describes what evidence-informed practice is, why it is important, how it can be implemented by NDIS providers, and where to find further information. For the NDIS Commission, evidence-informed practice means integrating the rights and perspectives of the person with disability, with the best available research with professional expertise and information from the implementing or practice contexts.</w:t>
      </w:r>
    </w:p>
    <w:p w14:paraId="107F49FB" w14:textId="77777777" w:rsidR="00344947" w:rsidRPr="00180517" w:rsidRDefault="00344947" w:rsidP="00344947">
      <w:pPr>
        <w:rPr>
          <w:rStyle w:val="normaltextrun"/>
          <w:rFonts w:cs="Arial"/>
          <w:color w:val="000000"/>
          <w:lang w:val="en-US"/>
        </w:rPr>
      </w:pPr>
      <w:r w:rsidRPr="00180517">
        <w:rPr>
          <w:rStyle w:val="normaltextrun"/>
          <w:rFonts w:cs="Arial"/>
          <w:color w:val="000000"/>
          <w:lang w:val="en-US"/>
        </w:rPr>
        <w:t>There are also several sets of clinical guidelines for specific disabilities and conditions. These include:</w:t>
      </w:r>
    </w:p>
    <w:p w14:paraId="7E45EA30" w14:textId="77777777" w:rsidR="00344947" w:rsidRPr="00180517" w:rsidRDefault="00344947" w:rsidP="0031511B">
      <w:pPr>
        <w:numPr>
          <w:ilvl w:val="0"/>
          <w:numId w:val="4"/>
        </w:numPr>
        <w:rPr>
          <w:rFonts w:cs="Arial"/>
          <w:b/>
          <w:bCs/>
          <w:i/>
          <w:iCs/>
        </w:rPr>
      </w:pPr>
      <w:r w:rsidRPr="00180517">
        <w:rPr>
          <w:rFonts w:cs="Arial"/>
          <w:b/>
          <w:bCs/>
          <w:i/>
          <w:iCs/>
        </w:rPr>
        <w:t xml:space="preserve">National Autism Guideline (Autism CRC, 2022) </w:t>
      </w:r>
      <w:r w:rsidRPr="00180517">
        <w:rPr>
          <w:rStyle w:val="FootnoteReference"/>
          <w:rFonts w:cs="Arial"/>
          <w:b/>
          <w:bCs/>
          <w:i/>
          <w:iCs/>
        </w:rPr>
        <w:footnoteReference w:id="28"/>
      </w:r>
    </w:p>
    <w:p w14:paraId="5B3622A1" w14:textId="77777777" w:rsidR="00344947" w:rsidRPr="00180517" w:rsidRDefault="00344947" w:rsidP="00344947">
      <w:pPr>
        <w:ind w:left="360"/>
        <w:rPr>
          <w:rFonts w:cs="Arial"/>
        </w:rPr>
      </w:pPr>
      <w:r w:rsidRPr="00180517">
        <w:rPr>
          <w:rFonts w:cs="Arial"/>
        </w:rPr>
        <w:t>The National Guideline for supporting the learning, participation, and wellbeing of autistic children and their families in Australia focuses on practitioners delivering supports in community and clinical settings. The Guideline provides clear and consistent Recommendations and Practice Points for practitioners who deliver supports to autistic children and their families, to ensure they are doing so in ways that are effective, safe and desirable to children and their families. The Guideline has a lifespan perspective, recognising that early supports should lay the foundation for a positive future and focuses on the delivery of non-pharmacological supports in community and clinical settings that aim to support children aged 0-12 years.</w:t>
      </w:r>
    </w:p>
    <w:p w14:paraId="46DB699B" w14:textId="77777777" w:rsidR="00344947" w:rsidRPr="00180517" w:rsidRDefault="00344947" w:rsidP="0031511B">
      <w:pPr>
        <w:numPr>
          <w:ilvl w:val="0"/>
          <w:numId w:val="4"/>
        </w:numPr>
        <w:rPr>
          <w:rFonts w:cs="Arial"/>
          <w:b/>
          <w:bCs/>
          <w:i/>
          <w:iCs/>
          <w:lang w:eastAsia="en-AU"/>
        </w:rPr>
      </w:pPr>
      <w:r w:rsidRPr="00180517">
        <w:rPr>
          <w:rFonts w:cs="Arial"/>
          <w:b/>
          <w:bCs/>
          <w:i/>
          <w:iCs/>
          <w:color w:val="1C1D1E"/>
          <w:shd w:val="clear" w:color="auto" w:fill="FFFFFF"/>
        </w:rPr>
        <w:t>Interventions to improve physical function for children and young people with cerebral palsy: international clinical practice guideline (Jackman et al., 2022)</w:t>
      </w:r>
    </w:p>
    <w:p w14:paraId="6A6F4775" w14:textId="77777777" w:rsidR="00344947" w:rsidRPr="00180517" w:rsidRDefault="00344947" w:rsidP="00344947">
      <w:pPr>
        <w:ind w:left="360"/>
        <w:rPr>
          <w:rFonts w:cs="Arial"/>
        </w:rPr>
      </w:pPr>
      <w:r w:rsidRPr="00180517">
        <w:rPr>
          <w:rFonts w:cs="Arial"/>
        </w:rPr>
        <w:t>This paper provides recommendations for interventions to improve physical function for children and young people with cerebral palsy. An expert panel prioritized questions and patient-important outcomes. Using Grading of Recommendations Assessment, Development and Evaluation (GRADE) methods, the panel assessed the certainty of evidence and made recommendations, with international expert and consumer consultation.</w:t>
      </w:r>
    </w:p>
    <w:p w14:paraId="2C3C7AD4" w14:textId="7AA23930" w:rsidR="00344947" w:rsidRPr="00180517" w:rsidRDefault="00344947" w:rsidP="008C2579">
      <w:pPr>
        <w:shd w:val="clear" w:color="auto" w:fill="FFFFFF"/>
        <w:ind w:left="360"/>
        <w:rPr>
          <w:rFonts w:cs="Arial"/>
        </w:rPr>
      </w:pPr>
      <w:r w:rsidRPr="00180517">
        <w:rPr>
          <w:rFonts w:cs="Arial"/>
        </w:rPr>
        <w:t>The guideline comprises 13 recommendations (informed by three systematic reviews, 30 randomized trials, and five before–after studies). To achieve functional goals, it is recommended that intervention includes client-chosen goals, whole-task practice within real-life settings, support to empower families, and a team approach. Age, ability, and child/family preferences need to be considered. To improve walking ability, overground walking is recommended and can be supplemented with treadmill training. Various approaches can facilitate hand use goals: bimanual therapy, constraint-induced movement therapy, goal-</w:t>
      </w:r>
      <w:r w:rsidRPr="00180517">
        <w:rPr>
          <w:rFonts w:cs="Arial"/>
        </w:rPr>
        <w:lastRenderedPageBreak/>
        <w:t>directed training, and cognitive approaches. For self-care, whole-task practice combined with assistive devices can increase independence and reduce caregiver burden. Participation in leisure goals can combine whole-task practice with strategies to address environmental, personal, and social barriers. Intervention to improve function for children and young people with cerebral palsy needs to include client-chosen goals and whole-task practice of goals. Clinicians should consider child/family preferences, age, and ability when selecting specific interventions.</w:t>
      </w:r>
    </w:p>
    <w:p w14:paraId="2740E013" w14:textId="77777777" w:rsidR="00344947" w:rsidRPr="00180517" w:rsidRDefault="00344947" w:rsidP="0031511B">
      <w:pPr>
        <w:numPr>
          <w:ilvl w:val="0"/>
          <w:numId w:val="4"/>
        </w:numPr>
        <w:ind w:left="357" w:hanging="357"/>
        <w:rPr>
          <w:rFonts w:cs="Arial"/>
          <w:i/>
          <w:iCs/>
          <w:lang w:eastAsia="en-AU"/>
        </w:rPr>
      </w:pPr>
      <w:r w:rsidRPr="00180517">
        <w:rPr>
          <w:rFonts w:cs="Arial"/>
          <w:b/>
          <w:bCs/>
          <w:i/>
          <w:iCs/>
          <w:color w:val="1C1D1E"/>
          <w:shd w:val="clear" w:color="auto" w:fill="FFFFFF"/>
        </w:rPr>
        <w:t>Guideline for Growth, Health and Developmental Follow-Up for Children Born Very Preterm (2024)</w:t>
      </w:r>
      <w:r w:rsidRPr="00695E2F">
        <w:t xml:space="preserve">  </w:t>
      </w:r>
      <w:r w:rsidRPr="00180517">
        <w:rPr>
          <w:rStyle w:val="FootnoteReference"/>
          <w:rFonts w:cs="Arial"/>
          <w:b/>
          <w:bCs/>
          <w:i/>
          <w:iCs/>
        </w:rPr>
        <w:footnoteReference w:id="29"/>
      </w:r>
    </w:p>
    <w:p w14:paraId="7EE0F032" w14:textId="77777777" w:rsidR="00344947" w:rsidRPr="00180517" w:rsidRDefault="00344947" w:rsidP="00344947">
      <w:pPr>
        <w:ind w:left="360"/>
        <w:rPr>
          <w:rFonts w:cs="Arial"/>
        </w:rPr>
      </w:pPr>
      <w:r w:rsidRPr="00180517">
        <w:rPr>
          <w:rFonts w:cs="Arial"/>
        </w:rPr>
        <w:t xml:space="preserve">Specific follow-up services for children born very preterm vary considerably across Australia. Many children may miss out on assessments important for identifying growth, health and developmental difficulties and therefore miss the opportunity for timely referrals for support, interventions and services for children and families. This guideline makes recommendations for a structured, preterm specific post-discharge follow-up.  </w:t>
      </w:r>
    </w:p>
    <w:p w14:paraId="166BB051" w14:textId="77777777" w:rsidR="00344947" w:rsidRPr="006B470E" w:rsidRDefault="00344947" w:rsidP="007B6CF4">
      <w:pPr>
        <w:pStyle w:val="Heading2"/>
      </w:pPr>
      <w:bookmarkStart w:id="13" w:name="_Toc177645574"/>
      <w:bookmarkStart w:id="14" w:name="_Toc177730815"/>
      <w:r>
        <w:t>Discussion and implications</w:t>
      </w:r>
      <w:bookmarkEnd w:id="13"/>
      <w:bookmarkEnd w:id="14"/>
    </w:p>
    <w:p w14:paraId="74F847B7" w14:textId="004A0158" w:rsidR="0ACDD017" w:rsidRDefault="0ACDD017">
      <w:pPr>
        <w:rPr>
          <w:rFonts w:eastAsia="Arial" w:cs="Arial"/>
          <w:color w:val="000000" w:themeColor="text1"/>
        </w:rPr>
      </w:pPr>
      <w:r w:rsidRPr="6A439164">
        <w:rPr>
          <w:rFonts w:eastAsia="Arial" w:cs="Arial"/>
          <w:color w:val="000000" w:themeColor="text1"/>
        </w:rPr>
        <w:t xml:space="preserve">The very existence of these various disability and early years policies and reviews illustrates a problem related to coordination and collaboration between jurisdictions and levels of government. All of these reviews need to be considered together and a new integrated vision for a truly inclusive early childhood sector developed, along with a new national agreement and mechanism to improve policy coordination and implementation. This is the stated aim of the National Early Years Strategy, but it is not yet clear how that will be achieved.  </w:t>
      </w:r>
    </w:p>
    <w:p w14:paraId="49645952" w14:textId="2B5F112A" w:rsidR="0ACDD017" w:rsidRDefault="0ACDD017">
      <w:pPr>
        <w:rPr>
          <w:rFonts w:eastAsia="Arial" w:cs="Arial"/>
          <w:color w:val="000000" w:themeColor="text1"/>
        </w:rPr>
      </w:pPr>
      <w:r w:rsidRPr="6A439164">
        <w:rPr>
          <w:rFonts w:eastAsia="Arial" w:cs="Arial"/>
          <w:color w:val="000000" w:themeColor="text1"/>
        </w:rPr>
        <w:t>What is clear is that ECI services need to be considered as part of a wider system of services, embedded across and throughout services rather than being a separate disability service stream.  It is also clear that a national ECI best practice framework needs to be consistent with national quality, safeguarding and accountability frameworks, which are then adopted and practiced in all jurisdictions.</w:t>
      </w:r>
    </w:p>
    <w:p w14:paraId="5D529EAD" w14:textId="797692E8" w:rsidR="00AF2DB3" w:rsidRDefault="00344947" w:rsidP="00344947">
      <w:pPr>
        <w:rPr>
          <w:rFonts w:cs="Arial"/>
        </w:rPr>
      </w:pPr>
      <w:r w:rsidRPr="006B470E">
        <w:rPr>
          <w:rFonts w:cs="Arial"/>
        </w:rPr>
        <w:t xml:space="preserve">There are several recurrent themes evident in these various strategies and reviews. Those of particular relevance to ECI services are outlined in the following two text boxes (below). The first box outlines the themes relating to ECI services, with the second shaded box outlining implications for the ECI practice framework. </w:t>
      </w:r>
    </w:p>
    <w:p w14:paraId="43CC7A2E" w14:textId="16780490" w:rsidR="000D4AEC" w:rsidRDefault="000D4AEC">
      <w:pPr>
        <w:spacing w:before="0" w:after="0"/>
        <w:rPr>
          <w:rFonts w:cs="Arial"/>
        </w:rPr>
      </w:pPr>
      <w:r>
        <w:rPr>
          <w:rFonts w:cs="Arial"/>
        </w:rPr>
        <w:br w:type="page"/>
      </w:r>
    </w:p>
    <w:p w14:paraId="747ADCFD" w14:textId="2F215993" w:rsidR="00D722BD" w:rsidRPr="00923F02" w:rsidRDefault="00B225C7" w:rsidP="00D722BD">
      <w:pPr>
        <w:rPr>
          <w:b/>
          <w:bCs/>
          <w:color w:val="0C2C74"/>
        </w:rPr>
      </w:pPr>
      <w:r>
        <w:rPr>
          <w:noProof/>
        </w:rPr>
        <w:lastRenderedPageBreak/>
        <mc:AlternateContent>
          <mc:Choice Requires="wps">
            <w:drawing>
              <wp:anchor distT="0" distB="0" distL="114300" distR="114300" simplePos="0" relativeHeight="251621376" behindDoc="1" locked="1" layoutInCell="1" allowOverlap="0" wp14:anchorId="3D699383" wp14:editId="34085EE8">
                <wp:simplePos x="0" y="0"/>
                <wp:positionH relativeFrom="column">
                  <wp:posOffset>-481965</wp:posOffset>
                </wp:positionH>
                <wp:positionV relativeFrom="page">
                  <wp:posOffset>715645</wp:posOffset>
                </wp:positionV>
                <wp:extent cx="6695440" cy="4993640"/>
                <wp:effectExtent l="0" t="0" r="0" b="0"/>
                <wp:wrapNone/>
                <wp:docPr id="118639040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4993640"/>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71092" id="Rectangle 2" o:spid="_x0000_s1026" alt="&quot;&quot;" style="position:absolute;margin-left:-37.95pt;margin-top:56.35pt;width:527.2pt;height:39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" o:allowoverlap="f" fillcolor="#8087a3" stroked="f" strokeweight="1pt">
                <v:fill opacity="16448f"/>
                <w10:wrap anchory="page"/>
                <w10:anchorlock/>
              </v:rect>
            </w:pict>
          </mc:Fallback>
        </mc:AlternateContent>
      </w:r>
      <w:r w:rsidR="00D722BD" w:rsidRPr="00923F02">
        <w:rPr>
          <w:b/>
          <w:bCs/>
          <w:color w:val="0C2C74"/>
        </w:rPr>
        <w:t>Implications for ECI services</w:t>
      </w:r>
    </w:p>
    <w:p w14:paraId="287CDE22" w14:textId="4D118FB4" w:rsidR="00D722BD" w:rsidRDefault="00D722BD" w:rsidP="0031511B">
      <w:pPr>
        <w:pStyle w:val="ListParagraph"/>
        <w:numPr>
          <w:ilvl w:val="0"/>
          <w:numId w:val="13"/>
        </w:numPr>
        <w:ind w:left="357" w:hanging="357"/>
        <w:contextualSpacing w:val="0"/>
      </w:pPr>
      <w:r>
        <w:t>ECI services need to be considered as part of a wider system of services, embedded in the mainstream services rather than being a separate disability service stream</w:t>
      </w:r>
    </w:p>
    <w:p w14:paraId="59627A5E" w14:textId="35C2D764" w:rsidR="00D722BD" w:rsidRDefault="00D722BD" w:rsidP="0031511B">
      <w:pPr>
        <w:pStyle w:val="ListParagraph"/>
        <w:numPr>
          <w:ilvl w:val="0"/>
          <w:numId w:val="13"/>
        </w:numPr>
        <w:ind w:left="357" w:hanging="357"/>
        <w:contextualSpacing w:val="0"/>
      </w:pPr>
      <w:r>
        <w:t xml:space="preserve">the importance of early identification of disability or developmental concerns and of establishing clearer pathways and timely access to appropriate supports for families of children with developmental concerns </w:t>
      </w:r>
    </w:p>
    <w:p w14:paraId="31FD54F2" w14:textId="0ECDD97E" w:rsidR="00D722BD" w:rsidRDefault="00D722BD" w:rsidP="0031511B">
      <w:pPr>
        <w:pStyle w:val="ListParagraph"/>
        <w:numPr>
          <w:ilvl w:val="0"/>
          <w:numId w:val="13"/>
        </w:numPr>
        <w:ind w:left="357" w:hanging="357"/>
        <w:contextualSpacing w:val="0"/>
      </w:pPr>
      <w:r>
        <w:t xml:space="preserve">the need to strengthen the capability and capacity of key services and systems to support parents and caregivers to make informed choices about their child </w:t>
      </w:r>
    </w:p>
    <w:p w14:paraId="5EB097DC" w14:textId="0A1D792A" w:rsidR="00D722BD" w:rsidRDefault="00D722BD" w:rsidP="0031511B">
      <w:pPr>
        <w:pStyle w:val="ListParagraph"/>
        <w:numPr>
          <w:ilvl w:val="0"/>
          <w:numId w:val="13"/>
        </w:numPr>
        <w:ind w:left="357" w:hanging="357"/>
        <w:contextualSpacing w:val="0"/>
      </w:pPr>
      <w:r>
        <w:t xml:space="preserve">the need to build the capacity for parents to be able to make informed choices about their child and family </w:t>
      </w:r>
    </w:p>
    <w:p w14:paraId="37BECBDB" w14:textId="27BDF130" w:rsidR="00D722BD" w:rsidRDefault="00D722BD" w:rsidP="0031511B">
      <w:pPr>
        <w:pStyle w:val="ListParagraph"/>
        <w:numPr>
          <w:ilvl w:val="0"/>
          <w:numId w:val="13"/>
        </w:numPr>
        <w:ind w:left="357" w:hanging="357"/>
        <w:contextualSpacing w:val="0"/>
      </w:pPr>
      <w:r>
        <w:t xml:space="preserve">the importance of promoting inclusion and participation and of ensuring that services and communities are able to meet the needs of all children and families </w:t>
      </w:r>
    </w:p>
    <w:p w14:paraId="2D9F70D8" w14:textId="3CDA895E" w:rsidR="00D722BD" w:rsidRDefault="00D722BD" w:rsidP="0031511B">
      <w:pPr>
        <w:pStyle w:val="ListParagraph"/>
        <w:numPr>
          <w:ilvl w:val="0"/>
          <w:numId w:val="13"/>
        </w:numPr>
        <w:ind w:left="357" w:hanging="357"/>
        <w:contextualSpacing w:val="0"/>
      </w:pPr>
      <w:r>
        <w:t xml:space="preserve">the need to provide opportunities for parents, caregivers and children to build peer networks, including for Aboriginal and Torres Strait Islander and culturally and linguistically diverse parents and caregivers. </w:t>
      </w:r>
    </w:p>
    <w:p w14:paraId="58B8D19A" w14:textId="26D4A734" w:rsidR="00D722BD" w:rsidRDefault="00D722BD" w:rsidP="0031511B">
      <w:pPr>
        <w:pStyle w:val="ListParagraph"/>
        <w:numPr>
          <w:ilvl w:val="0"/>
          <w:numId w:val="13"/>
        </w:numPr>
        <w:ind w:left="357" w:hanging="357"/>
        <w:contextualSpacing w:val="0"/>
      </w:pPr>
      <w:r>
        <w:t xml:space="preserve">the overall aim should be to ensure that all children (including those with developmental concerns or disabilities) and their families are thriving </w:t>
      </w:r>
    </w:p>
    <w:p w14:paraId="454DF78F" w14:textId="471F3761" w:rsidR="00D722BD" w:rsidRDefault="00D722BD" w:rsidP="0031511B">
      <w:pPr>
        <w:pStyle w:val="ListParagraph"/>
        <w:numPr>
          <w:ilvl w:val="0"/>
          <w:numId w:val="13"/>
        </w:numPr>
        <w:ind w:left="357" w:hanging="357"/>
        <w:contextualSpacing w:val="0"/>
      </w:pPr>
      <w:r>
        <w:t xml:space="preserve">the importance of shared decision making, especially with Aboriginal and Torres Strait Islander people </w:t>
      </w:r>
    </w:p>
    <w:p w14:paraId="5E86BA47" w14:textId="2635F968" w:rsidR="00923F02" w:rsidRDefault="00D722BD" w:rsidP="0031511B">
      <w:pPr>
        <w:pStyle w:val="ListParagraph"/>
        <w:numPr>
          <w:ilvl w:val="0"/>
          <w:numId w:val="13"/>
        </w:numPr>
        <w:ind w:left="357" w:hanging="357"/>
        <w:contextualSpacing w:val="0"/>
      </w:pPr>
      <w:r>
        <w:t>the need for quality guidelines and some form of regular monitoring to ensure that best practice is being implemented consistently by ECI service providers.</w:t>
      </w:r>
    </w:p>
    <w:p w14:paraId="6F4D7DEC" w14:textId="77777777" w:rsidR="000D4AEC" w:rsidRDefault="000D4AEC" w:rsidP="00724EB5"/>
    <w:p w14:paraId="4515004E" w14:textId="77777777" w:rsidR="00724EB5" w:rsidRDefault="00724EB5" w:rsidP="00724EB5"/>
    <w:p w14:paraId="67770D19" w14:textId="77777777" w:rsidR="00E02865" w:rsidRPr="00E02865" w:rsidRDefault="00E02865" w:rsidP="00E02865">
      <w:pPr>
        <w:rPr>
          <w:b/>
          <w:bCs/>
          <w:color w:val="0C2C74"/>
        </w:rPr>
      </w:pPr>
      <w:r w:rsidRPr="6A439164">
        <w:rPr>
          <w:b/>
          <w:bCs/>
          <w:color w:val="0C2C74"/>
        </w:rPr>
        <w:t>Implications for ECI practice framework</w:t>
      </w:r>
    </w:p>
    <w:p w14:paraId="36C0A8CC" w14:textId="4250C51C" w:rsidR="6A439164" w:rsidRDefault="6A439164" w:rsidP="6A439164">
      <w:pPr>
        <w:rPr>
          <w:b/>
          <w:bCs/>
          <w:color w:val="0C2C74"/>
        </w:rPr>
      </w:pPr>
    </w:p>
    <w:p w14:paraId="5D3E54EB" w14:textId="189D276B" w:rsidR="00E02865" w:rsidRDefault="00E02865" w:rsidP="0031511B">
      <w:pPr>
        <w:pStyle w:val="ListParagraph"/>
        <w:numPr>
          <w:ilvl w:val="0"/>
          <w:numId w:val="14"/>
        </w:numPr>
      </w:pPr>
      <w:r>
        <w:t>It is re</w:t>
      </w:r>
      <w:r w:rsidR="00DE418F">
        <w:rPr>
          <w:noProof/>
        </w:rPr>
        <mc:AlternateContent>
          <mc:Choice Requires="wps">
            <w:drawing>
              <wp:anchor distT="0" distB="0" distL="114300" distR="114300" simplePos="0" relativeHeight="251623424" behindDoc="1" locked="1" layoutInCell="1" allowOverlap="1" wp14:anchorId="5FFDFFEC" wp14:editId="0B36A933">
                <wp:simplePos x="0" y="0"/>
                <wp:positionH relativeFrom="column">
                  <wp:posOffset>-480060</wp:posOffset>
                </wp:positionH>
                <wp:positionV relativeFrom="page">
                  <wp:posOffset>6059170</wp:posOffset>
                </wp:positionV>
                <wp:extent cx="6695440" cy="3574415"/>
                <wp:effectExtent l="12700" t="12700" r="10160" b="6985"/>
                <wp:wrapNone/>
                <wp:docPr id="8649721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574415"/>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0786" id="Rectangle 2" o:spid="_x0000_s1026" alt="&quot;&quot;" style="position:absolute;margin-left:-37.8pt;margin-top:477.1pt;width:527.2pt;height:28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" fillcolor="#f2f2f2 [3052]" strokecolor="#8087a3" strokeweight="2.25pt">
                <w10:wrap anchory="page"/>
                <w10:anchorlock/>
              </v:rect>
            </w:pict>
          </mc:Fallback>
        </mc:AlternateContent>
      </w:r>
      <w:r>
        <w:t>commended that the ECI Practice Framework:</w:t>
      </w:r>
    </w:p>
    <w:p w14:paraId="3B4C973C" w14:textId="0837A1F7" w:rsidR="00E02865" w:rsidRDefault="00E02865" w:rsidP="0031511B">
      <w:pPr>
        <w:pStyle w:val="ListParagraph"/>
        <w:numPr>
          <w:ilvl w:val="0"/>
          <w:numId w:val="14"/>
        </w:numPr>
      </w:pPr>
      <w:r>
        <w:t>is consistent with the aims of the key national early childhood strategies and frameworks</w:t>
      </w:r>
    </w:p>
    <w:p w14:paraId="0452A6CD" w14:textId="594D3F4B" w:rsidR="00E02865" w:rsidRDefault="00E02865" w:rsidP="0031511B">
      <w:pPr>
        <w:pStyle w:val="ListParagraph"/>
        <w:numPr>
          <w:ilvl w:val="0"/>
          <w:numId w:val="14"/>
        </w:numPr>
      </w:pPr>
      <w:r>
        <w:t>is consistent with national quality, safeguarding and accountability frameworks</w:t>
      </w:r>
    </w:p>
    <w:p w14:paraId="71D5BD51" w14:textId="038213CA" w:rsidR="00E02865" w:rsidRDefault="00E02865" w:rsidP="0031511B">
      <w:pPr>
        <w:pStyle w:val="ListParagraph"/>
        <w:numPr>
          <w:ilvl w:val="0"/>
          <w:numId w:val="14"/>
        </w:numPr>
      </w:pPr>
      <w:r>
        <w:t>has a positive focus, seeking to ensure that the children with developmental concerns, delay or disability and their families are thriving</w:t>
      </w:r>
    </w:p>
    <w:p w14:paraId="2FCCCB21" w14:textId="303DE34E" w:rsidR="00E02865" w:rsidRDefault="00E02865" w:rsidP="0031511B">
      <w:pPr>
        <w:pStyle w:val="ListParagraph"/>
        <w:numPr>
          <w:ilvl w:val="0"/>
          <w:numId w:val="14"/>
        </w:numPr>
      </w:pPr>
      <w:r>
        <w:t xml:space="preserve">seeks to ensure that needs of children with developmental disabilities for being, belonging and becoming are met </w:t>
      </w:r>
    </w:p>
    <w:p w14:paraId="5E9990D2" w14:textId="514606A5" w:rsidR="00E02865" w:rsidRDefault="00E02865" w:rsidP="0031511B">
      <w:pPr>
        <w:pStyle w:val="ListParagraph"/>
        <w:numPr>
          <w:ilvl w:val="0"/>
          <w:numId w:val="14"/>
        </w:numPr>
      </w:pPr>
      <w:r>
        <w:t>has a major focus on inclusion and participation – ensuring that children and families have opportunities to participate in community and ECEC activities, as well as building the capacity of mainstream services to meet the needs of all children.</w:t>
      </w:r>
    </w:p>
    <w:p w14:paraId="4455AE57" w14:textId="79438D06" w:rsidR="00E02865" w:rsidRDefault="00E02865" w:rsidP="0031511B">
      <w:pPr>
        <w:pStyle w:val="ListParagraph"/>
        <w:numPr>
          <w:ilvl w:val="0"/>
          <w:numId w:val="14"/>
        </w:numPr>
      </w:pPr>
      <w:r>
        <w:t>focuses on building parental capacity to make decisions on behalf of their child and family.</w:t>
      </w:r>
    </w:p>
    <w:p w14:paraId="2D934F88" w14:textId="77777777" w:rsidR="003802C6" w:rsidRDefault="00E02865" w:rsidP="0031511B">
      <w:pPr>
        <w:pStyle w:val="ListParagraph"/>
        <w:numPr>
          <w:ilvl w:val="0"/>
          <w:numId w:val="14"/>
        </w:numPr>
      </w:pPr>
      <w:r>
        <w:t>highlights the need for ECI practitioners to be able to provide opportunities for parents to connect with supportive peer networks.</w:t>
      </w:r>
    </w:p>
    <w:p w14:paraId="00746FFC" w14:textId="77777777" w:rsidR="003802C6" w:rsidRDefault="003802C6" w:rsidP="003802C6">
      <w:pPr>
        <w:rPr>
          <w:noProof/>
        </w:rPr>
      </w:pPr>
    </w:p>
    <w:p w14:paraId="192C5F3B" w14:textId="77777777" w:rsidR="003802C6" w:rsidRDefault="003802C6" w:rsidP="003802C6">
      <w:pPr>
        <w:rPr>
          <w:noProof/>
        </w:rPr>
      </w:pPr>
    </w:p>
    <w:p w14:paraId="491C48CE" w14:textId="09A75108" w:rsidR="00DE418F" w:rsidRPr="007C6D53" w:rsidRDefault="00DE418F" w:rsidP="006322E7">
      <w:pPr>
        <w:pStyle w:val="Heading1"/>
      </w:pPr>
      <w:bookmarkStart w:id="15" w:name="_Toc177730816"/>
      <w:r w:rsidRPr="007C6D53">
        <w:t>Developments in policy, research and practice in ECI</w:t>
      </w:r>
      <w:bookmarkEnd w:id="15"/>
    </w:p>
    <w:p w14:paraId="5D21E23F" w14:textId="01014A2E" w:rsidR="00DE418F" w:rsidRPr="004A74F2" w:rsidRDefault="00DE418F" w:rsidP="006322E7">
      <w:pPr>
        <w:rPr>
          <w:rStyle w:val="eop"/>
        </w:rPr>
      </w:pPr>
      <w:r w:rsidRPr="6A439164">
        <w:rPr>
          <w:rStyle w:val="normaltextrun"/>
        </w:rPr>
        <w:t>Th</w:t>
      </w:r>
      <w:bookmarkStart w:id="16" w:name="_Hlk176273415"/>
      <w:r w:rsidRPr="6A439164">
        <w:rPr>
          <w:rStyle w:val="normaltextrun"/>
        </w:rPr>
        <w:t xml:space="preserve">ere have been </w:t>
      </w:r>
      <w:r w:rsidR="7860AE91" w:rsidRPr="6A439164">
        <w:rPr>
          <w:rStyle w:val="normaltextrun"/>
        </w:rPr>
        <w:t>numerous</w:t>
      </w:r>
      <w:r w:rsidRPr="6A439164">
        <w:rPr>
          <w:rStyle w:val="normaltextrun"/>
        </w:rPr>
        <w:t xml:space="preserve"> developments in policy, research and practice over the past decade or so that are of relevance for ECI services. These are discussed below under four headings: changing social conditions and their impact; child development and the early years, changing ideas about disability issues, and changing models of service delivery.</w:t>
      </w:r>
      <w:r w:rsidRPr="6A439164">
        <w:rPr>
          <w:rStyle w:val="eop"/>
        </w:rPr>
        <w:t> </w:t>
      </w:r>
    </w:p>
    <w:p w14:paraId="77F17BCD" w14:textId="52E42A04" w:rsidR="00DE418F" w:rsidRPr="006322E7" w:rsidRDefault="00DE418F" w:rsidP="006322E7">
      <w:pPr>
        <w:pStyle w:val="Heading2"/>
      </w:pPr>
      <w:bookmarkStart w:id="17" w:name="_Toc176543493"/>
      <w:bookmarkStart w:id="18" w:name="_Toc177730817"/>
      <w:bookmarkEnd w:id="16"/>
      <w:r w:rsidRPr="006322E7">
        <w:t>Changing social conditions and their impact</w:t>
      </w:r>
      <w:bookmarkEnd w:id="17"/>
      <w:bookmarkEnd w:id="18"/>
    </w:p>
    <w:p w14:paraId="06275D6A" w14:textId="77777777" w:rsidR="00DE418F" w:rsidRPr="006C5086" w:rsidRDefault="00DE418F" w:rsidP="007C6ACB">
      <w:bookmarkStart w:id="19" w:name="_Hlk175217252"/>
      <w:r w:rsidRPr="006C5086">
        <w:rPr>
          <w:rStyle w:val="normaltextrun"/>
        </w:rPr>
        <w:t xml:space="preserve">Over the last half century, </w:t>
      </w:r>
      <w:r>
        <w:rPr>
          <w:rStyle w:val="normaltextrun"/>
        </w:rPr>
        <w:t>high-income</w:t>
      </w:r>
      <w:r w:rsidRPr="006C5086">
        <w:rPr>
          <w:rStyle w:val="normaltextrun"/>
        </w:rPr>
        <w:t xml:space="preserve"> Western nations such as Australia have experienced a series of social, economic, demographic and technological changes that are unprecedented in their rapidity and scale (Turner, 2023). Many of these changes in conditions have been beneficial. The rapid economic, technological and public health improvements have produced a steady rise in general prosperity and quality of life, from which many people have benefited (Galor, 2022; Pinker, 2018; Rosling et al., 2018). However, these benefits have not been evenly distributed: there is a wide gulf between those with the lowest and those with the highest incomes in Australia, and wealth inequality has grown strongly over the last 20 years or so (Davidson et al., 2020). There are many communities in Australia experiencing entrenched disadvantage (Committee for Economic Development of Australia, 2015; Davidson, 2020a; Davidson et al., 2022; McLachlan et al., 2013; Miranti et al., 2018; Save the Children, 2016; Vinson, 2007).</w:t>
      </w:r>
      <w:r w:rsidRPr="006C5086">
        <w:rPr>
          <w:rStyle w:val="eop"/>
        </w:rPr>
        <w:t> </w:t>
      </w:r>
    </w:p>
    <w:p w14:paraId="2F375B3D" w14:textId="77777777" w:rsidR="00DE418F" w:rsidRPr="006C5086" w:rsidRDefault="00DE418F" w:rsidP="007C6ACB">
      <w:r w:rsidRPr="006C5086">
        <w:rPr>
          <w:rStyle w:val="normaltextrun"/>
          <w:b/>
          <w:i/>
        </w:rPr>
        <w:t>These changes have dramatically altered the conditions under which families are raising young children</w:t>
      </w:r>
      <w:r w:rsidRPr="006C5086">
        <w:rPr>
          <w:rStyle w:val="normaltextrun"/>
        </w:rPr>
        <w:t xml:space="preserve"> (Keeley, 2015; Li et al., 2008; Putnam, 2015; Silbereisen &amp; Che, 2010; Trask, 2010; Wells, 2021) and the social and economic challenges they are experiencing. As a result of these changes, many families feel disconnected from their neighbourhoods and communities (Leigh, 2010: Ulferts, 2020). This has weakened the informal social support and safety net for a lot of families, requiring more families to assume full responsibility for their children’s welfare, rather than relying on the extended family and community as a whole to join in the oversight, protection, and nurturing of children (Ulferts, 2020).</w:t>
      </w:r>
      <w:r w:rsidRPr="006C5086">
        <w:rPr>
          <w:rStyle w:val="eop"/>
        </w:rPr>
        <w:t> </w:t>
      </w:r>
    </w:p>
    <w:p w14:paraId="79B401AF" w14:textId="77777777" w:rsidR="00DE418F" w:rsidRPr="006C5086" w:rsidRDefault="00DE418F" w:rsidP="007C6ACB">
      <w:pPr>
        <w:rPr>
          <w:rStyle w:val="eop"/>
        </w:rPr>
      </w:pPr>
      <w:r w:rsidRPr="006C5086">
        <w:rPr>
          <w:rStyle w:val="normaltextrun"/>
        </w:rPr>
        <w:t>While most families have benefited from the increased prosperity, those with fewer resources have not, and are struggling to cope with the demands of parenting in a rapidly changing world. This is a concern because sustained poverty early in life directly impacts children’s developing brains, placing children at risk of short and long-term detrimental effects on multiple aspects of their development, health and learning (Berry, 2017; Cooper &amp; Stewart, 2017; Goldfeld et al., 2018b; Kruk, 2013; Luby, 201</w:t>
      </w:r>
      <w:r>
        <w:rPr>
          <w:rStyle w:val="normaltextrun"/>
        </w:rPr>
        <w:t>5</w:t>
      </w:r>
      <w:r w:rsidRPr="006C5086">
        <w:rPr>
          <w:rStyle w:val="normaltextrun"/>
        </w:rPr>
        <w:t xml:space="preserve">; Monks et al., 2022; Piccolo &amp; Noble, 2018). The most disadvantaged children can have as much as seven times the risk of poorer developmental outcomes compared with those who are most advantaged (Goldfeld et al., 2018b). Poverty compromises family functioning and limits parents' capacity to provide the conditions children need for healthy development and learning (Axford et al., 2018; Braveman et al., 2018; Cooper &amp; Stewart, 2017; Monks et al., 2022; Moore et al., 2017; Noble et al., 2015; Yoshikawa et al., 2012). Poverty adds to parental stress and increases the likelihood of maternal mental health problems, hence compromising caregiving. It can also reduce the quality and regular availability of nutrition provided, limit the capacity of families to provide their children with adequate </w:t>
      </w:r>
      <w:r w:rsidRPr="006C5086">
        <w:rPr>
          <w:rStyle w:val="normaltextrun"/>
        </w:rPr>
        <w:lastRenderedPageBreak/>
        <w:t>learning opportunities, and expose children to sustained levels of stress (Axford et al., 2018; Braveman et al., 2018; Cooper &amp; Stewart, 2017; Moore et al., 2017; Yoshikawa et al., 2012).</w:t>
      </w:r>
      <w:r w:rsidRPr="006C5086">
        <w:rPr>
          <w:rStyle w:val="eop"/>
        </w:rPr>
        <w:t> </w:t>
      </w:r>
    </w:p>
    <w:p w14:paraId="09B17E34" w14:textId="77777777" w:rsidR="00DE418F" w:rsidRPr="006C5086" w:rsidRDefault="00DE418F" w:rsidP="007C6ACB">
      <w:r w:rsidRPr="006C5086">
        <w:rPr>
          <w:rStyle w:val="normaltextrun"/>
        </w:rPr>
        <w:t xml:space="preserve">As a result of these economic inequities, </w:t>
      </w:r>
      <w:r w:rsidRPr="006C5086">
        <w:rPr>
          <w:rStyle w:val="normaltextrun"/>
          <w:b/>
          <w:i/>
        </w:rPr>
        <w:t>there are</w:t>
      </w:r>
      <w:r w:rsidRPr="006C5086">
        <w:rPr>
          <w:rStyle w:val="normaltextrun"/>
        </w:rPr>
        <w:t xml:space="preserve"> </w:t>
      </w:r>
      <w:r w:rsidRPr="006C5086">
        <w:rPr>
          <w:rStyle w:val="normaltextrun"/>
          <w:b/>
          <w:i/>
        </w:rPr>
        <w:t>significant inequities in children’s health and wellbeing</w:t>
      </w:r>
      <w:r w:rsidRPr="006C5086">
        <w:rPr>
          <w:rStyle w:val="normaltextrun"/>
        </w:rPr>
        <w:t xml:space="preserve"> (Cattan et al., 2022; Goldfeld et al., 2018a, 2019; Keeley, 2015; Marmot, 2015, 2016; Sollis, 2019). These inequities have been growing over the past decades (ACOSS, 2015, 2023; Galor, 2022, Leigh, 2013; Piketty, 2014; Putnam &amp; Garrett, 2020). Inequities in health, development and wellbeing are evident from birth, and, despite overall improvements in health outcomes, continue to grow (Berry, 2017; Monks et al., 2022). Gaps in both cognitive and noncognitive skills between children from advantaged and disadvantaged backgrounds open up in infancy and widen progressively in the preschool years (Heckman &amp; Mosso, 2014; Prior et al., 2011). These disparities compromise future education, employment and opportunities (Brinkman et al., 2012; Goldfeld et al., 2018a, 2021; Heckman &amp; Mosso, 2014; Woolfenden et al., 2013).</w:t>
      </w:r>
      <w:r w:rsidRPr="006C5086">
        <w:rPr>
          <w:rStyle w:val="eop"/>
        </w:rPr>
        <w:t> </w:t>
      </w:r>
    </w:p>
    <w:p w14:paraId="79434C75" w14:textId="77777777" w:rsidR="00DE418F" w:rsidRPr="006C5086" w:rsidRDefault="00DE418F" w:rsidP="007C6ACB">
      <w:r w:rsidRPr="006C5086">
        <w:rPr>
          <w:rStyle w:val="normaltextrun"/>
        </w:rPr>
        <w:t xml:space="preserve">A contributing factor to the inequities in outcomes is the difficulties that some groups in society have in accessing services. For a variety reasons, vulnerable and marginalised families find accessing and making good use of services difficult (Centre for Community Child Health, 2010). As a result, an inverse care law applies: those with greatest needs make least use of services (Eapen et al., 2017; Hart, 1971; Marmot, 2018; Woolfenden et al., 2020). Groups that are disadvantaged in this way include families living in rural and remote areas </w:t>
      </w:r>
      <w:r w:rsidRPr="006C5086">
        <w:rPr>
          <w:rStyle w:val="normaltextrun"/>
          <w:lang w:val="en"/>
        </w:rPr>
        <w:t>(Arefadib &amp; Moore, 2017), non-English speaking families (Woolfenden et al., 2015), Aboriginal and Torres Strait Islander communities, and families living in socioeconomically deprived areas (Laxton et al., 2024). All these groups have been shown to have difficulty access NDIS services and were more likely to receive smaller funding packages when they did so (Arefadib &amp; Moore, 2019).</w:t>
      </w:r>
      <w:r w:rsidRPr="006C5086">
        <w:rPr>
          <w:rStyle w:val="eop"/>
        </w:rPr>
        <w:t> </w:t>
      </w:r>
    </w:p>
    <w:p w14:paraId="25D90DDB" w14:textId="66BE7131" w:rsidR="00DE418F" w:rsidRPr="006C5086" w:rsidRDefault="00DE418F" w:rsidP="007C6ACB">
      <w:r w:rsidRPr="006C5086">
        <w:rPr>
          <w:rStyle w:val="normaltextrun"/>
        </w:rPr>
        <w:t xml:space="preserve">These inequities are evident among children with disabilities and their families in Australia and elsewhere. In their review of changes in disabilities over the past half century, Halfon and colleagues (2012) note that the </w:t>
      </w:r>
      <w:r w:rsidRPr="006C5086">
        <w:rPr>
          <w:rStyle w:val="normaltextrun"/>
          <w:lang w:val="en"/>
        </w:rPr>
        <w:t xml:space="preserve">social gradient in prevalence of childhood disability has changed little in that time: there has been no reduction in socioeconomic disparities in disability. A study by the European Commission (2020) found that </w:t>
      </w:r>
      <w:r w:rsidR="003E5596" w:rsidRPr="006C5086">
        <w:rPr>
          <w:rStyle w:val="normaltextrun"/>
        </w:rPr>
        <w:t>families</w:t>
      </w:r>
      <w:r w:rsidRPr="006C5086">
        <w:rPr>
          <w:rStyle w:val="normaltextrun"/>
        </w:rPr>
        <w:t xml:space="preserve"> of children with developmental disabilities are more likely to lack access to core conditions such as healthy nutrition and adequate housing, and were likely to have very different life experiences from their peers without disabilities: </w:t>
      </w:r>
      <w:r w:rsidRPr="006C5086">
        <w:rPr>
          <w:rStyle w:val="eop"/>
        </w:rPr>
        <w:t> </w:t>
      </w:r>
    </w:p>
    <w:p w14:paraId="12F54CE0" w14:textId="77777777" w:rsidR="00DE418F" w:rsidRPr="006C5086" w:rsidRDefault="00DE418F" w:rsidP="007C6ACB">
      <w:r w:rsidRPr="006C5086">
        <w:rPr>
          <w:rStyle w:val="normaltextrun"/>
        </w:rPr>
        <w:t>These social changes have also had a significant</w:t>
      </w:r>
      <w:r w:rsidRPr="006C5086">
        <w:rPr>
          <w:rStyle w:val="normaltextrun"/>
          <w:b/>
          <w:i/>
        </w:rPr>
        <w:t xml:space="preserve"> impact on services</w:t>
      </w:r>
      <w:r w:rsidRPr="006C5086">
        <w:rPr>
          <w:rStyle w:val="normaltextrun"/>
        </w:rPr>
        <w:t xml:space="preserve">. The changes have been so rapid that our institutions have struggled to keep up with them – to adapt to rapid technological change, to limit the concentration of power, to deal with complex social problems. The service system is still planned, funded and administered in ways that were originally designed decades ago when society was less diverse and social conditions were simpler. Services continue to be compartmentalised – focused on separate needs and delivered by different departments – and hence unable to respond to the needs of children and families in a holistic and integrated fashion (Barnes et al., 2018). There is no high-level central policy and planning forum to coordinate the supports and services for young children and their families. This makes it difficult for services to address all the factors we have been considering – the social determinants of health, the need for social supports etc. – in a consistent and coordinated way. Overcoming the silo effect </w:t>
      </w:r>
      <w:r w:rsidRPr="006C5086">
        <w:rPr>
          <w:rStyle w:val="normaltextrun"/>
        </w:rPr>
        <w:lastRenderedPageBreak/>
        <w:t>continues to be a challenge for many service systems (Barnes et al., 2018; Moore &amp; Skinner, 2011). </w:t>
      </w:r>
      <w:r w:rsidRPr="006C5086">
        <w:rPr>
          <w:rStyle w:val="eop"/>
        </w:rPr>
        <w:t> </w:t>
      </w:r>
    </w:p>
    <w:p w14:paraId="6792D755" w14:textId="77777777" w:rsidR="00DE418F" w:rsidRPr="006C5086" w:rsidRDefault="00DE418F" w:rsidP="007C6ACB">
      <w:r>
        <w:rPr>
          <w:rStyle w:val="normaltextrun"/>
        </w:rPr>
        <w:t xml:space="preserve">Services and supports can be described in relation to the level (or tiers) of support they offer. </w:t>
      </w:r>
      <w:r w:rsidRPr="006C5086">
        <w:rPr>
          <w:rStyle w:val="normaltextrun"/>
        </w:rPr>
        <w:t>Universal services</w:t>
      </w:r>
      <w:r>
        <w:rPr>
          <w:rStyle w:val="normaltextrun"/>
        </w:rPr>
        <w:t xml:space="preserve"> (described as tier 1)</w:t>
      </w:r>
      <w:r w:rsidRPr="006C5086">
        <w:rPr>
          <w:rStyle w:val="normaltextrun"/>
        </w:rPr>
        <w:t xml:space="preserve"> are well developed (albeit not universally accessible or well-integrated), but many service sectors lack a coherent second tier set of services</w:t>
      </w:r>
      <w:r>
        <w:rPr>
          <w:rStyle w:val="normaltextrun"/>
        </w:rPr>
        <w:t xml:space="preserve"> (those that provide targeted supports)</w:t>
      </w:r>
      <w:r w:rsidRPr="006C5086">
        <w:rPr>
          <w:rStyle w:val="normaltextrun"/>
        </w:rPr>
        <w:t xml:space="preserve">. This has been dubbed the problem of the ‘missing middle’. The lack of a second tier of services leads to increased demand for scarce and more expensive third tier services </w:t>
      </w:r>
      <w:r>
        <w:rPr>
          <w:rStyle w:val="normaltextrun"/>
        </w:rPr>
        <w:t xml:space="preserve">(intensive or specialised supports) </w:t>
      </w:r>
      <w:r w:rsidRPr="006C5086">
        <w:rPr>
          <w:rStyle w:val="normaltextrun"/>
        </w:rPr>
        <w:t>which struggle to meet the demand. In the disability sector, this is the problem identified by the Independent Review of the National Disability Insurance Scheme (2023), prompting the recommendation that a second tier of disability services, to be called ‘foundational supports’, be established. </w:t>
      </w:r>
      <w:r w:rsidRPr="006C5086">
        <w:rPr>
          <w:rStyle w:val="eop"/>
        </w:rPr>
        <w:t> </w:t>
      </w:r>
    </w:p>
    <w:p w14:paraId="075BCD4C" w14:textId="77777777" w:rsidR="00DE418F" w:rsidRPr="006C5086" w:rsidRDefault="00DE418F" w:rsidP="00112706">
      <w:r w:rsidRPr="006C5086">
        <w:rPr>
          <w:rStyle w:val="normaltextrun"/>
        </w:rPr>
        <w:t xml:space="preserve">The other major social change that has occurred over the past half century has been </w:t>
      </w:r>
      <w:r w:rsidRPr="006C5086">
        <w:rPr>
          <w:rStyle w:val="normaltextrun"/>
          <w:b/>
          <w:i/>
        </w:rPr>
        <w:t>the increase in social diversity</w:t>
      </w:r>
      <w:r w:rsidRPr="006C5086">
        <w:rPr>
          <w:rStyle w:val="normaltextrun"/>
        </w:rPr>
        <w:t>. Due to globalisation and other factors, society has become more culturally and ethnically diverse (Chaney, 2022; Maté and Maté, 2022; Walsh, 2012b), with Australia being one of the most culturally diverse in the world (Megalolanis, 2019</w:t>
      </w:r>
      <w:r>
        <w:rPr>
          <w:rStyle w:val="normaltextrun"/>
        </w:rPr>
        <w:t>)</w:t>
      </w:r>
      <w:r w:rsidRPr="006C5086">
        <w:rPr>
          <w:rStyle w:val="normaltextrun"/>
        </w:rPr>
        <w:t>. There is a greater variety of family structures, cultural backgrounds, languages and circumstances (Kiernan et al., 2022). What was once the common or default pattern (what was considered ‘normal’) has become less common (e</w:t>
      </w:r>
      <w:r>
        <w:rPr>
          <w:rStyle w:val="normaltextrun"/>
        </w:rPr>
        <w:t>.</w:t>
      </w:r>
      <w:r w:rsidRPr="006C5086">
        <w:rPr>
          <w:rStyle w:val="normaltextrun"/>
        </w:rPr>
        <w:t>g.</w:t>
      </w:r>
      <w:r>
        <w:rPr>
          <w:rStyle w:val="normaltextrun"/>
        </w:rPr>
        <w:t>,</w:t>
      </w:r>
      <w:r w:rsidRPr="006C5086">
        <w:rPr>
          <w:rStyle w:val="normaltextrun"/>
        </w:rPr>
        <w:t xml:space="preserve"> standard ‘nuclear’ family with a bread-winner father and a stay-at-home mother). </w:t>
      </w:r>
      <w:r w:rsidRPr="006C5086">
        <w:rPr>
          <w:rStyle w:val="eop"/>
        </w:rPr>
        <w:t> </w:t>
      </w:r>
    </w:p>
    <w:p w14:paraId="67DF81EC" w14:textId="77777777" w:rsidR="00DE418F" w:rsidRDefault="00DE418F" w:rsidP="007C6ACB">
      <w:pPr>
        <w:rPr>
          <w:rStyle w:val="normaltextrun"/>
        </w:rPr>
      </w:pPr>
      <w:r w:rsidRPr="006C5086">
        <w:rPr>
          <w:rStyle w:val="normaltextrun"/>
        </w:rPr>
        <w:t xml:space="preserve">In the general population, </w:t>
      </w:r>
      <w:r w:rsidRPr="006C5086">
        <w:rPr>
          <w:rStyle w:val="normaltextrun"/>
          <w:i/>
        </w:rPr>
        <w:t>intersectionalities</w:t>
      </w:r>
      <w:r w:rsidRPr="006C5086">
        <w:rPr>
          <w:rStyle w:val="normaltextrun"/>
        </w:rPr>
        <w:t xml:space="preserve"> have become more common (or more evident). These are overlapping marginalised identities that amplify health and other inequities (Collins &amp; Bilge, 2020; Lamont, 2023; Michaels et al., 2023). There is also a greater awareness of cultural and structural forms of discrimination – racism, sexism, ableism, ageism, sexism and gendered beliefs – that produce these inequities (e</w:t>
      </w:r>
      <w:r>
        <w:rPr>
          <w:rStyle w:val="normaltextrun"/>
        </w:rPr>
        <w:t>.</w:t>
      </w:r>
      <w:r w:rsidRPr="006C5086">
        <w:rPr>
          <w:rStyle w:val="normaltextrun"/>
        </w:rPr>
        <w:t>g.</w:t>
      </w:r>
      <w:r>
        <w:rPr>
          <w:rStyle w:val="normaltextrun"/>
        </w:rPr>
        <w:t>,</w:t>
      </w:r>
      <w:r w:rsidRPr="006C5086">
        <w:rPr>
          <w:rStyle w:val="normaltextrun"/>
        </w:rPr>
        <w:t xml:space="preserve"> Ellis et al., 2022). This is creating tensions within society between those who are prepared to recognise these forms of discrimination as needing to be addressed and those who do not. In early childhood, it has been argued that genuine inclusion </w:t>
      </w:r>
      <w:r>
        <w:rPr>
          <w:rStyle w:val="normaltextrun"/>
        </w:rPr>
        <w:t xml:space="preserve">and participation </w:t>
      </w:r>
      <w:r w:rsidRPr="006C5086">
        <w:rPr>
          <w:rStyle w:val="normaltextrun"/>
        </w:rPr>
        <w:t xml:space="preserve">will only occur when these various forms discrimination have been identified and challenged (Bailey et al., 2017; Cologon &amp; Thomas, 2014). This will require going beyond cultural competency and adopting cultural safety practices </w:t>
      </w:r>
      <w:r>
        <w:rPr>
          <w:rStyle w:val="normaltextrun"/>
        </w:rPr>
        <w:t xml:space="preserve">as well as </w:t>
      </w:r>
      <w:r w:rsidRPr="006C5086">
        <w:rPr>
          <w:rStyle w:val="normaltextrun"/>
        </w:rPr>
        <w:t>addressing both cultural and structural forms of racism</w:t>
      </w:r>
      <w:r>
        <w:rPr>
          <w:rStyle w:val="normaltextrun"/>
        </w:rPr>
        <w:t xml:space="preserve"> (Hicken et al., 2021; Michaels et al., 2023; Priest et al, 2021)</w:t>
      </w:r>
      <w:r w:rsidRPr="006C5086">
        <w:rPr>
          <w:rStyle w:val="normaltextrun"/>
        </w:rPr>
        <w:t>. </w:t>
      </w:r>
    </w:p>
    <w:p w14:paraId="0488261C" w14:textId="77777777" w:rsidR="00DE418F" w:rsidRPr="00FC60D3" w:rsidRDefault="00DE418F" w:rsidP="007C6ACB">
      <w:pPr>
        <w:rPr>
          <w:rStyle w:val="eop"/>
          <w:rFonts w:cstheme="minorHAnsi"/>
        </w:rPr>
      </w:pPr>
      <w:r w:rsidRPr="006C5086">
        <w:rPr>
          <w:rStyle w:val="normaltextrun"/>
        </w:rPr>
        <w:t>Some children and families belong</w:t>
      </w:r>
      <w:r>
        <w:rPr>
          <w:rStyle w:val="normaltextrun"/>
        </w:rPr>
        <w:t xml:space="preserve"> to</w:t>
      </w:r>
      <w:r w:rsidRPr="006C5086">
        <w:rPr>
          <w:rStyle w:val="normaltextrun"/>
        </w:rPr>
        <w:t xml:space="preserve"> several intersecting marginal groups that amplify inequities and require that several factors must be addressed simultaneously for such children/families (Viding &amp; McCrory, 2023). In the case of children with disability, intersectionalities such as those between disability and adversity (Nelson et al., 2024) or between autism and gender dysphoria (Kahn et al., 2023; Hadland et al., 2023) create particular challenges for those affected as well as for services. In supporting people with disability, it is </w:t>
      </w:r>
      <w:r w:rsidRPr="00FC60D3">
        <w:rPr>
          <w:rStyle w:val="normaltextrun"/>
          <w:rFonts w:cstheme="minorHAnsi"/>
        </w:rPr>
        <w:t>important to consider the other points of identity or marginalization such as race, gender, and sexuality that shape their lives (Edwards &amp; Schippers, 2024).</w:t>
      </w:r>
      <w:r w:rsidRPr="00FC60D3">
        <w:rPr>
          <w:rStyle w:val="eop"/>
          <w:rFonts w:cstheme="minorHAnsi"/>
        </w:rPr>
        <w:t> </w:t>
      </w:r>
    </w:p>
    <w:bookmarkEnd w:id="19"/>
    <w:p w14:paraId="762ABECF" w14:textId="77777777" w:rsidR="00DE418F" w:rsidRPr="00FC60D3" w:rsidRDefault="00DE418F" w:rsidP="007C6ACB">
      <w:pPr>
        <w:rPr>
          <w:rStyle w:val="eop"/>
          <w:rFonts w:cstheme="minorHAnsi"/>
        </w:rPr>
      </w:pPr>
      <w:r w:rsidRPr="00FC60D3">
        <w:rPr>
          <w:rStyle w:val="normaltextrun"/>
          <w:rFonts w:cstheme="minorHAnsi"/>
        </w:rPr>
        <w:t>All of this makes society more diverse and complex and presents challenges for services providers and service systems. </w:t>
      </w:r>
      <w:r w:rsidRPr="00FC60D3">
        <w:rPr>
          <w:rStyle w:val="eop"/>
          <w:rFonts w:cstheme="minorHAnsi"/>
        </w:rPr>
        <w:t> </w:t>
      </w:r>
    </w:p>
    <w:p w14:paraId="5BE68FCC" w14:textId="77777777" w:rsidR="0018038F" w:rsidRDefault="0018038F" w:rsidP="0018038F">
      <w:pPr>
        <w:rPr>
          <w:b/>
          <w:bCs/>
          <w:color w:val="0C2C74"/>
        </w:rPr>
      </w:pPr>
    </w:p>
    <w:p w14:paraId="6B38F3C3" w14:textId="79B2D01B" w:rsidR="0018038F" w:rsidRPr="0018038F" w:rsidRDefault="0018038F" w:rsidP="0018038F">
      <w:pPr>
        <w:rPr>
          <w:b/>
          <w:bCs/>
          <w:color w:val="0C2C74"/>
        </w:rPr>
      </w:pPr>
      <w:r w:rsidRPr="0018038F">
        <w:rPr>
          <w:b/>
          <w:bCs/>
          <w:color w:val="0C2C74"/>
        </w:rPr>
        <w:lastRenderedPageBreak/>
        <w:t>Implications for ECI services</w:t>
      </w:r>
    </w:p>
    <w:p w14:paraId="02EC7DCC" w14:textId="1B4FABD8" w:rsidR="0018038F" w:rsidRDefault="0018038F" w:rsidP="0031511B">
      <w:pPr>
        <w:pStyle w:val="ListParagraph"/>
        <w:numPr>
          <w:ilvl w:val="0"/>
          <w:numId w:val="16"/>
        </w:numPr>
        <w:ind w:left="714" w:hanging="357"/>
        <w:contextualSpacing w:val="0"/>
      </w:pPr>
      <w:r>
        <w:t xml:space="preserve">The growth of inequities and social diversity challenges the ability of early childhood services, including ECI services, to meet the needs of all families. In the case of inequities, families of young children with developmental </w:t>
      </w:r>
      <w:r w:rsidR="0051266A">
        <w:t>concerns, delay or</w:t>
      </w:r>
      <w:r>
        <w:t xml:space="preserve"> disability are more likely to be experiencing multiple challenges and having difficulty in accessing services, especially if they are living in rural or remote areas, or do not speak English. The ECI service system needs to be organised so as to provide support to all young children with developmental concerns or disability in an equitable and timely manner.  </w:t>
      </w:r>
      <w:r>
        <w:rPr>
          <w:noProof/>
        </w:rPr>
        <mc:AlternateContent>
          <mc:Choice Requires="wps">
            <w:drawing>
              <wp:anchor distT="0" distB="0" distL="114300" distR="114300" simplePos="0" relativeHeight="251624448" behindDoc="1" locked="1" layoutInCell="1" allowOverlap="1" wp14:anchorId="2E75A8AB" wp14:editId="5251F3C4">
                <wp:simplePos x="0" y="0"/>
                <wp:positionH relativeFrom="column">
                  <wp:posOffset>-478790</wp:posOffset>
                </wp:positionH>
                <wp:positionV relativeFrom="page">
                  <wp:posOffset>759460</wp:posOffset>
                </wp:positionV>
                <wp:extent cx="6695440" cy="4811395"/>
                <wp:effectExtent l="0" t="0" r="0" b="1905"/>
                <wp:wrapNone/>
                <wp:docPr id="198990252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481139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3367" id="Rectangle 2" o:spid="_x0000_s1026" alt="&quot;&quot;" style="position:absolute;margin-left:-37.7pt;margin-top:59.8pt;width:527.2pt;height:37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" fillcolor="#8087a3" stroked="f" strokeweight="1pt">
                <v:fill opacity="16448f"/>
                <w10:wrap anchory="page"/>
                <w10:anchorlock/>
              </v:rect>
            </w:pict>
          </mc:Fallback>
        </mc:AlternateContent>
      </w:r>
    </w:p>
    <w:p w14:paraId="45A2BB9F" w14:textId="77777777" w:rsidR="0018038F" w:rsidRDefault="0018038F" w:rsidP="0031511B">
      <w:pPr>
        <w:pStyle w:val="ListParagraph"/>
        <w:numPr>
          <w:ilvl w:val="0"/>
          <w:numId w:val="16"/>
        </w:numPr>
        <w:ind w:left="714" w:hanging="357"/>
        <w:contextualSpacing w:val="0"/>
      </w:pPr>
      <w:r>
        <w:t xml:space="preserve">We need to cater for complexity. There are more families experiencing multiple challenges and more children with multiple health and developmental problems. Rather than continuing to provide services that are targeted at the average family and the ‘normal’ child, we need to design systems that cater for the full range of families and children. </w:t>
      </w:r>
    </w:p>
    <w:p w14:paraId="0F04ABAB" w14:textId="77777777" w:rsidR="0018038F" w:rsidRDefault="0018038F" w:rsidP="0031511B">
      <w:pPr>
        <w:pStyle w:val="ListParagraph"/>
        <w:numPr>
          <w:ilvl w:val="0"/>
          <w:numId w:val="16"/>
        </w:numPr>
        <w:ind w:left="714" w:hanging="357"/>
        <w:contextualSpacing w:val="0"/>
      </w:pPr>
      <w:r>
        <w:t xml:space="preserve">We need to be aware of and challenge the underlying causes of inequities among various marginalised groups, including Aboriginal and Torres Strait Islander peoples and ethnic groups. This means going beyond cultural competence and adopting cultural safety practices, as well as addressing cultural and structural forms of racism. (See section 4.7 for further discussion of these issues.) </w:t>
      </w:r>
    </w:p>
    <w:p w14:paraId="4257B738" w14:textId="77777777" w:rsidR="008A73B0" w:rsidRDefault="0018038F" w:rsidP="0031511B">
      <w:pPr>
        <w:pStyle w:val="ListParagraph"/>
        <w:numPr>
          <w:ilvl w:val="0"/>
          <w:numId w:val="16"/>
        </w:numPr>
        <w:ind w:left="714" w:hanging="357"/>
        <w:contextualSpacing w:val="0"/>
      </w:pPr>
      <w:r>
        <w:t xml:space="preserve">To address inequities and diversity, the service system needs to be better integrated and ECI services need to be part of a wider system of services capable of addressing the needs of families varying greatly in composition, culture and resources. </w:t>
      </w:r>
    </w:p>
    <w:p w14:paraId="1CEFB08E" w14:textId="77777777" w:rsidR="008A73B0" w:rsidRDefault="008A73B0" w:rsidP="008A73B0">
      <w:pPr>
        <w:ind w:left="357"/>
      </w:pPr>
    </w:p>
    <w:p w14:paraId="4E482338" w14:textId="3A3FF147" w:rsidR="00112706" w:rsidRPr="00112706" w:rsidRDefault="00112706" w:rsidP="00112706">
      <w:pPr>
        <w:ind w:left="357"/>
        <w:rPr>
          <w:b/>
          <w:bCs/>
          <w:color w:val="0C2C74"/>
        </w:rPr>
      </w:pPr>
      <w:r w:rsidRPr="00112706">
        <w:rPr>
          <w:b/>
          <w:bCs/>
          <w:color w:val="0C2C74"/>
        </w:rPr>
        <w:t xml:space="preserve">Implications for the ECI Best Practice </w:t>
      </w:r>
      <w:r>
        <w:rPr>
          <w:noProof/>
        </w:rPr>
        <mc:AlternateContent>
          <mc:Choice Requires="wps">
            <w:drawing>
              <wp:anchor distT="0" distB="0" distL="114300" distR="114300" simplePos="0" relativeHeight="251625472" behindDoc="1" locked="1" layoutInCell="1" allowOverlap="1" wp14:anchorId="42181400" wp14:editId="16FFDE50">
                <wp:simplePos x="0" y="0"/>
                <wp:positionH relativeFrom="column">
                  <wp:posOffset>-480060</wp:posOffset>
                </wp:positionH>
                <wp:positionV relativeFrom="page">
                  <wp:posOffset>5681980</wp:posOffset>
                </wp:positionV>
                <wp:extent cx="6695440" cy="2223770"/>
                <wp:effectExtent l="12700" t="12700" r="10160" b="11430"/>
                <wp:wrapNone/>
                <wp:docPr id="45245609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22377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CBB01" id="Rectangle 2" o:spid="_x0000_s1026" alt="&quot;&quot;" style="position:absolute;margin-left:-37.8pt;margin-top:447.4pt;width:527.2pt;height:17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" fillcolor="#f2f2f2 [3052]" strokecolor="#8087a3" strokeweight="2.25pt">
                <w10:wrap anchory="page"/>
                <w10:anchorlock/>
              </v:rect>
            </w:pict>
          </mc:Fallback>
        </mc:AlternateContent>
      </w:r>
      <w:r w:rsidRPr="00112706">
        <w:rPr>
          <w:b/>
          <w:bCs/>
          <w:color w:val="0C2C74"/>
        </w:rPr>
        <w:t>Framework</w:t>
      </w:r>
    </w:p>
    <w:p w14:paraId="407C09CA" w14:textId="77777777" w:rsidR="00112706" w:rsidRDefault="00112706" w:rsidP="00112706">
      <w:pPr>
        <w:ind w:left="357"/>
      </w:pPr>
      <w:r>
        <w:t>It is recommended that the ECI Best Practice Framework:</w:t>
      </w:r>
    </w:p>
    <w:p w14:paraId="71905A2E" w14:textId="30351621" w:rsidR="00112706" w:rsidRDefault="00112706" w:rsidP="0031511B">
      <w:pPr>
        <w:pStyle w:val="ListParagraph"/>
        <w:numPr>
          <w:ilvl w:val="0"/>
          <w:numId w:val="17"/>
        </w:numPr>
        <w:ind w:left="714" w:hanging="357"/>
        <w:contextualSpacing w:val="0"/>
      </w:pPr>
      <w:r>
        <w:t xml:space="preserve">emphasises the importance of being aware of and the many ways in which families may be marginalised and have difficulties in accessing all the supports and services they need </w:t>
      </w:r>
    </w:p>
    <w:p w14:paraId="44DCE547" w14:textId="7F9EB225" w:rsidR="00112706" w:rsidRDefault="00112706" w:rsidP="0031511B">
      <w:pPr>
        <w:pStyle w:val="ListParagraph"/>
        <w:numPr>
          <w:ilvl w:val="0"/>
          <w:numId w:val="17"/>
        </w:numPr>
        <w:ind w:left="714" w:hanging="357"/>
        <w:contextualSpacing w:val="0"/>
      </w:pPr>
      <w:r>
        <w:t xml:space="preserve">specifies the need for ECI practitioners and services to have well developed links with other ECEC and family support services </w:t>
      </w:r>
    </w:p>
    <w:p w14:paraId="72F854C9" w14:textId="197DCCAB" w:rsidR="00112706" w:rsidRDefault="00112706" w:rsidP="0031511B">
      <w:pPr>
        <w:pStyle w:val="ListParagraph"/>
        <w:numPr>
          <w:ilvl w:val="0"/>
          <w:numId w:val="17"/>
        </w:numPr>
        <w:ind w:left="714" w:hanging="357"/>
        <w:contextualSpacing w:val="0"/>
      </w:pPr>
      <w:r>
        <w:t>stresses the need for ECI services to use cultural competency and cultural safety practices</w:t>
      </w:r>
    </w:p>
    <w:p w14:paraId="1F191C7D" w14:textId="77777777" w:rsidR="00CE5452" w:rsidRDefault="00CE5452" w:rsidP="008A73B0">
      <w:pPr>
        <w:ind w:left="357"/>
      </w:pPr>
    </w:p>
    <w:p w14:paraId="5D40B1D5" w14:textId="77777777" w:rsidR="001D765A" w:rsidRDefault="001D765A" w:rsidP="008A73B0">
      <w:pPr>
        <w:ind w:left="357"/>
      </w:pPr>
    </w:p>
    <w:p w14:paraId="4B853CEE" w14:textId="77777777" w:rsidR="009D310C" w:rsidRDefault="009D310C" w:rsidP="004D1CD1">
      <w:pPr>
        <w:pStyle w:val="Heading2"/>
      </w:pPr>
      <w:bookmarkStart w:id="20" w:name="_Toc177730818"/>
      <w:r>
        <w:t>Child development and the early years</w:t>
      </w:r>
      <w:bookmarkEnd w:id="20"/>
    </w:p>
    <w:p w14:paraId="1F9C8497" w14:textId="54DDD853" w:rsidR="009D310C" w:rsidRPr="00A41301" w:rsidRDefault="009D310C" w:rsidP="00A41301">
      <w:pPr>
        <w:rPr>
          <w:rStyle w:val="normaltextrun"/>
          <w:rFonts w:cs="Arial"/>
        </w:rPr>
      </w:pPr>
      <w:r w:rsidRPr="004D1CD1">
        <w:rPr>
          <w:rStyle w:val="normaltextrun"/>
          <w:rFonts w:cs="Arial"/>
          <w:color w:val="000000"/>
        </w:rPr>
        <w:t xml:space="preserve">Our understanding of the child development and the early years has grown steadily over the past decades. These developments include new knowledge about child development and increasing recognition of the importance of the early years, greater awareness of </w:t>
      </w:r>
      <w:r w:rsidRPr="00A41301">
        <w:rPr>
          <w:rStyle w:val="normaltextrun"/>
          <w:rFonts w:cs="Arial"/>
          <w:color w:val="000000"/>
        </w:rPr>
        <w:t>the importance of responsive caregiving in the early years, and greater understanding of the impact of environmental conditions on child development and family functioning. These developments are discussed in the following sections. </w:t>
      </w:r>
      <w:r w:rsidRPr="00A41301">
        <w:rPr>
          <w:rStyle w:val="eop"/>
          <w:rFonts w:cs="Arial"/>
          <w:color w:val="000000"/>
        </w:rPr>
        <w:t> </w:t>
      </w:r>
    </w:p>
    <w:p w14:paraId="52975D4F" w14:textId="77777777" w:rsidR="009D310C" w:rsidRPr="00A41301" w:rsidRDefault="009D310C" w:rsidP="00A41301">
      <w:pPr>
        <w:rPr>
          <w:rFonts w:cs="Arial"/>
          <w:color w:val="000000"/>
        </w:rPr>
      </w:pPr>
      <w:r w:rsidRPr="00A41301">
        <w:rPr>
          <w:rStyle w:val="normaltextrun"/>
          <w:rFonts w:cs="Arial"/>
          <w:b/>
          <w:bCs/>
          <w:color w:val="000000"/>
        </w:rPr>
        <w:lastRenderedPageBreak/>
        <w:t>New knowledge about child development and the early years</w:t>
      </w:r>
      <w:r w:rsidRPr="00A41301">
        <w:rPr>
          <w:rStyle w:val="eop"/>
          <w:rFonts w:cs="Arial"/>
          <w:color w:val="000000"/>
        </w:rPr>
        <w:t> </w:t>
      </w:r>
    </w:p>
    <w:p w14:paraId="13E39258" w14:textId="77777777" w:rsidR="009D310C" w:rsidRPr="00A41301" w:rsidRDefault="009D310C" w:rsidP="00A41301">
      <w:pPr>
        <w:rPr>
          <w:rFonts w:cs="Arial"/>
          <w:color w:val="000000"/>
        </w:rPr>
      </w:pPr>
      <w:bookmarkStart w:id="21" w:name="_Hlk175241533"/>
      <w:r w:rsidRPr="00A41301">
        <w:rPr>
          <w:rStyle w:val="normaltextrun"/>
          <w:rFonts w:cs="Arial"/>
          <w:color w:val="000000"/>
        </w:rPr>
        <w:t xml:space="preserve">Over the last two decades, there has been an increasing awareness of the importance of the early years. This awareness is based upon new knowledge about child development and biological embedding. </w:t>
      </w:r>
      <w:bookmarkEnd w:id="21"/>
      <w:r w:rsidRPr="00A41301">
        <w:rPr>
          <w:rStyle w:val="normaltextrun"/>
          <w:rFonts w:cs="Arial"/>
          <w:color w:val="000000"/>
        </w:rPr>
        <w:t>Key findings include:</w:t>
      </w:r>
      <w:r w:rsidRPr="00A41301">
        <w:rPr>
          <w:rStyle w:val="eop"/>
          <w:rFonts w:cs="Arial"/>
          <w:color w:val="000000"/>
        </w:rPr>
        <w:t> </w:t>
      </w:r>
    </w:p>
    <w:p w14:paraId="1C71EA00" w14:textId="77777777" w:rsidR="009D310C" w:rsidRPr="00A41301" w:rsidRDefault="009D310C" w:rsidP="0031511B">
      <w:pPr>
        <w:pStyle w:val="ListParagraph"/>
        <w:numPr>
          <w:ilvl w:val="0"/>
          <w:numId w:val="18"/>
        </w:numPr>
        <w:ind w:left="357" w:hanging="357"/>
        <w:contextualSpacing w:val="0"/>
        <w:rPr>
          <w:rFonts w:cs="Arial"/>
          <w:color w:val="000000"/>
        </w:rPr>
      </w:pPr>
      <w:bookmarkStart w:id="22" w:name="_Hlk175219609"/>
      <w:r w:rsidRPr="00A41301">
        <w:rPr>
          <w:rStyle w:val="normaltextrun"/>
          <w:rFonts w:cs="Arial"/>
          <w:b/>
          <w:bCs/>
          <w:i/>
          <w:iCs/>
          <w:color w:val="000000"/>
        </w:rPr>
        <w:t>The early years are critically important for development</w:t>
      </w:r>
      <w:r w:rsidRPr="00A41301">
        <w:rPr>
          <w:rStyle w:val="normaltextrun"/>
          <w:rFonts w:cs="Arial"/>
          <w:color w:val="000000"/>
        </w:rPr>
        <w:t xml:space="preserve"> (Black et al., 2017; Britto, 2017; Britto et al., 2017; Nelson et al., 2024; Richter et al., 2016; Shonkoff &amp; Richter, 2013; World Health Organisation and the United Nations Children’s Fund, 2018). What happens during this period can have lifelong consequences for children’s health and wellbeing (Centre on the Developing Child at Harvard University, 2010; Fox et al., 2010; Halfon et al., 2018; NASEM, 2019a; National Scientific Council on the Developing Child, 2020; Shonkoff et al., 2012; Zeanah &amp; Zeanah, 2018). They establish a foundation of development that will help children grow, learn and thrive. </w:t>
      </w:r>
      <w:r w:rsidRPr="00A41301">
        <w:rPr>
          <w:rStyle w:val="eop"/>
          <w:rFonts w:cs="Arial"/>
          <w:color w:val="000000"/>
        </w:rPr>
        <w:t> </w:t>
      </w:r>
    </w:p>
    <w:p w14:paraId="592AC609" w14:textId="77777777" w:rsidR="009D310C" w:rsidRPr="00A41301" w:rsidRDefault="009D310C" w:rsidP="0031511B">
      <w:pPr>
        <w:pStyle w:val="ListParagraph"/>
        <w:numPr>
          <w:ilvl w:val="0"/>
          <w:numId w:val="18"/>
        </w:numPr>
        <w:ind w:left="357" w:hanging="357"/>
        <w:contextualSpacing w:val="0"/>
        <w:rPr>
          <w:rFonts w:cs="Arial"/>
          <w:color w:val="000000"/>
        </w:rPr>
      </w:pPr>
      <w:r w:rsidRPr="00A41301">
        <w:rPr>
          <w:rStyle w:val="normaltextrun"/>
          <w:rFonts w:cs="Arial"/>
          <w:b/>
          <w:bCs/>
          <w:i/>
          <w:iCs/>
          <w:color w:val="000000"/>
        </w:rPr>
        <w:t>The first 1000 days</w:t>
      </w:r>
      <w:r w:rsidRPr="00A41301">
        <w:rPr>
          <w:rStyle w:val="normaltextrun"/>
          <w:rFonts w:cs="Arial"/>
          <w:i/>
          <w:iCs/>
          <w:color w:val="000000"/>
        </w:rPr>
        <w:t xml:space="preserve"> – the period from conception to the end of the second year – are particularly important</w:t>
      </w:r>
      <w:r w:rsidRPr="00A41301">
        <w:rPr>
          <w:rStyle w:val="normaltextrun"/>
          <w:rFonts w:cs="Arial"/>
          <w:color w:val="000000"/>
        </w:rPr>
        <w:t xml:space="preserve"> (Berry, 2017; CCCH, 2018; Darling et al., 2020; Karakochuk et al., 2017; Kolb et al., 2017; Miguel et al., 2019; Moore et al., 2017; Nelson et al., 2024). This is the period when we are most ‘developmentally plastic’, that is, most responsive to external influences (Ismail et al., 2017). As a result, experiences and exposures during this period have a disproportionate influence on later health and development (Gluckman et al., 2015; Heindel &amp; Vandenberg, 2015; Prescott, 2015). </w:t>
      </w:r>
      <w:r w:rsidRPr="00A41301">
        <w:rPr>
          <w:rStyle w:val="eop"/>
          <w:rFonts w:cs="Arial"/>
          <w:color w:val="000000"/>
        </w:rPr>
        <w:t> </w:t>
      </w:r>
    </w:p>
    <w:p w14:paraId="5B278580" w14:textId="5B4A8485" w:rsidR="009D310C" w:rsidRPr="00A41301" w:rsidRDefault="009D310C" w:rsidP="0031511B">
      <w:pPr>
        <w:pStyle w:val="ListParagraph"/>
        <w:numPr>
          <w:ilvl w:val="0"/>
          <w:numId w:val="18"/>
        </w:numPr>
        <w:ind w:left="357" w:hanging="357"/>
        <w:contextualSpacing w:val="0"/>
        <w:rPr>
          <w:rStyle w:val="eop"/>
          <w:rFonts w:cs="Arial"/>
          <w:color w:val="000000"/>
        </w:rPr>
      </w:pPr>
      <w:r w:rsidRPr="00A41301">
        <w:rPr>
          <w:rStyle w:val="normaltextrun"/>
          <w:rFonts w:cs="Arial"/>
          <w:b/>
          <w:bCs/>
          <w:i/>
          <w:iCs/>
          <w:color w:val="000000"/>
        </w:rPr>
        <w:t>Early developmental plasticity is a double-edged sword</w:t>
      </w:r>
      <w:r w:rsidRPr="00A41301">
        <w:rPr>
          <w:rStyle w:val="normaltextrun"/>
          <w:rFonts w:cs="Arial"/>
          <w:color w:val="000000"/>
        </w:rPr>
        <w:t xml:space="preserve"> – the fetus and infant are more susceptible to both positive and negative experiences (Nelson et al., 2024). If the conditions are positive, children will thrive, but exposure to adverse experiences in utero and early in life can lead to alterations in brain development that can be damaging for long-term development and learning (Allen &amp; Donkin, 2015; Asmussen et al., 2020; Bellis et al., 2019; Berens et al., 2017; Friedman et al., 2015; Guinosso et al., 2016; Hughes et al., 2017; Quach et al., 2017; Nelson, 2018; Nelson &amp; Gabard-Durham, 2020; O’Hare et al, 2023; Shonkoff et al., 2012, 2021; Teicher &amp; Samson, 2016), and even lead to accelerated ageing (Rentscher et al., 2020). Child maltreatment, particularly emotional abuse and neglect is associated with a wide range of long-term adverse health and developmental outcomes (Nemeroff, 2016; Strathearn et al, 2020; Teicher &amp; Samson, 2016) that can affect adult functioning, including parenting. </w:t>
      </w:r>
      <w:r w:rsidRPr="00A41301">
        <w:rPr>
          <w:rStyle w:val="eop"/>
          <w:rFonts w:cs="Arial"/>
          <w:color w:val="000000"/>
        </w:rPr>
        <w:t> </w:t>
      </w:r>
    </w:p>
    <w:p w14:paraId="163953CC" w14:textId="77777777" w:rsidR="009D310C" w:rsidRPr="00A41301" w:rsidRDefault="009D310C" w:rsidP="00A41301">
      <w:pPr>
        <w:pStyle w:val="ListParagraph"/>
        <w:ind w:left="357"/>
        <w:contextualSpacing w:val="0"/>
        <w:rPr>
          <w:rFonts w:cs="Arial"/>
          <w:lang w:eastAsia="en-AU"/>
        </w:rPr>
      </w:pPr>
      <w:r w:rsidRPr="00A41301">
        <w:rPr>
          <w:rStyle w:val="normaltextrun"/>
          <w:rFonts w:cs="Arial"/>
        </w:rPr>
        <w:t xml:space="preserve">Infants and young children can </w:t>
      </w:r>
      <w:r w:rsidRPr="00A41301">
        <w:rPr>
          <w:rStyle w:val="normaltextrun"/>
          <w:rFonts w:cs="Arial"/>
          <w:color w:val="000000"/>
        </w:rPr>
        <w:t>also be affected by intergenerational trauma, when the effects of trauma are passed down between generations (Heim et al., 2019; Shafer &amp; Easton, 2021). This could occur if a parent experienced abuse as a child or compromised parenting, and the cycle of trauma and abuse impacts their parenting. Aboriginal and Torres Strait Islander children and families are particularly likely to experience intergenerational and other forms of trauma, especially descendants of the Stolen Generations (AIHW, 2018; The Healing Foundation, 2021). These descendants were consistently more likely to experience adverse outcomes over a broad range of health, socioeconomic and cultural indicators, including being removed from their own families (AIHW, 2018). For such populations, trauma-informed practice is essential (Munisamy &amp; Elze, 2020; Wall et al., 2016). Trauma-informed care is a framework for human service delivery that is based on knowledge and understanding of how trauma affects people's lives, their service needs and service usage (Wall et al., 2016).</w:t>
      </w:r>
    </w:p>
    <w:p w14:paraId="305079D9" w14:textId="77777777" w:rsidR="009D310C" w:rsidRPr="00A41301" w:rsidRDefault="009D310C" w:rsidP="0031511B">
      <w:pPr>
        <w:pStyle w:val="ListParagraph"/>
        <w:numPr>
          <w:ilvl w:val="0"/>
          <w:numId w:val="18"/>
        </w:numPr>
        <w:ind w:left="363"/>
        <w:contextualSpacing w:val="0"/>
        <w:rPr>
          <w:rStyle w:val="normaltextrun"/>
          <w:rFonts w:cs="Arial"/>
          <w:color w:val="000000"/>
        </w:rPr>
      </w:pPr>
      <w:r w:rsidRPr="00A41301">
        <w:rPr>
          <w:rStyle w:val="normaltextrun"/>
          <w:rFonts w:cs="Arial"/>
          <w:b/>
          <w:bCs/>
          <w:i/>
          <w:iCs/>
          <w:color w:val="000000"/>
        </w:rPr>
        <w:lastRenderedPageBreak/>
        <w:t>All human development is contextual</w:t>
      </w:r>
      <w:r w:rsidRPr="00A41301">
        <w:rPr>
          <w:rStyle w:val="normaltextrun"/>
          <w:rFonts w:cs="Arial"/>
          <w:b/>
          <w:bCs/>
          <w:color w:val="000000"/>
        </w:rPr>
        <w:t xml:space="preserve"> </w:t>
      </w:r>
      <w:r w:rsidRPr="00A41301">
        <w:rPr>
          <w:rStyle w:val="normaltextrun"/>
          <w:rFonts w:cs="Arial"/>
          <w:color w:val="000000"/>
        </w:rPr>
        <w:t xml:space="preserve">(Bronfenbrenner, 1979, 1986, 1992,1993; Barrett et al., 2010; National Scientific Council on the Developing Child, 2023; Mayes &amp; Lewis, 2012). Children’s development is shaped by ongoing, reciprocal interactions between children’s biology, their developing brains, and their physical and social contexts, with relationships as the key drivers (Cantor et al., 2019; Grace et al., 2016: Osher et al., 2020). </w:t>
      </w:r>
    </w:p>
    <w:p w14:paraId="1A5F5147" w14:textId="77777777" w:rsidR="009D310C" w:rsidRPr="00A41301" w:rsidRDefault="009D310C" w:rsidP="00A41301">
      <w:pPr>
        <w:pStyle w:val="ListParagraph"/>
        <w:ind w:left="3"/>
        <w:contextualSpacing w:val="0"/>
        <w:rPr>
          <w:rFonts w:cs="Arial"/>
          <w:color w:val="000000"/>
        </w:rPr>
      </w:pPr>
      <w:r w:rsidRPr="00A41301">
        <w:rPr>
          <w:rStyle w:val="normaltextrun"/>
          <w:rFonts w:cs="Arial"/>
          <w:color w:val="000000"/>
        </w:rPr>
        <w:t>This new knowledge has led to a greater recognition, among policy makers at least, of the importance of intervening early (Australian Prevention Partnership Centre and CERI, 2022; Barrett et al., 2014; Moore &amp; McDonald, 2013). It strengthens the case for early childhood intervention and provides a deeper understanding of the experiences and exposures that shape development, and the long-term implications for development and wellbeing. </w:t>
      </w:r>
      <w:r w:rsidRPr="00A41301">
        <w:rPr>
          <w:rStyle w:val="eop"/>
          <w:rFonts w:cs="Arial"/>
          <w:color w:val="000000"/>
        </w:rPr>
        <w:t> </w:t>
      </w:r>
    </w:p>
    <w:p w14:paraId="55BDC34B" w14:textId="2555F2AD" w:rsidR="009D310C" w:rsidRPr="00A41301" w:rsidRDefault="009D310C" w:rsidP="00A41301">
      <w:pPr>
        <w:rPr>
          <w:rFonts w:cs="Arial"/>
          <w:color w:val="000000"/>
        </w:rPr>
      </w:pPr>
      <w:r w:rsidRPr="00A41301">
        <w:rPr>
          <w:rStyle w:val="normaltextrun"/>
          <w:rFonts w:cs="Arial"/>
          <w:color w:val="000000"/>
        </w:rPr>
        <w:t>This heightened awareness of the importance of early childhood is reflected in the 2030 Agenda for Sustainable Development adopted by the United Nations General Assembly in 2015</w:t>
      </w:r>
      <w:r w:rsidR="005D629B">
        <w:rPr>
          <w:rStyle w:val="normaltextrun"/>
          <w:rFonts w:cs="Arial"/>
          <w:color w:val="000000"/>
        </w:rPr>
        <w:t>.</w:t>
      </w:r>
      <w:r w:rsidR="005D629B">
        <w:rPr>
          <w:rStyle w:val="FootnoteReference"/>
          <w:rFonts w:cs="Arial"/>
          <w:color w:val="000000"/>
        </w:rPr>
        <w:footnoteReference w:id="30"/>
      </w:r>
      <w:r w:rsidR="005D629B">
        <w:rPr>
          <w:rStyle w:val="normaltextrun"/>
          <w:rFonts w:cs="Arial"/>
          <w:color w:val="000000"/>
        </w:rPr>
        <w:t xml:space="preserve"> </w:t>
      </w:r>
      <w:r w:rsidRPr="00A41301">
        <w:rPr>
          <w:rStyle w:val="normaltextrun"/>
          <w:rFonts w:cs="Arial"/>
          <w:color w:val="000000"/>
        </w:rPr>
        <w:t>Containing 17 Sustainable Development Goals (SDGs), the Agenda emphasises a holistic approach to achieving sustainable development for all. Australia is one of the signatories to this Agenda (Brolan et al., 2019). </w:t>
      </w:r>
      <w:r w:rsidRPr="00A41301">
        <w:rPr>
          <w:rStyle w:val="eop"/>
          <w:rFonts w:cs="Arial"/>
          <w:color w:val="000000"/>
        </w:rPr>
        <w:t> </w:t>
      </w:r>
    </w:p>
    <w:p w14:paraId="6BF9FE6B" w14:textId="77777777" w:rsidR="009D310C" w:rsidRPr="00A41301" w:rsidRDefault="009D310C" w:rsidP="00A41301">
      <w:pPr>
        <w:rPr>
          <w:rFonts w:cs="Arial"/>
          <w:color w:val="000000"/>
        </w:rPr>
      </w:pPr>
      <w:r w:rsidRPr="00A41301">
        <w:rPr>
          <w:rStyle w:val="normaltextrun"/>
          <w:rFonts w:cs="Arial"/>
          <w:color w:val="000000"/>
        </w:rPr>
        <w:t xml:space="preserve">Early childhood development is included in Goal 4: </w:t>
      </w:r>
      <w:r w:rsidRPr="00A41301">
        <w:rPr>
          <w:rStyle w:val="normaltextrun"/>
          <w:rFonts w:cs="Arial"/>
          <w:i/>
          <w:iCs/>
          <w:color w:val="000000"/>
        </w:rPr>
        <w:t>Ensure inclusive and equitable quality education and promote lifelong learning opportunities for all.</w:t>
      </w:r>
      <w:r w:rsidRPr="00A41301">
        <w:rPr>
          <w:rStyle w:val="normaltextrun"/>
          <w:rFonts w:cs="Arial"/>
          <w:color w:val="000000"/>
        </w:rPr>
        <w:t xml:space="preserve"> It is specifically mentioned in Target 4.2: </w:t>
      </w:r>
      <w:r w:rsidRPr="00A41301">
        <w:rPr>
          <w:rStyle w:val="normaltextrun"/>
          <w:rFonts w:cs="Arial"/>
          <w:i/>
          <w:iCs/>
          <w:color w:val="000000"/>
        </w:rPr>
        <w:t>By 2030, ensure that all girls and boys have access to quality early childhood development, care and pre-primary education so that they are ready for primary education</w:t>
      </w:r>
      <w:r w:rsidRPr="00A41301">
        <w:rPr>
          <w:rStyle w:val="normaltextrun"/>
          <w:rFonts w:cs="Arial"/>
          <w:color w:val="000000"/>
        </w:rPr>
        <w:t>. Investments in early childhood development are seen as being central to the achievement of many of the Sustainable Development Goals (Britto, 2017; Britto et al., 2017). To promote early childhood development, the evidence now strongly suggests that parents, caregivers, and families need to be supported in providing nurturing care and protection (Britto et al., 2017).</w:t>
      </w:r>
      <w:r w:rsidRPr="00A41301">
        <w:rPr>
          <w:rStyle w:val="eop"/>
          <w:rFonts w:cs="Arial"/>
          <w:color w:val="000000"/>
        </w:rPr>
        <w:t> </w:t>
      </w:r>
    </w:p>
    <w:bookmarkEnd w:id="22"/>
    <w:p w14:paraId="70A23778" w14:textId="77777777" w:rsidR="009D310C" w:rsidRPr="00A41301" w:rsidRDefault="009D310C" w:rsidP="00A41301">
      <w:pPr>
        <w:rPr>
          <w:rFonts w:cs="Arial"/>
          <w:color w:val="000000"/>
        </w:rPr>
      </w:pPr>
      <w:r w:rsidRPr="00A41301">
        <w:rPr>
          <w:rStyle w:val="normaltextrun"/>
          <w:rFonts w:cs="Arial"/>
          <w:color w:val="000000"/>
        </w:rPr>
        <w:t>Whether families and communities share these goals or understand the nature and importance of the early years is unclear. Less well-resourced families of infants often find themselves in a position of needing mothers to return to work as soon as possible and face considerable challenges in finding childcare that is affordable and of high quality. This is also a preoccupation of government: economic considerations drive policies that are more focused on getting parents of young children back into the workforce rather than ensuring that the early experiences of children are optimal.  There needs to be much more debate on how to resolve the clash between the importance of early experiences and the government’s focus on getting parents back into the workforce.</w:t>
      </w:r>
      <w:r w:rsidRPr="00A41301">
        <w:rPr>
          <w:rStyle w:val="eop"/>
          <w:rFonts w:cs="Arial"/>
          <w:color w:val="000000"/>
        </w:rPr>
        <w:t> </w:t>
      </w:r>
    </w:p>
    <w:p w14:paraId="3F13357F" w14:textId="24DE290F" w:rsidR="003D5968" w:rsidRDefault="003D5968">
      <w:pPr>
        <w:spacing w:before="0" w:after="0"/>
        <w:rPr>
          <w:rFonts w:cs="Arial"/>
        </w:rPr>
      </w:pPr>
      <w:r>
        <w:rPr>
          <w:rFonts w:cs="Arial"/>
        </w:rPr>
        <w:br w:type="page"/>
      </w:r>
    </w:p>
    <w:p w14:paraId="79D9EDA7" w14:textId="77777777" w:rsidR="001D765A" w:rsidRDefault="001D765A" w:rsidP="00C43DBC">
      <w:pPr>
        <w:rPr>
          <w:rFonts w:cs="Arial"/>
        </w:rPr>
      </w:pPr>
    </w:p>
    <w:p w14:paraId="4002CD66" w14:textId="77777777" w:rsidR="00E30E40" w:rsidRPr="00E30E40" w:rsidRDefault="00E30E40" w:rsidP="00E30E40">
      <w:pPr>
        <w:rPr>
          <w:rFonts w:cs="Arial"/>
          <w:b/>
          <w:bCs/>
          <w:color w:val="0C2C74"/>
        </w:rPr>
      </w:pPr>
      <w:r w:rsidRPr="00E30E40">
        <w:rPr>
          <w:rFonts w:cs="Arial"/>
          <w:b/>
          <w:bCs/>
          <w:color w:val="0C2C74"/>
        </w:rPr>
        <w:t>Implications for ECI services</w:t>
      </w:r>
    </w:p>
    <w:p w14:paraId="468EA110" w14:textId="77777777" w:rsidR="00E30E40" w:rsidRPr="00E30E40" w:rsidRDefault="00E30E40" w:rsidP="0031511B">
      <w:pPr>
        <w:pStyle w:val="ListParagraph"/>
        <w:numPr>
          <w:ilvl w:val="0"/>
          <w:numId w:val="18"/>
        </w:numPr>
        <w:ind w:left="714" w:hanging="357"/>
        <w:contextualSpacing w:val="0"/>
        <w:rPr>
          <w:rFonts w:cs="Arial"/>
        </w:rPr>
      </w:pPr>
      <w:r w:rsidRPr="00E30E40">
        <w:rPr>
          <w:rFonts w:cs="Arial"/>
        </w:rPr>
        <w:t xml:space="preserve">The aims of ECI in Australia are now merging with those of the international community as it seeks to recognise the importance of the early years and build more inclusive social environments and service systems. While these emerging ideas and policies strengthen the case for early intervention and are an affirmation of what ECI has been striving towards for the last 50 years, they also represent a valuable challenge to the field: how to blend ECI services with these new efforts to create environments and service systems that meet the needs of all children and families.   </w:t>
      </w:r>
    </w:p>
    <w:p w14:paraId="68C5C8F0" w14:textId="77777777" w:rsidR="00E30E40" w:rsidRPr="00E30E40" w:rsidRDefault="00E30E40" w:rsidP="0031511B">
      <w:pPr>
        <w:pStyle w:val="ListParagraph"/>
        <w:numPr>
          <w:ilvl w:val="0"/>
          <w:numId w:val="18"/>
        </w:numPr>
        <w:ind w:left="714" w:hanging="357"/>
        <w:contextualSpacing w:val="0"/>
        <w:rPr>
          <w:rFonts w:cs="Arial"/>
        </w:rPr>
      </w:pPr>
      <w:r w:rsidRPr="00E30E40">
        <w:rPr>
          <w:rFonts w:cs="Arial"/>
        </w:rPr>
        <w:t xml:space="preserve">The new knowledge about the nature and significance of the first 1000 days is of particular relevance for ECI. This casts new light on the factors that impact development in this period, and how these can best be addressed. The ECI sector has much to learn from this new picture of development. It can also play a role in conveying these messages to the general public. </w:t>
      </w:r>
    </w:p>
    <w:p w14:paraId="502C798A" w14:textId="2D870F87" w:rsidR="00AD1D46" w:rsidRDefault="00E30E40" w:rsidP="0031511B">
      <w:pPr>
        <w:pStyle w:val="ListParagraph"/>
        <w:numPr>
          <w:ilvl w:val="0"/>
          <w:numId w:val="18"/>
        </w:numPr>
        <w:ind w:left="714" w:hanging="357"/>
        <w:contextualSpacing w:val="0"/>
        <w:rPr>
          <w:rFonts w:cs="Arial"/>
        </w:rPr>
      </w:pPr>
      <w:r w:rsidRPr="00E30E40">
        <w:rPr>
          <w:rFonts w:cs="Arial"/>
        </w:rPr>
        <w:t>The evidence regarding the importance of the early years heightens the need for ECI service provision to begin as early as possible. This will mean that ECI services need to develop a better understanding of how to work with infants and their parents in develop</w:t>
      </w:r>
      <w:r>
        <w:rPr>
          <w:noProof/>
        </w:rPr>
        <mc:AlternateContent>
          <mc:Choice Requires="wps">
            <w:drawing>
              <wp:anchor distT="0" distB="0" distL="114300" distR="114300" simplePos="0" relativeHeight="251626496" behindDoc="1" locked="1" layoutInCell="1" allowOverlap="1" wp14:anchorId="76D620E1" wp14:editId="56FF832B">
                <wp:simplePos x="0" y="0"/>
                <wp:positionH relativeFrom="column">
                  <wp:posOffset>-485140</wp:posOffset>
                </wp:positionH>
                <wp:positionV relativeFrom="page">
                  <wp:posOffset>927735</wp:posOffset>
                </wp:positionV>
                <wp:extent cx="6695440" cy="3811905"/>
                <wp:effectExtent l="0" t="0" r="0" b="0"/>
                <wp:wrapNone/>
                <wp:docPr id="102136828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81190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21C3F" id="Rectangle 2" o:spid="_x0000_s1026" alt="&quot;&quot;" style="position:absolute;margin-left:-38.2pt;margin-top:73.05pt;width:527.2pt;height:30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" fillcolor="#8087a3" stroked="f" strokeweight="1pt">
                <v:fill opacity="16448f"/>
                <w10:wrap anchory="page"/>
                <w10:anchorlock/>
              </v:rect>
            </w:pict>
          </mc:Fallback>
        </mc:AlternateContent>
      </w:r>
      <w:r w:rsidRPr="00E30E40">
        <w:rPr>
          <w:rFonts w:cs="Arial"/>
        </w:rPr>
        <w:t>mentally appropriate ways</w:t>
      </w:r>
      <w:r>
        <w:rPr>
          <w:rFonts w:cs="Arial"/>
        </w:rPr>
        <w:t>.</w:t>
      </w:r>
    </w:p>
    <w:p w14:paraId="041248BF" w14:textId="77777777" w:rsidR="00E30E40" w:rsidRDefault="00E30E40" w:rsidP="00E30E40">
      <w:pPr>
        <w:rPr>
          <w:rFonts w:cs="Arial"/>
        </w:rPr>
      </w:pPr>
    </w:p>
    <w:p w14:paraId="63D4C9D4" w14:textId="2357DA38" w:rsidR="00323A0B" w:rsidRPr="00323A0B" w:rsidRDefault="00323A0B" w:rsidP="00323A0B">
      <w:pPr>
        <w:spacing w:before="0" w:after="0"/>
        <w:rPr>
          <w:rFonts w:cs="Arial"/>
          <w:b/>
          <w:bCs/>
        </w:rPr>
      </w:pPr>
      <w:r w:rsidRPr="00323A0B">
        <w:rPr>
          <w:rFonts w:cs="Arial"/>
          <w:b/>
          <w:bCs/>
          <w:color w:val="0C2C74"/>
        </w:rPr>
        <w:t>Implications for the ECI Best Practice Framework</w:t>
      </w:r>
    </w:p>
    <w:p w14:paraId="754FA2E1" w14:textId="77777777" w:rsidR="00323A0B" w:rsidRPr="00323A0B" w:rsidRDefault="00323A0B" w:rsidP="00323A0B">
      <w:pPr>
        <w:spacing w:before="0" w:after="0"/>
        <w:rPr>
          <w:rFonts w:cs="Arial"/>
        </w:rPr>
      </w:pPr>
      <w:r w:rsidRPr="00323A0B">
        <w:rPr>
          <w:rFonts w:cs="Arial"/>
        </w:rPr>
        <w:t>It is recommended that the ECI Best Practice Framework</w:t>
      </w:r>
    </w:p>
    <w:p w14:paraId="2B268252" w14:textId="6C3E98E2" w:rsidR="00323A0B" w:rsidRPr="00323A0B" w:rsidRDefault="00323A0B" w:rsidP="0031511B">
      <w:pPr>
        <w:pStyle w:val="ListParagraph"/>
        <w:numPr>
          <w:ilvl w:val="0"/>
          <w:numId w:val="19"/>
        </w:numPr>
        <w:contextualSpacing w:val="0"/>
        <w:rPr>
          <w:rFonts w:cs="Arial"/>
        </w:rPr>
      </w:pPr>
      <w:r w:rsidRPr="00323A0B">
        <w:rPr>
          <w:rFonts w:cs="Arial"/>
        </w:rPr>
        <w:t>Is founded on a comprehensive understanding of how young children with and without disability develop and the conditions they need to thrive</w:t>
      </w:r>
    </w:p>
    <w:p w14:paraId="7A41AB95" w14:textId="30B10202" w:rsidR="00323A0B" w:rsidRPr="00323A0B" w:rsidRDefault="00323A0B" w:rsidP="0031511B">
      <w:pPr>
        <w:pStyle w:val="ListParagraph"/>
        <w:numPr>
          <w:ilvl w:val="0"/>
          <w:numId w:val="19"/>
        </w:numPr>
        <w:contextualSpacing w:val="0"/>
        <w:rPr>
          <w:rFonts w:cs="Arial"/>
        </w:rPr>
      </w:pPr>
      <w:r w:rsidRPr="00323A0B">
        <w:rPr>
          <w:rFonts w:cs="Arial"/>
        </w:rPr>
        <w:t>is based on an understanding that the importance of the first 1000 days and what experiences during this period shape subsequent development for better or for worse</w:t>
      </w:r>
    </w:p>
    <w:p w14:paraId="4118EDF0" w14:textId="4AA77D12" w:rsidR="00323A0B" w:rsidRPr="00323A0B" w:rsidRDefault="00323A0B" w:rsidP="0031511B">
      <w:pPr>
        <w:pStyle w:val="ListParagraph"/>
        <w:numPr>
          <w:ilvl w:val="0"/>
          <w:numId w:val="19"/>
        </w:numPr>
        <w:contextualSpacing w:val="0"/>
        <w:rPr>
          <w:rFonts w:cs="Arial"/>
        </w:rPr>
      </w:pPr>
      <w:r w:rsidRPr="00323A0B">
        <w:rPr>
          <w:rFonts w:cs="Arial"/>
        </w:rPr>
        <w:t>Is based on an understanding of the impact that environmental factors have on development</w:t>
      </w:r>
    </w:p>
    <w:p w14:paraId="13746809" w14:textId="19591E5B" w:rsidR="00323A0B" w:rsidRPr="00323A0B" w:rsidRDefault="00323A0B" w:rsidP="0031511B">
      <w:pPr>
        <w:pStyle w:val="ListParagraph"/>
        <w:numPr>
          <w:ilvl w:val="0"/>
          <w:numId w:val="19"/>
        </w:numPr>
        <w:contextualSpacing w:val="0"/>
        <w:rPr>
          <w:rFonts w:cs="Arial"/>
        </w:rPr>
      </w:pPr>
      <w:r w:rsidRPr="00323A0B">
        <w:rPr>
          <w:rFonts w:cs="Arial"/>
        </w:rPr>
        <w:t xml:space="preserve">specifies the need for ECI practitioners to be able to provide developmentally appropriate guidance to parents of very young children with developmental </w:t>
      </w:r>
      <w:r w:rsidR="0051266A">
        <w:rPr>
          <w:rFonts w:cs="Arial"/>
        </w:rPr>
        <w:t>concerns, delay or</w:t>
      </w:r>
      <w:r w:rsidRPr="00323A0B">
        <w:rPr>
          <w:rFonts w:cs="Arial"/>
        </w:rPr>
        <w:t xml:space="preserve"> disability</w:t>
      </w:r>
    </w:p>
    <w:p w14:paraId="53A9BB86" w14:textId="045AA227" w:rsidR="00323A0B" w:rsidRPr="00323A0B" w:rsidRDefault="00323A0B" w:rsidP="0031511B">
      <w:pPr>
        <w:pStyle w:val="ListParagraph"/>
        <w:numPr>
          <w:ilvl w:val="0"/>
          <w:numId w:val="19"/>
        </w:numPr>
        <w:contextualSpacing w:val="0"/>
        <w:rPr>
          <w:rFonts w:cs="Arial"/>
        </w:rPr>
      </w:pPr>
      <w:r w:rsidRPr="00323A0B">
        <w:rPr>
          <w:rFonts w:cs="Arial"/>
        </w:rPr>
        <w:t>highlights the importance of ensuring that children and families are protected from adverse experiences and are provided with the conditions they need to thrive</w:t>
      </w:r>
    </w:p>
    <w:p w14:paraId="754F9824" w14:textId="506F04ED" w:rsidR="00E30E40" w:rsidRDefault="00323A0B" w:rsidP="0031511B">
      <w:pPr>
        <w:pStyle w:val="ListParagraph"/>
        <w:numPr>
          <w:ilvl w:val="0"/>
          <w:numId w:val="19"/>
        </w:numPr>
        <w:contextualSpacing w:val="0"/>
        <w:rPr>
          <w:rFonts w:cs="Arial"/>
        </w:rPr>
      </w:pPr>
      <w:r w:rsidRPr="00323A0B">
        <w:rPr>
          <w:rFonts w:cs="Arial"/>
        </w:rPr>
        <w:t>promotes the use of trauma-informed and</w:t>
      </w:r>
      <w:r>
        <w:rPr>
          <w:noProof/>
        </w:rPr>
        <mc:AlternateContent>
          <mc:Choice Requires="wps">
            <w:drawing>
              <wp:anchor distT="0" distB="0" distL="114300" distR="114300" simplePos="0" relativeHeight="251627520" behindDoc="1" locked="1" layoutInCell="1" allowOverlap="1" wp14:anchorId="4E1CCA98" wp14:editId="05AC98C9">
                <wp:simplePos x="0" y="0"/>
                <wp:positionH relativeFrom="column">
                  <wp:posOffset>-480060</wp:posOffset>
                </wp:positionH>
                <wp:positionV relativeFrom="page">
                  <wp:posOffset>4819650</wp:posOffset>
                </wp:positionV>
                <wp:extent cx="6695440" cy="3602355"/>
                <wp:effectExtent l="12700" t="12700" r="10160" b="17145"/>
                <wp:wrapNone/>
                <wp:docPr id="21903917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602355"/>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B2511" id="Rectangle 2" o:spid="_x0000_s1026" alt="&quot;&quot;" style="position:absolute;margin-left:-37.8pt;margin-top:379.5pt;width:527.2pt;height:28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" fillcolor="#f2f2f2 [3052]" strokecolor="#8087a3" strokeweight="2.25pt">
                <w10:wrap anchory="page"/>
                <w10:anchorlock/>
              </v:rect>
            </w:pict>
          </mc:Fallback>
        </mc:AlternateContent>
      </w:r>
      <w:r w:rsidRPr="00323A0B">
        <w:rPr>
          <w:rFonts w:cs="Arial"/>
        </w:rPr>
        <w:t xml:space="preserve"> culturally safe practices</w:t>
      </w:r>
    </w:p>
    <w:p w14:paraId="04AF3EA5" w14:textId="77777777" w:rsidR="008B45B3" w:rsidRDefault="008B45B3" w:rsidP="008B45B3">
      <w:pPr>
        <w:rPr>
          <w:rFonts w:cs="Arial"/>
        </w:rPr>
      </w:pPr>
    </w:p>
    <w:p w14:paraId="5A20328B" w14:textId="77777777" w:rsidR="002316EF" w:rsidRPr="002316EF" w:rsidRDefault="002316EF" w:rsidP="002316EF">
      <w:pPr>
        <w:rPr>
          <w:rFonts w:cs="Arial"/>
          <w:b/>
          <w:bCs/>
        </w:rPr>
      </w:pPr>
      <w:r w:rsidRPr="002316EF">
        <w:rPr>
          <w:rFonts w:cs="Arial"/>
          <w:b/>
          <w:bCs/>
        </w:rPr>
        <w:t xml:space="preserve">Greater awareness of the importance of responsive caregiving </w:t>
      </w:r>
    </w:p>
    <w:p w14:paraId="203FD69D" w14:textId="77777777" w:rsidR="002316EF" w:rsidRPr="002316EF" w:rsidRDefault="002316EF" w:rsidP="002316EF">
      <w:pPr>
        <w:rPr>
          <w:rFonts w:cs="Arial"/>
        </w:rPr>
      </w:pPr>
      <w:r w:rsidRPr="002316EF">
        <w:rPr>
          <w:rFonts w:cs="Arial"/>
        </w:rPr>
        <w:t xml:space="preserve">There has been a growing awareness of the importance of responsive caregiving in the early years. Experiencing nurturing and responsive caregiving in the early years is vital for later development and wellbeing (Axford et al., 2018; Britto et al., 2017; Cozolino, 2014; Curley &amp; Champagne, 2016; Dykas &amp; Cassidy, 2013; Garner et al., 2021; Gee &amp; Cohodes, 2021; Gerhardt, 2014; Luby, 2024; NASEM, 2019a, 2019b; </w:t>
      </w:r>
      <w:r w:rsidRPr="002316EF">
        <w:rPr>
          <w:rFonts w:cs="Arial"/>
        </w:rPr>
        <w:lastRenderedPageBreak/>
        <w:t xml:space="preserve">Nelson et al., 2024; Siegel, 2020; van der Voort et al., 2014; World Health Organisation, UNICEF and World Bank Group, 2018). </w:t>
      </w:r>
    </w:p>
    <w:p w14:paraId="4C190FE3" w14:textId="77777777" w:rsidR="002316EF" w:rsidRPr="002316EF" w:rsidRDefault="002316EF" w:rsidP="002316EF">
      <w:pPr>
        <w:rPr>
          <w:rFonts w:cs="Arial"/>
        </w:rPr>
      </w:pPr>
      <w:r w:rsidRPr="002316EF">
        <w:rPr>
          <w:rFonts w:cs="Arial"/>
        </w:rPr>
        <w:t xml:space="preserve">The primary mechanisms through which children develop and learn are the social relationships they form with parents, caregivers, teachers and peers (Cozolino, 2014; Immordino-Yang et al., 2019). Responsive caregiving promotes the development of secure attachments in infants, builds their emotional and self-regulatory skills, and provides them with a secure base from which to explore the world (Atzil et al., 2018; Feldman, 2012a, 2012b). The quality of the attachment relationship between children and their parents is important for children's social-emotional development and can have profound consequences for adaptational processes in later life (Cozolino, 2014; Feldman, 2012a, 2012b; Siegel, 2020; van der Voort et al., 2014). </w:t>
      </w:r>
    </w:p>
    <w:p w14:paraId="788362E9" w14:textId="77777777" w:rsidR="002316EF" w:rsidRPr="002316EF" w:rsidRDefault="002316EF" w:rsidP="002316EF">
      <w:pPr>
        <w:rPr>
          <w:rFonts w:cs="Arial"/>
        </w:rPr>
      </w:pPr>
      <w:r w:rsidRPr="002316EF">
        <w:rPr>
          <w:rFonts w:cs="Arial"/>
        </w:rPr>
        <w:t xml:space="preserve">Having positive relationships and attachments with caregivers is just as important for children with developmental disabilities as it is for other children (Moore, 2009). Responsive caregiving has the same positive impacts on children regardless of whether they are typically developing, developmentally at risk, developmentally delayed, or have an identified disability (Mahoney &amp; Perales, 2011; Raab et al., 2013). </w:t>
      </w:r>
    </w:p>
    <w:p w14:paraId="6376709D" w14:textId="77777777" w:rsidR="002316EF" w:rsidRPr="002316EF" w:rsidRDefault="002316EF" w:rsidP="002316EF">
      <w:pPr>
        <w:rPr>
          <w:rFonts w:cs="Arial"/>
        </w:rPr>
      </w:pPr>
      <w:r w:rsidRPr="002316EF">
        <w:rPr>
          <w:rFonts w:cs="Arial"/>
        </w:rPr>
        <w:t xml:space="preserve">However, children with developmental disabilities may have difficulty having these relational needs realised because of the nature of their disabilities. They may initiate interactions less frequently and give cues that are more subtle and difficult to read (Biringen et al., 2005; Howe, 2006; Kelly &amp; Barnard, 2000). As a result, children with a developmental delay or disability may be at greater risk of insecure or disorganised attachment than children without disabilities (Alexander et al., 2023; Moore, 2009). Moreover, children with disability, as a group, have a nearly four times higher risk of experiencing violence than their non-disabled peers (Wayland &amp; Hindmarsh, 2017).  </w:t>
      </w:r>
    </w:p>
    <w:p w14:paraId="51CB2D7F" w14:textId="2B1BEF8F" w:rsidR="002316EF" w:rsidRPr="002316EF" w:rsidRDefault="002316EF" w:rsidP="002316EF">
      <w:pPr>
        <w:rPr>
          <w:rFonts w:cs="Arial"/>
        </w:rPr>
      </w:pPr>
      <w:r w:rsidRPr="002316EF">
        <w:rPr>
          <w:rFonts w:cs="Arial"/>
        </w:rPr>
        <w:t>Responsive interaction interventions have been found to be effective in promoting parental responsive behaviours and children’s emotional and social-communicative outcomes (Kong &amp; Carta, 2013; Mahoney &amp; MacDonald, 2007; Mahoney &amp; Nam, 2011; Mahoney, 2018). Alexander et al. (202</w:t>
      </w:r>
      <w:r w:rsidR="003707B7">
        <w:rPr>
          <w:rFonts w:cs="Arial"/>
        </w:rPr>
        <w:t>4</w:t>
      </w:r>
      <w:r w:rsidRPr="002316EF">
        <w:rPr>
          <w:rFonts w:cs="Arial"/>
        </w:rPr>
        <w:t>) have developed a framework for ECI services that focuses specifically on the promotion of attachment. Roggman and colleagues (2013) have developed an observational tool designed to assess and monitor the quality of parent–child interactions.</w:t>
      </w:r>
    </w:p>
    <w:p w14:paraId="3E2C4093" w14:textId="52B93506" w:rsidR="008B45B3" w:rsidRDefault="002316EF" w:rsidP="002316EF">
      <w:pPr>
        <w:rPr>
          <w:rFonts w:cs="Arial"/>
        </w:rPr>
      </w:pPr>
      <w:r w:rsidRPr="002316EF">
        <w:rPr>
          <w:rFonts w:cs="Arial"/>
        </w:rPr>
        <w:t>Emerging research indicates that early intervention may be effective in improving attachment security (Alexander et al., 202</w:t>
      </w:r>
      <w:r w:rsidR="003707B7">
        <w:rPr>
          <w:rFonts w:cs="Arial"/>
        </w:rPr>
        <w:t>4</w:t>
      </w:r>
      <w:r w:rsidRPr="002316EF">
        <w:rPr>
          <w:rFonts w:cs="Arial"/>
        </w:rPr>
        <w:t>). Recent work by Andrew Whitehouse and colleagues in Western Australia used iBASIS–Video Interaction to Promote Positive Parenting (iBASIS-VIPP) therapy as a pre-emptive intervention for families of infants displaying early behavioural signs of autism (Whitehouse et al., 2021). Preliminary evidence is promising, with support for reduced symptom severity in children and increased caregiver responsiveness at 2 years. Segal et al. (2023) have shown that the cost of this form of intervention is greatly outweighed by the expected net cost savings to the government, making iBASIS-VIPP a good-value societal investment.</w:t>
      </w:r>
    </w:p>
    <w:p w14:paraId="05E03468" w14:textId="1A3D5502" w:rsidR="004C0D7F" w:rsidRDefault="004C0D7F">
      <w:pPr>
        <w:spacing w:before="0" w:after="0"/>
        <w:rPr>
          <w:rFonts w:cs="Arial"/>
          <w:color w:val="0C2C74"/>
        </w:rPr>
      </w:pPr>
      <w:r>
        <w:rPr>
          <w:rFonts w:cs="Arial"/>
          <w:color w:val="0C2C74"/>
        </w:rPr>
        <w:br w:type="page"/>
      </w:r>
    </w:p>
    <w:p w14:paraId="3DF2F12A" w14:textId="77777777" w:rsidR="002316EF" w:rsidRPr="00052E3C" w:rsidRDefault="002316EF" w:rsidP="002316EF">
      <w:pPr>
        <w:rPr>
          <w:rFonts w:cs="Arial"/>
          <w:color w:val="0C2C74"/>
        </w:rPr>
      </w:pPr>
    </w:p>
    <w:p w14:paraId="7C5DFA34" w14:textId="77777777" w:rsidR="00052E3C" w:rsidRPr="00052E3C" w:rsidRDefault="00052E3C" w:rsidP="00052E3C">
      <w:pPr>
        <w:rPr>
          <w:rFonts w:cs="Arial"/>
          <w:b/>
          <w:bCs/>
          <w:color w:val="0C2C74"/>
        </w:rPr>
      </w:pPr>
      <w:r w:rsidRPr="00052E3C">
        <w:rPr>
          <w:rFonts w:cs="Arial"/>
          <w:b/>
          <w:bCs/>
          <w:color w:val="0C2C74"/>
        </w:rPr>
        <w:t>Implications for ECI services</w:t>
      </w:r>
    </w:p>
    <w:p w14:paraId="3C54A0C4" w14:textId="77777777" w:rsidR="00052E3C" w:rsidRPr="00052E3C" w:rsidRDefault="00052E3C" w:rsidP="0031511B">
      <w:pPr>
        <w:pStyle w:val="ListParagraph"/>
        <w:numPr>
          <w:ilvl w:val="0"/>
          <w:numId w:val="20"/>
        </w:numPr>
        <w:ind w:left="714" w:hanging="357"/>
        <w:contextualSpacing w:val="0"/>
        <w:rPr>
          <w:rFonts w:cs="Arial"/>
        </w:rPr>
      </w:pPr>
      <w:r w:rsidRPr="00052E3C">
        <w:rPr>
          <w:rFonts w:cs="Arial"/>
        </w:rPr>
        <w:t xml:space="preserve">The implication of this evidence is that supporting parents and caregivers in developing positive and responsive relationships with children with developmental delays or disabilities from as early an age as possible should be a major focus of early childhood intervention services. All those involved in working with young children with disabilities – parents, caregivers, early childhood interventionists – should seek to establish relationships with these children that reflect the key qualities of effective relationships. It is the combined effect of such relationships that will ensure the effectiveness of interventions (Moore, 2009).  </w:t>
      </w:r>
    </w:p>
    <w:p w14:paraId="151EDFFB" w14:textId="6EA9E794" w:rsidR="002316EF" w:rsidRDefault="00052E3C" w:rsidP="0031511B">
      <w:pPr>
        <w:pStyle w:val="ListParagraph"/>
        <w:numPr>
          <w:ilvl w:val="0"/>
          <w:numId w:val="20"/>
        </w:numPr>
        <w:ind w:left="714" w:hanging="357"/>
        <w:contextualSpacing w:val="0"/>
        <w:rPr>
          <w:rFonts w:cs="Arial"/>
        </w:rPr>
      </w:pPr>
      <w:r w:rsidRPr="00052E3C">
        <w:rPr>
          <w:rFonts w:cs="Arial"/>
        </w:rPr>
        <w:t>In ECI, an overarching role is to promote the parent / caregiver’s ability to provide the child with the conditions they need to flourish (Moore, 2012, 2024). This includes learning how to provide responsive caregiving and build secure attachments. An important goal of int</w:t>
      </w:r>
      <w:r>
        <w:rPr>
          <w:noProof/>
        </w:rPr>
        <mc:AlternateContent>
          <mc:Choice Requires="wps">
            <w:drawing>
              <wp:anchor distT="0" distB="0" distL="114300" distR="114300" simplePos="0" relativeHeight="251628544" behindDoc="1" locked="1" layoutInCell="1" allowOverlap="1" wp14:anchorId="0725F8C1" wp14:editId="560ED6D2">
                <wp:simplePos x="0" y="0"/>
                <wp:positionH relativeFrom="column">
                  <wp:posOffset>-481965</wp:posOffset>
                </wp:positionH>
                <wp:positionV relativeFrom="page">
                  <wp:posOffset>1036955</wp:posOffset>
                </wp:positionV>
                <wp:extent cx="6695440" cy="3235325"/>
                <wp:effectExtent l="0" t="0" r="0" b="3175"/>
                <wp:wrapNone/>
                <wp:docPr id="169701536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23532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F09DD" id="Rectangle 2" o:spid="_x0000_s1026" alt="&quot;&quot;" style="position:absolute;margin-left:-37.95pt;margin-top:81.65pt;width:527.2pt;height:25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" fillcolor="#8087a3" stroked="f" strokeweight="1pt">
                <v:fill opacity="16448f"/>
                <w10:wrap anchory="page"/>
                <w10:anchorlock/>
              </v:rect>
            </w:pict>
          </mc:Fallback>
        </mc:AlternateContent>
      </w:r>
      <w:r w:rsidRPr="00052E3C">
        <w:rPr>
          <w:rFonts w:cs="Arial"/>
        </w:rPr>
        <w:t xml:space="preserve">ervention is to help parents become good observers of their own babies so that they can recognise their cues and respond contingently.  </w:t>
      </w:r>
    </w:p>
    <w:p w14:paraId="1E4BBC5C" w14:textId="77777777" w:rsidR="00BB0227" w:rsidRDefault="00BB0227" w:rsidP="00BB0227">
      <w:pPr>
        <w:rPr>
          <w:rFonts w:cs="Arial"/>
        </w:rPr>
      </w:pPr>
    </w:p>
    <w:p w14:paraId="63D03D7C" w14:textId="77777777" w:rsidR="0071336A" w:rsidRPr="0071336A" w:rsidRDefault="0071336A" w:rsidP="0071336A">
      <w:pPr>
        <w:rPr>
          <w:rFonts w:cs="Arial"/>
          <w:b/>
          <w:bCs/>
          <w:color w:val="0C2C74"/>
        </w:rPr>
      </w:pPr>
      <w:r w:rsidRPr="0071336A">
        <w:rPr>
          <w:rFonts w:cs="Arial"/>
          <w:b/>
          <w:bCs/>
          <w:color w:val="0C2C74"/>
        </w:rPr>
        <w:t>Implications for the ECI Best Practice Framework</w:t>
      </w:r>
    </w:p>
    <w:p w14:paraId="46D3ADD7" w14:textId="77777777" w:rsidR="0071336A" w:rsidRPr="0071336A" w:rsidRDefault="0071336A" w:rsidP="0071336A">
      <w:pPr>
        <w:rPr>
          <w:rFonts w:cs="Arial"/>
        </w:rPr>
      </w:pPr>
      <w:r w:rsidRPr="0071336A">
        <w:rPr>
          <w:rFonts w:cs="Arial"/>
        </w:rPr>
        <w:t>It is recommended that the ECI Best Practice Framework:</w:t>
      </w:r>
    </w:p>
    <w:p w14:paraId="50C1BE95" w14:textId="77777777" w:rsidR="00942297" w:rsidRDefault="0071336A" w:rsidP="0031511B">
      <w:pPr>
        <w:pStyle w:val="ListParagraph"/>
        <w:numPr>
          <w:ilvl w:val="0"/>
          <w:numId w:val="21"/>
        </w:numPr>
        <w:rPr>
          <w:rFonts w:cs="Arial"/>
        </w:rPr>
      </w:pPr>
      <w:r w:rsidRPr="0071336A">
        <w:rPr>
          <w:rFonts w:cs="Arial"/>
        </w:rPr>
        <w:t>promotes responsive caregiving and secure attachments as a major focus in ECI practice</w:t>
      </w:r>
    </w:p>
    <w:p w14:paraId="61AB28DF" w14:textId="4297B32E" w:rsidR="00BB0227" w:rsidRDefault="0071336A" w:rsidP="00942297">
      <w:pPr>
        <w:rPr>
          <w:rFonts w:cs="Arial"/>
        </w:rPr>
      </w:pPr>
      <w:r>
        <w:rPr>
          <w:noProof/>
        </w:rPr>
        <mc:AlternateContent>
          <mc:Choice Requires="wps">
            <w:drawing>
              <wp:anchor distT="0" distB="0" distL="114300" distR="114300" simplePos="0" relativeHeight="251629568" behindDoc="1" locked="1" layoutInCell="1" allowOverlap="1" wp14:anchorId="6C8609B8" wp14:editId="12317E6F">
                <wp:simplePos x="0" y="0"/>
                <wp:positionH relativeFrom="column">
                  <wp:posOffset>-481965</wp:posOffset>
                </wp:positionH>
                <wp:positionV relativeFrom="page">
                  <wp:posOffset>4358640</wp:posOffset>
                </wp:positionV>
                <wp:extent cx="6695440" cy="1183005"/>
                <wp:effectExtent l="12700" t="12700" r="10160" b="10795"/>
                <wp:wrapNone/>
                <wp:docPr id="180063671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1183005"/>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C24EE" id="Rectangle 2" o:spid="_x0000_s1026" alt="&quot;&quot;" style="position:absolute;margin-left:-37.95pt;margin-top:343.2pt;width:527.2pt;height:9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" fillcolor="#f2f2f2 [3052]" strokecolor="#8087a3" strokeweight="2.25pt">
                <w10:wrap anchory="page"/>
                <w10:anchorlock/>
              </v:rect>
            </w:pict>
          </mc:Fallback>
        </mc:AlternateContent>
      </w:r>
    </w:p>
    <w:p w14:paraId="7C80E211" w14:textId="77777777" w:rsidR="00AE0B48" w:rsidRPr="00AE0B48" w:rsidRDefault="00AE0B48" w:rsidP="00AE0B48">
      <w:pPr>
        <w:rPr>
          <w:rFonts w:cs="Arial"/>
          <w:b/>
          <w:bCs/>
        </w:rPr>
      </w:pPr>
      <w:r w:rsidRPr="00AE0B48">
        <w:rPr>
          <w:rFonts w:cs="Arial"/>
          <w:b/>
          <w:bCs/>
        </w:rPr>
        <w:t xml:space="preserve">Environmental conditions for health and well-being </w:t>
      </w:r>
    </w:p>
    <w:p w14:paraId="776DAE18" w14:textId="0E73B1D3" w:rsidR="00AE0B48" w:rsidRPr="00AE0B48" w:rsidRDefault="00AE0B48" w:rsidP="00AE0B48">
      <w:pPr>
        <w:rPr>
          <w:rFonts w:cs="Arial"/>
        </w:rPr>
      </w:pPr>
      <w:r w:rsidRPr="00AE0B48">
        <w:rPr>
          <w:rFonts w:cs="Arial"/>
        </w:rPr>
        <w:t>Inspired by the seminal bioecological approach developed by Urie Bronfenbrenner (Bronfenbrenner, 1979, 1986, 1992, 1993; Bronfenbrenner &amp; Morris, 200</w:t>
      </w:r>
      <w:r w:rsidR="00537A0A">
        <w:rPr>
          <w:rFonts w:cs="Arial"/>
        </w:rPr>
        <w:t>7</w:t>
      </w:r>
      <w:r w:rsidRPr="00AE0B48">
        <w:rPr>
          <w:rFonts w:cs="Arial"/>
        </w:rPr>
        <w:t>), there has been growing recognition the major role that environments play in shaping human development and functioning (Barrett et al. 2010; National Scientific Council on the Developing Child, 2023; Mayes &amp; Lewis, 2012). Children’s development is shaped by ongoing, reciprocal interactions between children’s biology, their developing brains, and their physical and social contexts, with relationships as the key drivers (Cantor et al., 20</w:t>
      </w:r>
      <w:r w:rsidR="00537A0A">
        <w:rPr>
          <w:rFonts w:cs="Arial"/>
        </w:rPr>
        <w:t>21</w:t>
      </w:r>
      <w:r w:rsidRPr="00AE0B48">
        <w:rPr>
          <w:rFonts w:cs="Arial"/>
        </w:rPr>
        <w:t xml:space="preserve">; Grace et al., 2016: Osher et al., 2020). These physical and social conditions, known as social determinants, play a major role in shaping developmental and wellbeing outcomes. (Link &amp; Phelan, 1995; Lovell &amp; Libby, 2018; Marmot, 2015; Marmot &amp; Wilkinson, 2006; Phelan et al., 2010; Ratcliff, 2017; WHO Commission on the Social Determinants of Health, 2008). Key social determinants include socioeconomic status, educational attainment, employment status, poverty, geographic location, disability, gender, and social connectivity. Social determinants play a critical role in the first 1000 days as it is during this period that a number of vital skills and abilities develop (Moore et al., 2015, 2017; Dyson et al., 2010; Hertzman &amp; Boyce, 2010).  </w:t>
      </w:r>
    </w:p>
    <w:p w14:paraId="45BCBB97" w14:textId="77777777" w:rsidR="00AE0B48" w:rsidRPr="00AE0B48" w:rsidRDefault="00AE0B48" w:rsidP="00AE0B48">
      <w:pPr>
        <w:rPr>
          <w:rFonts w:cs="Arial"/>
        </w:rPr>
      </w:pPr>
      <w:r w:rsidRPr="00AE0B48">
        <w:rPr>
          <w:rFonts w:cs="Arial"/>
        </w:rPr>
        <w:t xml:space="preserve">The conditions in which people live have a greater impact on their health and development than the health and other services they receive (Braveman &amp; Gottlieb, 2014; CCCH, 2018; Moore, 2024; Moore et al., 2017; Prevention Institute, 2019).  Thus, how well families can perform their caregiving role depends greatly upon the </w:t>
      </w:r>
      <w:r w:rsidRPr="00AE0B48">
        <w:rPr>
          <w:rFonts w:cs="Arial"/>
        </w:rPr>
        <w:lastRenderedPageBreak/>
        <w:t xml:space="preserve">social and physical circumstances in which they are living. The capacity of parents / caregivers and families to provide children with the conditions they need to flourish depends upon whether their own needs are being met (Bronfenbrenner, 1992; Moore, 2024). This includes having strong social support networks as well as access to material basics. The adequacy of family resources is significantly related to levels of parental distress, child-related stress, and positive parent-child interactional patterns (Dunst, 2022).  </w:t>
      </w:r>
    </w:p>
    <w:p w14:paraId="747566D8" w14:textId="01754B92" w:rsidR="00AE0B48" w:rsidRPr="00AE0B48" w:rsidRDefault="00AE0B48" w:rsidP="00AE0B48">
      <w:pPr>
        <w:rPr>
          <w:rFonts w:cs="Arial"/>
        </w:rPr>
      </w:pPr>
      <w:r w:rsidRPr="00AE0B48">
        <w:rPr>
          <w:rFonts w:cs="Arial"/>
        </w:rPr>
        <w:t>There is a wealth of evidence now available regarding the environmental factors that shape child development and learning and the core conditions that the children need to flourish. Several frameworks have been developed to capture these key factors. These include the Nurturing Care Framework (WHO, UNICEF and World Bank Group, 2018) and The Nest (ARACY, 2014). Drawing on these frameworks and other research and analyses (e</w:t>
      </w:r>
      <w:r w:rsidR="00476B3A">
        <w:rPr>
          <w:rFonts w:cs="Arial"/>
        </w:rPr>
        <w:t>.</w:t>
      </w:r>
      <w:r w:rsidRPr="00AE0B48">
        <w:rPr>
          <w:rFonts w:cs="Arial"/>
        </w:rPr>
        <w:t>g.</w:t>
      </w:r>
      <w:r w:rsidR="00476B3A">
        <w:rPr>
          <w:rFonts w:cs="Arial"/>
        </w:rPr>
        <w:t>,</w:t>
      </w:r>
      <w:r w:rsidRPr="00AE0B48">
        <w:rPr>
          <w:rFonts w:cs="Arial"/>
        </w:rPr>
        <w:t xml:space="preserve"> Luby, 2024), Moore (2024) has summarised the core care conditions that children, parents and families need to flourish. These core care conditions have a cumulative impact – the more we can put in place, the greater the likelihood of positive outcomes. Overall, these social determinants and core care conditions can have a greater impact on children’s health and wellbeing outcomes than do the services they and their families receive (Braveman &amp; Gottlieb, 2014; CCCH, 2018; Moore et al., 2017; Prevention Institute, 2019). </w:t>
      </w:r>
    </w:p>
    <w:p w14:paraId="56F76840" w14:textId="77777777" w:rsidR="00AE0B48" w:rsidRPr="00AE0B48" w:rsidRDefault="00AE0B48" w:rsidP="00AE0B48">
      <w:pPr>
        <w:rPr>
          <w:rFonts w:cs="Arial"/>
        </w:rPr>
      </w:pPr>
      <w:r w:rsidRPr="00AE0B48">
        <w:rPr>
          <w:rFonts w:cs="Arial"/>
        </w:rPr>
        <w:t xml:space="preserve">All this applies just as much to children with developmental delays and disabilities as to normally developing children – they have the same core needs as all children – needs for attachment, nurturance, emotional responsiveness, care, safety and security and so on (Moore, 2024). However, as already noted, they may have difficulty having these needs realised because of the nature of their disabilities. They may have reduced access to the range of environments and experiences that other children have, and fewer opportunities to participate (World Health Organisation and UNICEF, 2012, 2023). Their families may also have reduced opportunities to work and to participate in community life. Thus, it is important in seeking to meet the needs of children with developmental disabilities and their families, particular attention should be paid to ensuring that their core care conditions are met, and that additional support and adaptations are provided.  </w:t>
      </w:r>
    </w:p>
    <w:p w14:paraId="6C673BC9" w14:textId="77777777" w:rsidR="00AE0B48" w:rsidRPr="00AE0B48" w:rsidRDefault="00AE0B48" w:rsidP="00AE0B48">
      <w:pPr>
        <w:rPr>
          <w:rFonts w:cs="Arial"/>
        </w:rPr>
      </w:pPr>
      <w:r w:rsidRPr="00AE0B48">
        <w:rPr>
          <w:rFonts w:cs="Arial"/>
        </w:rPr>
        <w:t xml:space="preserve">The cumulative negative effects of experiencing multiple adverse conditions have been well documented (Bellis et al., 2019; Hughes et al., 2017; Petrucelli et al., 2019). Adverse childhood experiences, defined as various forms of child abuse and neglect and family exposure to toxic stress, become biologically embedded, that is, they change the child’s neural and biological infrastructure in ways that have a negative impact of developmental trajectories and outcomes (Nelson, 2013; Nelson &amp; Gabard-Durham, 2020). Individually, these adverse experiences have a small to moderate effect but cumulatively the effect is much greater (Kim &amp; Royle, 2024). The more adverse experiences in early life, the greater the likely incidence of later health, mental health and developmental problems (Anda et al, 2006; Bellis et al., 2019).  </w:t>
      </w:r>
    </w:p>
    <w:p w14:paraId="4F6D745F" w14:textId="5E8755EB" w:rsidR="00AE0B48" w:rsidRPr="00AE0B48" w:rsidRDefault="00AE0B48" w:rsidP="00AE0B48">
      <w:pPr>
        <w:rPr>
          <w:rFonts w:cs="Arial"/>
        </w:rPr>
      </w:pPr>
      <w:r w:rsidRPr="00AE0B48">
        <w:rPr>
          <w:rFonts w:cs="Arial"/>
        </w:rPr>
        <w:t>Adverse circumstances can have a considerable negative impact on families of children with developmental delays or disabilities and compromise their ability to support their children as they (and we) would wish (Corr et al., 201</w:t>
      </w:r>
      <w:r w:rsidR="00537A0A">
        <w:rPr>
          <w:rFonts w:cs="Arial"/>
        </w:rPr>
        <w:t>5</w:t>
      </w:r>
      <w:r w:rsidRPr="00AE0B48">
        <w:rPr>
          <w:rFonts w:cs="Arial"/>
        </w:rPr>
        <w:t xml:space="preserve">; Dunst, 2017; Hughes-Scholes et al., 2019; Swafford et al., 2015; Trivette &amp; Corr, 2018). These include family circumstances (such as insecure housing, limited income, or lack of social support), parental issues (such parental mental and physical health), and family functioning (such as family violence). Families living in poverty are particularly </w:t>
      </w:r>
      <w:r w:rsidRPr="00AE0B48">
        <w:rPr>
          <w:rFonts w:cs="Arial"/>
        </w:rPr>
        <w:lastRenderedPageBreak/>
        <w:t xml:space="preserve">disadvantaged, and additional supports to supplement their ECI services are needed to help them meet the challenges they face (Corr et al., 2016; Trivette &amp; Corr, 2018).  </w:t>
      </w:r>
    </w:p>
    <w:p w14:paraId="35163EFF" w14:textId="77777777" w:rsidR="00AE0B48" w:rsidRPr="00AE0B48" w:rsidRDefault="00AE0B48" w:rsidP="00AE0B48">
      <w:pPr>
        <w:rPr>
          <w:rFonts w:cs="Arial"/>
        </w:rPr>
      </w:pPr>
      <w:r w:rsidRPr="00AE0B48">
        <w:rPr>
          <w:rFonts w:cs="Arial"/>
        </w:rPr>
        <w:t xml:space="preserve">Regardless of their circumstances, families of children with developmental disabilities are likely to be facing additional financial burdens. An Australian study (Bourke-Taylor et al., 2014) explored the costs to families of raising a child with cerebral palsy and complex needs and found there were both direct and indirect additional costs. Direct costs included extensive equipment and out-of-pocket expenses, while the indirect costs included loss of income due to the need to be involved in supporting the child’s medical, intervention and recreational activities.  </w:t>
      </w:r>
    </w:p>
    <w:p w14:paraId="317B985A" w14:textId="77777777" w:rsidR="00AE0B48" w:rsidRPr="00AE0B48" w:rsidRDefault="00AE0B48" w:rsidP="00AE0B48">
      <w:pPr>
        <w:rPr>
          <w:rFonts w:cs="Arial"/>
        </w:rPr>
      </w:pPr>
      <w:r w:rsidRPr="00AE0B48">
        <w:rPr>
          <w:rFonts w:cs="Arial"/>
        </w:rPr>
        <w:t xml:space="preserve">ECI models have long recognized the importance both of social support and of access to material basics. Guralnick’s Developmental Systems Approach (Guralnick, 2011, 2019) emphasised how family resources, including social support and material basics such as finances, can shape the capacity of families to provide their children with the learning opportunities they need.  </w:t>
      </w:r>
    </w:p>
    <w:p w14:paraId="6D9074C2" w14:textId="77777777" w:rsidR="00AE0B48" w:rsidRDefault="00AE0B48" w:rsidP="00AE0B48">
      <w:pPr>
        <w:rPr>
          <w:rFonts w:cs="Arial"/>
        </w:rPr>
      </w:pPr>
      <w:r w:rsidRPr="00AE0B48">
        <w:rPr>
          <w:rFonts w:cs="Arial"/>
        </w:rPr>
        <w:t xml:space="preserve">Despite the existence of these models, there does not appear to be any consistent practice across the ECI sector on how to identify and respond to the psychosocial issues that can compromise parenting and family functioning. Ways of identifying family circumstances include the use of scales such as the Family Resources Scale (Dunst and Leet, 1985, 1987) which assesses the adequacy of basic resources (food, house or apartment, utilities, etc.), financial resources (good job, money to buy necessities, money to pay monthly bills, etc.), time to be alone or engage in desired activities (exercise, staying in shape, etc.), time to spend with family and friends (e.g., time to socialize or talk to), health care (medical care for family members, dental care), childcare (babysitting, childcare), and the availability of expendable income (money for family entertainment, travel, vacation, etc.). Another tool that could fill this gap is the Parent Engagement Resource (PER) (Centre for Community Child Health, 2013, Moore et al., 2012). Based on principles of family-centred practice, the PER is a tool that helps practitioners who are working with families identify any major personal or family issues that may be adversely affecting the family’s capacity to care for their children. </w:t>
      </w:r>
    </w:p>
    <w:p w14:paraId="543CE41D" w14:textId="6466FAB6" w:rsidR="00C8608A" w:rsidRDefault="00C8608A">
      <w:pPr>
        <w:spacing w:before="0" w:after="0"/>
        <w:rPr>
          <w:rFonts w:cs="Arial"/>
        </w:rPr>
      </w:pPr>
      <w:r>
        <w:rPr>
          <w:rFonts w:cs="Arial"/>
        </w:rPr>
        <w:br w:type="page"/>
      </w:r>
    </w:p>
    <w:p w14:paraId="5DAD00B7" w14:textId="77777777" w:rsidR="00127109" w:rsidRDefault="00127109" w:rsidP="00AE0B48">
      <w:pPr>
        <w:rPr>
          <w:rFonts w:cs="Arial"/>
        </w:rPr>
      </w:pPr>
    </w:p>
    <w:p w14:paraId="70D2479E" w14:textId="77777777" w:rsidR="00A00347" w:rsidRPr="00A00347" w:rsidRDefault="00A00347" w:rsidP="00A00347">
      <w:pPr>
        <w:rPr>
          <w:rFonts w:cs="Arial"/>
          <w:b/>
          <w:bCs/>
          <w:color w:val="0C2C74"/>
        </w:rPr>
      </w:pPr>
      <w:r w:rsidRPr="00A00347">
        <w:rPr>
          <w:rFonts w:cs="Arial"/>
          <w:b/>
          <w:bCs/>
          <w:color w:val="0C2C74"/>
        </w:rPr>
        <w:t>Implications for ECI services</w:t>
      </w:r>
    </w:p>
    <w:p w14:paraId="4E126C76" w14:textId="77777777" w:rsidR="00A00347" w:rsidRPr="00A00347" w:rsidRDefault="00A00347" w:rsidP="0031511B">
      <w:pPr>
        <w:pStyle w:val="ListParagraph"/>
        <w:numPr>
          <w:ilvl w:val="0"/>
          <w:numId w:val="21"/>
        </w:numPr>
        <w:ind w:left="714" w:hanging="357"/>
        <w:contextualSpacing w:val="0"/>
        <w:rPr>
          <w:rFonts w:cs="Arial"/>
        </w:rPr>
      </w:pPr>
      <w:r w:rsidRPr="00A00347">
        <w:rPr>
          <w:rFonts w:cs="Arial"/>
        </w:rPr>
        <w:t xml:space="preserve">ECI services need to shift to a positive focus on the conditions children and families need to thrive, in line with the national Early Years Strategy. ECI services need to be part of collective efforts to ensure that all young children and families have the conditions they need to thrive. These conditions affect the capacity of the family to provide their children with the nurturing care that all children need, and the extra supports that children with developmental delays or disabilities need. </w:t>
      </w:r>
    </w:p>
    <w:p w14:paraId="33D7D2A5" w14:textId="77777777" w:rsidR="00A00347" w:rsidRPr="00A00347" w:rsidRDefault="00A00347" w:rsidP="0031511B">
      <w:pPr>
        <w:pStyle w:val="ListParagraph"/>
        <w:numPr>
          <w:ilvl w:val="0"/>
          <w:numId w:val="21"/>
        </w:numPr>
        <w:ind w:left="714" w:hanging="357"/>
        <w:contextualSpacing w:val="0"/>
        <w:rPr>
          <w:rFonts w:cs="Arial"/>
        </w:rPr>
      </w:pPr>
      <w:r w:rsidRPr="00A00347">
        <w:rPr>
          <w:rFonts w:cs="Arial"/>
        </w:rPr>
        <w:t xml:space="preserve">Some families will experience conditions that are not optimal and that may compromise their ability to provide their children with the conditions they need to thrive. ECI practitioners need to be able to recognise when this is happening, and ECI services need to have strong links with other services that can help families facing multiple environmental challenges. Service plans need to include actions that are being taken to help families address these challenges. </w:t>
      </w:r>
    </w:p>
    <w:p w14:paraId="292A5986" w14:textId="07CB7DEF" w:rsidR="00A00347" w:rsidRPr="00A00347" w:rsidRDefault="00A00347" w:rsidP="0031511B">
      <w:pPr>
        <w:pStyle w:val="ListParagraph"/>
        <w:numPr>
          <w:ilvl w:val="0"/>
          <w:numId w:val="21"/>
        </w:numPr>
        <w:ind w:left="714" w:hanging="357"/>
        <w:contextualSpacing w:val="0"/>
        <w:rPr>
          <w:rFonts w:cs="Arial"/>
        </w:rPr>
      </w:pPr>
      <w:r w:rsidRPr="00A00347">
        <w:rPr>
          <w:rFonts w:cs="Arial"/>
        </w:rPr>
        <w:t>ECI services cannot be expected to address all the social determinants that impact on the families they work with. However, they should be part of a wider system of integrated services that can</w:t>
      </w:r>
      <w:r>
        <w:rPr>
          <w:noProof/>
        </w:rPr>
        <mc:AlternateContent>
          <mc:Choice Requires="wps">
            <w:drawing>
              <wp:anchor distT="0" distB="0" distL="114300" distR="114300" simplePos="0" relativeHeight="251630592" behindDoc="1" locked="1" layoutInCell="1" allowOverlap="1" wp14:anchorId="24AAFE16" wp14:editId="6B2B0299">
                <wp:simplePos x="0" y="0"/>
                <wp:positionH relativeFrom="column">
                  <wp:posOffset>-422275</wp:posOffset>
                </wp:positionH>
                <wp:positionV relativeFrom="page">
                  <wp:posOffset>1061720</wp:posOffset>
                </wp:positionV>
                <wp:extent cx="6695440" cy="3783965"/>
                <wp:effectExtent l="0" t="0" r="0" b="635"/>
                <wp:wrapNone/>
                <wp:docPr id="144025709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78396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DCB6" id="Rectangle 2" o:spid="_x0000_s1026" alt="&quot;&quot;" style="position:absolute;margin-left:-33.25pt;margin-top:83.6pt;width:527.2pt;height:29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" fillcolor="#8087a3" stroked="f" strokeweight="1pt">
                <v:fill opacity="16448f"/>
                <w10:wrap anchory="page"/>
                <w10:anchorlock/>
              </v:rect>
            </w:pict>
          </mc:Fallback>
        </mc:AlternateContent>
      </w:r>
      <w:r w:rsidRPr="00A00347">
        <w:rPr>
          <w:rFonts w:cs="Arial"/>
        </w:rPr>
        <w:t xml:space="preserve"> address the factors that may be compromising their family’s ability to meet their children’s needs.  </w:t>
      </w:r>
    </w:p>
    <w:p w14:paraId="5C662963" w14:textId="77777777" w:rsidR="00942297" w:rsidRDefault="00942297" w:rsidP="00942297">
      <w:pPr>
        <w:rPr>
          <w:rFonts w:cs="Arial"/>
        </w:rPr>
      </w:pPr>
    </w:p>
    <w:p w14:paraId="72AA1C18" w14:textId="77777777" w:rsidR="00E61D04" w:rsidRPr="00E61D04" w:rsidRDefault="00E61D04" w:rsidP="00E61D04">
      <w:pPr>
        <w:rPr>
          <w:rFonts w:cs="Arial"/>
          <w:b/>
          <w:bCs/>
          <w:color w:val="0C2C74"/>
        </w:rPr>
      </w:pPr>
      <w:r w:rsidRPr="00E61D04">
        <w:rPr>
          <w:rFonts w:cs="Arial"/>
          <w:b/>
          <w:bCs/>
          <w:color w:val="0C2C74"/>
        </w:rPr>
        <w:t>Implications for the ECI Best Practice Framework</w:t>
      </w:r>
    </w:p>
    <w:p w14:paraId="0304BB7C" w14:textId="77777777" w:rsidR="00E61D04" w:rsidRPr="00E61D04" w:rsidRDefault="00E61D04" w:rsidP="00E61D04">
      <w:pPr>
        <w:rPr>
          <w:rFonts w:cs="Arial"/>
        </w:rPr>
      </w:pPr>
      <w:r w:rsidRPr="00E61D04">
        <w:rPr>
          <w:rFonts w:cs="Arial"/>
        </w:rPr>
        <w:t>It is recommended that the ECI Best Practice Framework:</w:t>
      </w:r>
    </w:p>
    <w:p w14:paraId="679933C6" w14:textId="5F8D84DD" w:rsidR="00E61D04" w:rsidRPr="00E61D04" w:rsidRDefault="00E61D04" w:rsidP="0031511B">
      <w:pPr>
        <w:pStyle w:val="ListParagraph"/>
        <w:numPr>
          <w:ilvl w:val="0"/>
          <w:numId w:val="22"/>
        </w:numPr>
        <w:ind w:left="714" w:hanging="357"/>
        <w:contextualSpacing w:val="0"/>
        <w:rPr>
          <w:rFonts w:cs="Arial"/>
        </w:rPr>
      </w:pPr>
      <w:r w:rsidRPr="00E61D04">
        <w:rPr>
          <w:rFonts w:cs="Arial"/>
        </w:rPr>
        <w:t xml:space="preserve">specifies the need for ECI practitioners to have a good understanding of the core care conditions that children, parents/caregivers and families need to flourish and how these conditions can be met </w:t>
      </w:r>
      <w:r>
        <w:rPr>
          <w:noProof/>
        </w:rPr>
        <mc:AlternateContent>
          <mc:Choice Requires="wps">
            <w:drawing>
              <wp:anchor distT="0" distB="0" distL="114300" distR="114300" simplePos="0" relativeHeight="251631616" behindDoc="1" locked="1" layoutInCell="1" allowOverlap="1" wp14:anchorId="532EEBBE" wp14:editId="214DF4B2">
                <wp:simplePos x="0" y="0"/>
                <wp:positionH relativeFrom="column">
                  <wp:posOffset>-423545</wp:posOffset>
                </wp:positionH>
                <wp:positionV relativeFrom="page">
                  <wp:posOffset>4985385</wp:posOffset>
                </wp:positionV>
                <wp:extent cx="6695440" cy="2758440"/>
                <wp:effectExtent l="12700" t="12700" r="10160" b="10160"/>
                <wp:wrapNone/>
                <wp:docPr id="59552498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75844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E780D" id="Rectangle 2" o:spid="_x0000_s1026" alt="&quot;&quot;" style="position:absolute;margin-left:-33.35pt;margin-top:392.55pt;width:527.2pt;height:21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" fillcolor="#f2f2f2 [3052]" strokecolor="#8087a3" strokeweight="2.25pt">
                <w10:wrap anchory="page"/>
                <w10:anchorlock/>
              </v:rect>
            </w:pict>
          </mc:Fallback>
        </mc:AlternateContent>
      </w:r>
    </w:p>
    <w:p w14:paraId="4C587B8E" w14:textId="3B934D3A" w:rsidR="00E61D04" w:rsidRPr="00E61D04" w:rsidRDefault="00E61D04" w:rsidP="0031511B">
      <w:pPr>
        <w:pStyle w:val="ListParagraph"/>
        <w:numPr>
          <w:ilvl w:val="0"/>
          <w:numId w:val="22"/>
        </w:numPr>
        <w:ind w:left="714" w:hanging="357"/>
        <w:contextualSpacing w:val="0"/>
        <w:rPr>
          <w:rFonts w:cs="Arial"/>
        </w:rPr>
      </w:pPr>
      <w:r w:rsidRPr="00E61D04">
        <w:rPr>
          <w:rFonts w:cs="Arial"/>
        </w:rPr>
        <w:t>specifies the need for ECI services to be part of a network of services seeking to ensure that all children and families have the conditions they need to flourish</w:t>
      </w:r>
    </w:p>
    <w:p w14:paraId="10887915" w14:textId="1A816076" w:rsidR="00E61D04" w:rsidRPr="00E61D04" w:rsidRDefault="00E61D04" w:rsidP="0031511B">
      <w:pPr>
        <w:pStyle w:val="ListParagraph"/>
        <w:numPr>
          <w:ilvl w:val="0"/>
          <w:numId w:val="22"/>
        </w:numPr>
        <w:ind w:left="714" w:hanging="357"/>
        <w:contextualSpacing w:val="0"/>
        <w:rPr>
          <w:rFonts w:cs="Arial"/>
        </w:rPr>
      </w:pPr>
      <w:r w:rsidRPr="00E61D04">
        <w:rPr>
          <w:rFonts w:cs="Arial"/>
        </w:rPr>
        <w:t>specifies the need for ECI practitioners to have tools for identifying family circumstances that may be compromising parenting and family wellbeing</w:t>
      </w:r>
    </w:p>
    <w:p w14:paraId="61E643DD" w14:textId="7400FA47" w:rsidR="00A00347" w:rsidRDefault="00E61D04" w:rsidP="0031511B">
      <w:pPr>
        <w:pStyle w:val="ListParagraph"/>
        <w:numPr>
          <w:ilvl w:val="0"/>
          <w:numId w:val="22"/>
        </w:numPr>
        <w:ind w:left="714" w:hanging="357"/>
        <w:contextualSpacing w:val="0"/>
        <w:rPr>
          <w:rFonts w:cs="Arial"/>
        </w:rPr>
      </w:pPr>
      <w:r w:rsidRPr="00E61D04">
        <w:rPr>
          <w:rFonts w:cs="Arial"/>
        </w:rPr>
        <w:t>specifies the need for ECI practitioners to be part of a network of services able to meet the diverse needs of families</w:t>
      </w:r>
    </w:p>
    <w:p w14:paraId="620F63D4" w14:textId="77777777" w:rsidR="00B776EA" w:rsidRDefault="00B776EA" w:rsidP="00B776EA">
      <w:pPr>
        <w:rPr>
          <w:rFonts w:cs="Arial"/>
        </w:rPr>
      </w:pPr>
    </w:p>
    <w:p w14:paraId="7CDF0D5D" w14:textId="77777777" w:rsidR="00DF1049" w:rsidRPr="00DF1049" w:rsidRDefault="00DF1049" w:rsidP="00DF1049">
      <w:pPr>
        <w:pStyle w:val="Heading2"/>
      </w:pPr>
      <w:bookmarkStart w:id="23" w:name="_Toc177730819"/>
      <w:r w:rsidRPr="00DF1049">
        <w:t>Changing ideas about disability</w:t>
      </w:r>
      <w:bookmarkEnd w:id="23"/>
    </w:p>
    <w:p w14:paraId="1410B26E" w14:textId="77777777" w:rsidR="00DF1049" w:rsidRPr="00DF1049" w:rsidRDefault="00DF1049" w:rsidP="00DF1049">
      <w:pPr>
        <w:rPr>
          <w:rFonts w:cs="Arial"/>
        </w:rPr>
      </w:pPr>
      <w:r w:rsidRPr="00DF1049">
        <w:rPr>
          <w:rFonts w:cs="Arial"/>
        </w:rPr>
        <w:t xml:space="preserve">Over the past decades, there have been significant changes in how disabilities are understood, both at the policy and professional level, and in public perceptions. These changes include a shift from biomedical to biopsychosocial models that has informed both policy and practice. It also includes the rise of disability advocacy groups and a higher public profile for people with disabilities.   </w:t>
      </w:r>
    </w:p>
    <w:p w14:paraId="5BD39319" w14:textId="77777777" w:rsidR="00C77C1D" w:rsidRDefault="00C77C1D" w:rsidP="00DF1049">
      <w:pPr>
        <w:rPr>
          <w:rFonts w:cs="Arial"/>
          <w:b/>
          <w:bCs/>
        </w:rPr>
      </w:pPr>
    </w:p>
    <w:p w14:paraId="61E56176" w14:textId="77777777" w:rsidR="00C77C1D" w:rsidRDefault="00C77C1D" w:rsidP="00DF1049">
      <w:pPr>
        <w:rPr>
          <w:rFonts w:cs="Arial"/>
          <w:b/>
          <w:bCs/>
        </w:rPr>
      </w:pPr>
    </w:p>
    <w:p w14:paraId="5F99F35C" w14:textId="5EBF09BC" w:rsidR="00DF1049" w:rsidRPr="00DF1049" w:rsidRDefault="00DF1049" w:rsidP="00DF1049">
      <w:pPr>
        <w:rPr>
          <w:rFonts w:cs="Arial"/>
          <w:b/>
          <w:bCs/>
        </w:rPr>
      </w:pPr>
      <w:r w:rsidRPr="00DF1049">
        <w:rPr>
          <w:rFonts w:cs="Arial"/>
          <w:b/>
          <w:bCs/>
        </w:rPr>
        <w:lastRenderedPageBreak/>
        <w:t xml:space="preserve">From biomedical to biopsychosocial models </w:t>
      </w:r>
    </w:p>
    <w:p w14:paraId="301A029D" w14:textId="77777777" w:rsidR="00DF1049" w:rsidRPr="00DF1049" w:rsidRDefault="00DF1049" w:rsidP="00DF1049">
      <w:pPr>
        <w:rPr>
          <w:rFonts w:cs="Arial"/>
        </w:rPr>
      </w:pPr>
      <w:r w:rsidRPr="00DF1049">
        <w:rPr>
          <w:rFonts w:cs="Arial"/>
        </w:rPr>
        <w:t xml:space="preserve">Over the past few decades there has been a major shift in how disabilities are understood. This has involved a shift from medical models of disability to social construction and biopsychosocial models of disability (Bach, 2017; Barnes &amp; Mercer, 2010; de Carmargo, 2019; Goering, 2015; Halfon et al., 2012; Hebbeler &amp; Spiker, 2016; Law &amp; Darrah, 2014; Rosenbaum &amp; Gorter, 2012; Shakespeare, 2014; Vargus-Adams &amp; Majnemer, 2014). The medical (or biomedical) model views disability as a feature of the person, directly caused by disease, trauma or other health conditions, which requires medical care provided in the form of individual treatment by professionals. In this model, it is the person with a disability who needs to be changed, through medical or other treatment or intervention to 'correct' the problem with the individual. This model remains pervasive in medical care and persists as the basis for eligibility for many public programs (Halfon et al., 2012).  </w:t>
      </w:r>
    </w:p>
    <w:p w14:paraId="70E313FA" w14:textId="77777777" w:rsidR="00DF1049" w:rsidRPr="00DF1049" w:rsidRDefault="00DF1049" w:rsidP="00DF1049">
      <w:pPr>
        <w:rPr>
          <w:rFonts w:cs="Arial"/>
        </w:rPr>
      </w:pPr>
      <w:r w:rsidRPr="00DF1049">
        <w:rPr>
          <w:rFonts w:cs="Arial"/>
        </w:rPr>
        <w:t xml:space="preserve">In contrast to this medical model are the social and biopsychosocial models of disability. The social model of disability sees disability as a socially created problem and not an attribute of an individual. In the social model, it is the environment that needs to be changed to enable the person to participate in the social and economic life of the community (Halfon et al., 2012; Shakespeare, 2014). Disability exists when the social and physical environment restricts the person’s participation in specific life areas that are important to them. Disabilities are thus not absolute, nor do they reside within the person, but are relative to life areas and the ‘fit’ between person and environment (de Carmargo, 2019). This means that improving functional health in people with disabilities is not a job for healthcare professionals alone but is a collective responsibility of society to shape the environment in a way that allows the full participation of people with disabilities in all areas of social life (Cieza et al., 2018; de Carmargo, 2019). </w:t>
      </w:r>
    </w:p>
    <w:p w14:paraId="528260F2" w14:textId="77777777" w:rsidR="00DF1049" w:rsidRPr="00DF1049" w:rsidRDefault="00DF1049" w:rsidP="00DF1049">
      <w:pPr>
        <w:rPr>
          <w:rFonts w:cs="Arial"/>
        </w:rPr>
      </w:pPr>
      <w:r w:rsidRPr="00DF1049">
        <w:rPr>
          <w:rFonts w:cs="Arial"/>
        </w:rPr>
        <w:t>Driving this paradigm shift has been the World Health Organisation’s (WHO) International Classification of Functioning, Disability, and Health (ICF) (2001). The ICF formalised the new paradigm of disablement – the biopsychosocial model of disability – in which disability is viewed as the product of person–environment interaction. It provided a multidimensional framework and taxonomy of four components of body functions and structures, activities/participation, and environmental factors. The WHO subsequently published a version of the ICF for children and youth, ICF-CY (WHO, 2007), that includes details of the body functions and structures, activities and participation, and environments of particular relevance to infants, toddlers, children and adolescents. The ICF-CY offered a common language that can be used by professionals in allied health, rehabilitation, social work, and education to describe the functioning of children and adults with disabilities across settings and disciplines (Colver, 2005; Simeonsson, 2009). In 2012, the ICF-CY was fully merged back into the ICF.</w:t>
      </w:r>
    </w:p>
    <w:p w14:paraId="6ECDF8CE" w14:textId="77777777" w:rsidR="00DF1049" w:rsidRPr="00DF1049" w:rsidRDefault="00DF1049" w:rsidP="00DF1049">
      <w:pPr>
        <w:rPr>
          <w:rFonts w:cs="Arial"/>
        </w:rPr>
      </w:pPr>
      <w:r w:rsidRPr="00DF1049">
        <w:rPr>
          <w:rFonts w:cs="Arial"/>
        </w:rPr>
        <w:t xml:space="preserve">The ICF has continued to drive innovative thinking and practice over the past decade. Practical applications of the ICF have been described by de Carmargo and colleagues (2019). Rosenbaum and Gorter (2012) and Rosenbaum (2015) have proposed mapping a series of what they call ‘F-words’ onto the ICF framework. These words or concepts – function, family, fitness, fun, friends and future – allow service providers to ‘populate’ the ICF framework with each individual's special issues – focusing on their strengths – in order to personalise interventions. </w:t>
      </w:r>
    </w:p>
    <w:p w14:paraId="6ECEEF51" w14:textId="77777777" w:rsidR="00DF1049" w:rsidRPr="00DF1049" w:rsidRDefault="00DF1049" w:rsidP="00DF1049">
      <w:pPr>
        <w:rPr>
          <w:rFonts w:cs="Arial"/>
        </w:rPr>
      </w:pPr>
      <w:r w:rsidRPr="00DF1049">
        <w:rPr>
          <w:rFonts w:cs="Arial"/>
        </w:rPr>
        <w:lastRenderedPageBreak/>
        <w:t xml:space="preserve">Primarily a classification scheme, the ICF does not provide a formal definition of disability. Building on the ICF framework, the UN Convention on the Rights of Persons with Disabilities (2006) adopted the following definition:  </w:t>
      </w:r>
    </w:p>
    <w:p w14:paraId="13BFF9A1" w14:textId="77777777" w:rsidR="00DF1049" w:rsidRPr="00DF1049" w:rsidRDefault="00DF1049" w:rsidP="00DF1049">
      <w:pPr>
        <w:ind w:left="720"/>
        <w:rPr>
          <w:rFonts w:cs="Arial"/>
        </w:rPr>
      </w:pPr>
      <w:r w:rsidRPr="00DF1049">
        <w:rPr>
          <w:rFonts w:cs="Arial"/>
        </w:rPr>
        <w:t xml:space="preserve">Persons with disabilities include those who have long-term physical, mental, intellectual or sensory impairments which in interaction with various barriers may hinder their full and effective participation in society on an equal basis with others. (United Nations, 2006, Article 1) </w:t>
      </w:r>
    </w:p>
    <w:p w14:paraId="46D84B10" w14:textId="77777777" w:rsidR="00DF1049" w:rsidRPr="00DF1049" w:rsidRDefault="00DF1049" w:rsidP="00DF1049">
      <w:pPr>
        <w:rPr>
          <w:rFonts w:cs="Arial"/>
        </w:rPr>
      </w:pPr>
      <w:r w:rsidRPr="00DF1049">
        <w:rPr>
          <w:rFonts w:cs="Arial"/>
        </w:rPr>
        <w:t xml:space="preserve">Halfon and colleagues (2012) propose the following definition of disability in children:  </w:t>
      </w:r>
    </w:p>
    <w:p w14:paraId="72C479C7" w14:textId="77777777" w:rsidR="00DF1049" w:rsidRPr="00DF1049" w:rsidRDefault="00DF1049" w:rsidP="00DF1049">
      <w:pPr>
        <w:ind w:left="720"/>
        <w:rPr>
          <w:rFonts w:cs="Arial"/>
        </w:rPr>
      </w:pPr>
      <w:r w:rsidRPr="00DF1049">
        <w:rPr>
          <w:rFonts w:cs="Arial"/>
        </w:rPr>
        <w:t xml:space="preserve">A disability is an environmentally contextualised health-related limitation in a child's existing or emergent capacity to perform developmentally appropriate activities and participate, as desired, in society.  </w:t>
      </w:r>
    </w:p>
    <w:p w14:paraId="7680C6BE" w14:textId="77777777" w:rsidR="00DF1049" w:rsidRPr="00DF1049" w:rsidRDefault="00DF1049" w:rsidP="00DF1049">
      <w:pPr>
        <w:rPr>
          <w:rFonts w:cs="Arial"/>
        </w:rPr>
      </w:pPr>
      <w:r w:rsidRPr="00DF1049">
        <w:rPr>
          <w:rFonts w:cs="Arial"/>
        </w:rPr>
        <w:t xml:space="preserve">These definitions highlight the fact that disability is a product of the interaction between individuals and the context in which they live (Halfon et al., 2012; King et al., 2018). Instead of a simple dichotomy, disability is understood as a dynamic continuum, influenced by biology, social factors, environmental conditions, health services, and personal preferences (Halfon et al., 2012).  </w:t>
      </w:r>
    </w:p>
    <w:p w14:paraId="4555662D" w14:textId="77777777" w:rsidR="00DF1049" w:rsidRPr="00DF1049" w:rsidRDefault="00DF1049" w:rsidP="00DF1049">
      <w:pPr>
        <w:rPr>
          <w:rFonts w:cs="Arial"/>
        </w:rPr>
      </w:pPr>
      <w:r w:rsidRPr="00DF1049">
        <w:rPr>
          <w:rFonts w:cs="Arial"/>
        </w:rPr>
        <w:t xml:space="preserve">Viewing disability in this way means examining the extent to which a child can or cannot participate with family members and peers in day-to-day activities at home, in early childhood services, and in community activities (Hebbeler &amp; Spiker, 2016). The goals of intervention planning should be based on the possibilities for children to engage in activity and participation in their environment, not necessarily related to the ‘normalisation’ of specific body functions (de Carmargo, 2019). Thompson and colleagues (2014, 2016, 2017) argue that the most relevant difference between people with developmental disabilities and the general population is that people with former need different types and intensities of support to fully participate in and contribute to society. Environments that are not adapted to meet children’s level of functioning restrict their participation in everyday activities, thus impairing their ability to develop and learn. Missing opportunities to learn is especially harmful for young children because it limits their future ability to fully participate in everyday activities (Hebbeler &amp; Spiker, 2016). </w:t>
      </w:r>
    </w:p>
    <w:p w14:paraId="783DAFA0" w14:textId="77777777" w:rsidR="00DF1049" w:rsidRPr="00DF1049" w:rsidRDefault="00DF1049" w:rsidP="00DF1049">
      <w:pPr>
        <w:rPr>
          <w:rFonts w:cs="Arial"/>
        </w:rPr>
      </w:pPr>
      <w:r w:rsidRPr="00DF1049">
        <w:rPr>
          <w:rFonts w:cs="Arial"/>
        </w:rPr>
        <w:t xml:space="preserve">One outcome of the shift in thinking about disability has been the adoption of functional approaches to assessment, planning and service delivery. This has been especially marked in rehabilitation services for children with physical impairments. Here there has been a paradigm shift from direct therapeutic interventions that sought to modify children’s physical functioning to functioning in real life settings (Darrah et al., 2011; Jackman et al., 2022; King et al., 2018; Law &amp; Darrah, 2014; Vargus-Adams &amp; Majnemer, 2014).  </w:t>
      </w:r>
    </w:p>
    <w:p w14:paraId="718780D0" w14:textId="48EF5637" w:rsidR="00DF1049" w:rsidRPr="00DF1049" w:rsidRDefault="00DF1049" w:rsidP="00DF1049">
      <w:pPr>
        <w:rPr>
          <w:rFonts w:cs="Arial"/>
        </w:rPr>
      </w:pPr>
      <w:r w:rsidRPr="00DF1049">
        <w:rPr>
          <w:rFonts w:cs="Arial"/>
        </w:rPr>
        <w:t xml:space="preserve">It is important to note, that there are significant differences in cultural understandings of disability. In particular, disability is a </w:t>
      </w:r>
      <w:r w:rsidR="00E22EB6">
        <w:rPr>
          <w:rFonts w:cs="Arial"/>
        </w:rPr>
        <w:t>W</w:t>
      </w:r>
      <w:r w:rsidRPr="00DF1049">
        <w:rPr>
          <w:rFonts w:cs="Arial"/>
        </w:rPr>
        <w:t>estern concept that was not familiar to Aboriginal and Torres Strait Islander people (Avery</w:t>
      </w:r>
      <w:r w:rsidR="00DA061A">
        <w:rPr>
          <w:rFonts w:cs="Arial"/>
        </w:rPr>
        <w:t>,</w:t>
      </w:r>
      <w:r w:rsidRPr="00DF1049">
        <w:rPr>
          <w:rFonts w:cs="Arial"/>
        </w:rPr>
        <w:t xml:space="preserve"> 2018). Aboriginal and Torres Strait Islander organisations tend to accept a social model of disability which views the systems as limiting rather than anything intrinsic to the individual.  The way different cultures define ‘disability’ and thus ‘interventions’ to it is not incidental but highly pertinent to reviewing the evidence and the approach to services and supports. </w:t>
      </w:r>
    </w:p>
    <w:p w14:paraId="766596C8" w14:textId="435279C6" w:rsidR="00DF1049" w:rsidRPr="00DF1049" w:rsidRDefault="00DF1049" w:rsidP="00DF1049">
      <w:pPr>
        <w:rPr>
          <w:rFonts w:cs="Arial"/>
        </w:rPr>
      </w:pPr>
      <w:r w:rsidRPr="00DF1049">
        <w:rPr>
          <w:rFonts w:cs="Arial"/>
        </w:rPr>
        <w:t xml:space="preserve">Despite the shift to a more biopsychosocial view of disability, there continues to be a tension between whether we should be changing the environment to match the </w:t>
      </w:r>
      <w:r w:rsidRPr="00DF1049">
        <w:rPr>
          <w:rFonts w:cs="Arial"/>
        </w:rPr>
        <w:lastRenderedPageBreak/>
        <w:t>needs of the person or changing the person to match the demands of the environment (KPMG, 2011). These two approaches lead to very different ways of providing services that parents may find hard to choose between (McDonald et al., 2016). Some take a strong view that it is the environment that needs to change. For instance, Potvin and colleagues (2018) have developed a Coaching in Context model for supporting children with autism and their families that focuses on improving the child’s everyday life by changing the task demands rather than attempting to remediate the impairment of the individual. Similarly, Darrah and colleagues (2011) describe context therapy, an intervention approach for working with children with cerebral palsy. The unique feature of this approach is that therapists were explicitly trained to change only the characteristics of the task and/or environment and not to try to change the child’s impairments. Evidence for the efficacy of this approach is accumulating (Anaby et al., 202</w:t>
      </w:r>
      <w:r w:rsidR="009A73A8">
        <w:rPr>
          <w:rFonts w:cs="Arial"/>
        </w:rPr>
        <w:t>2</w:t>
      </w:r>
      <w:r w:rsidRPr="00DF1049">
        <w:rPr>
          <w:rFonts w:cs="Arial"/>
        </w:rPr>
        <w:t>; Law et al., 2011; Paithankar &amp; Jaywant, 2018). According to Law and Darrah (2014), the clinical long-term objective of most contemporary rehabilitation interventions is not to ‘fix’ cerebral palsy but rather to optimize the functional and social independence of persons with the condition, with an emphasis on family involvement and practical, functional interventions. Rehabilitation interventions that use a family-centred approach and that focus on functional improvement can be more effective in promoting participation.  Anaby and colleagues (202</w:t>
      </w:r>
      <w:r w:rsidR="009A73A8">
        <w:rPr>
          <w:rFonts w:cs="Arial"/>
        </w:rPr>
        <w:t>2</w:t>
      </w:r>
      <w:r w:rsidRPr="00DF1049">
        <w:rPr>
          <w:rFonts w:cs="Arial"/>
        </w:rPr>
        <w:t xml:space="preserve">) argue that it is time for a paradigm shift towards participation-focused practice in paediatric re/habilitation, placing participation at the forefront of what is done in rehabilitation. They note that participation is both the means for gaining skills and a desired outcome in its own right. </w:t>
      </w:r>
    </w:p>
    <w:p w14:paraId="3256742A" w14:textId="77777777" w:rsidR="00DF1049" w:rsidRPr="00DF1049" w:rsidRDefault="00DF1049" w:rsidP="00DF1049">
      <w:pPr>
        <w:rPr>
          <w:rFonts w:cs="Arial"/>
        </w:rPr>
      </w:pPr>
      <w:r w:rsidRPr="6A439164">
        <w:rPr>
          <w:rFonts w:cs="Arial"/>
        </w:rPr>
        <w:t xml:space="preserve">While the consensus of opinion in the ECI literature favours this approach as more effective and as having a more powerful rationale for young children, the allure of the first approach is enduring (Moore et al., 2019). This is especially so when combined with strong claims about evidence-based programs and their proven efficacy. As Valentine (2010) has documented, such claims can make parents feel that they have no choice but to go with whatever program is deemed most effective, regardless of the financial or personal cost. What this highlights is that choices about interventions are not value-free and are political in the sense of being shaped by a swirling mix of ideologies, personal preferences and instincts, and misinformation (Siegel, 2018).  </w:t>
      </w:r>
    </w:p>
    <w:p w14:paraId="5A8F733E" w14:textId="6D7C9CB9" w:rsidR="15B465E9" w:rsidRDefault="15B465E9" w:rsidP="6A439164">
      <w:pPr>
        <w:rPr>
          <w:rFonts w:eastAsia="Arial" w:cs="Arial"/>
        </w:rPr>
      </w:pPr>
      <w:r w:rsidRPr="6A439164">
        <w:rPr>
          <w:rFonts w:eastAsia="Arial" w:cs="Arial"/>
          <w:color w:val="000000" w:themeColor="text1"/>
        </w:rPr>
        <w:t xml:space="preserve">There are significant differences across cultures in understandings of disability. In particular, disability is a Western concept that </w:t>
      </w:r>
      <w:r w:rsidR="39E2D4A5" w:rsidRPr="6A439164">
        <w:rPr>
          <w:rFonts w:eastAsia="Arial" w:cs="Arial"/>
          <w:color w:val="000000" w:themeColor="text1"/>
        </w:rPr>
        <w:t>is</w:t>
      </w:r>
      <w:r w:rsidRPr="6A439164">
        <w:rPr>
          <w:rFonts w:eastAsia="Arial" w:cs="Arial"/>
          <w:color w:val="000000" w:themeColor="text1"/>
        </w:rPr>
        <w:t xml:space="preserve"> not familiar to Aboriginal and Torres Strait Islander people (Avery, 2018). Aboriginal and Torres Strait Islander organisations tend to accept a social model of disability which sees systems as limiting rather than attributing limitations to intrinsic attributes of individuals. Views of disability are highly pertinent to reviews of evidence. </w:t>
      </w:r>
      <w:r w:rsidRPr="6A439164">
        <w:rPr>
          <w:rFonts w:eastAsia="Arial" w:cs="Arial"/>
        </w:rPr>
        <w:t xml:space="preserve"> </w:t>
      </w:r>
    </w:p>
    <w:p w14:paraId="3CE6690F" w14:textId="4F725C25" w:rsidR="6A439164" w:rsidRDefault="6A439164" w:rsidP="6A439164">
      <w:pPr>
        <w:rPr>
          <w:rFonts w:eastAsia="Arial" w:cs="Arial"/>
        </w:rPr>
      </w:pPr>
    </w:p>
    <w:p w14:paraId="39B32C53" w14:textId="77777777" w:rsidR="00DF1049" w:rsidRPr="00DF1049" w:rsidRDefault="00DF1049" w:rsidP="00DF1049">
      <w:pPr>
        <w:rPr>
          <w:rFonts w:cs="Arial"/>
          <w:b/>
          <w:bCs/>
        </w:rPr>
      </w:pPr>
      <w:r w:rsidRPr="00DF1049">
        <w:rPr>
          <w:rFonts w:cs="Arial"/>
          <w:b/>
          <w:bCs/>
        </w:rPr>
        <w:t xml:space="preserve">Other changes in ideas about disability </w:t>
      </w:r>
    </w:p>
    <w:p w14:paraId="29B8476B" w14:textId="77777777" w:rsidR="00DF1049" w:rsidRPr="00DF1049" w:rsidRDefault="00DF1049" w:rsidP="00DF1049">
      <w:pPr>
        <w:rPr>
          <w:rFonts w:cs="Arial"/>
        </w:rPr>
      </w:pPr>
      <w:r w:rsidRPr="00DF1049">
        <w:rPr>
          <w:rFonts w:cs="Arial"/>
        </w:rPr>
        <w:t xml:space="preserve">Over the past decade, there have been other significant shifts in attitudes and ideas about disability. </w:t>
      </w:r>
    </w:p>
    <w:p w14:paraId="1D98907E" w14:textId="486B6A3B" w:rsidR="00DF1049" w:rsidRPr="00DF1049" w:rsidRDefault="00DF1049" w:rsidP="0031511B">
      <w:pPr>
        <w:pStyle w:val="ListParagraph"/>
        <w:numPr>
          <w:ilvl w:val="0"/>
          <w:numId w:val="23"/>
        </w:numPr>
        <w:ind w:left="714" w:hanging="357"/>
        <w:contextualSpacing w:val="0"/>
        <w:rPr>
          <w:rFonts w:cs="Arial"/>
        </w:rPr>
      </w:pPr>
      <w:r w:rsidRPr="00DF1049">
        <w:rPr>
          <w:rFonts w:cs="Arial"/>
        </w:rPr>
        <w:t xml:space="preserve">There is greater awareness of disabilities and what people with disabilities can achieve. This is partly due to accounts by autistic people of their lives (e.g., Grandin &amp; Panek, 2013; Wylie et al., 2016), and to greater acceptance and public profile of people with disabilities (e.g., Down syndrome people in </w:t>
      </w:r>
      <w:r w:rsidRPr="00DF1049">
        <w:rPr>
          <w:rFonts w:cs="Arial"/>
        </w:rPr>
        <w:lastRenderedPageBreak/>
        <w:t xml:space="preserve">television shows, events such as the Paralympics and Special Olympics). Even children’s television shows are acknowledging disabilities. Sesame Street introduced Julia, a character with autism, to its television program in 2017, and now has a website dedicated to autism that highlights Julia’s family (http://autism.sesamestreet.org/). </w:t>
      </w:r>
    </w:p>
    <w:p w14:paraId="00EBE33B" w14:textId="5BD727E2" w:rsidR="00DF1049" w:rsidRPr="00DF1049" w:rsidRDefault="00DF1049" w:rsidP="0031511B">
      <w:pPr>
        <w:pStyle w:val="ListParagraph"/>
        <w:numPr>
          <w:ilvl w:val="0"/>
          <w:numId w:val="23"/>
        </w:numPr>
        <w:ind w:left="714" w:hanging="357"/>
        <w:contextualSpacing w:val="0"/>
        <w:rPr>
          <w:rFonts w:cs="Arial"/>
        </w:rPr>
      </w:pPr>
      <w:r w:rsidRPr="00DF1049">
        <w:rPr>
          <w:rFonts w:cs="Arial"/>
        </w:rPr>
        <w:t xml:space="preserve">Another development has been the emergence of the shared citizenship paradigm (Schalock et al., 2022; Luckasson et al., 2023). This paradigm is one that envisions, supports, and requires the engagement and full participation of people with intellectual and developmental disabilities as equal, respected, valued, participating and contributing members of every aspect of society. The core components include a holistic approach to intellectual and developmental disabilities, a contextual model of human functioning, disability rights principles, and person-centred implementation strategies. The term citizenship refers to the state of belonging and includes an acknowledgement that each person is not only included in the group, but has the privileges, rights and obligations that such belonging entails. Shared refers to the experience of each person who belongs to the group having a common stake in the past, present and future of the group and its resources. Shared citizenship is the state of belonging and experiencing the common stake by every person in the group (Luckasson et al., 2023). </w:t>
      </w:r>
    </w:p>
    <w:p w14:paraId="7478FD69" w14:textId="6821E9C2" w:rsidR="00DF1049" w:rsidRPr="00DF1049" w:rsidRDefault="00DF1049" w:rsidP="0031511B">
      <w:pPr>
        <w:pStyle w:val="ListParagraph"/>
        <w:numPr>
          <w:ilvl w:val="0"/>
          <w:numId w:val="23"/>
        </w:numPr>
        <w:ind w:left="714" w:hanging="357"/>
        <w:contextualSpacing w:val="0"/>
        <w:rPr>
          <w:rFonts w:cs="Arial"/>
        </w:rPr>
      </w:pPr>
      <w:r w:rsidRPr="00DF1049">
        <w:rPr>
          <w:rFonts w:cs="Arial"/>
        </w:rPr>
        <w:t xml:space="preserve">Disability groups have also become more vocal in their insistence on the positive aspects of disabilities rather than the deficits. Examples include the Deaf rights movement beginning in the 1980s, and the more recent autism rights movement (Solomon, 2008), both demanding that the mainstream world make greater accommodations to meet their needs. There has also been a push to view autism and other neurological conditions in terms of the neurodiversity paradigm (Dwyer, 2022; Sonuga-Barke, 2023; Walker, 2014), the notion that they represent variations in functioning rather than disorders to be cured (Reber, 2018). We are being urged to celebrate the ‘other side of normal’ (Armstrong, 2010; Smoller, 2012), to acknowledge the spectrum of neurodiversity (Casanova and Casanova, 2016), and to recognise the existence of ‘neurotribes’ (Silberman, 2015).  </w:t>
      </w:r>
    </w:p>
    <w:p w14:paraId="7B202351" w14:textId="77777777" w:rsidR="006E5D5D" w:rsidRPr="006E5D5D" w:rsidRDefault="006E5D5D" w:rsidP="006E5D5D">
      <w:pPr>
        <w:rPr>
          <w:rFonts w:cs="Arial"/>
          <w:color w:val="000000"/>
        </w:rPr>
      </w:pPr>
      <w:r w:rsidRPr="006E5D5D">
        <w:rPr>
          <w:rStyle w:val="normaltextrun"/>
          <w:rFonts w:cs="Arial"/>
          <w:color w:val="000000"/>
        </w:rPr>
        <w:t xml:space="preserve">On the basis of the neurodiversity paradigm, the autism rights movement wants greater </w:t>
      </w:r>
      <w:r w:rsidRPr="006E5D5D">
        <w:rPr>
          <w:rStyle w:val="normaltextrun"/>
          <w:rFonts w:cs="Arial"/>
          <w:color w:val="000000"/>
          <w:shd w:val="clear" w:color="auto" w:fill="FFFFFF"/>
        </w:rPr>
        <w:t>acceptance of autistic behaviours, therapies that teach autistic individuals coping skills rather than therapies focused on imitating behaviours of ‘</w:t>
      </w:r>
      <w:r w:rsidRPr="006E5D5D">
        <w:rPr>
          <w:rStyle w:val="normaltextrun"/>
          <w:rFonts w:cs="Arial"/>
          <w:color w:val="000000"/>
        </w:rPr>
        <w:t>neurotypical’ peers, the</w:t>
      </w:r>
      <w:r w:rsidRPr="006E5D5D">
        <w:rPr>
          <w:rStyle w:val="normaltextrun"/>
          <w:rFonts w:cs="Arial"/>
          <w:color w:val="000000"/>
          <w:shd w:val="clear" w:color="auto" w:fill="FFFFFF"/>
        </w:rPr>
        <w:t xml:space="preserve"> creation of social networks and events that allow autistic people to </w:t>
      </w:r>
      <w:r w:rsidRPr="006E5D5D">
        <w:rPr>
          <w:rStyle w:val="normaltextrun"/>
          <w:rFonts w:cs="Arial"/>
          <w:color w:val="000000"/>
        </w:rPr>
        <w:t>socialise on their own terms; and the recognition of the autistic community as a minority group.</w:t>
      </w:r>
      <w:r w:rsidRPr="006E5D5D">
        <w:rPr>
          <w:rStyle w:val="FootnoteReference"/>
          <w:rFonts w:cs="Arial"/>
          <w:color w:val="000000"/>
        </w:rPr>
        <w:footnoteReference w:id="31"/>
      </w:r>
      <w:r w:rsidRPr="006E5D5D">
        <w:rPr>
          <w:rStyle w:val="normaltextrun"/>
          <w:rFonts w:cs="Arial"/>
          <w:color w:val="000000"/>
        </w:rPr>
        <w:t> </w:t>
      </w:r>
      <w:r w:rsidRPr="006E5D5D">
        <w:rPr>
          <w:rStyle w:val="eop"/>
          <w:rFonts w:cs="Arial"/>
          <w:color w:val="000000"/>
        </w:rPr>
        <w:t> </w:t>
      </w:r>
    </w:p>
    <w:p w14:paraId="40964BEA" w14:textId="77777777" w:rsidR="00DF1049" w:rsidRPr="00DF1049" w:rsidRDefault="00DF1049" w:rsidP="00DF1049">
      <w:pPr>
        <w:rPr>
          <w:rFonts w:cs="Arial"/>
        </w:rPr>
      </w:pPr>
      <w:r w:rsidRPr="00DF1049">
        <w:rPr>
          <w:rFonts w:cs="Arial"/>
        </w:rPr>
        <w:t xml:space="preserve">Some parents of children with neurological conditions have become champions of the neurodiversity paradigm, arguing that that some children are more properly understood as being ‘differently wired’ rather than neurologically disabled (Lee, 2015; Reber, 2018; Snow, 2013). Adopting this perspective has implications for early childhood intervention. As put by one parent (Lee, 2015):  </w:t>
      </w:r>
    </w:p>
    <w:p w14:paraId="60EB2D11" w14:textId="77777777" w:rsidR="00DF1049" w:rsidRPr="00997DE0" w:rsidRDefault="00DF1049" w:rsidP="00997DE0">
      <w:pPr>
        <w:ind w:left="720"/>
        <w:rPr>
          <w:rFonts w:cs="Arial"/>
          <w:i/>
          <w:iCs/>
        </w:rPr>
      </w:pPr>
      <w:r w:rsidRPr="00997DE0">
        <w:rPr>
          <w:rFonts w:cs="Arial"/>
          <w:i/>
          <w:iCs/>
        </w:rPr>
        <w:t xml:space="preserve">In most places, as soon as a child is identified as autistic, they are funnelled straight into early intervention therapies. Based on a medical model of disability, these therapies see autistic children as disordered, and aim to </w:t>
      </w:r>
      <w:r w:rsidRPr="00997DE0">
        <w:rPr>
          <w:rFonts w:cs="Arial"/>
          <w:i/>
          <w:iCs/>
        </w:rPr>
        <w:lastRenderedPageBreak/>
        <w:t xml:space="preserve">change autistic children so that they will play, communicate and move more like their ‘typically developing’ peers… </w:t>
      </w:r>
    </w:p>
    <w:p w14:paraId="392CD5F2" w14:textId="77777777" w:rsidR="00DF1049" w:rsidRPr="00997DE0" w:rsidRDefault="00DF1049" w:rsidP="00997DE0">
      <w:pPr>
        <w:ind w:left="720"/>
        <w:rPr>
          <w:rFonts w:cs="Arial"/>
          <w:i/>
          <w:iCs/>
        </w:rPr>
      </w:pPr>
      <w:r w:rsidRPr="00997DE0">
        <w:rPr>
          <w:rFonts w:cs="Arial"/>
          <w:i/>
          <w:iCs/>
        </w:rPr>
        <w:t xml:space="preserve">If families, caregivers and health professionals accept the neurodiversity paradigm, ‘autism early intervention’ looks very different. The target of intervention is not autistic children, but their social and physical environments. Autistic children are supported in families and communities to develop as unique and valued human beings, without conforming to the developmental trajectory of their neurotypical peers. </w:t>
      </w:r>
    </w:p>
    <w:p w14:paraId="0818668E" w14:textId="77777777" w:rsidR="00DF1049" w:rsidRPr="00DF1049" w:rsidRDefault="00DF1049" w:rsidP="00DF1049">
      <w:pPr>
        <w:rPr>
          <w:rFonts w:cs="Arial"/>
        </w:rPr>
      </w:pPr>
      <w:r w:rsidRPr="00DF1049">
        <w:rPr>
          <w:rFonts w:cs="Arial"/>
        </w:rPr>
        <w:t xml:space="preserve">Even professionals who would not espouse such a strong view of neurodiversity argue that we should promote more positive views of disability by changing the way that we talk about it. Rosenbaum (2016) suggests that professionals can help by replacing the pejorative ‘D-words’ (damage, disability, defect, deficit, devastating, and depressing) that still colour the public perception of impaired child development with ideas like diversity, difference, and especially development – words that are neutral with respect to problems, and are positive insofar as they remind us about variability in the world in general and in child development in particular. Sonuga-Barke (2023) proposes that, rather than assuming that neuro-developmental conditions, such as autism and ADHD, are disorders resulting from brain dysfunction, we view them instead as divergence in thought and action underpinned by brain atypicality. This shift would help us focus more on understanding the way environments shape experience to either stifle or promote the well-being and development of neurodivergent people.  </w:t>
      </w:r>
    </w:p>
    <w:p w14:paraId="2B230D8F" w14:textId="77777777" w:rsidR="00DF1049" w:rsidRPr="00DF1049" w:rsidRDefault="00DF1049" w:rsidP="00DF1049">
      <w:pPr>
        <w:rPr>
          <w:rFonts w:cs="Arial"/>
        </w:rPr>
      </w:pPr>
      <w:r w:rsidRPr="00DF1049">
        <w:rPr>
          <w:rFonts w:cs="Arial"/>
        </w:rPr>
        <w:t xml:space="preserve">The WHO has continued to develop work on understanding and managing disability. Summarising this ongoing work, Cieza and colleagues (2018) identify three principles on which this work is based: that disability is a universal human experience; that disability is not determined solely by the underlying health condition or predicated merely on the presence of specific health conditions; and finally, that disability lies on a continuum from no disability to complete disability. Because disability is continuous, it is also universal, since over the course of a person’s life the chances are extremely high that, in some domain, he or she will experience some decrement in functioning. In other words, human functioning ranges from full functioning to some limitation in functioning to complete loss in functioning (Cieza et al., 2018).  </w:t>
      </w:r>
    </w:p>
    <w:p w14:paraId="7ACBF4B9" w14:textId="77777777" w:rsidR="00DF1049" w:rsidRPr="00DF1049" w:rsidRDefault="00DF1049" w:rsidP="00DF1049">
      <w:pPr>
        <w:rPr>
          <w:rFonts w:cs="Arial"/>
        </w:rPr>
      </w:pPr>
      <w:r w:rsidRPr="6A439164">
        <w:rPr>
          <w:rFonts w:cs="Arial"/>
        </w:rPr>
        <w:t xml:space="preserve">Another major shift in thinking about disability has been around the </w:t>
      </w:r>
      <w:r w:rsidRPr="0024695B">
        <w:rPr>
          <w:rFonts w:cs="Arial"/>
          <w:b/>
          <w:bCs/>
          <w:i/>
          <w:iCs/>
        </w:rPr>
        <w:t>usefulness of diagnosis in determining what form of support or intervention is required</w:t>
      </w:r>
      <w:r w:rsidRPr="6A439164">
        <w:rPr>
          <w:rFonts w:cs="Arial"/>
        </w:rPr>
        <w:t>. Astle and colleagues (2022) argue that discrete diagnostic categories that are used to classify individuals are ill-suited to explaining the variability and complexity of conditions, understanding the underlying mechanisms or guiding support decisions. Stein and Jessop (1989) have demonstrated that there is more variability within diagnostic groupings than between them and suggest that diagnosis is not a helpful categorization in the examination of psychological and social variables. Similarly, Rosenbaum (2019) notes that, while a diagnosis appears to explain a condition, it is not as useful or as explanatory as it seems. Diagnosis rarely leads to condition</w:t>
      </w:r>
      <w:r w:rsidRPr="6A439164">
        <w:rPr>
          <w:rFonts w:ascii="Cambria Math" w:hAnsi="Cambria Math" w:cs="Cambria Math"/>
        </w:rPr>
        <w:t>‐</w:t>
      </w:r>
      <w:r w:rsidRPr="6A439164">
        <w:rPr>
          <w:rFonts w:cs="Arial"/>
        </w:rPr>
        <w:t>specific interventions. Interventions for the wide range of neurodisabilities are almost never diagnosis</w:t>
      </w:r>
      <w:r w:rsidRPr="6A439164">
        <w:rPr>
          <w:rFonts w:ascii="Cambria Math" w:hAnsi="Cambria Math" w:cs="Cambria Math"/>
        </w:rPr>
        <w:t>‐</w:t>
      </w:r>
      <w:r w:rsidRPr="6A439164">
        <w:rPr>
          <w:rFonts w:cs="Arial"/>
        </w:rPr>
        <w:t xml:space="preserve"> or condition</w:t>
      </w:r>
      <w:r w:rsidRPr="6A439164">
        <w:rPr>
          <w:rFonts w:ascii="Cambria Math" w:hAnsi="Cambria Math" w:cs="Cambria Math"/>
        </w:rPr>
        <w:t>‐</w:t>
      </w:r>
      <w:r w:rsidRPr="6A439164">
        <w:rPr>
          <w:rFonts w:cs="Arial"/>
        </w:rPr>
        <w:t>specific. Rather, the best of these interventions addresses functional impairments, be they in communication, mobility, self</w:t>
      </w:r>
      <w:r w:rsidRPr="6A439164">
        <w:rPr>
          <w:rFonts w:ascii="Cambria Math" w:hAnsi="Cambria Math" w:cs="Cambria Math"/>
        </w:rPr>
        <w:t>‐</w:t>
      </w:r>
      <w:r w:rsidRPr="6A439164">
        <w:rPr>
          <w:rFonts w:cs="Arial"/>
        </w:rPr>
        <w:t xml:space="preserve">care, learning, or behaviour.  </w:t>
      </w:r>
    </w:p>
    <w:p w14:paraId="7D784BDF" w14:textId="77777777" w:rsidR="00DF1049" w:rsidRPr="00DF1049" w:rsidRDefault="00DF1049" w:rsidP="00DF1049">
      <w:pPr>
        <w:rPr>
          <w:rFonts w:cs="Arial"/>
        </w:rPr>
      </w:pPr>
      <w:r w:rsidRPr="00DF1049">
        <w:rPr>
          <w:rFonts w:cs="Arial"/>
        </w:rPr>
        <w:lastRenderedPageBreak/>
        <w:t xml:space="preserve">However, diagnosis is often valuable for families (as well as for practitioners), providing emotional relief and even helping with family planning (Dikow et al., 2024). It also gives a sense of what ‘it is’ and what ‘it is not’ (Rosenbaum, 2021). In seeking to balance these two perspectives, Rosenbaum proposes -  </w:t>
      </w:r>
    </w:p>
    <w:p w14:paraId="0B03B528" w14:textId="77777777" w:rsidR="00DF1049" w:rsidRPr="0040690C" w:rsidRDefault="00DF1049" w:rsidP="0040690C">
      <w:pPr>
        <w:ind w:left="720"/>
        <w:rPr>
          <w:rFonts w:cs="Arial"/>
        </w:rPr>
      </w:pPr>
      <w:r w:rsidRPr="0040690C">
        <w:rPr>
          <w:rFonts w:cs="Arial"/>
        </w:rPr>
        <w:t>The search for the biopsychosocial underpinnings (perhaps the ‘causes’) of children's impairments is very important for both individual children and families, and for people with phenomenological characteristics similar to those children. Simultaneously, however, we need to recognise the huge advantages of adopting a non</w:t>
      </w:r>
      <w:r w:rsidRPr="0040690C">
        <w:rPr>
          <w:rFonts w:ascii="Cambria Math" w:hAnsi="Cambria Math" w:cs="Cambria Math"/>
        </w:rPr>
        <w:t>‐</w:t>
      </w:r>
      <w:r w:rsidRPr="0040690C">
        <w:rPr>
          <w:rFonts w:cs="Arial"/>
        </w:rPr>
        <w:t>categorical approach to our work. This way of thinking encourages all of us to look beyond individual diagnoses in order to recognize the many ways that all the conditions with which we work share common elements. These include the impact of the condition on children's and families’ predicaments; the threats to children's developmental trajectories; the need for broad multi</w:t>
      </w:r>
      <w:r w:rsidRPr="0040690C">
        <w:rPr>
          <w:rFonts w:ascii="Cambria Math" w:hAnsi="Cambria Math" w:cs="Cambria Math"/>
        </w:rPr>
        <w:t>‐</w:t>
      </w:r>
      <w:r w:rsidRPr="0040690C">
        <w:rPr>
          <w:rFonts w:cs="Arial"/>
        </w:rPr>
        <w:t>system engagement both within and beyond the medical community; the life</w:t>
      </w:r>
      <w:r w:rsidRPr="0040690C">
        <w:rPr>
          <w:rFonts w:ascii="Cambria Math" w:hAnsi="Cambria Math" w:cs="Cambria Math"/>
        </w:rPr>
        <w:t>‐</w:t>
      </w:r>
      <w:r w:rsidRPr="0040690C">
        <w:rPr>
          <w:rFonts w:cs="Arial"/>
        </w:rPr>
        <w:t xml:space="preserve">course impact of all these conditions. The list is long and complex, and virtually none of these issues is diagnosis specific. </w:t>
      </w:r>
    </w:p>
    <w:p w14:paraId="1CA171D0" w14:textId="28497ED9" w:rsidR="00B776EA" w:rsidRDefault="00DF1049" w:rsidP="00DF1049">
      <w:pPr>
        <w:rPr>
          <w:rFonts w:cs="Arial"/>
        </w:rPr>
      </w:pPr>
      <w:r w:rsidRPr="00DF1049">
        <w:rPr>
          <w:rFonts w:cs="Arial"/>
        </w:rPr>
        <w:t xml:space="preserve">Others have shared these concerns about the usefulness of diagnostic approach and have argued it would be more helpful to focus on functioning (Law &amp; Darrah, 2014; Rosenbaum, 2019, 2021; Rosenbaum &amp; Gorter, 2012; Stein &amp; Jessop, 1989). This new focus encourages an approach that puts a primacy on promoting child development and achievement in whatever way works (Rosenbaum, 2021). Others have supported a shift to a non-categorical approach (Miller et al., 2023) or a transdiagnostic approach (Astle et al., 2022; Fletcher-Watson, 2022).  </w:t>
      </w:r>
    </w:p>
    <w:p w14:paraId="3AD7C820" w14:textId="77777777" w:rsidR="00C77C1D" w:rsidRDefault="00C77C1D" w:rsidP="00E85D46">
      <w:pPr>
        <w:rPr>
          <w:rFonts w:cs="Arial"/>
          <w:b/>
          <w:bCs/>
        </w:rPr>
      </w:pPr>
    </w:p>
    <w:p w14:paraId="1B5123EE" w14:textId="41321EE3" w:rsidR="00E85D46" w:rsidRPr="00E85D46" w:rsidRDefault="00E85D46" w:rsidP="00E85D46">
      <w:pPr>
        <w:rPr>
          <w:rFonts w:cs="Arial"/>
          <w:b/>
          <w:bCs/>
          <w:color w:val="0C2C74"/>
        </w:rPr>
      </w:pPr>
      <w:r w:rsidRPr="00E85D46">
        <w:rPr>
          <w:rFonts w:cs="Arial"/>
          <w:b/>
          <w:bCs/>
          <w:color w:val="0C2C74"/>
        </w:rPr>
        <w:t>Implications for ECI services</w:t>
      </w:r>
    </w:p>
    <w:p w14:paraId="12DC2726" w14:textId="62634B7A" w:rsidR="00E85D46" w:rsidRPr="00E85D46" w:rsidRDefault="00E85D46" w:rsidP="0031511B">
      <w:pPr>
        <w:pStyle w:val="ListParagraph"/>
        <w:numPr>
          <w:ilvl w:val="0"/>
          <w:numId w:val="24"/>
        </w:numPr>
        <w:ind w:left="714" w:hanging="357"/>
        <w:contextualSpacing w:val="0"/>
        <w:rPr>
          <w:rFonts w:cs="Arial"/>
        </w:rPr>
      </w:pPr>
      <w:r w:rsidRPr="00E85D46">
        <w:rPr>
          <w:rFonts w:cs="Arial"/>
        </w:rPr>
        <w:t>All these different ways of reframing disability have implications for early childhood intervention. An issue of p</w:t>
      </w:r>
      <w:r w:rsidR="0042462A">
        <w:rPr>
          <w:noProof/>
        </w:rPr>
        <mc:AlternateContent>
          <mc:Choice Requires="wps">
            <w:drawing>
              <wp:anchor distT="0" distB="0" distL="114300" distR="114300" simplePos="0" relativeHeight="251633664" behindDoc="1" locked="1" layoutInCell="1" allowOverlap="1" wp14:anchorId="5B264271" wp14:editId="0A30DFA2">
                <wp:simplePos x="0" y="0"/>
                <wp:positionH relativeFrom="column">
                  <wp:posOffset>-447675</wp:posOffset>
                </wp:positionH>
                <wp:positionV relativeFrom="page">
                  <wp:posOffset>5543550</wp:posOffset>
                </wp:positionV>
                <wp:extent cx="6695440" cy="4067175"/>
                <wp:effectExtent l="0" t="0" r="0" b="9525"/>
                <wp:wrapNone/>
                <wp:docPr id="11619685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406717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79D91" id="Rectangle 2" o:spid="_x0000_s1026" alt="&quot;&quot;" style="position:absolute;margin-left:-35.25pt;margin-top:436.5pt;width:527.2pt;height:3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" fillcolor="#8087a3" stroked="f" strokeweight="1pt">
                <v:fill opacity="16448f"/>
                <w10:wrap anchory="page"/>
                <w10:anchorlock/>
              </v:rect>
            </w:pict>
          </mc:Fallback>
        </mc:AlternateContent>
      </w:r>
      <w:r w:rsidRPr="00E85D46">
        <w:rPr>
          <w:rFonts w:cs="Arial"/>
        </w:rPr>
        <w:t xml:space="preserve">articular importance is the tension between approaches that aim to meet the needs of people with disabilities by changing the person to fit in with the existing environments or changing the environments to enable the person to participate more fully. Efforts to change the child directly include behaviour modifications strategies or direct therapy, while interventions that focus more on changing the environments include naturalistic teaching strategies such as responsive caregiving and teaching practices, interest-based and self-directed practices, and use of everyday naturally occurring activities.  </w:t>
      </w:r>
    </w:p>
    <w:p w14:paraId="22D68D6F" w14:textId="77777777" w:rsidR="00E85D46" w:rsidRPr="00E85D46" w:rsidRDefault="00E85D46" w:rsidP="0031511B">
      <w:pPr>
        <w:pStyle w:val="ListParagraph"/>
        <w:numPr>
          <w:ilvl w:val="0"/>
          <w:numId w:val="24"/>
        </w:numPr>
        <w:ind w:left="714" w:hanging="357"/>
        <w:contextualSpacing w:val="0"/>
        <w:rPr>
          <w:rFonts w:cs="Arial"/>
        </w:rPr>
      </w:pPr>
      <w:r w:rsidRPr="00E85D46">
        <w:rPr>
          <w:rFonts w:cs="Arial"/>
        </w:rPr>
        <w:t xml:space="preserve">This is not an either/or debate: both approaches may be needed under different circumstances, and the functioning of people with disabilities is properly understood as the product of an interaction between person and environment, not of one alone.  However, in the case of very young children, the case for efforts to change the child directly is weakened by the lack of evidence for the effectiveness of such approaches. Based upon such evidence, Dunst and Espe-Sherwindt (2017) make the strong claim that highly structured and non-contextualised intervention practices are neither necessary nor appropriate for promoting the learning and development of infants and toddlers with developmental disabilities.  </w:t>
      </w:r>
    </w:p>
    <w:p w14:paraId="4B86A942" w14:textId="1A66B52D" w:rsidR="00E85D46" w:rsidRDefault="00E85D46" w:rsidP="0031511B">
      <w:pPr>
        <w:pStyle w:val="ListParagraph"/>
        <w:numPr>
          <w:ilvl w:val="0"/>
          <w:numId w:val="24"/>
        </w:numPr>
        <w:ind w:left="714" w:hanging="357"/>
        <w:contextualSpacing w:val="0"/>
        <w:rPr>
          <w:rFonts w:cs="Arial"/>
        </w:rPr>
      </w:pPr>
      <w:r w:rsidRPr="00E85D46">
        <w:rPr>
          <w:rFonts w:cs="Arial"/>
        </w:rPr>
        <w:lastRenderedPageBreak/>
        <w:t>Another important consideration is that these different approaches lead to very different ways of providing services that parents may find hard to choose between (McDonald et al., 2016). As noted by Moore and colleagues (2019), while th</w:t>
      </w:r>
      <w:r w:rsidR="0024695B">
        <w:rPr>
          <w:noProof/>
        </w:rPr>
        <mc:AlternateContent>
          <mc:Choice Requires="wps">
            <w:drawing>
              <wp:anchor distT="0" distB="0" distL="114300" distR="114300" simplePos="0" relativeHeight="251684864" behindDoc="1" locked="1" layoutInCell="1" allowOverlap="1" wp14:anchorId="71414F5E" wp14:editId="1988462E">
                <wp:simplePos x="0" y="0"/>
                <wp:positionH relativeFrom="column">
                  <wp:posOffset>-485775</wp:posOffset>
                </wp:positionH>
                <wp:positionV relativeFrom="page">
                  <wp:posOffset>561975</wp:posOffset>
                </wp:positionV>
                <wp:extent cx="6695440" cy="2247900"/>
                <wp:effectExtent l="0" t="0" r="0" b="0"/>
                <wp:wrapNone/>
                <wp:docPr id="110628666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247900"/>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CBA97" id="Rectangle 2" o:spid="_x0000_s1026" alt="&quot;&quot;" style="position:absolute;margin-left:-38.25pt;margin-top:44.25pt;width:527.2pt;height:17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" fillcolor="#8087a3" stroked="f" strokeweight="1pt">
                <v:fill opacity="16448f"/>
                <w10:wrap anchory="page"/>
                <w10:anchorlock/>
              </v:rect>
            </w:pict>
          </mc:Fallback>
        </mc:AlternateContent>
      </w:r>
      <w:r w:rsidRPr="00E85D46">
        <w:rPr>
          <w:rFonts w:cs="Arial"/>
        </w:rPr>
        <w:t>e consensus of opinion in the ECI literature favours the second approach as more effective and as having a more powerful rationale for young children, the allure of the first approach is enduring. This is especially so when combined with strong claims about evidence-based programs and their proven efficacy. As Valentine (2010) has documented, such claims can make parents feel that they have no choice but to go with whatever program is deemed most effective, regardless of the financial or personal cost.</w:t>
      </w:r>
    </w:p>
    <w:p w14:paraId="4FFE3F2E" w14:textId="77777777" w:rsidR="007E1342" w:rsidRDefault="007E1342" w:rsidP="007E1342">
      <w:pPr>
        <w:rPr>
          <w:rFonts w:cs="Arial"/>
        </w:rPr>
      </w:pPr>
    </w:p>
    <w:p w14:paraId="4AFFA477" w14:textId="77777777" w:rsidR="007E1342" w:rsidRPr="007E1342" w:rsidRDefault="007E1342" w:rsidP="007E1342">
      <w:pPr>
        <w:rPr>
          <w:rFonts w:cs="Arial"/>
          <w:b/>
          <w:bCs/>
          <w:color w:val="0C2C74"/>
        </w:rPr>
      </w:pPr>
    </w:p>
    <w:p w14:paraId="751A0A29" w14:textId="77777777" w:rsidR="007E1342" w:rsidRPr="007E1342" w:rsidRDefault="007E1342" w:rsidP="007E1342">
      <w:pPr>
        <w:rPr>
          <w:rFonts w:cs="Arial"/>
          <w:b/>
          <w:bCs/>
          <w:color w:val="0C2C74"/>
        </w:rPr>
      </w:pPr>
      <w:r w:rsidRPr="007E1342">
        <w:rPr>
          <w:rFonts w:cs="Arial"/>
          <w:b/>
          <w:bCs/>
          <w:color w:val="0C2C74"/>
        </w:rPr>
        <w:t>Implications for the ECI Best Practice Framework</w:t>
      </w:r>
    </w:p>
    <w:p w14:paraId="0304C65A" w14:textId="77777777" w:rsidR="007E1342" w:rsidRPr="007E1342" w:rsidRDefault="007E1342" w:rsidP="007E1342">
      <w:pPr>
        <w:rPr>
          <w:rFonts w:cs="Arial"/>
        </w:rPr>
      </w:pPr>
      <w:r w:rsidRPr="007E1342">
        <w:rPr>
          <w:rFonts w:cs="Arial"/>
        </w:rPr>
        <w:t>It is recommended that the ECI Best Practice Framework:</w:t>
      </w:r>
    </w:p>
    <w:p w14:paraId="693A1D1F" w14:textId="7A67D121" w:rsidR="007E1342" w:rsidRPr="007E1342" w:rsidRDefault="007E1342" w:rsidP="0031511B">
      <w:pPr>
        <w:pStyle w:val="ListParagraph"/>
        <w:numPr>
          <w:ilvl w:val="0"/>
          <w:numId w:val="25"/>
        </w:numPr>
        <w:ind w:left="714" w:hanging="357"/>
        <w:contextualSpacing w:val="0"/>
        <w:rPr>
          <w:rFonts w:cs="Arial"/>
        </w:rPr>
      </w:pPr>
      <w:r w:rsidRPr="007E1342">
        <w:rPr>
          <w:rFonts w:cs="Arial"/>
        </w:rPr>
        <w:t xml:space="preserve">recognises the parents’ needs for a diagnostic explanation for their child’s developmental challenges but encourages a focus on building the particular functional skills the </w:t>
      </w:r>
      <w:r>
        <w:rPr>
          <w:noProof/>
        </w:rPr>
        <mc:AlternateContent>
          <mc:Choice Requires="wps">
            <w:drawing>
              <wp:anchor distT="0" distB="0" distL="114300" distR="114300" simplePos="0" relativeHeight="251634688" behindDoc="1" locked="1" layoutInCell="1" allowOverlap="1" wp14:anchorId="7BCEE4BB" wp14:editId="33AB0C49">
                <wp:simplePos x="0" y="0"/>
                <wp:positionH relativeFrom="column">
                  <wp:posOffset>-480060</wp:posOffset>
                </wp:positionH>
                <wp:positionV relativeFrom="page">
                  <wp:posOffset>3138170</wp:posOffset>
                </wp:positionV>
                <wp:extent cx="6695440" cy="2153285"/>
                <wp:effectExtent l="12700" t="12700" r="10160" b="18415"/>
                <wp:wrapNone/>
                <wp:docPr id="141199941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153285"/>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6A111" id="Rectangle 2" o:spid="_x0000_s1026" alt="&quot;&quot;" style="position:absolute;margin-left:-37.8pt;margin-top:247.1pt;width:527.2pt;height:16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" fillcolor="#f2f2f2 [3052]" strokecolor="#8087a3" strokeweight="2.25pt">
                <w10:wrap anchory="page"/>
                <w10:anchorlock/>
              </v:rect>
            </w:pict>
          </mc:Fallback>
        </mc:AlternateContent>
      </w:r>
      <w:r w:rsidRPr="007E1342">
        <w:rPr>
          <w:rFonts w:cs="Arial"/>
        </w:rPr>
        <w:t xml:space="preserve">child needs, regardless of the diagnosis.  </w:t>
      </w:r>
    </w:p>
    <w:p w14:paraId="7F84A97D" w14:textId="0F6C47EC" w:rsidR="007E1342" w:rsidRDefault="007E1342" w:rsidP="0031511B">
      <w:pPr>
        <w:pStyle w:val="ListParagraph"/>
        <w:numPr>
          <w:ilvl w:val="0"/>
          <w:numId w:val="25"/>
        </w:numPr>
        <w:ind w:left="714" w:hanging="357"/>
        <w:contextualSpacing w:val="0"/>
        <w:rPr>
          <w:rFonts w:cs="Arial"/>
        </w:rPr>
      </w:pPr>
      <w:r w:rsidRPr="007E1342">
        <w:rPr>
          <w:rFonts w:cs="Arial"/>
        </w:rPr>
        <w:t>encourages approaches that seek to change environmental experiences and opportunities rather than trying to eliminate behaviours which may have an adaptive function for the child.</w:t>
      </w:r>
    </w:p>
    <w:p w14:paraId="4B64FDD5" w14:textId="77777777" w:rsidR="007E1342" w:rsidRDefault="007E1342" w:rsidP="007E1342">
      <w:pPr>
        <w:rPr>
          <w:rFonts w:cs="Arial"/>
        </w:rPr>
      </w:pPr>
    </w:p>
    <w:p w14:paraId="4C41BC2D" w14:textId="77777777" w:rsidR="007E1342" w:rsidRDefault="007E1342" w:rsidP="007E1342">
      <w:pPr>
        <w:rPr>
          <w:rFonts w:cs="Arial"/>
        </w:rPr>
      </w:pPr>
    </w:p>
    <w:p w14:paraId="3AE8C9DD" w14:textId="77777777" w:rsidR="008B5D92" w:rsidRPr="008B5D92" w:rsidRDefault="008B5D92" w:rsidP="008B5D92">
      <w:pPr>
        <w:rPr>
          <w:rFonts w:cs="Arial"/>
          <w:b/>
          <w:bCs/>
        </w:rPr>
      </w:pPr>
      <w:r w:rsidRPr="008B5D92">
        <w:rPr>
          <w:rFonts w:cs="Arial"/>
          <w:b/>
          <w:bCs/>
        </w:rPr>
        <w:t xml:space="preserve">Increasing focus on children with disabilities </w:t>
      </w:r>
    </w:p>
    <w:p w14:paraId="0F94FC87" w14:textId="77777777" w:rsidR="008B5D92" w:rsidRPr="008B5D92" w:rsidRDefault="008B5D92" w:rsidP="008B5D92">
      <w:pPr>
        <w:rPr>
          <w:rFonts w:cs="Arial"/>
        </w:rPr>
      </w:pPr>
      <w:r w:rsidRPr="008B5D92">
        <w:rPr>
          <w:rFonts w:cs="Arial"/>
        </w:rPr>
        <w:t xml:space="preserve">The last twenty years has also seen growing attention being paid to children and young people with developmental delays or disabilities. With the international endorsement of the United Nations Convention on the Rights of the Child (United Nations, 1990) and the Convention on the Rights of Persons with Disabilities (United Nations, 2006), the majority of countries in the world have now committed to implementing the human rights articulated in these treaties (Brown &amp; Guralnick, 2012; Collins et al., 2017; Vargas-Barón et al., 2019). Both these documents envision an inclusive society in which health and education contribute to the well-being of all. This vision is also reflected in the UN’s SDGs (United Nations, 2015) endorsed by member states, including Australia, in 2015 (Brolan et al., 2019). The Sustainable Development Agenda builds on the principle of ‘leaving no one behind’ and envisions a fully inclusive society. The SDGs also explicitly include disability and persons with disabilities a number of times, and achieving many of the goals will ensure the inclusion, participation and development of persons with disabilities. </w:t>
      </w:r>
    </w:p>
    <w:p w14:paraId="61A88754" w14:textId="77777777" w:rsidR="008B5D92" w:rsidRPr="008B5D92" w:rsidRDefault="008B5D92" w:rsidP="008B5D92">
      <w:pPr>
        <w:rPr>
          <w:rFonts w:cs="Arial"/>
        </w:rPr>
      </w:pPr>
      <w:r w:rsidRPr="008B5D92">
        <w:rPr>
          <w:rFonts w:cs="Arial"/>
        </w:rPr>
        <w:t xml:space="preserve">To achieve the vision of a fully inclusive society, children with developmental delays and behavioral, cognitive, mental, and neurological disabilities need greater access to health care, early childhood care and development services, and education (Collins et al., 2017). Although the UN’s SDGs emphasise inclusive education for children under 5 years with disabilities, there is no global strategy for achieving this goal since the launch of the SDGs (Olusanya et al., 2024). Despite being more vulnerable to risks which could harm their development, young children with disabilities are often overlooked in mainstream programmes and services designed </w:t>
      </w:r>
      <w:r w:rsidRPr="008B5D92">
        <w:rPr>
          <w:rFonts w:cs="Arial"/>
        </w:rPr>
        <w:lastRenderedPageBreak/>
        <w:t xml:space="preserve">to ensure child development (Olusanya et al, 2022; World Health Organization &amp; UNICEF, 2023). In a report to the United Nations General Assembly (2019), the United Nations High Commissioner for Human Rights provided an overview of the legal framework and practical measures to empower children with disabilities. This highlighted empowerment through participation and inclusive education, and analyses how to foster the personal and public decision-making of children with disabilities, their inclusion and participation in the community and their protection from abuse, exploitation and violence. </w:t>
      </w:r>
    </w:p>
    <w:p w14:paraId="195C9BE0" w14:textId="77777777" w:rsidR="008B5D92" w:rsidRPr="008B5D92" w:rsidRDefault="008B5D92" w:rsidP="008B5D92">
      <w:pPr>
        <w:rPr>
          <w:rFonts w:cs="Arial"/>
        </w:rPr>
      </w:pPr>
      <w:r w:rsidRPr="008B5D92">
        <w:rPr>
          <w:rFonts w:cs="Arial"/>
        </w:rPr>
        <w:t xml:space="preserve">Based on the principles, values, and recommended practices articulated by these Conventions, Guralnick (2008) and Brown and Guralnick (2012) present a set of principles consistent with those of the Conventions but providing more specific guidance with respect to developing and refining early intervention programs that will yield the most optimal outcomes:    </w:t>
      </w:r>
    </w:p>
    <w:p w14:paraId="10D4AB9B" w14:textId="1A532888" w:rsidR="008B5D92" w:rsidRPr="008B5D92" w:rsidRDefault="008B5D92" w:rsidP="00973F66">
      <w:pPr>
        <w:ind w:left="1440" w:hanging="1440"/>
        <w:rPr>
          <w:rFonts w:cs="Arial"/>
        </w:rPr>
      </w:pPr>
      <w:r w:rsidRPr="008B5D92">
        <w:rPr>
          <w:rFonts w:cs="Arial"/>
        </w:rPr>
        <w:t xml:space="preserve">Principle 1: </w:t>
      </w:r>
      <w:r w:rsidRPr="008B5D92">
        <w:rPr>
          <w:rFonts w:cs="Arial"/>
        </w:rPr>
        <w:tab/>
        <w:t>A developmental framework informs all components of the early intervention</w:t>
      </w:r>
      <w:r w:rsidR="00B4333D">
        <w:rPr>
          <w:rFonts w:cs="Arial"/>
        </w:rPr>
        <w:t xml:space="preserve"> </w:t>
      </w:r>
      <w:r w:rsidRPr="008B5D92">
        <w:rPr>
          <w:rFonts w:cs="Arial"/>
        </w:rPr>
        <w:t xml:space="preserve">system and centres on families </w:t>
      </w:r>
    </w:p>
    <w:p w14:paraId="49C81ADF" w14:textId="5AE00F9C" w:rsidR="008B5D92" w:rsidRPr="008B5D92" w:rsidRDefault="008B5D92" w:rsidP="00973F66">
      <w:pPr>
        <w:ind w:left="1440" w:hanging="1440"/>
        <w:rPr>
          <w:rFonts w:cs="Arial"/>
        </w:rPr>
      </w:pPr>
      <w:r w:rsidRPr="008B5D92">
        <w:rPr>
          <w:rFonts w:cs="Arial"/>
        </w:rPr>
        <w:t xml:space="preserve">Principle 2: </w:t>
      </w:r>
      <w:r w:rsidRPr="008B5D92">
        <w:rPr>
          <w:rFonts w:cs="Arial"/>
        </w:rPr>
        <w:tab/>
        <w:t>Integration and coordination at all levels of the early intervention program are</w:t>
      </w:r>
      <w:r w:rsidR="00B4333D">
        <w:rPr>
          <w:rFonts w:cs="Arial"/>
        </w:rPr>
        <w:t xml:space="preserve"> </w:t>
      </w:r>
      <w:r w:rsidRPr="008B5D92">
        <w:rPr>
          <w:rFonts w:cs="Arial"/>
        </w:rPr>
        <w:t xml:space="preserve">essential </w:t>
      </w:r>
    </w:p>
    <w:p w14:paraId="1CBBB461" w14:textId="45EEE036" w:rsidR="008B5D92" w:rsidRPr="008B5D92" w:rsidRDefault="008B5D92" w:rsidP="00973F66">
      <w:pPr>
        <w:ind w:left="1440" w:hanging="1440"/>
        <w:rPr>
          <w:rFonts w:cs="Arial"/>
        </w:rPr>
      </w:pPr>
      <w:r w:rsidRPr="008B5D92">
        <w:rPr>
          <w:rFonts w:cs="Arial"/>
        </w:rPr>
        <w:t xml:space="preserve">Principle 3: </w:t>
      </w:r>
      <w:r w:rsidRPr="008B5D92">
        <w:rPr>
          <w:rFonts w:cs="Arial"/>
        </w:rPr>
        <w:tab/>
        <w:t>The inclusion and participation of children and families in community programs</w:t>
      </w:r>
      <w:r w:rsidR="00B4333D">
        <w:rPr>
          <w:rFonts w:cs="Arial"/>
        </w:rPr>
        <w:t xml:space="preserve"> </w:t>
      </w:r>
      <w:r w:rsidRPr="008B5D92">
        <w:rPr>
          <w:rFonts w:cs="Arial"/>
        </w:rPr>
        <w:t xml:space="preserve">and activities are maximised </w:t>
      </w:r>
    </w:p>
    <w:p w14:paraId="6803BF22" w14:textId="77777777" w:rsidR="008B5D92" w:rsidRPr="008B5D92" w:rsidRDefault="008B5D92" w:rsidP="00973F66">
      <w:pPr>
        <w:rPr>
          <w:rFonts w:cs="Arial"/>
        </w:rPr>
      </w:pPr>
      <w:r w:rsidRPr="008B5D92">
        <w:rPr>
          <w:rFonts w:cs="Arial"/>
        </w:rPr>
        <w:t xml:space="preserve">Principle 4: </w:t>
      </w:r>
      <w:r w:rsidRPr="008B5D92">
        <w:rPr>
          <w:rFonts w:cs="Arial"/>
        </w:rPr>
        <w:tab/>
        <w:t xml:space="preserve">Early detection and identification procedures are in place </w:t>
      </w:r>
    </w:p>
    <w:p w14:paraId="72C869A5" w14:textId="77777777" w:rsidR="008B5D92" w:rsidRPr="008B5D92" w:rsidRDefault="008B5D92" w:rsidP="00973F66">
      <w:pPr>
        <w:rPr>
          <w:rFonts w:cs="Arial"/>
        </w:rPr>
      </w:pPr>
      <w:r w:rsidRPr="008B5D92">
        <w:rPr>
          <w:rFonts w:cs="Arial"/>
        </w:rPr>
        <w:t xml:space="preserve">Principle 5: </w:t>
      </w:r>
      <w:r w:rsidRPr="008B5D92">
        <w:rPr>
          <w:rFonts w:cs="Arial"/>
        </w:rPr>
        <w:tab/>
        <w:t xml:space="preserve">Surveillance and monitoring are integral parts of the system </w:t>
      </w:r>
    </w:p>
    <w:p w14:paraId="0D89C72C" w14:textId="77777777" w:rsidR="008B5D92" w:rsidRPr="008B5D92" w:rsidRDefault="008B5D92" w:rsidP="00973F66">
      <w:pPr>
        <w:rPr>
          <w:rFonts w:cs="Arial"/>
        </w:rPr>
      </w:pPr>
      <w:r w:rsidRPr="008B5D92">
        <w:rPr>
          <w:rFonts w:cs="Arial"/>
        </w:rPr>
        <w:t xml:space="preserve">Principle 6: </w:t>
      </w:r>
      <w:r w:rsidRPr="008B5D92">
        <w:rPr>
          <w:rFonts w:cs="Arial"/>
        </w:rPr>
        <w:tab/>
        <w:t xml:space="preserve">All components of the program are individualised </w:t>
      </w:r>
    </w:p>
    <w:p w14:paraId="79AA8992" w14:textId="77777777" w:rsidR="008B5D92" w:rsidRPr="008B5D92" w:rsidRDefault="008B5D92" w:rsidP="00973F66">
      <w:pPr>
        <w:rPr>
          <w:rFonts w:cs="Arial"/>
        </w:rPr>
      </w:pPr>
      <w:r w:rsidRPr="008B5D92">
        <w:rPr>
          <w:rFonts w:cs="Arial"/>
        </w:rPr>
        <w:t xml:space="preserve">Principle 7: </w:t>
      </w:r>
      <w:r w:rsidRPr="008B5D92">
        <w:rPr>
          <w:rFonts w:cs="Arial"/>
        </w:rPr>
        <w:tab/>
        <w:t xml:space="preserve">A strong evaluation and feedback process is evident </w:t>
      </w:r>
    </w:p>
    <w:p w14:paraId="1E6C94C9" w14:textId="73E06AFB" w:rsidR="008B5D92" w:rsidRPr="008B5D92" w:rsidRDefault="008B5D92" w:rsidP="00973F66">
      <w:pPr>
        <w:ind w:left="1440" w:hanging="1440"/>
        <w:rPr>
          <w:rFonts w:cs="Arial"/>
        </w:rPr>
      </w:pPr>
      <w:r w:rsidRPr="008B5D92">
        <w:rPr>
          <w:rFonts w:cs="Arial"/>
        </w:rPr>
        <w:t xml:space="preserve">Principle 8: </w:t>
      </w:r>
      <w:r w:rsidRPr="008B5D92">
        <w:rPr>
          <w:rFonts w:cs="Arial"/>
        </w:rPr>
        <w:tab/>
        <w:t xml:space="preserve">True partnerships with families cannot occur without sensitivity to cultural differences and an understanding of their developmental implications </w:t>
      </w:r>
    </w:p>
    <w:p w14:paraId="4694A854" w14:textId="6D453785" w:rsidR="008B5D92" w:rsidRPr="008B5D92" w:rsidRDefault="008B5D92" w:rsidP="00973F66">
      <w:pPr>
        <w:ind w:left="1440" w:hanging="1440"/>
        <w:rPr>
          <w:rFonts w:cs="Arial"/>
        </w:rPr>
      </w:pPr>
      <w:r w:rsidRPr="008B5D92">
        <w:rPr>
          <w:rFonts w:cs="Arial"/>
        </w:rPr>
        <w:t xml:space="preserve">Principle 9: </w:t>
      </w:r>
      <w:r w:rsidRPr="008B5D92">
        <w:rPr>
          <w:rFonts w:cs="Arial"/>
        </w:rPr>
        <w:tab/>
        <w:t>Recommendations to families and intervention practices must be evidence</w:t>
      </w:r>
      <w:r w:rsidR="00B4333D">
        <w:rPr>
          <w:rFonts w:cs="Arial"/>
        </w:rPr>
        <w:t xml:space="preserve"> </w:t>
      </w:r>
      <w:r w:rsidRPr="008B5D92">
        <w:rPr>
          <w:rFonts w:cs="Arial"/>
        </w:rPr>
        <w:t xml:space="preserve">based </w:t>
      </w:r>
    </w:p>
    <w:p w14:paraId="500A7907" w14:textId="781C61CA" w:rsidR="008B5D92" w:rsidRPr="008B5D92" w:rsidRDefault="008B5D92" w:rsidP="00973F66">
      <w:pPr>
        <w:ind w:left="1440" w:hanging="1440"/>
        <w:rPr>
          <w:rFonts w:cs="Arial"/>
        </w:rPr>
      </w:pPr>
      <w:r w:rsidRPr="008B5D92">
        <w:rPr>
          <w:rFonts w:cs="Arial"/>
        </w:rPr>
        <w:t xml:space="preserve">Principle 10: </w:t>
      </w:r>
      <w:r w:rsidRPr="008B5D92">
        <w:rPr>
          <w:rFonts w:cs="Arial"/>
        </w:rPr>
        <w:tab/>
        <w:t xml:space="preserve">A systems perspective is maintained, recognising interrelationships among all components </w:t>
      </w:r>
    </w:p>
    <w:p w14:paraId="3CD1EB91" w14:textId="77777777" w:rsidR="008B5D92" w:rsidRPr="008B5D92" w:rsidRDefault="008B5D92" w:rsidP="008B5D92">
      <w:pPr>
        <w:rPr>
          <w:rFonts w:cs="Arial"/>
        </w:rPr>
      </w:pPr>
      <w:r w:rsidRPr="008B5D92">
        <w:rPr>
          <w:rFonts w:cs="Arial"/>
        </w:rPr>
        <w:t xml:space="preserve">Some of these principles relate to direct work with children and families while others describe the service system that is needed to support this work.  </w:t>
      </w:r>
    </w:p>
    <w:p w14:paraId="6739EF9C" w14:textId="69716BE9" w:rsidR="004B0B20" w:rsidRPr="0028763F" w:rsidRDefault="00B85407" w:rsidP="004B0B20">
      <w:pPr>
        <w:rPr>
          <w:rFonts w:cs="Arial"/>
          <w:b/>
          <w:bCs/>
          <w:color w:val="0C2C74"/>
        </w:rPr>
      </w:pPr>
      <w:r>
        <w:rPr>
          <w:rFonts w:cs="Arial"/>
        </w:rPr>
        <w:br/>
      </w:r>
      <w:r w:rsidR="004B0B20" w:rsidRPr="0028763F">
        <w:rPr>
          <w:rFonts w:cs="Arial"/>
          <w:b/>
          <w:bCs/>
          <w:color w:val="0C2C74"/>
        </w:rPr>
        <w:t>Implications for the ECI services</w:t>
      </w:r>
    </w:p>
    <w:p w14:paraId="7BCC6123" w14:textId="33618F21" w:rsidR="004B0B20" w:rsidRPr="004B0B20" w:rsidRDefault="004B0B20" w:rsidP="0031511B">
      <w:pPr>
        <w:pStyle w:val="ListParagraph"/>
        <w:numPr>
          <w:ilvl w:val="0"/>
          <w:numId w:val="26"/>
        </w:numPr>
        <w:ind w:left="714" w:hanging="357"/>
        <w:contextualSpacing w:val="0"/>
        <w:rPr>
          <w:rFonts w:cs="Arial"/>
        </w:rPr>
      </w:pPr>
      <w:r w:rsidRPr="004B0B20">
        <w:rPr>
          <w:rFonts w:cs="Arial"/>
        </w:rPr>
        <w:t>This increased focus on children with disabilities is clearly welcome as it supports the efforts of the ECI sector to ensure that the needs and rights of children with disabilities are being met. The ECI sector needs to be an active participant in these ongoing efforts to ensure that the needs of young children with developmental delays or disabilities are understood and included in the actions taken.</w:t>
      </w:r>
    </w:p>
    <w:p w14:paraId="03450CF8" w14:textId="465B6292" w:rsidR="007E1342" w:rsidRDefault="004B0B20" w:rsidP="0031511B">
      <w:pPr>
        <w:pStyle w:val="ListParagraph"/>
        <w:numPr>
          <w:ilvl w:val="0"/>
          <w:numId w:val="26"/>
        </w:numPr>
        <w:ind w:left="714" w:hanging="357"/>
        <w:contextualSpacing w:val="0"/>
        <w:rPr>
          <w:rFonts w:cs="Arial"/>
        </w:rPr>
      </w:pPr>
      <w:r w:rsidRPr="004B0B20">
        <w:rPr>
          <w:rFonts w:cs="Arial"/>
        </w:rPr>
        <w:t>Inclusion needs to be understood as much more than just having access to the sam</w:t>
      </w:r>
      <w:r>
        <w:rPr>
          <w:noProof/>
        </w:rPr>
        <mc:AlternateContent>
          <mc:Choice Requires="wps">
            <w:drawing>
              <wp:anchor distT="0" distB="0" distL="114300" distR="114300" simplePos="0" relativeHeight="251636736" behindDoc="1" locked="1" layoutInCell="1" allowOverlap="1" wp14:anchorId="13532FE8" wp14:editId="1DE71D4A">
                <wp:simplePos x="0" y="0"/>
                <wp:positionH relativeFrom="column">
                  <wp:posOffset>-352425</wp:posOffset>
                </wp:positionH>
                <wp:positionV relativeFrom="page">
                  <wp:posOffset>7677150</wp:posOffset>
                </wp:positionV>
                <wp:extent cx="6695440" cy="2066925"/>
                <wp:effectExtent l="0" t="0" r="0" b="9525"/>
                <wp:wrapNone/>
                <wp:docPr id="35842946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06692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9316B" id="Rectangle 2" o:spid="_x0000_s1026" alt="&quot;&quot;" style="position:absolute;margin-left:-27.75pt;margin-top:604.5pt;width:527.2pt;height:16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" fillcolor="#8087a3" stroked="f" strokeweight="1pt">
                <v:fill opacity="16448f"/>
                <w10:wrap anchory="page"/>
                <w10:anchorlock/>
              </v:rect>
            </w:pict>
          </mc:Fallback>
        </mc:AlternateContent>
      </w:r>
      <w:r w:rsidRPr="004B0B20">
        <w:rPr>
          <w:rFonts w:cs="Arial"/>
        </w:rPr>
        <w:t xml:space="preserve">e ECEC and community environments as all other children. It involves ensuring that children with disabilities are provided with the supports and </w:t>
      </w:r>
      <w:r w:rsidRPr="004B0B20">
        <w:rPr>
          <w:rFonts w:cs="Arial"/>
        </w:rPr>
        <w:lastRenderedPageBreak/>
        <w:t xml:space="preserve">environmental adaptations that enable them to participate meaningfully in all the activities as other children.  It is participation that drives development and learning, not access (Imms </w:t>
      </w:r>
      <w:r w:rsidR="0024695B">
        <w:rPr>
          <w:noProof/>
        </w:rPr>
        <mc:AlternateContent>
          <mc:Choice Requires="wps">
            <w:drawing>
              <wp:anchor distT="0" distB="0" distL="114300" distR="114300" simplePos="0" relativeHeight="251686912" behindDoc="1" locked="1" layoutInCell="1" allowOverlap="1" wp14:anchorId="3AE147D7" wp14:editId="05272826">
                <wp:simplePos x="0" y="0"/>
                <wp:positionH relativeFrom="column">
                  <wp:posOffset>-304800</wp:posOffset>
                </wp:positionH>
                <wp:positionV relativeFrom="page">
                  <wp:posOffset>628650</wp:posOffset>
                </wp:positionV>
                <wp:extent cx="6695440" cy="942975"/>
                <wp:effectExtent l="0" t="0" r="0" b="9525"/>
                <wp:wrapNone/>
                <wp:docPr id="75366601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94297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95E8D" id="Rectangle 2" o:spid="_x0000_s1026" alt="&quot;&quot;" style="position:absolute;margin-left:-24pt;margin-top:49.5pt;width:527.2pt;height:7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" fillcolor="#8087a3" stroked="f" strokeweight="1pt">
                <v:fill opacity="16448f"/>
                <w10:wrap anchory="page"/>
                <w10:anchorlock/>
              </v:rect>
            </w:pict>
          </mc:Fallback>
        </mc:AlternateContent>
      </w:r>
      <w:r w:rsidRPr="004B0B20">
        <w:rPr>
          <w:rFonts w:cs="Arial"/>
        </w:rPr>
        <w:t>et al., 2017).</w:t>
      </w:r>
    </w:p>
    <w:p w14:paraId="0A39DC15" w14:textId="77777777" w:rsidR="0024695B" w:rsidRDefault="00973F66" w:rsidP="00557FBA">
      <w:pPr>
        <w:rPr>
          <w:rFonts w:cs="Arial"/>
          <w:b/>
          <w:bCs/>
          <w:color w:val="0C2C74"/>
        </w:rPr>
      </w:pPr>
      <w:r>
        <w:rPr>
          <w:rFonts w:cs="Arial"/>
        </w:rPr>
        <w:br/>
      </w:r>
    </w:p>
    <w:p w14:paraId="7934502B" w14:textId="5567CD3F" w:rsidR="00557FBA" w:rsidRPr="00557FBA" w:rsidRDefault="00557FBA" w:rsidP="00557FBA">
      <w:pPr>
        <w:rPr>
          <w:rFonts w:cs="Arial"/>
          <w:b/>
          <w:bCs/>
          <w:color w:val="0C2C74"/>
        </w:rPr>
      </w:pPr>
      <w:r w:rsidRPr="00557FBA">
        <w:rPr>
          <w:rFonts w:cs="Arial"/>
          <w:b/>
          <w:bCs/>
          <w:color w:val="0C2C74"/>
        </w:rPr>
        <w:t>Implications for the ECI Best Practice Framework</w:t>
      </w:r>
    </w:p>
    <w:p w14:paraId="66F469C5" w14:textId="77777777" w:rsidR="00557FBA" w:rsidRPr="00557FBA" w:rsidRDefault="00557FBA" w:rsidP="00557FBA">
      <w:pPr>
        <w:rPr>
          <w:rFonts w:cs="Arial"/>
        </w:rPr>
      </w:pPr>
      <w:r w:rsidRPr="00557FBA">
        <w:rPr>
          <w:rFonts w:cs="Arial"/>
        </w:rPr>
        <w:t>It is recommended that the ECI Best Practice Framework:</w:t>
      </w:r>
    </w:p>
    <w:p w14:paraId="498A96D6" w14:textId="51786D97" w:rsidR="00557FBA" w:rsidRPr="00557FBA" w:rsidRDefault="00557FBA" w:rsidP="0031511B">
      <w:pPr>
        <w:pStyle w:val="ListParagraph"/>
        <w:numPr>
          <w:ilvl w:val="0"/>
          <w:numId w:val="27"/>
        </w:numPr>
        <w:rPr>
          <w:rFonts w:cs="Arial"/>
        </w:rPr>
      </w:pPr>
      <w:r w:rsidRPr="00557FBA">
        <w:rPr>
          <w:rFonts w:cs="Arial"/>
        </w:rPr>
        <w:t>promotes inclusion and participation as a major goal for all children with developmental conc</w:t>
      </w:r>
      <w:r w:rsidR="0024695B">
        <w:rPr>
          <w:noProof/>
        </w:rPr>
        <mc:AlternateContent>
          <mc:Choice Requires="wps">
            <w:drawing>
              <wp:anchor distT="0" distB="0" distL="114300" distR="114300" simplePos="0" relativeHeight="251687936" behindDoc="1" locked="1" layoutInCell="1" allowOverlap="1" wp14:anchorId="14112468" wp14:editId="20AE2FAD">
                <wp:simplePos x="0" y="0"/>
                <wp:positionH relativeFrom="column">
                  <wp:posOffset>-307975</wp:posOffset>
                </wp:positionH>
                <wp:positionV relativeFrom="page">
                  <wp:posOffset>1840230</wp:posOffset>
                </wp:positionV>
                <wp:extent cx="6695440" cy="1126490"/>
                <wp:effectExtent l="12700" t="12700" r="10160" b="16510"/>
                <wp:wrapNone/>
                <wp:docPr id="23814670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112649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66EC9" id="Rectangle 2" o:spid="_x0000_s1026" alt="&quot;&quot;" style="position:absolute;margin-left:-24.25pt;margin-top:144.9pt;width:527.2pt;height:8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" fillcolor="#f2f2f2 [3052]" strokecolor="#8087a3" strokeweight="2.25pt">
                <w10:wrap anchory="page"/>
                <w10:anchorlock/>
              </v:rect>
            </w:pict>
          </mc:Fallback>
        </mc:AlternateContent>
      </w:r>
      <w:r w:rsidRPr="00557FBA">
        <w:rPr>
          <w:rFonts w:cs="Arial"/>
        </w:rPr>
        <w:t xml:space="preserve">erns, delays and disability. </w:t>
      </w:r>
    </w:p>
    <w:p w14:paraId="3A06C163" w14:textId="77777777" w:rsidR="004B0B20" w:rsidRDefault="004B0B20" w:rsidP="004B0B20">
      <w:pPr>
        <w:rPr>
          <w:rFonts w:cs="Arial"/>
        </w:rPr>
      </w:pPr>
    </w:p>
    <w:p w14:paraId="138B5BAC" w14:textId="77777777" w:rsidR="00737946" w:rsidRPr="00737946" w:rsidRDefault="00737946" w:rsidP="000B1B4F">
      <w:r w:rsidRPr="00737946">
        <w:rPr>
          <w:rStyle w:val="normaltextrun"/>
          <w:rFonts w:cs="Arial"/>
          <w:b/>
        </w:rPr>
        <w:t>Changes in incidence and prevalence of developmental disabilities</w:t>
      </w:r>
      <w:r w:rsidRPr="00737946">
        <w:rPr>
          <w:rStyle w:val="eop"/>
          <w:rFonts w:cs="Arial"/>
        </w:rPr>
        <w:t> </w:t>
      </w:r>
    </w:p>
    <w:p w14:paraId="64489971" w14:textId="77777777" w:rsidR="00737946" w:rsidRPr="00737946" w:rsidRDefault="00737946" w:rsidP="000B1B4F">
      <w:bookmarkStart w:id="24" w:name="_Hlk175222457"/>
      <w:r w:rsidRPr="00737946">
        <w:rPr>
          <w:rStyle w:val="normaltextrun"/>
          <w:rFonts w:cs="Arial"/>
        </w:rPr>
        <w:t>Although attention to childhood developmental delays or disabilities is increasing, we still do not have a comprehensive picture of the prevalence, epidemiology, and causes of disabilities around the world (Black &amp; Lawn, 2018). An international effort to identify the prevalence and years lived with disability among children younger than 5 years is being undertaken by the Global Research on Developmental Disabilities Collaborators (2018). They are concentrating on six developmental disabilities: epilepsy, intellectual disability, vision loss, hearing loss, autism spectrum disorder, and attention deficit hyperactivity disorder (ADHD). </w:t>
      </w:r>
      <w:r w:rsidRPr="00737946">
        <w:rPr>
          <w:rStyle w:val="eop"/>
          <w:rFonts w:cs="Arial"/>
        </w:rPr>
        <w:t> </w:t>
      </w:r>
    </w:p>
    <w:p w14:paraId="50337A96" w14:textId="77777777" w:rsidR="00737946" w:rsidRPr="00737946" w:rsidRDefault="00737946" w:rsidP="000B1B4F">
      <w:r w:rsidRPr="00737946">
        <w:rPr>
          <w:rStyle w:val="normaltextrun"/>
          <w:rFonts w:cs="Arial"/>
        </w:rPr>
        <w:t xml:space="preserve">US surveys of the prevalence of childhood disability found that rates of childhood disability are increasing (Halfon et al., 2012; Zablotsky et al., 2017) and that emotional, behavioural, and neurological disabilities are now more prevalent than physical impairments (Halfon et al., 2012). While the overall rate has risen, there are variations in the rates observed in different disabilities. The rates for autism diagnosis have risen in Australia (Bent et al., 2015; Williams et al., 2014) and the US (Kogan et al., 2018). However, since the publication of the revised definition of autism in the fifth edition of the </w:t>
      </w:r>
      <w:r w:rsidRPr="00737946">
        <w:rPr>
          <w:rStyle w:val="normaltextrun"/>
          <w:rFonts w:cs="Arial"/>
          <w:i/>
        </w:rPr>
        <w:t>Diagnostic and statistical manual of mental disorders (DSM-5)</w:t>
      </w:r>
      <w:r w:rsidRPr="00737946">
        <w:rPr>
          <w:rStyle w:val="normaltextrun"/>
          <w:rFonts w:cs="Arial"/>
        </w:rPr>
        <w:t xml:space="preserve"> (American Psychiatric Association, 2013), rates of diagnosis of autism have dropped (Kulage et al., 2019). A UK survey (Pinney, 2017) found that the numbers of disabled children with complex and life-limiting needs have increased by over 50% since 2004, while US data show an increase in the number of children with medical complexity and associated neurodevelopmental and mental health disorders (Levenaar et al., 2024; </w:t>
      </w:r>
      <w:r w:rsidRPr="00737946">
        <w:rPr>
          <w:color w:val="1A1A1A"/>
        </w:rPr>
        <w:t xml:space="preserve">Oreskovic &amp; Cohen, 2024). </w:t>
      </w:r>
      <w:r w:rsidRPr="00737946">
        <w:rPr>
          <w:rStyle w:val="normaltextrun"/>
          <w:rFonts w:cs="Arial"/>
        </w:rPr>
        <w:t>However, Australian data shows a decrease in the number of children born with cerebral palsy, as well as a decrease in the severity of cerebral palsy (although at least a quarter of children with cerebral palsy still have severe motor difficulties and used a wheelchair for mobility) (Australian Cerebral Palsy Register Group, 2018).</w:t>
      </w:r>
      <w:r w:rsidRPr="00737946">
        <w:rPr>
          <w:rStyle w:val="eop"/>
          <w:rFonts w:cs="Arial"/>
        </w:rPr>
        <w:t> </w:t>
      </w:r>
    </w:p>
    <w:p w14:paraId="61F2B3F7" w14:textId="77777777" w:rsidR="00737946" w:rsidRPr="00737946" w:rsidRDefault="00737946" w:rsidP="000B1B4F">
      <w:r w:rsidRPr="00737946">
        <w:rPr>
          <w:rStyle w:val="normaltextrun"/>
          <w:rFonts w:cs="Arial"/>
        </w:rPr>
        <w:t xml:space="preserve">There is no single explanation for why rates of some childhood developmental disabilities have increased so dramatically. This trend could reflect a real change in the incidence of conditions caused by changing risk exposures during pregnancy and early childhood, or it could result from changes in recognition, screening, and diagnostic criteria (Halfon et al, 2012; Williams et al., 2014). These include earlier identification of disabilities due to improved screening methods, </w:t>
      </w:r>
      <w:r w:rsidRPr="00737946">
        <w:rPr>
          <w:rStyle w:val="normaltextrun"/>
          <w:rFonts w:cs="Arial"/>
          <w:lang w:val="en"/>
        </w:rPr>
        <w:t xml:space="preserve">changes in definitions of some disabilities (such as autism), </w:t>
      </w:r>
      <w:r w:rsidRPr="00737946">
        <w:rPr>
          <w:rStyle w:val="normaltextrun"/>
          <w:rFonts w:cs="Arial"/>
        </w:rPr>
        <w:t xml:space="preserve">increased community and professional awareness resulting in more children being identified and more services being offered </w:t>
      </w:r>
      <w:r w:rsidRPr="00737946">
        <w:rPr>
          <w:rStyle w:val="normaltextrun"/>
          <w:rFonts w:cs="Arial"/>
          <w:lang w:val="en"/>
        </w:rPr>
        <w:t xml:space="preserve">and shifting expectations of what a typically developing child ‘should’ </w:t>
      </w:r>
      <w:r w:rsidRPr="00737946">
        <w:rPr>
          <w:rStyle w:val="normaltextrun"/>
          <w:rFonts w:cs="Arial"/>
          <w:lang w:val="en"/>
        </w:rPr>
        <w:lastRenderedPageBreak/>
        <w:t xml:space="preserve">be able to do (Halfon et al., 2012; Williams et al., 2014). </w:t>
      </w:r>
      <w:r w:rsidRPr="00737946">
        <w:rPr>
          <w:rStyle w:val="normaltextrun"/>
          <w:rFonts w:cs="Arial"/>
        </w:rPr>
        <w:t>The decline in rates of cerebral palsy probably reflect advances in research and practice in all areas including the health and care of pregnant women and their babies, particularly high-risk pregnancies, neonatal intensive care, and the impact of public health initiatives for healthy pregnancies and to prevent accidents (Australian Cerebral Palsy Register Group, 2018). </w:t>
      </w:r>
      <w:r w:rsidRPr="00737946">
        <w:rPr>
          <w:rStyle w:val="eop"/>
          <w:rFonts w:cs="Arial"/>
        </w:rPr>
        <w:t> </w:t>
      </w:r>
    </w:p>
    <w:p w14:paraId="36EF0504" w14:textId="77777777" w:rsidR="00737946" w:rsidRPr="00737946" w:rsidRDefault="00737946" w:rsidP="000B1B4F">
      <w:r w:rsidRPr="00737946">
        <w:rPr>
          <w:rStyle w:val="normaltextrun"/>
          <w:rFonts w:cs="Arial"/>
        </w:rPr>
        <w:t>Funding may also play a role in the changing rates of disability diagnoses. Siegel (2018) suggests that some of the increase in identification of young children with autism in the US is likely to be due to the much greater level of intervention funding that an autism diagnosis attracts, making this a particularly desirable diagnosis. This is also the case with the NDIS where an extraordinarily large number of children on the NDIS have autism diagnoses, much higher than would be expected. This is seen as the result of the NDIS becoming the only form of service available, with the state-based services which catered for many of these children being withdrawn when the NDIS was introduced.</w:t>
      </w:r>
      <w:r w:rsidRPr="00737946">
        <w:rPr>
          <w:rStyle w:val="eop"/>
          <w:rFonts w:cs="Arial"/>
        </w:rPr>
        <w:t> </w:t>
      </w:r>
    </w:p>
    <w:p w14:paraId="0AA02EB7" w14:textId="77777777" w:rsidR="00737946" w:rsidRPr="00737946" w:rsidRDefault="00737946" w:rsidP="000B1B4F">
      <w:r w:rsidRPr="00737946">
        <w:rPr>
          <w:rStyle w:val="normaltextrun"/>
          <w:rFonts w:cs="Arial"/>
        </w:rPr>
        <w:t>Another contributing factor is that children with autism often have other developmental problems such as intellectual developmental disorder, language disorder, and ADHD. Gilberg and Fernell (2014) suggest that in the past, these comorbidities were given diagnostic priority over the autistic features of behaviour, but nowadays autism is increasingly considered the primary diagnosis.</w:t>
      </w:r>
      <w:r w:rsidRPr="00737946">
        <w:rPr>
          <w:rStyle w:val="eop"/>
          <w:rFonts w:cs="Arial"/>
        </w:rPr>
        <w:t xml:space="preserve"> </w:t>
      </w:r>
    </w:p>
    <w:p w14:paraId="3E2CE82A" w14:textId="5B9F8A79" w:rsidR="00737946" w:rsidRPr="00737946" w:rsidRDefault="00737946" w:rsidP="000B1B4F">
      <w:r w:rsidRPr="00737946">
        <w:rPr>
          <w:rStyle w:val="normaltextrun"/>
          <w:rFonts w:cs="Arial"/>
        </w:rPr>
        <w:t xml:space="preserve">One reason for the higher rates of developmental disability is the success of efforts to identify developmental </w:t>
      </w:r>
      <w:r w:rsidR="00972AF4">
        <w:rPr>
          <w:rStyle w:val="normaltextrun"/>
          <w:rFonts w:cs="Arial"/>
        </w:rPr>
        <w:t>concerns, delay or</w:t>
      </w:r>
      <w:r w:rsidRPr="00737946">
        <w:rPr>
          <w:rStyle w:val="normaltextrun"/>
          <w:rFonts w:cs="Arial"/>
        </w:rPr>
        <w:t xml:space="preserve"> disabilities at an earlier age. The unqualified success story in this regard has been the introduction of hearing screening for newborns. All Australian states and jurisdictions now have infant hearing screening programs, and a national framework for screening has been developed (Department of Health, 2013). </w:t>
      </w:r>
      <w:r w:rsidRPr="00737946">
        <w:rPr>
          <w:rStyle w:val="eop"/>
          <w:rFonts w:cs="Arial"/>
        </w:rPr>
        <w:t> </w:t>
      </w:r>
    </w:p>
    <w:p w14:paraId="5BD36A40" w14:textId="77777777" w:rsidR="00737946" w:rsidRPr="00737946" w:rsidRDefault="00737946" w:rsidP="000B1B4F">
      <w:r w:rsidRPr="00737946">
        <w:rPr>
          <w:rStyle w:val="normaltextrun"/>
          <w:rFonts w:cs="Arial"/>
        </w:rPr>
        <w:t>In the case of cerebral palsy, early identification is seen as critical in providing earlier access to cerebral palsy interventions that will lead to improved outcomes (Graham et al., 2017; Morgan et al., 2018; Novak et al, 2017). More than half of infants with cerebral palsy are born at or near term, with the vast majority having pre</w:t>
      </w:r>
      <w:r w:rsidRPr="00737946">
        <w:rPr>
          <w:rStyle w:val="normaltextrun"/>
          <w:rFonts w:ascii="Cambria Math" w:hAnsi="Cambria Math" w:cs="Cambria Math"/>
        </w:rPr>
        <w:t>‐</w:t>
      </w:r>
      <w:r w:rsidRPr="00737946">
        <w:rPr>
          <w:rStyle w:val="normaltextrun"/>
          <w:rFonts w:cs="Arial"/>
        </w:rPr>
        <w:t xml:space="preserve"> or perinatally acquired cerebral palsy (Morgan et al., 2018). A diagnosis of cerebral palsy can be accurately made before 6 months’ corrected age (Novak et al., 2017), allowing prompt referral to diagnostic-specific early intervention to optimize infant motor and cognitive plasticity, prevent secondary complications, and enhance caregiver well-being.</w:t>
      </w:r>
      <w:r w:rsidRPr="00737946">
        <w:rPr>
          <w:rStyle w:val="eop"/>
          <w:rFonts w:cs="Arial"/>
        </w:rPr>
        <w:t> </w:t>
      </w:r>
    </w:p>
    <w:p w14:paraId="589FEEAB" w14:textId="77777777" w:rsidR="00737946" w:rsidRPr="00737946" w:rsidRDefault="00737946" w:rsidP="000B1B4F">
      <w:r w:rsidRPr="00737946">
        <w:rPr>
          <w:rStyle w:val="normaltextrun"/>
          <w:rFonts w:cs="Arial"/>
        </w:rPr>
        <w:t xml:space="preserve">Screening for autism spectrum disorders (ASD) is more challenging (Dissanayake, 2012). While many diagnostic tests have been developed (Randall et al., 2018), there is a substantial gap between the age at which a reliable and accurate diagnosis of ASD is possible and the average age that children in Australia are currently diagnosed (Bent et al., 2015; Dissanayake, 2012). In a promising Victorian initiative, a developmental surveillance tool for use by MCH nurses has been trialled, focusing on children below the age of 2½ years (Barbaro &amp; Dissanayake, 2010, </w:t>
      </w:r>
      <w:r w:rsidRPr="00737946">
        <w:rPr>
          <w:rStyle w:val="normaltextrun"/>
          <w:rFonts w:cs="Arial"/>
        </w:rPr>
        <w:lastRenderedPageBreak/>
        <w:t xml:space="preserve">2013). </w:t>
      </w:r>
      <w:r w:rsidRPr="00737946">
        <w:rPr>
          <w:rFonts w:eastAsia="Times New Roman"/>
        </w:rPr>
        <w:t xml:space="preserve">The </w:t>
      </w:r>
      <w:r w:rsidRPr="00737946">
        <w:t>Victorian government has now provided funding to train all MCH nurses in the use of this tool.</w:t>
      </w:r>
      <w:r w:rsidRPr="00737946">
        <w:rPr>
          <w:vertAlign w:val="superscript"/>
        </w:rPr>
        <w:footnoteReference w:id="32"/>
      </w:r>
    </w:p>
    <w:p w14:paraId="0A93F2A9" w14:textId="77777777" w:rsidR="00737946" w:rsidRPr="00737946" w:rsidRDefault="00737946" w:rsidP="000B1B4F">
      <w:r w:rsidRPr="00737946">
        <w:rPr>
          <w:rStyle w:val="normaltextrun"/>
          <w:rFonts w:cs="Arial"/>
        </w:rPr>
        <w:t>Screening for developmental difficulties in early infancy is desirable if it leads to early identification and referral to early intervention programs that are effective. Prenatal screening is more problematic. There have also been improvements in prenatal screening for developmental disorders, and their use is becoming more widespread. However, their use raises a number of ethical issues. Should parents terminate a pregnancy when the foetus has been identified with a known disability? The incidence of Down syndrome is dropping in places where diagnostic testing in pregnancy is available. A recent Western Australian study (Maxwell et al., 2015) found that, while there has been an increased rate of Down syndrome pregnancies, the overall rate of births has been dropping. This is due to the availability of neonatal screening: nearly all women for whom a prenatal diagnosis of foetal Down syndrome is made chose to terminate the pregnancy. As one mother who chose not to terminate has observed (Callinan, 2019), this is occurring at a time when prospects for those born with Down syndrome are brighter than ever. Some are fully included in mainstream education, attend university, hold down jobs, live independently and find love. Advancing technology means that some of the health problems that affect people with Down syndrome (such as heart conditions, affecting about half of all babies born with Down syndrome) can be corrected soon after birth. </w:t>
      </w:r>
      <w:r w:rsidRPr="00737946">
        <w:rPr>
          <w:rStyle w:val="eop"/>
          <w:rFonts w:cs="Arial"/>
        </w:rPr>
        <w:t> </w:t>
      </w:r>
    </w:p>
    <w:p w14:paraId="68D0FD62" w14:textId="77777777" w:rsidR="00737946" w:rsidRPr="00737946" w:rsidRDefault="00737946" w:rsidP="000B1B4F">
      <w:pPr>
        <w:rPr>
          <w:rStyle w:val="eop"/>
          <w:rFonts w:cs="Arial"/>
        </w:rPr>
      </w:pPr>
      <w:r w:rsidRPr="00737946">
        <w:rPr>
          <w:rStyle w:val="normaltextrun"/>
          <w:rFonts w:cs="Arial"/>
        </w:rPr>
        <w:t>These ethical questions will only increase as improved screening techniques, such as non-invasive prenatal screening (NIPS) (Leonard, 2017), become available. NIPS is a method of determining the risk that the foetus will be born with certain genetic abnormalities. This testing analyses small fragments of DNA that circulate in a pregnant woman’s blood. NIPS is most often used to look for chromosomal disorders that are caused by the presence of an extra or missing copy of a chromosome and can provide a more accurate and earlier result about the likelihood of the foetus having a condition such as Down syndrome. Research is also being undertaken to identify genetic and other biomarkers of a range of disabilities. If screening for these becomes available, it will again raise ethical questions about what to do with the information.  </w:t>
      </w:r>
      <w:r w:rsidRPr="00737946">
        <w:rPr>
          <w:rStyle w:val="eop"/>
          <w:rFonts w:cs="Arial"/>
        </w:rPr>
        <w:t> </w:t>
      </w:r>
    </w:p>
    <w:p w14:paraId="34957716" w14:textId="77777777" w:rsidR="00737946" w:rsidRPr="00737946" w:rsidRDefault="00737946" w:rsidP="000B1B4F">
      <w:r w:rsidRPr="00737946">
        <w:t>There are also developments in the treatment of disabilities. For instance, Donoghue and Amor (2024) describe new techniques such as enzyme replacement therapy, gene therapy and molecular therapies that can change neurodevelopmental outcomes in genetic forms of intellectual disability. They argue that this makes intellectual disability a potentially treatable condition and therefore a strong candidate for precision medicine.</w:t>
      </w:r>
    </w:p>
    <w:bookmarkEnd w:id="24"/>
    <w:p w14:paraId="083A66D5" w14:textId="77777777" w:rsidR="00AE7D23" w:rsidRDefault="00AE7D23" w:rsidP="004B0B20">
      <w:pPr>
        <w:rPr>
          <w:rFonts w:cs="Arial"/>
        </w:rPr>
      </w:pPr>
    </w:p>
    <w:p w14:paraId="65AE5A79" w14:textId="77777777" w:rsidR="0024695B" w:rsidRDefault="0024695B">
      <w:pPr>
        <w:spacing w:before="0" w:after="0"/>
        <w:rPr>
          <w:rFonts w:cs="Arial"/>
          <w:b/>
          <w:bCs/>
          <w:color w:val="0C2C74"/>
        </w:rPr>
      </w:pPr>
      <w:r>
        <w:rPr>
          <w:rFonts w:cs="Arial"/>
          <w:b/>
          <w:bCs/>
          <w:color w:val="0C2C74"/>
        </w:rPr>
        <w:br w:type="page"/>
      </w:r>
    </w:p>
    <w:p w14:paraId="70532849" w14:textId="64673021" w:rsidR="0028763F" w:rsidRPr="0028763F" w:rsidRDefault="0028763F" w:rsidP="0028763F">
      <w:pPr>
        <w:rPr>
          <w:rFonts w:cs="Arial"/>
          <w:b/>
          <w:bCs/>
          <w:color w:val="0C2C74"/>
        </w:rPr>
      </w:pPr>
      <w:r w:rsidRPr="0028763F">
        <w:rPr>
          <w:rFonts w:cs="Arial"/>
          <w:b/>
          <w:bCs/>
          <w:color w:val="0C2C74"/>
        </w:rPr>
        <w:lastRenderedPageBreak/>
        <w:t>Implications for ECI services</w:t>
      </w:r>
    </w:p>
    <w:p w14:paraId="4E71F282" w14:textId="77777777" w:rsidR="0028763F" w:rsidRDefault="0028763F" w:rsidP="0031511B">
      <w:pPr>
        <w:pStyle w:val="ListParagraph"/>
        <w:numPr>
          <w:ilvl w:val="0"/>
          <w:numId w:val="27"/>
        </w:numPr>
        <w:rPr>
          <w:rFonts w:cs="Arial"/>
        </w:rPr>
      </w:pPr>
      <w:r w:rsidRPr="0028763F">
        <w:rPr>
          <w:rFonts w:cs="Arial"/>
        </w:rPr>
        <w:t>Improved screening is desirable both because it offers opportunities for intervention at earlier ages and because it can drive innovation and new knowledge. However, knowing how to intervene effectively with very young children is challenging – they are at their most developmentally plastic stage and their disabilitie</w:t>
      </w:r>
      <w:r>
        <w:rPr>
          <w:noProof/>
        </w:rPr>
        <mc:AlternateContent>
          <mc:Choice Requires="wps">
            <w:drawing>
              <wp:anchor distT="0" distB="0" distL="114300" distR="114300" simplePos="0" relativeHeight="251638784" behindDoc="1" locked="1" layoutInCell="1" allowOverlap="1" wp14:anchorId="22B32D70" wp14:editId="67AD5D9C">
                <wp:simplePos x="0" y="0"/>
                <wp:positionH relativeFrom="column">
                  <wp:posOffset>-469900</wp:posOffset>
                </wp:positionH>
                <wp:positionV relativeFrom="page">
                  <wp:posOffset>790575</wp:posOffset>
                </wp:positionV>
                <wp:extent cx="6695440" cy="2000250"/>
                <wp:effectExtent l="0" t="0" r="0" b="0"/>
                <wp:wrapNone/>
                <wp:docPr id="65170333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000250"/>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6A446" id="Rectangle 2" o:spid="_x0000_s1026" alt="&quot;&quot;" style="position:absolute;margin-left:-37pt;margin-top:62.25pt;width:527.2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" fillcolor="#8087a3" stroked="f" strokeweight="1pt">
                <v:fill opacity="16448f"/>
                <w10:wrap anchory="page"/>
                <w10:anchorlock/>
              </v:rect>
            </w:pict>
          </mc:Fallback>
        </mc:AlternateContent>
      </w:r>
      <w:r w:rsidRPr="0028763F">
        <w:rPr>
          <w:rFonts w:cs="Arial"/>
        </w:rPr>
        <w:t xml:space="preserve">s are still in a relatively undifferentiated state and have not yet evolved into a more distinct form for which proven interventions exist. Further research on how to best support development in very young children with developmental delays or disabilities is needed. </w:t>
      </w:r>
    </w:p>
    <w:p w14:paraId="2D6C8803" w14:textId="77777777" w:rsidR="0028763F" w:rsidRDefault="0028763F" w:rsidP="0028763F">
      <w:pPr>
        <w:rPr>
          <w:rFonts w:cs="Arial"/>
        </w:rPr>
      </w:pPr>
    </w:p>
    <w:p w14:paraId="2B2224D7" w14:textId="77777777" w:rsidR="00B4279E" w:rsidRDefault="00B4279E" w:rsidP="00371101">
      <w:pPr>
        <w:rPr>
          <w:rFonts w:cs="Arial"/>
          <w:b/>
          <w:bCs/>
          <w:color w:val="0C2C74"/>
        </w:rPr>
      </w:pPr>
    </w:p>
    <w:p w14:paraId="6A3A54C5" w14:textId="500A0301" w:rsidR="00371101" w:rsidRPr="00371101" w:rsidRDefault="00371101" w:rsidP="00371101">
      <w:pPr>
        <w:rPr>
          <w:rFonts w:cs="Arial"/>
          <w:b/>
          <w:bCs/>
          <w:color w:val="0C2C74"/>
        </w:rPr>
      </w:pPr>
      <w:r w:rsidRPr="00371101">
        <w:rPr>
          <w:rFonts w:cs="Arial"/>
          <w:b/>
          <w:bCs/>
          <w:color w:val="0C2C74"/>
        </w:rPr>
        <w:t>Implications for the ECI Best Practice Framework</w:t>
      </w:r>
    </w:p>
    <w:p w14:paraId="5AD2EDAB" w14:textId="00B37B6C" w:rsidR="00371101" w:rsidRPr="00371101" w:rsidRDefault="00371101" w:rsidP="00371101">
      <w:pPr>
        <w:rPr>
          <w:rFonts w:cs="Arial"/>
        </w:rPr>
      </w:pPr>
      <w:r w:rsidRPr="00371101">
        <w:rPr>
          <w:rFonts w:cs="Arial"/>
        </w:rPr>
        <w:t>It is recommended</w:t>
      </w:r>
      <w:r>
        <w:rPr>
          <w:noProof/>
        </w:rPr>
        <mc:AlternateContent>
          <mc:Choice Requires="wps">
            <w:drawing>
              <wp:anchor distT="0" distB="0" distL="114300" distR="114300" simplePos="0" relativeHeight="251639808" behindDoc="1" locked="1" layoutInCell="1" allowOverlap="1" wp14:anchorId="009296CF" wp14:editId="12BA744C">
                <wp:simplePos x="0" y="0"/>
                <wp:positionH relativeFrom="column">
                  <wp:posOffset>-471170</wp:posOffset>
                </wp:positionH>
                <wp:positionV relativeFrom="page">
                  <wp:posOffset>3085465</wp:posOffset>
                </wp:positionV>
                <wp:extent cx="6695440" cy="1351280"/>
                <wp:effectExtent l="12700" t="12700" r="10160" b="7620"/>
                <wp:wrapNone/>
                <wp:docPr id="3926051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135128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3A8FB" id="Rectangle 2" o:spid="_x0000_s1026" alt="&quot;&quot;" style="position:absolute;margin-left:-37.1pt;margin-top:242.95pt;width:527.2pt;height:10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" fillcolor="#f2f2f2 [3052]" strokecolor="#8087a3" strokeweight="2.25pt">
                <w10:wrap anchory="page"/>
                <w10:anchorlock/>
              </v:rect>
            </w:pict>
          </mc:Fallback>
        </mc:AlternateContent>
      </w:r>
      <w:r w:rsidRPr="00371101">
        <w:rPr>
          <w:rFonts w:cs="Arial"/>
        </w:rPr>
        <w:t xml:space="preserve"> that the ECI Practice Framework:</w:t>
      </w:r>
    </w:p>
    <w:p w14:paraId="68F4ACBC" w14:textId="0D938C8E" w:rsidR="00371101" w:rsidRPr="00371101" w:rsidRDefault="00371101" w:rsidP="0031511B">
      <w:pPr>
        <w:pStyle w:val="ListParagraph"/>
        <w:numPr>
          <w:ilvl w:val="0"/>
          <w:numId w:val="27"/>
        </w:numPr>
        <w:rPr>
          <w:rFonts w:cs="Arial"/>
        </w:rPr>
      </w:pPr>
      <w:r w:rsidRPr="00371101">
        <w:rPr>
          <w:rFonts w:cs="Arial"/>
        </w:rPr>
        <w:t xml:space="preserve">provides guidance to practitioners regarding ethical challenges involved in decisions regarding screening and early intervention. </w:t>
      </w:r>
    </w:p>
    <w:p w14:paraId="6A01B89F" w14:textId="6FEB3566" w:rsidR="0028763F" w:rsidRDefault="0028763F" w:rsidP="0028763F">
      <w:pPr>
        <w:rPr>
          <w:rFonts w:cs="Arial"/>
        </w:rPr>
      </w:pPr>
      <w:r w:rsidRPr="0028763F">
        <w:rPr>
          <w:rFonts w:cs="Arial"/>
        </w:rPr>
        <w:t xml:space="preserve">  </w:t>
      </w:r>
    </w:p>
    <w:p w14:paraId="0D841891" w14:textId="77777777" w:rsidR="00737D3B" w:rsidRDefault="00737D3B" w:rsidP="0028763F">
      <w:pPr>
        <w:rPr>
          <w:rFonts w:cs="Arial"/>
        </w:rPr>
      </w:pPr>
    </w:p>
    <w:p w14:paraId="6FB79AA3" w14:textId="77777777" w:rsidR="00BD1C41" w:rsidRDefault="00BD1C41" w:rsidP="000B1B4F">
      <w:pPr>
        <w:pStyle w:val="Heading2"/>
      </w:pPr>
      <w:bookmarkStart w:id="25" w:name="_Toc177730820"/>
      <w:r>
        <w:t>Developments in service delivery</w:t>
      </w:r>
      <w:bookmarkEnd w:id="25"/>
    </w:p>
    <w:p w14:paraId="71B4572C" w14:textId="77777777" w:rsidR="00BD1C41" w:rsidRPr="000B1B4F" w:rsidRDefault="00BD1C41" w:rsidP="000B1B4F">
      <w:pPr>
        <w:rPr>
          <w:rFonts w:cs="Arial"/>
        </w:rPr>
      </w:pPr>
      <w:bookmarkStart w:id="26" w:name="_Hlk175243139"/>
      <w:r w:rsidRPr="000B1B4F">
        <w:rPr>
          <w:rFonts w:cs="Arial"/>
        </w:rPr>
        <w:t xml:space="preserve">There have been a number of new models of service delivery in disability and other sectors that are relevant for ECI services. These are discussed below under two headings: </w:t>
      </w:r>
      <w:bookmarkStart w:id="27" w:name="_Hlk172724672"/>
      <w:r w:rsidRPr="000B1B4F">
        <w:rPr>
          <w:rFonts w:cs="Arial"/>
        </w:rPr>
        <w:t>changing models of service delivery and changing ideas about evidence and implementation.</w:t>
      </w:r>
    </w:p>
    <w:bookmarkEnd w:id="27"/>
    <w:p w14:paraId="2E812BD8" w14:textId="77777777" w:rsidR="00BD1C41" w:rsidRPr="000B1B4F" w:rsidRDefault="00BD1C41" w:rsidP="000B1B4F">
      <w:pPr>
        <w:rPr>
          <w:rStyle w:val="normaltextrun"/>
          <w:rFonts w:cs="Arial"/>
          <w:b/>
        </w:rPr>
      </w:pPr>
      <w:r w:rsidRPr="000B1B4F">
        <w:rPr>
          <w:rStyle w:val="normaltextrun"/>
          <w:rFonts w:cs="Arial"/>
          <w:b/>
        </w:rPr>
        <w:t>Changing models of service delivery</w:t>
      </w:r>
    </w:p>
    <w:p w14:paraId="2C7BD6DC" w14:textId="77777777" w:rsidR="00BD1C41" w:rsidRPr="000B1B4F" w:rsidRDefault="00BD1C41" w:rsidP="000B1B4F">
      <w:pPr>
        <w:rPr>
          <w:rFonts w:cs="Arial"/>
        </w:rPr>
      </w:pPr>
      <w:r w:rsidRPr="000B1B4F">
        <w:rPr>
          <w:rFonts w:cs="Arial"/>
        </w:rPr>
        <w:t xml:space="preserve">Old models of service delivery are being challenged in various ways. Some of these involve changes in relationships between government and consumers – these include people-centred health care, co-design and co-production approaches, self-managed and personalised funding models, and an increasing focus on outcomes. All of these are relevant for ECI services in one way or another. </w:t>
      </w:r>
    </w:p>
    <w:bookmarkEnd w:id="26"/>
    <w:p w14:paraId="25EE8426" w14:textId="77777777" w:rsidR="00BD1C41" w:rsidRPr="003C77C9" w:rsidRDefault="00BD1C41" w:rsidP="003C77C9">
      <w:pPr>
        <w:rPr>
          <w:b/>
          <w:bCs/>
        </w:rPr>
      </w:pPr>
      <w:r w:rsidRPr="003C77C9">
        <w:rPr>
          <w:b/>
          <w:bCs/>
        </w:rPr>
        <w:t xml:space="preserve">People-centred health care </w:t>
      </w:r>
    </w:p>
    <w:p w14:paraId="4A50718F" w14:textId="77777777" w:rsidR="00BD1C41" w:rsidRPr="000B1B4F" w:rsidRDefault="00BD1C41" w:rsidP="003C77C9">
      <w:bookmarkStart w:id="28" w:name="_Hlk175222880"/>
      <w:r w:rsidRPr="000B1B4F">
        <w:t xml:space="preserve">The WHO (2016) has developed a framework on integrated, people-centred health services that involves a fundamental shift in the way health services are funded, managed and delivered. It proposes that everyone should have access to health services that are co-produced in ways that are coordinated around their needs, respect their preferences, and are safe, effective, timely, affordable, and of acceptable quality. As described by Ahmad and colleagues (2014), in a person-centred health care system, people are supported to make informed decisions about and successfully manage their own health and care. Shared decision making and self-management support are important elements of this approach, which is based upon active collaborative relationship between patients and health care professionals. While the evidence base for self-management support and shared decision making continues to grow (Ahmad et al., 2014), delivering person-centred services presents some challenges, especially in meeting the needs of the most vulnerable and disadvantaged (Joyce, 2017). In addition, consumers, caregivers and </w:t>
      </w:r>
      <w:r w:rsidRPr="000B1B4F">
        <w:lastRenderedPageBreak/>
        <w:t xml:space="preserve">communities need to actively participate in the design, implementation and evaluation of service systems, not just their own individual service needs (Joyce, 2017). </w:t>
      </w:r>
    </w:p>
    <w:p w14:paraId="0B2146EE" w14:textId="77777777" w:rsidR="00BD1C41" w:rsidRPr="003C77C9" w:rsidRDefault="00BD1C41" w:rsidP="003C77C9">
      <w:pPr>
        <w:rPr>
          <w:b/>
          <w:bCs/>
        </w:rPr>
      </w:pPr>
      <w:r w:rsidRPr="003C77C9">
        <w:rPr>
          <w:b/>
          <w:bCs/>
        </w:rPr>
        <w:t xml:space="preserve">Co-design and co-production </w:t>
      </w:r>
    </w:p>
    <w:p w14:paraId="16AAD2FC" w14:textId="63E5EF9C" w:rsidR="00BD1C41" w:rsidRPr="000B1B4F" w:rsidRDefault="00BD1C41" w:rsidP="003C77C9">
      <w:pPr>
        <w:rPr>
          <w:rStyle w:val="normaltextrun"/>
          <w:rFonts w:cs="Arial"/>
          <w:bCs/>
        </w:rPr>
      </w:pPr>
      <w:r w:rsidRPr="000B1B4F">
        <w:t>There has been increasing interest in co-production and co-design approaches to developing and delivering services (Blomkamp, 2018; McMillan, 2019; Moore et al., 2016; Needham &amp; Carr, 2009; Pennington et al., 2017, 2018; Slay &amp; Stephens, 2013). Co-design seeks to make public services match the wants and needs of their beneficiaries (Bradwell &amp; Marr, 20</w:t>
      </w:r>
      <w:r w:rsidR="0093016C">
        <w:t>17</w:t>
      </w:r>
      <w:r w:rsidRPr="000B1B4F">
        <w:t xml:space="preserve">). The rationale for this approach is that people’s needs are better met when they are involved in an equal and reciprocal relationship with public service professionals and others, working together to get things done (Boyle et al., 2010). This is especially important for the most disadvantaged and marginalised families (CCCH, 2010). Co-production involves a relationship where professionals and citizens share power to plan and deliver support together, recognising that both partners have vital contributions to make in order to improve quality of life for people and communities (Slay &amp; Stephens, 2013). This is in contrast to approaches that treat people as passive recipients of services designed and delivered by someone else. It emphasises that the people who use services have assets which can help to improve those services, rather than simply needs which must be met (Needham &amp; Carr, 2009). Evidence for the positive impact of involvement in decision-making is accumulating (McMillan, 2019; Pennington et al., 2017, 2018; Whitehead et al., 2014; What </w:t>
      </w:r>
      <w:r w:rsidRPr="000B1B4F">
        <w:rPr>
          <w:rStyle w:val="normaltextrun"/>
          <w:rFonts w:cs="Arial"/>
          <w:bCs/>
        </w:rPr>
        <w:t xml:space="preserve">Works Centre for Wellbeing, 2018). </w:t>
      </w:r>
    </w:p>
    <w:p w14:paraId="326CBBB4" w14:textId="1B5852C7" w:rsidR="00BD1C41" w:rsidRPr="000B1B4F" w:rsidRDefault="00BD1C41" w:rsidP="000B1B4F">
      <w:pPr>
        <w:rPr>
          <w:rStyle w:val="normaltextrun"/>
          <w:rFonts w:cs="Arial"/>
          <w:bCs/>
        </w:rPr>
      </w:pPr>
      <w:r w:rsidRPr="000B1B4F">
        <w:rPr>
          <w:rStyle w:val="normaltextrun"/>
          <w:rFonts w:cs="Arial"/>
          <w:bCs/>
        </w:rPr>
        <w:t xml:space="preserve">In a similar vein, governments are being encouraged to adopt an enablement mindset rather than a delivery mindset (Althaus &amp; McGregor, 2019; Centre for Public Impact, 2018). Inspired by management practices from the private sector, a delivery mindset assumes that the way to achieve better outcomes is to examine the evidence of what does and does not work, design services based on this </w:t>
      </w:r>
      <w:r w:rsidR="0083053E" w:rsidRPr="000B1B4F">
        <w:rPr>
          <w:rStyle w:val="normaltextrun"/>
          <w:rFonts w:cs="Arial"/>
          <w:bCs/>
        </w:rPr>
        <w:t>understanding and</w:t>
      </w:r>
      <w:r w:rsidRPr="000B1B4F">
        <w:rPr>
          <w:rStyle w:val="normaltextrun"/>
          <w:rFonts w:cs="Arial"/>
          <w:bCs/>
        </w:rPr>
        <w:t xml:space="preserve"> manage those services efficiently. In this approach, people are treated as customers, and the same improvement strategies used by businesses are applied to human services such as welfare services. In contrast, an enablement mindset does not seek to improve services directly but aims to cultivate the conditions from which good solutions are more likely to emerge. This shift involves a much greater recognition of the role that relationships play in effective human services, and how a greater attention to relationships could revolutionise how governments can best support its citizens (Cooke &amp; Muir, 2012; Cottam, 2018; Mulgan, 2012). </w:t>
      </w:r>
    </w:p>
    <w:p w14:paraId="1069BE09" w14:textId="77777777" w:rsidR="00BD1C41" w:rsidRPr="000B1B4F" w:rsidRDefault="00BD1C41" w:rsidP="000B1B4F">
      <w:pPr>
        <w:rPr>
          <w:rStyle w:val="normaltextrun"/>
          <w:rFonts w:cs="Arial"/>
          <w:bCs/>
        </w:rPr>
      </w:pPr>
      <w:r w:rsidRPr="000B1B4F">
        <w:rPr>
          <w:rStyle w:val="normaltextrun"/>
          <w:rFonts w:cs="Arial"/>
          <w:bCs/>
        </w:rPr>
        <w:t>Another significant shift is the move to self-managed/self-directed funding for people with disabilities. (Note that the discussion that follows addresses the evidence regarding the general issue of self-managed funding. This should not be confused with the option available to parents under the NDIS ECEI approach to manage their own funding.</w:t>
      </w:r>
      <w:r w:rsidRPr="000B1B4F">
        <w:rPr>
          <w:rStyle w:val="normaltextrun"/>
          <w:rFonts w:cs="Arial"/>
          <w:bCs/>
        </w:rPr>
        <w:footnoteReference w:id="33"/>
      </w:r>
      <w:r w:rsidRPr="000B1B4F">
        <w:rPr>
          <w:rStyle w:val="normaltextrun"/>
          <w:rFonts w:cs="Arial"/>
          <w:bCs/>
        </w:rPr>
        <w:t xml:space="preserve"> The conclusions should not be taken as a comment on or endorsement of this option.)</w:t>
      </w:r>
    </w:p>
    <w:p w14:paraId="43AC2A59" w14:textId="12B772A6" w:rsidR="00BD1C41" w:rsidRPr="003C77C9" w:rsidRDefault="00BD1C41" w:rsidP="000B1B4F">
      <w:pPr>
        <w:rPr>
          <w:rStyle w:val="normaltextrun"/>
          <w:rFonts w:cs="Arial"/>
          <w:b/>
        </w:rPr>
      </w:pPr>
      <w:r w:rsidRPr="003C77C9">
        <w:rPr>
          <w:rStyle w:val="normaltextrun"/>
          <w:rFonts w:cs="Arial"/>
          <w:b/>
        </w:rPr>
        <w:lastRenderedPageBreak/>
        <w:t>Self-managed/self-directed funding</w:t>
      </w:r>
      <w:r w:rsidR="003E17FD">
        <w:rPr>
          <w:rStyle w:val="FootnoteReference"/>
          <w:rFonts w:cs="Arial"/>
          <w:b/>
        </w:rPr>
        <w:footnoteReference w:id="34"/>
      </w:r>
    </w:p>
    <w:p w14:paraId="3EE17252" w14:textId="77777777" w:rsidR="00BD1C41" w:rsidRPr="000B1B4F" w:rsidRDefault="00BD1C41" w:rsidP="000B1B4F">
      <w:pPr>
        <w:rPr>
          <w:rStyle w:val="normaltextrun"/>
          <w:rFonts w:cs="Arial"/>
          <w:bCs/>
        </w:rPr>
      </w:pPr>
      <w:r w:rsidRPr="000B1B4F">
        <w:rPr>
          <w:rStyle w:val="normaltextrun"/>
          <w:rFonts w:cs="Arial"/>
          <w:bCs/>
        </w:rPr>
        <w:t xml:space="preserve">Individualised or personalised budgeting models for people with a disability have been widely adopted around the world (Brown et al., 2018; Dickinson, 2017; Fisher &amp; Purcal, 2010; Fisher et al., 2010; Harkes et al., 2014; Laragy &amp; Ottmann, 2011; Murray, 2010; Needham, 2010; Needham &amp; Dickinson, 2018; Pearson et al., 2014: Pike et al., 2016). There is a good case to be made for self-directed approaches (Leadbeater, 2004, Duffy, 2006). As championed by Leadbeater (2004), the rationale for personalisation is that, by putting users at the heart of services and enabling them to become participants in the design and delivery, services will be more effective by mobilising millions of people as co-producers. This participative approach should deliver personalised, lasting solutions to people’s needs at lower cost than traditional, inflexible and top-down approaches (Leadbeater et al., 2008). </w:t>
      </w:r>
    </w:p>
    <w:p w14:paraId="69EB9365" w14:textId="77777777" w:rsidR="00BD1C41" w:rsidRPr="000B1B4F" w:rsidRDefault="00BD1C41" w:rsidP="000B1B4F">
      <w:pPr>
        <w:rPr>
          <w:rStyle w:val="normaltextrun"/>
          <w:rFonts w:cs="Arial"/>
          <w:bCs/>
        </w:rPr>
      </w:pPr>
      <w:r w:rsidRPr="000B1B4F">
        <w:rPr>
          <w:rStyle w:val="normaltextrun"/>
          <w:rFonts w:cs="Arial"/>
          <w:bCs/>
        </w:rPr>
        <w:t xml:space="preserve">Duffy (2010) describes this as a shift from a paternalistic model of service delivery (a ‘professional gift’ model) towards a model which treats people as citizens, not service users (a ‘citizenship-based’ model): </w:t>
      </w:r>
    </w:p>
    <w:p w14:paraId="0D828135" w14:textId="77777777" w:rsidR="00BD1C41" w:rsidRPr="002C5633" w:rsidRDefault="00BD1C41" w:rsidP="000B1B4F">
      <w:pPr>
        <w:rPr>
          <w:rStyle w:val="normaltextrun"/>
          <w:bCs/>
        </w:rPr>
      </w:pPr>
      <w:r w:rsidRPr="002C5633">
        <w:rPr>
          <w:rStyle w:val="normaltextrun"/>
          <w:bCs/>
        </w:rPr>
        <w:t xml:space="preserve">Professional gift model - In this model the taxpayers give money to the government, the government gives money to the professionals who turn that money into services that are offered to the needy person as a gift - that is, something that cannot be defined, shaped or controlled by the individual. </w:t>
      </w:r>
    </w:p>
    <w:p w14:paraId="62A376DD" w14:textId="77777777" w:rsidR="00BD1C41" w:rsidRPr="002C5633" w:rsidRDefault="00BD1C41" w:rsidP="000B1B4F">
      <w:pPr>
        <w:rPr>
          <w:rStyle w:val="normaltextrun"/>
          <w:bCs/>
        </w:rPr>
      </w:pPr>
      <w:r w:rsidRPr="002C5633">
        <w:rPr>
          <w:rStyle w:val="normaltextrun"/>
          <w:bCs/>
        </w:rPr>
        <w:t xml:space="preserve">Citizenship-based model - In this model the taxpayers give money to the government, the government defines that money as an entitlement, and the individual (with their community) uses this entitlement to negotiate any professional support necessary. </w:t>
      </w:r>
    </w:p>
    <w:p w14:paraId="3413E75C" w14:textId="77777777" w:rsidR="00BD1C41" w:rsidRPr="002C5633" w:rsidRDefault="00BD1C41" w:rsidP="000B1B4F">
      <w:pPr>
        <w:rPr>
          <w:rStyle w:val="normaltextrun"/>
          <w:bCs/>
        </w:rPr>
      </w:pPr>
      <w:r w:rsidRPr="002C5633">
        <w:rPr>
          <w:rStyle w:val="normaltextrun"/>
          <w:bCs/>
        </w:rPr>
        <w:t>Originally developed in the adult care services sector, this approach has been extended to children's services and health care. The UK In Control charity (Crosby, 2010; Crosby et al., 2012) has promoted personal budgets for children with disabilities and their families. They see these as depending upon the development of a new relationship between statutory agencies, services, and children with disabilities and their families. According to Crosby (2012), this new relationship is based on an approach that sees:</w:t>
      </w:r>
    </w:p>
    <w:p w14:paraId="7A9F7D8C" w14:textId="77777777" w:rsidR="00BD1C41" w:rsidRPr="002C5633" w:rsidRDefault="00BD1C41" w:rsidP="00B550DC">
      <w:pPr>
        <w:ind w:left="709"/>
        <w:rPr>
          <w:rStyle w:val="normaltextrun"/>
          <w:bCs/>
        </w:rPr>
      </w:pPr>
      <w:r w:rsidRPr="00A224C8">
        <w:rPr>
          <w:rStyle w:val="normaltextrun"/>
          <w:b/>
        </w:rPr>
        <w:t>The child and the family at the centre</w:t>
      </w:r>
      <w:r w:rsidRPr="002878CB">
        <w:rPr>
          <w:rStyle w:val="normaltextrun"/>
          <w:b/>
          <w:i/>
          <w:iCs/>
        </w:rPr>
        <w:t>:</w:t>
      </w:r>
      <w:r w:rsidRPr="002C5633">
        <w:rPr>
          <w:rStyle w:val="normaltextrun"/>
          <w:bCs/>
        </w:rPr>
        <w:t xml:space="preserve"> Families are the experts. They may need knowledge, skilled support and expertise from others to help with their child, but it is essential to remember they hold the lead caring role, and this should not be compromised by professional intervention. </w:t>
      </w:r>
    </w:p>
    <w:p w14:paraId="53A06EDA" w14:textId="77777777" w:rsidR="00BD1C41" w:rsidRPr="00A224C8" w:rsidRDefault="00BD1C41" w:rsidP="00B550DC">
      <w:pPr>
        <w:ind w:left="709"/>
        <w:rPr>
          <w:rStyle w:val="normaltextrun"/>
          <w:bCs/>
        </w:rPr>
      </w:pPr>
      <w:r w:rsidRPr="00A224C8">
        <w:rPr>
          <w:rStyle w:val="normaltextrun"/>
          <w:b/>
        </w:rPr>
        <w:t>The recognition of a family’s ‘real wealth’</w:t>
      </w:r>
      <w:r w:rsidRPr="00A224C8">
        <w:rPr>
          <w:rStyle w:val="normaltextrun"/>
          <w:bCs/>
        </w:rPr>
        <w:t xml:space="preserve">: The child and the family have a range of existing resources that they can draw upon. They may simply need good support to enable them to recognise and utilise these resources. </w:t>
      </w:r>
    </w:p>
    <w:p w14:paraId="4CC978F0" w14:textId="77777777" w:rsidR="00BD1C41" w:rsidRPr="00A224C8" w:rsidRDefault="00BD1C41" w:rsidP="00B550DC">
      <w:pPr>
        <w:ind w:left="709"/>
        <w:rPr>
          <w:rStyle w:val="normaltextrun"/>
          <w:bCs/>
        </w:rPr>
      </w:pPr>
      <w:r w:rsidRPr="00A224C8">
        <w:rPr>
          <w:rStyle w:val="normaltextrun"/>
          <w:b/>
        </w:rPr>
        <w:t>A whole system</w:t>
      </w:r>
      <w:r w:rsidRPr="00A224C8">
        <w:rPr>
          <w:rStyle w:val="normaltextrun"/>
          <w:bCs/>
        </w:rPr>
        <w:t xml:space="preserve">: All support needs a joined-up approach focused on strategic outcomes. </w:t>
      </w:r>
    </w:p>
    <w:p w14:paraId="68315D8F" w14:textId="77777777" w:rsidR="00BD1C41" w:rsidRPr="00A224C8" w:rsidRDefault="00BD1C41" w:rsidP="00B550DC">
      <w:pPr>
        <w:ind w:left="709"/>
        <w:rPr>
          <w:rStyle w:val="normaltextrun"/>
          <w:bCs/>
        </w:rPr>
      </w:pPr>
      <w:r w:rsidRPr="00A224C8">
        <w:rPr>
          <w:rStyle w:val="normaltextrun"/>
          <w:b/>
        </w:rPr>
        <w:t>Clear and simple outcomes</w:t>
      </w:r>
      <w:r w:rsidRPr="00A224C8">
        <w:rPr>
          <w:rStyle w:val="normaltextrun"/>
          <w:bCs/>
        </w:rPr>
        <w:t xml:space="preserve">: Outcomes agreed at the outset which set out simply and clearly what services will achieve for children, young people and families. </w:t>
      </w:r>
    </w:p>
    <w:p w14:paraId="48DF3700" w14:textId="77777777" w:rsidR="00BD1C41" w:rsidRPr="002C5633" w:rsidRDefault="00BD1C41" w:rsidP="00B550DC">
      <w:pPr>
        <w:ind w:left="709"/>
        <w:rPr>
          <w:rStyle w:val="normaltextrun"/>
          <w:bCs/>
        </w:rPr>
      </w:pPr>
      <w:r w:rsidRPr="00A224C8">
        <w:rPr>
          <w:rStyle w:val="normaltextrun"/>
          <w:b/>
        </w:rPr>
        <w:lastRenderedPageBreak/>
        <w:t xml:space="preserve">A simple pathway: </w:t>
      </w:r>
      <w:r w:rsidRPr="002C5633">
        <w:rPr>
          <w:rStyle w:val="normaltextrun"/>
          <w:bCs/>
        </w:rPr>
        <w:t>A set of steps clearly identifying the process for how children and young people will be assessed, eligibility criteria, allocation of personal budgets and review (Crosby et al., 2012).</w:t>
      </w:r>
    </w:p>
    <w:p w14:paraId="364DE519" w14:textId="77777777" w:rsidR="00BD1C41" w:rsidRPr="002C5633" w:rsidRDefault="00BD1C41" w:rsidP="000B1B4F">
      <w:pPr>
        <w:rPr>
          <w:rStyle w:val="normaltextrun"/>
          <w:bCs/>
        </w:rPr>
      </w:pPr>
      <w:r w:rsidRPr="002C5633">
        <w:rPr>
          <w:rStyle w:val="normaltextrun"/>
          <w:bCs/>
        </w:rPr>
        <w:t xml:space="preserve">Despite the persuasive rationale, switching to personalised funding is not a simple matter (Laragy &amp; Ottmann, 2011; Manthorpe et al, 2011; Pearson et al., 2014) and is sometimes done without clear evidence of the effectiveness of the approach (Harkes et al., 2014; Needham, 2010). Needham &amp; Dickinson (2018) argue that ‘individualized funding has in part become so widely popular because it knits together two dominant policy narratives in advanced democracies: neo-liberal public sector reform that seeks to strip power away from large government bureaucracies, and human rights discourses that aim to maximize the scope for self-actualisation amongst people who have been denied full citizenship in the past’. These twin lines of thought are certainly evident in the in the Productivity Commission’s report on disability care and support that recommended the establishment of the NDIS (Productivity Commission, 2011). </w:t>
      </w:r>
    </w:p>
    <w:p w14:paraId="655AD1B6" w14:textId="77777777" w:rsidR="00BD1C41" w:rsidRPr="002878CB" w:rsidRDefault="00BD1C41" w:rsidP="000B1B4F">
      <w:pPr>
        <w:rPr>
          <w:rStyle w:val="normaltextrun"/>
          <w:rFonts w:cs="Arial"/>
          <w:bCs/>
        </w:rPr>
      </w:pPr>
      <w:r w:rsidRPr="002C5633">
        <w:rPr>
          <w:rStyle w:val="normaltextrun"/>
          <w:bCs/>
        </w:rPr>
        <w:t xml:space="preserve">What is the evidence regarding the effectiveness of personalised budgets? In the case of adults with disabilities, there have been a number of evaluations of personalised </w:t>
      </w:r>
      <w:r w:rsidRPr="002878CB">
        <w:rPr>
          <w:rStyle w:val="normaltextrun"/>
          <w:rFonts w:cs="Arial"/>
          <w:bCs/>
        </w:rPr>
        <w:t xml:space="preserve">budgets with adults, including case studies of personalised budgets as a way of providing better support people at times of crisis or vulnerability (Keilty, 2014), reviews of evidence regarding personalised budgets for adults needing social care (Manthorpe et al., 2011), and review of self-management strategies for adults with health problems (Da Silva, 2011). A recent review of the evidence by Dickinson (2017) found mixed results for both satisfaction and outcomes. This review suggested that it may not be the funding that has the impact, but the care planning process: there was improved satisfaction only where there are appropriate management systems and supports were in place. </w:t>
      </w:r>
    </w:p>
    <w:p w14:paraId="682C26F4" w14:textId="77777777" w:rsidR="00BD1C41" w:rsidRPr="002878CB" w:rsidRDefault="00BD1C41" w:rsidP="000B1B4F">
      <w:pPr>
        <w:rPr>
          <w:rStyle w:val="normaltextrun"/>
          <w:rFonts w:cs="Arial"/>
        </w:rPr>
      </w:pPr>
      <w:r w:rsidRPr="002878CB">
        <w:rPr>
          <w:rStyle w:val="normaltextrun"/>
          <w:rFonts w:cs="Arial"/>
        </w:rPr>
        <w:t xml:space="preserve">Australian studies suggest that individualised and self-managed funding can significantly enhance the choice, dignity, control and empowerment of adults who have a disability, their families and carers, as well as improving their wellbeing, independence, resilience and social participation (Fisher &amp; Purcal, 2010; Fisher et al., 2010; Gendera et al., 2011 Pearson &amp; Hill, 2012). </w:t>
      </w:r>
    </w:p>
    <w:p w14:paraId="00DF57CE" w14:textId="77777777" w:rsidR="00BD1C41" w:rsidRPr="002878CB" w:rsidRDefault="00BD1C41" w:rsidP="000B1B4F">
      <w:pPr>
        <w:rPr>
          <w:rStyle w:val="normaltextrun"/>
          <w:rFonts w:cs="Arial"/>
        </w:rPr>
      </w:pPr>
      <w:r w:rsidRPr="002878CB">
        <w:rPr>
          <w:rStyle w:val="normaltextrun"/>
          <w:rFonts w:cs="Arial"/>
        </w:rPr>
        <w:t xml:space="preserve">In the case of personalised budgets for children with disabilities, there have been evaluations of pilot programs of Individual Budgets for Families with Disabled Children, in the UK, mostly involving older children rather than those involved in early intervention services. These studies have looked at the progress of the individual budgets program (Prabhakar et al., 2011; Prabhakar &amp; Thom, 2012) and the impact on family outcomes (Johnson et al., 2011; Johnson &amp; Thom, 2012). A summary report of these evaluations (Thom &amp; Prabhakar, 2011) suggested that the individual budget programs clearly demonstrated an increased sense of choice and control, improved access to social care services, shifts in the types of service that families used, greater satisfaction with the services they received, and some flow through benefits for improved wellbeing. </w:t>
      </w:r>
    </w:p>
    <w:p w14:paraId="1338224D" w14:textId="77777777" w:rsidR="00BD1C41" w:rsidRPr="002878CB" w:rsidRDefault="00BD1C41" w:rsidP="000B1B4F">
      <w:pPr>
        <w:rPr>
          <w:rStyle w:val="normaltextrun"/>
          <w:rFonts w:cs="Arial"/>
        </w:rPr>
      </w:pPr>
      <w:r w:rsidRPr="002878CB">
        <w:rPr>
          <w:rStyle w:val="normaltextrun"/>
          <w:rFonts w:cs="Arial"/>
        </w:rPr>
        <w:t>According to Murray (2009, 2010), families of children with disabilities report that the personalised approach gives them a range of benefits, including a sense of being valued, a positive view of their disabled child, ability to respond to the fluctuating needs of illness and impairment, transparency and greater understanding of what services and support costs, opportunities to try things out to see what works best, and control over how the money allocated to them is spent.</w:t>
      </w:r>
    </w:p>
    <w:p w14:paraId="6B889ABE" w14:textId="77777777" w:rsidR="00BD1C41" w:rsidRPr="002878CB" w:rsidRDefault="00BD1C41" w:rsidP="000B1B4F">
      <w:pPr>
        <w:rPr>
          <w:rStyle w:val="normaltextrun"/>
          <w:rFonts w:cs="Arial"/>
        </w:rPr>
      </w:pPr>
      <w:r w:rsidRPr="002878CB">
        <w:rPr>
          <w:rStyle w:val="normaltextrun"/>
          <w:rFonts w:cs="Arial"/>
        </w:rPr>
        <w:lastRenderedPageBreak/>
        <w:t xml:space="preserve">Despite these claims, the idea that personalised and self-directed budgets always lead to better use of resources has been challenged. On the basis of an analysis of policies and their impacts in the UK, Spicker (2013) concluded that personalisation works in some circumstances and not in others: ‘there are many … cases in which markets do not work—where imperfect information, locational costs, externalities and disadvantage conspire to limit choice, control and responsiveness’. Parents who are poorly informed, who do not have a range of services to choose from or have few resources themselves do not make good choices or use funding to their best advantage. </w:t>
      </w:r>
    </w:p>
    <w:p w14:paraId="72A56E42" w14:textId="77777777" w:rsidR="00BD1C41" w:rsidRPr="002878CB" w:rsidRDefault="00BD1C41" w:rsidP="000B1B4F">
      <w:pPr>
        <w:rPr>
          <w:rStyle w:val="normaltextrun"/>
          <w:rFonts w:cs="Arial"/>
          <w:bCs/>
        </w:rPr>
      </w:pPr>
      <w:r w:rsidRPr="002878CB">
        <w:rPr>
          <w:rStyle w:val="normaltextrun"/>
          <w:rFonts w:cs="Arial"/>
          <w:bCs/>
        </w:rPr>
        <w:t xml:space="preserve">What conditions are needed for self-managed funding schemes to have positive outcomes for participants? Based on a qualitative case study conducted in an Australian not-for-profit disability agency over a 4-year period, Laragy and Ottman (2011) identify the following factors that need to be in place to support individual funding schemes: </w:t>
      </w:r>
    </w:p>
    <w:p w14:paraId="4F83CC8B" w14:textId="77777777" w:rsidR="00BD1C41" w:rsidRPr="002878CB" w:rsidRDefault="00BD1C41" w:rsidP="0031511B">
      <w:pPr>
        <w:pStyle w:val="ListParagraph"/>
        <w:numPr>
          <w:ilvl w:val="0"/>
          <w:numId w:val="28"/>
        </w:numPr>
        <w:spacing w:before="0"/>
        <w:contextualSpacing w:val="0"/>
        <w:rPr>
          <w:rFonts w:cs="Arial"/>
          <w:color w:val="000000"/>
          <w:shd w:val="clear" w:color="auto" w:fill="FFFFFF"/>
        </w:rPr>
      </w:pPr>
      <w:r w:rsidRPr="002878CB">
        <w:rPr>
          <w:rFonts w:cs="Arial"/>
          <w:color w:val="000000"/>
          <w:shd w:val="clear" w:color="auto" w:fill="FFFFFF"/>
        </w:rPr>
        <w:t xml:space="preserve">Choice over whether to receive traditional services or self-manage </w:t>
      </w:r>
    </w:p>
    <w:p w14:paraId="0E4AC000" w14:textId="77777777" w:rsidR="00BD1C41" w:rsidRPr="002878CB" w:rsidRDefault="00BD1C41" w:rsidP="0031511B">
      <w:pPr>
        <w:pStyle w:val="ListParagraph"/>
        <w:numPr>
          <w:ilvl w:val="0"/>
          <w:numId w:val="28"/>
        </w:numPr>
        <w:spacing w:before="0"/>
        <w:contextualSpacing w:val="0"/>
        <w:rPr>
          <w:rFonts w:cs="Arial"/>
          <w:color w:val="000000"/>
          <w:shd w:val="clear" w:color="auto" w:fill="FFFFFF"/>
        </w:rPr>
      </w:pPr>
      <w:r w:rsidRPr="002878CB">
        <w:rPr>
          <w:rFonts w:cs="Arial"/>
          <w:color w:val="000000"/>
          <w:shd w:val="clear" w:color="auto" w:fill="FFFFFF"/>
        </w:rPr>
        <w:t>Support appropriate to cognitive, physical and cultural needs to be an active participant in planning</w:t>
      </w:r>
    </w:p>
    <w:p w14:paraId="64B468C2" w14:textId="77777777" w:rsidR="00BD1C41" w:rsidRPr="002878CB" w:rsidRDefault="00BD1C41" w:rsidP="0031511B">
      <w:pPr>
        <w:pStyle w:val="ListParagraph"/>
        <w:numPr>
          <w:ilvl w:val="0"/>
          <w:numId w:val="28"/>
        </w:numPr>
        <w:spacing w:before="0"/>
        <w:contextualSpacing w:val="0"/>
        <w:rPr>
          <w:rFonts w:cs="Arial"/>
          <w:color w:val="000000"/>
          <w:shd w:val="clear" w:color="auto" w:fill="FFFFFF"/>
        </w:rPr>
      </w:pPr>
      <w:r w:rsidRPr="002878CB">
        <w:rPr>
          <w:rFonts w:cs="Arial"/>
          <w:color w:val="000000"/>
          <w:shd w:val="clear" w:color="auto" w:fill="FFFFFF"/>
        </w:rPr>
        <w:t xml:space="preserve">Mechanisms to review appropriate to capacity and individual needs </w:t>
      </w:r>
    </w:p>
    <w:p w14:paraId="7823D37C" w14:textId="77777777" w:rsidR="00BD1C41" w:rsidRPr="002878CB" w:rsidRDefault="00BD1C41" w:rsidP="0031511B">
      <w:pPr>
        <w:pStyle w:val="ListParagraph"/>
        <w:numPr>
          <w:ilvl w:val="0"/>
          <w:numId w:val="28"/>
        </w:numPr>
        <w:spacing w:before="0"/>
        <w:contextualSpacing w:val="0"/>
        <w:rPr>
          <w:rFonts w:cs="Arial"/>
          <w:color w:val="000000"/>
          <w:shd w:val="clear" w:color="auto" w:fill="FFFFFF"/>
        </w:rPr>
      </w:pPr>
      <w:r w:rsidRPr="002878CB">
        <w:rPr>
          <w:rFonts w:cs="Arial"/>
          <w:color w:val="000000"/>
          <w:shd w:val="clear" w:color="auto" w:fill="FFFFFF"/>
        </w:rPr>
        <w:t xml:space="preserve">Culturally appropriate information and support services </w:t>
      </w:r>
    </w:p>
    <w:p w14:paraId="1175234D" w14:textId="77777777" w:rsidR="00BD1C41" w:rsidRPr="002878CB" w:rsidRDefault="00BD1C41" w:rsidP="0031511B">
      <w:pPr>
        <w:pStyle w:val="ListParagraph"/>
        <w:numPr>
          <w:ilvl w:val="0"/>
          <w:numId w:val="28"/>
        </w:numPr>
        <w:spacing w:before="0"/>
        <w:contextualSpacing w:val="0"/>
        <w:rPr>
          <w:rFonts w:cs="Arial"/>
          <w:color w:val="000000"/>
          <w:shd w:val="clear" w:color="auto" w:fill="FFFFFF"/>
        </w:rPr>
      </w:pPr>
      <w:r w:rsidRPr="002878CB">
        <w:rPr>
          <w:rFonts w:cs="Arial"/>
          <w:color w:val="000000"/>
          <w:shd w:val="clear" w:color="auto" w:fill="FFFFFF"/>
        </w:rPr>
        <w:t xml:space="preserve">Provision of adequate resources to meet needs and the ability to quickly reassess when needed </w:t>
      </w:r>
    </w:p>
    <w:p w14:paraId="55D7FFFD" w14:textId="77777777" w:rsidR="00BD1C41" w:rsidRPr="002878CB" w:rsidRDefault="00BD1C41" w:rsidP="0031511B">
      <w:pPr>
        <w:pStyle w:val="ListParagraph"/>
        <w:numPr>
          <w:ilvl w:val="0"/>
          <w:numId w:val="28"/>
        </w:numPr>
        <w:spacing w:before="0"/>
        <w:contextualSpacing w:val="0"/>
        <w:rPr>
          <w:rFonts w:cs="Arial"/>
          <w:color w:val="000000"/>
          <w:shd w:val="clear" w:color="auto" w:fill="FFFFFF"/>
        </w:rPr>
      </w:pPr>
      <w:r w:rsidRPr="002878CB">
        <w:rPr>
          <w:rFonts w:cs="Arial"/>
          <w:color w:val="000000"/>
          <w:shd w:val="clear" w:color="auto" w:fill="FFFFFF"/>
        </w:rPr>
        <w:t xml:space="preserve">Support services to manage administrative responsibilities </w:t>
      </w:r>
    </w:p>
    <w:p w14:paraId="5A845D88" w14:textId="77777777" w:rsidR="00BD1C41" w:rsidRPr="002878CB" w:rsidRDefault="00BD1C41" w:rsidP="0031511B">
      <w:pPr>
        <w:pStyle w:val="ListParagraph"/>
        <w:numPr>
          <w:ilvl w:val="0"/>
          <w:numId w:val="28"/>
        </w:numPr>
        <w:spacing w:before="0"/>
        <w:contextualSpacing w:val="0"/>
        <w:rPr>
          <w:rFonts w:cs="Arial"/>
          <w:color w:val="000000"/>
          <w:shd w:val="clear" w:color="auto" w:fill="FFFFFF"/>
        </w:rPr>
      </w:pPr>
      <w:r w:rsidRPr="002878CB">
        <w:rPr>
          <w:rFonts w:cs="Arial"/>
          <w:color w:val="000000"/>
          <w:shd w:val="clear" w:color="auto" w:fill="FFFFFF"/>
        </w:rPr>
        <w:t xml:space="preserve">Clear guidelines about what is allowed and what not, allowing for maximum flexibility and creativity </w:t>
      </w:r>
    </w:p>
    <w:p w14:paraId="23051555" w14:textId="77777777" w:rsidR="00BD1C41" w:rsidRPr="002878CB" w:rsidRDefault="00BD1C41" w:rsidP="0031511B">
      <w:pPr>
        <w:pStyle w:val="ListParagraph"/>
        <w:numPr>
          <w:ilvl w:val="0"/>
          <w:numId w:val="28"/>
        </w:numPr>
        <w:spacing w:before="0"/>
        <w:contextualSpacing w:val="0"/>
        <w:rPr>
          <w:rFonts w:cs="Arial"/>
          <w:color w:val="000000"/>
        </w:rPr>
      </w:pPr>
      <w:r w:rsidRPr="002878CB">
        <w:rPr>
          <w:rFonts w:cs="Arial"/>
          <w:color w:val="000000"/>
          <w:shd w:val="clear" w:color="auto" w:fill="FFFFFF"/>
        </w:rPr>
        <w:t>Support from peers (i.e. other consumers or families)</w:t>
      </w:r>
    </w:p>
    <w:p w14:paraId="15101913" w14:textId="77777777" w:rsidR="00BD1C41" w:rsidRPr="002878CB" w:rsidRDefault="00BD1C41" w:rsidP="0031511B">
      <w:pPr>
        <w:pStyle w:val="ListParagraph"/>
        <w:numPr>
          <w:ilvl w:val="0"/>
          <w:numId w:val="28"/>
        </w:numPr>
        <w:spacing w:before="0"/>
        <w:ind w:left="714" w:hanging="357"/>
        <w:contextualSpacing w:val="0"/>
        <w:rPr>
          <w:rFonts w:cs="Arial"/>
          <w:color w:val="000000"/>
        </w:rPr>
      </w:pPr>
      <w:r w:rsidRPr="002878CB">
        <w:rPr>
          <w:rFonts w:cs="Arial"/>
          <w:color w:val="000000"/>
          <w:shd w:val="clear" w:color="auto" w:fill="FFFFFF"/>
        </w:rPr>
        <w:t>Support for support workers and to protect working conditions.</w:t>
      </w:r>
    </w:p>
    <w:p w14:paraId="259EB469" w14:textId="77777777" w:rsidR="00BD1C41" w:rsidRPr="002878CB" w:rsidRDefault="00BD1C41" w:rsidP="00BD1C41">
      <w:pPr>
        <w:rPr>
          <w:rStyle w:val="normaltextrun"/>
          <w:rFonts w:eastAsiaTheme="minorEastAsia" w:cs="Arial"/>
          <w:bCs/>
          <w:shd w:val="clear" w:color="auto" w:fill="FFFFFF"/>
          <w:lang w:val="en-US"/>
        </w:rPr>
      </w:pPr>
      <w:r w:rsidRPr="002878CB">
        <w:rPr>
          <w:rStyle w:val="normaltextrun"/>
          <w:rFonts w:eastAsiaTheme="minorEastAsia" w:cs="Arial"/>
          <w:bCs/>
          <w:shd w:val="clear" w:color="auto" w:fill="FFFFFF"/>
          <w:lang w:val="en-US"/>
        </w:rPr>
        <w:t>Using data from Australian studies of individualised funding programs, Laragy et al. (2016) have identified the conditions needed to ensure that people with disabilities have access to reliable information on which to base informed choices about funding. Information needs to be:</w:t>
      </w:r>
    </w:p>
    <w:p w14:paraId="547BF70F" w14:textId="77777777" w:rsidR="00BD1C41" w:rsidRPr="002878CB" w:rsidRDefault="00BD1C41" w:rsidP="0031511B">
      <w:pPr>
        <w:pStyle w:val="ListParagraph"/>
        <w:numPr>
          <w:ilvl w:val="0"/>
          <w:numId w:val="28"/>
        </w:numPr>
        <w:spacing w:before="0"/>
        <w:ind w:left="714" w:hanging="357"/>
        <w:contextualSpacing w:val="0"/>
        <w:rPr>
          <w:rFonts w:cs="Arial"/>
          <w:color w:val="000000"/>
          <w:shd w:val="clear" w:color="auto" w:fill="FFFFFF"/>
        </w:rPr>
      </w:pPr>
      <w:r w:rsidRPr="002878CB">
        <w:rPr>
          <w:rFonts w:cs="Arial"/>
          <w:color w:val="000000"/>
          <w:shd w:val="clear" w:color="auto" w:fill="FFFFFF"/>
        </w:rPr>
        <w:t xml:space="preserve">Accessible and diverse in format, mode, source and location </w:t>
      </w:r>
    </w:p>
    <w:p w14:paraId="32C1EF43" w14:textId="77777777" w:rsidR="00BD1C41" w:rsidRPr="002878CB" w:rsidRDefault="00BD1C41" w:rsidP="0031511B">
      <w:pPr>
        <w:pStyle w:val="ListParagraph"/>
        <w:numPr>
          <w:ilvl w:val="0"/>
          <w:numId w:val="28"/>
        </w:numPr>
        <w:spacing w:before="0"/>
        <w:ind w:left="714" w:hanging="357"/>
        <w:contextualSpacing w:val="0"/>
        <w:rPr>
          <w:rFonts w:cs="Arial"/>
          <w:color w:val="000000"/>
          <w:shd w:val="clear" w:color="auto" w:fill="FFFFFF"/>
        </w:rPr>
      </w:pPr>
      <w:r w:rsidRPr="002878CB">
        <w:rPr>
          <w:rFonts w:cs="Arial"/>
          <w:color w:val="000000"/>
          <w:shd w:val="clear" w:color="auto" w:fill="FFFFFF"/>
        </w:rPr>
        <w:t xml:space="preserve">Personalised and targeted </w:t>
      </w:r>
    </w:p>
    <w:p w14:paraId="5504BDFF" w14:textId="77777777" w:rsidR="00BD1C41" w:rsidRPr="002878CB" w:rsidRDefault="00BD1C41" w:rsidP="0031511B">
      <w:pPr>
        <w:pStyle w:val="ListParagraph"/>
        <w:numPr>
          <w:ilvl w:val="0"/>
          <w:numId w:val="28"/>
        </w:numPr>
        <w:spacing w:before="0"/>
        <w:ind w:left="714" w:hanging="357"/>
        <w:contextualSpacing w:val="0"/>
        <w:rPr>
          <w:rFonts w:cs="Arial"/>
          <w:color w:val="000000"/>
          <w:shd w:val="clear" w:color="auto" w:fill="FFFFFF"/>
        </w:rPr>
      </w:pPr>
      <w:r w:rsidRPr="002878CB">
        <w:rPr>
          <w:rFonts w:cs="Arial"/>
          <w:color w:val="000000"/>
          <w:shd w:val="clear" w:color="auto" w:fill="FFFFFF"/>
        </w:rPr>
        <w:t xml:space="preserve">Accurate, consistent and timely </w:t>
      </w:r>
    </w:p>
    <w:p w14:paraId="31F9C59E" w14:textId="77777777" w:rsidR="00BD1C41" w:rsidRPr="002878CB" w:rsidRDefault="00BD1C41" w:rsidP="0031511B">
      <w:pPr>
        <w:pStyle w:val="ListParagraph"/>
        <w:numPr>
          <w:ilvl w:val="0"/>
          <w:numId w:val="28"/>
        </w:numPr>
        <w:spacing w:before="0"/>
        <w:ind w:left="714" w:hanging="357"/>
        <w:contextualSpacing w:val="0"/>
        <w:rPr>
          <w:rFonts w:cs="Arial"/>
          <w:color w:val="000000"/>
          <w:shd w:val="clear" w:color="auto" w:fill="FFFFFF"/>
        </w:rPr>
      </w:pPr>
      <w:r w:rsidRPr="002878CB">
        <w:rPr>
          <w:rFonts w:cs="Arial"/>
          <w:color w:val="000000"/>
          <w:shd w:val="clear" w:color="auto" w:fill="FFFFFF"/>
        </w:rPr>
        <w:t xml:space="preserve">From a trusted source </w:t>
      </w:r>
    </w:p>
    <w:p w14:paraId="561EFA0A" w14:textId="77777777" w:rsidR="00BD1C41" w:rsidRPr="002878CB" w:rsidRDefault="00BD1C41" w:rsidP="0031511B">
      <w:pPr>
        <w:pStyle w:val="ListParagraph"/>
        <w:numPr>
          <w:ilvl w:val="0"/>
          <w:numId w:val="28"/>
        </w:numPr>
        <w:spacing w:before="0"/>
        <w:ind w:left="714" w:hanging="357"/>
        <w:contextualSpacing w:val="0"/>
        <w:rPr>
          <w:rFonts w:cs="Arial"/>
          <w:color w:val="000000"/>
          <w:shd w:val="clear" w:color="auto" w:fill="FFFFFF"/>
        </w:rPr>
      </w:pPr>
      <w:r w:rsidRPr="002878CB">
        <w:rPr>
          <w:rFonts w:cs="Arial"/>
          <w:color w:val="000000"/>
          <w:shd w:val="clear" w:color="auto" w:fill="FFFFFF"/>
        </w:rPr>
        <w:t xml:space="preserve">Independent </w:t>
      </w:r>
    </w:p>
    <w:p w14:paraId="7D6B41F2" w14:textId="77777777" w:rsidR="00BD1C41" w:rsidRPr="002878CB" w:rsidRDefault="00BD1C41" w:rsidP="0031511B">
      <w:pPr>
        <w:pStyle w:val="ListParagraph"/>
        <w:numPr>
          <w:ilvl w:val="0"/>
          <w:numId w:val="28"/>
        </w:numPr>
        <w:spacing w:before="0"/>
        <w:ind w:left="714" w:hanging="357"/>
        <w:contextualSpacing w:val="0"/>
        <w:rPr>
          <w:rFonts w:cs="Arial"/>
          <w:color w:val="000000"/>
          <w:shd w:val="clear" w:color="auto" w:fill="FFFFFF"/>
        </w:rPr>
      </w:pPr>
      <w:r w:rsidRPr="002878CB">
        <w:rPr>
          <w:rFonts w:cs="Arial"/>
          <w:color w:val="000000"/>
          <w:shd w:val="clear" w:color="auto" w:fill="FFFFFF"/>
        </w:rPr>
        <w:t xml:space="preserve">Culturally appropriate </w:t>
      </w:r>
    </w:p>
    <w:p w14:paraId="16CDEBD5" w14:textId="77777777" w:rsidR="00BD1C41" w:rsidRPr="002878CB" w:rsidRDefault="00BD1C41" w:rsidP="0031511B">
      <w:pPr>
        <w:pStyle w:val="ListParagraph"/>
        <w:numPr>
          <w:ilvl w:val="0"/>
          <w:numId w:val="28"/>
        </w:numPr>
        <w:spacing w:before="0"/>
        <w:ind w:left="714" w:hanging="357"/>
        <w:contextualSpacing w:val="0"/>
        <w:rPr>
          <w:rFonts w:cs="Arial"/>
          <w:color w:val="000000"/>
          <w:shd w:val="clear" w:color="auto" w:fill="FFFFFF"/>
        </w:rPr>
      </w:pPr>
      <w:r w:rsidRPr="002878CB">
        <w:rPr>
          <w:rFonts w:cs="Arial"/>
          <w:color w:val="000000"/>
          <w:shd w:val="clear" w:color="auto" w:fill="FFFFFF"/>
        </w:rPr>
        <w:t xml:space="preserve">Actively promoted to ‘hard to reach’ groups; and </w:t>
      </w:r>
    </w:p>
    <w:p w14:paraId="74DD1B13" w14:textId="77777777" w:rsidR="00BD1C41" w:rsidRDefault="00BD1C41" w:rsidP="0031511B">
      <w:pPr>
        <w:pStyle w:val="ListParagraph"/>
        <w:numPr>
          <w:ilvl w:val="0"/>
          <w:numId w:val="28"/>
        </w:numPr>
        <w:spacing w:before="0"/>
        <w:ind w:left="714" w:hanging="357"/>
        <w:contextualSpacing w:val="0"/>
        <w:rPr>
          <w:rFonts w:cs="Arial"/>
          <w:color w:val="000000"/>
          <w:shd w:val="clear" w:color="auto" w:fill="FFFFFF"/>
        </w:rPr>
      </w:pPr>
      <w:r w:rsidRPr="002878CB">
        <w:rPr>
          <w:rFonts w:cs="Arial"/>
          <w:color w:val="000000"/>
          <w:shd w:val="clear" w:color="auto" w:fill="FFFFFF"/>
        </w:rPr>
        <w:t xml:space="preserve">Gender appropriate. </w:t>
      </w:r>
    </w:p>
    <w:p w14:paraId="25E0FB9B" w14:textId="77777777" w:rsidR="0024695B" w:rsidRDefault="0024695B" w:rsidP="0024695B">
      <w:pPr>
        <w:pStyle w:val="ListParagraph"/>
        <w:spacing w:before="0"/>
        <w:ind w:left="714"/>
        <w:contextualSpacing w:val="0"/>
        <w:rPr>
          <w:rFonts w:cs="Arial"/>
          <w:color w:val="000000"/>
          <w:shd w:val="clear" w:color="auto" w:fill="FFFFFF"/>
        </w:rPr>
      </w:pPr>
    </w:p>
    <w:p w14:paraId="5F7AEEDA" w14:textId="77777777" w:rsidR="0024695B" w:rsidRPr="002878CB" w:rsidRDefault="0024695B" w:rsidP="0024695B">
      <w:pPr>
        <w:pStyle w:val="ListParagraph"/>
        <w:spacing w:before="0"/>
        <w:ind w:left="714"/>
        <w:contextualSpacing w:val="0"/>
        <w:rPr>
          <w:rFonts w:cs="Arial"/>
          <w:color w:val="000000"/>
          <w:shd w:val="clear" w:color="auto" w:fill="FFFFFF"/>
        </w:rPr>
      </w:pPr>
    </w:p>
    <w:p w14:paraId="616499CB" w14:textId="77777777" w:rsidR="00BD1C41" w:rsidRPr="002878CB" w:rsidRDefault="00BD1C41" w:rsidP="00BD1C41">
      <w:pPr>
        <w:spacing w:after="240"/>
        <w:rPr>
          <w:rFonts w:eastAsiaTheme="minorEastAsia" w:cs="Arial"/>
          <w:b/>
          <w:color w:val="000000"/>
          <w:shd w:val="clear" w:color="auto" w:fill="FFFFFF"/>
          <w:lang w:val="en-US"/>
        </w:rPr>
      </w:pPr>
      <w:r w:rsidRPr="002878CB">
        <w:rPr>
          <w:rFonts w:eastAsiaTheme="minorEastAsia" w:cs="Arial"/>
          <w:b/>
          <w:color w:val="000000"/>
          <w:shd w:val="clear" w:color="auto" w:fill="FFFFFF"/>
          <w:lang w:val="en-US"/>
        </w:rPr>
        <w:lastRenderedPageBreak/>
        <w:t>Increasing focus on outcomes</w:t>
      </w:r>
    </w:p>
    <w:p w14:paraId="6B6CDE2E" w14:textId="77777777" w:rsidR="00BD1C41" w:rsidRPr="002878CB" w:rsidRDefault="00BD1C41" w:rsidP="00BD1C41">
      <w:pPr>
        <w:spacing w:after="240"/>
        <w:rPr>
          <w:rStyle w:val="normaltextrun"/>
          <w:rFonts w:eastAsiaTheme="minorEastAsia" w:cs="Arial"/>
          <w:bCs/>
          <w:shd w:val="clear" w:color="auto" w:fill="FFFFFF"/>
          <w:lang w:val="en-US"/>
        </w:rPr>
      </w:pPr>
      <w:r w:rsidRPr="002878CB">
        <w:rPr>
          <w:rStyle w:val="normaltextrun"/>
          <w:rFonts w:eastAsiaTheme="minorEastAsia" w:cs="Arial"/>
          <w:bCs/>
          <w:shd w:val="clear" w:color="auto" w:fill="FFFFFF"/>
          <w:lang w:val="en-US"/>
        </w:rPr>
        <w:t>There is an increasing emphasis on outcomes in public services (Miller, 2012; Miller et al., 2009). As defined by the Institute for Research and Innovation in Social Services (IRISS) (2012), outcomes refer to the impact of support on a person’s life and not the outputs of services. Outcomes are the answer to the question: So</w:t>
      </w:r>
      <w:r w:rsidRPr="002878CB">
        <w:rPr>
          <w:rStyle w:val="normaltextrun"/>
          <w:rFonts w:eastAsiaTheme="minorEastAsia" w:cs="Arial"/>
          <w:shd w:val="clear" w:color="auto" w:fill="FFFFFF"/>
          <w:lang w:val="en-US"/>
        </w:rPr>
        <w:t>,</w:t>
      </w:r>
      <w:r w:rsidRPr="002878CB">
        <w:rPr>
          <w:rStyle w:val="normaltextrun"/>
          <w:rFonts w:eastAsiaTheme="minorEastAsia" w:cs="Arial"/>
          <w:bCs/>
          <w:shd w:val="clear" w:color="auto" w:fill="FFFFFF"/>
          <w:lang w:val="en-US"/>
        </w:rPr>
        <w:t xml:space="preserve"> what difference does it make? Outcomes are changes or benefits for individuals who access support and those of their informal/family caregivers. Focusing on the outcomes important to individuals is an underpinning principle of personalised support. As Glendinning and colleagues (2006) have said, ‘Outcome-focused services and support therefore aim to achieve the aspirations, goals and priorities identified by service users (and carers) – in contrast to services whose content and/or form of delivery are standardised or determined solely by those who deliver them’. </w:t>
      </w:r>
    </w:p>
    <w:p w14:paraId="4A9477F5" w14:textId="77777777" w:rsidR="00BD1C41" w:rsidRPr="002878CB" w:rsidRDefault="00BD1C41" w:rsidP="00BD1C41">
      <w:pPr>
        <w:rPr>
          <w:rStyle w:val="normaltextrun"/>
          <w:rFonts w:eastAsiaTheme="minorEastAsia" w:cs="Arial"/>
          <w:bCs/>
          <w:shd w:val="clear" w:color="auto" w:fill="FFFFFF"/>
          <w:lang w:val="en-US"/>
        </w:rPr>
      </w:pPr>
      <w:r w:rsidRPr="002878CB">
        <w:rPr>
          <w:rStyle w:val="normaltextrun"/>
          <w:rFonts w:eastAsiaTheme="minorEastAsia" w:cs="Arial"/>
          <w:bCs/>
          <w:shd w:val="clear" w:color="auto" w:fill="FFFFFF"/>
          <w:lang w:val="en-US"/>
        </w:rPr>
        <w:t>Making the switch from focusing on ‘outputs’ to ‘outcomes’ is challenging. According to Miller (2012), part of the problem lies in competing agendas:</w:t>
      </w:r>
    </w:p>
    <w:p w14:paraId="3CCAC566" w14:textId="77777777" w:rsidR="00BD1C41" w:rsidRPr="002878CB" w:rsidRDefault="00BD1C41" w:rsidP="00BD1C41">
      <w:pPr>
        <w:spacing w:after="240"/>
        <w:ind w:left="720"/>
        <w:rPr>
          <w:rStyle w:val="normaltextrun"/>
          <w:rFonts w:eastAsiaTheme="minorEastAsia" w:cs="Arial"/>
          <w:bCs/>
          <w:shd w:val="clear" w:color="auto" w:fill="FFFFFF"/>
          <w:lang w:val="en-US"/>
        </w:rPr>
      </w:pPr>
      <w:r w:rsidRPr="002878CB">
        <w:rPr>
          <w:rStyle w:val="normaltextrun"/>
          <w:rFonts w:eastAsiaTheme="minorEastAsia" w:cs="Arial"/>
          <w:bCs/>
          <w:shd w:val="clear" w:color="auto" w:fill="FFFFFF"/>
          <w:lang w:val="en-US"/>
        </w:rPr>
        <w:t>Two core outcomes paradigms are currently at play: the improving and the proving agendas. The improving agenda involves putting the person at the centre with a change management agenda which focuses on culture, practice and flexible approaches to communication. The proving agenda, more consistent with managerialism, centres on evaluating and evidencing improvement, leaning towards measurement and standardisation, and has a focus on tools. It is essential to strike the right balance between these approaches.</w:t>
      </w:r>
    </w:p>
    <w:p w14:paraId="4A03BA43" w14:textId="77777777" w:rsidR="00BD1C41" w:rsidRDefault="00BD1C41" w:rsidP="00BD1C41">
      <w:pPr>
        <w:spacing w:after="240"/>
        <w:rPr>
          <w:rStyle w:val="normaltextrun"/>
          <w:rFonts w:eastAsiaTheme="minorEastAsia" w:cs="Arial"/>
          <w:bCs/>
          <w:shd w:val="clear" w:color="auto" w:fill="FFFFFF"/>
          <w:lang w:val="en-US"/>
        </w:rPr>
      </w:pPr>
      <w:r w:rsidRPr="002878CB">
        <w:rPr>
          <w:rStyle w:val="normaltextrun"/>
          <w:rFonts w:eastAsiaTheme="minorEastAsia" w:cs="Arial"/>
          <w:bCs/>
          <w:shd w:val="clear" w:color="auto" w:fill="FFFFFF"/>
          <w:lang w:val="en-US"/>
        </w:rPr>
        <w:t>The Institute for Research and Innovation in Social Services (IRISS) in Scotland has produced a series of guides to help services adopt an outcomes-focused approach (IRISS, 2010, 2012, 2013).</w:t>
      </w:r>
    </w:p>
    <w:p w14:paraId="23383C30" w14:textId="0ED593BF" w:rsidR="00235766" w:rsidRPr="00B53C63" w:rsidRDefault="00235766" w:rsidP="00B53C63">
      <w:pPr>
        <w:rPr>
          <w:b/>
          <w:bCs/>
          <w:color w:val="0C2C74"/>
          <w:lang w:val="en-US"/>
        </w:rPr>
      </w:pPr>
      <w:r>
        <w:rPr>
          <w:rStyle w:val="normaltextrun"/>
          <w:rFonts w:eastAsiaTheme="minorEastAsia" w:cs="Arial"/>
          <w:b/>
          <w:color w:val="0C2C74"/>
          <w:shd w:val="clear" w:color="auto" w:fill="FFFFFF"/>
          <w:lang w:val="en-US"/>
        </w:rPr>
        <w:br/>
      </w:r>
      <w:r w:rsidRPr="00B53C63">
        <w:rPr>
          <w:b/>
          <w:bCs/>
          <w:color w:val="0C2C74"/>
          <w:lang w:val="en-US"/>
        </w:rPr>
        <w:t>Implications for ECI services</w:t>
      </w:r>
    </w:p>
    <w:p w14:paraId="3F69D089" w14:textId="65D55605" w:rsidR="00235766" w:rsidRPr="00B53C63" w:rsidRDefault="00235766" w:rsidP="0031511B">
      <w:pPr>
        <w:pStyle w:val="ListParagraph"/>
        <w:numPr>
          <w:ilvl w:val="0"/>
          <w:numId w:val="29"/>
        </w:numPr>
        <w:ind w:left="714" w:hanging="357"/>
        <w:contextualSpacing w:val="0"/>
        <w:rPr>
          <w:lang w:val="en-US"/>
        </w:rPr>
      </w:pPr>
      <w:r w:rsidRPr="00B53C63">
        <w:rPr>
          <w:lang w:val="en-US"/>
        </w:rPr>
        <w:t>Both the person-centred health care and the co-production/co-design movements are highly congruent with the principles of family-centred practice and suggest that other service sectors are beginning</w:t>
      </w:r>
      <w:r w:rsidR="0024695B">
        <w:rPr>
          <w:noProof/>
        </w:rPr>
        <mc:AlternateContent>
          <mc:Choice Requires="wps">
            <w:drawing>
              <wp:anchor distT="0" distB="0" distL="114300" distR="114300" simplePos="0" relativeHeight="251689984" behindDoc="1" locked="1" layoutInCell="1" allowOverlap="1" wp14:anchorId="30869747" wp14:editId="4451ED63">
                <wp:simplePos x="0" y="0"/>
                <wp:positionH relativeFrom="column">
                  <wp:posOffset>-371475</wp:posOffset>
                </wp:positionH>
                <wp:positionV relativeFrom="page">
                  <wp:posOffset>6210300</wp:posOffset>
                </wp:positionV>
                <wp:extent cx="6695440" cy="3499485"/>
                <wp:effectExtent l="0" t="0" r="0" b="5715"/>
                <wp:wrapNone/>
                <wp:docPr id="81370693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49948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A20FA" id="Rectangle 2" o:spid="_x0000_s1026" alt="&quot;&quot;" style="position:absolute;margin-left:-29.25pt;margin-top:489pt;width:527.2pt;height:275.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" fillcolor="#8087a3" stroked="f" strokeweight="1pt">
                <v:fill opacity="16448f"/>
                <w10:wrap anchory="page"/>
                <w10:anchorlock/>
              </v:rect>
            </w:pict>
          </mc:Fallback>
        </mc:AlternateContent>
      </w:r>
      <w:r w:rsidRPr="00B53C63">
        <w:rPr>
          <w:lang w:val="en-US"/>
        </w:rPr>
        <w:t xml:space="preserve"> to understand what the ECI sector has long understood. However, some of the ideas being developed go beyond family-centred practice as traditionally </w:t>
      </w:r>
      <w:r w:rsidR="00B550DC" w:rsidRPr="00B53C63">
        <w:rPr>
          <w:lang w:val="en-US"/>
        </w:rPr>
        <w:t>practi</w:t>
      </w:r>
      <w:r w:rsidR="00E9357F">
        <w:rPr>
          <w:lang w:val="en-US"/>
        </w:rPr>
        <w:t>s</w:t>
      </w:r>
      <w:r w:rsidR="00B550DC" w:rsidRPr="00B53C63">
        <w:rPr>
          <w:lang w:val="en-US"/>
        </w:rPr>
        <w:t>ed</w:t>
      </w:r>
      <w:r w:rsidRPr="00B53C63">
        <w:rPr>
          <w:lang w:val="en-US"/>
        </w:rPr>
        <w:t xml:space="preserve"> and may challenge the ECI sector to engage with families of children with disabilities in new ways.</w:t>
      </w:r>
    </w:p>
    <w:p w14:paraId="5971DC1A" w14:textId="77777777" w:rsidR="00235766" w:rsidRPr="00B53C63" w:rsidRDefault="00235766" w:rsidP="0031511B">
      <w:pPr>
        <w:pStyle w:val="ListParagraph"/>
        <w:numPr>
          <w:ilvl w:val="0"/>
          <w:numId w:val="29"/>
        </w:numPr>
        <w:ind w:left="714" w:hanging="357"/>
        <w:contextualSpacing w:val="0"/>
        <w:rPr>
          <w:lang w:val="en-US"/>
        </w:rPr>
      </w:pPr>
      <w:r w:rsidRPr="00B53C63">
        <w:rPr>
          <w:lang w:val="en-US"/>
        </w:rPr>
        <w:t xml:space="preserve">There are also lessons to be learned from the various efforts to implement self-managed funding models. This has direct relevance for ECI services under the NDIS. Although such models can have positive benefits, these are only likely to be experienced if certain conditions are in place. We need to identify those conditions and ensure that they in place so that families entering the NDIS can experience the full benefits of self-directed funding. Choice is meaningless for those who have no viable support services to choose from. Choice is also compromised when parents are not well informed about ECI services, which may result in them making choices that are not in their best </w:t>
      </w:r>
      <w:r w:rsidRPr="00B53C63">
        <w:rPr>
          <w:lang w:val="en-US"/>
        </w:rPr>
        <w:lastRenderedPageBreak/>
        <w:t xml:space="preserve">interests of the child or family or that make poor use of funding, all through no fault of their own. </w:t>
      </w:r>
    </w:p>
    <w:p w14:paraId="73B89A1A" w14:textId="160CCB34" w:rsidR="00663B82" w:rsidRDefault="00235766" w:rsidP="0031511B">
      <w:pPr>
        <w:pStyle w:val="ListParagraph"/>
        <w:numPr>
          <w:ilvl w:val="0"/>
          <w:numId w:val="29"/>
        </w:numPr>
        <w:ind w:left="714" w:hanging="357"/>
        <w:contextualSpacing w:val="0"/>
        <w:rPr>
          <w:lang w:val="en-US"/>
        </w:rPr>
      </w:pPr>
      <w:r w:rsidRPr="00B53C63">
        <w:rPr>
          <w:lang w:val="en-US"/>
        </w:rPr>
        <w:t>The increasing focus on outcomes has lessons for ECI services. Not only should they be based on a clear understanding of the overall aims of ECI (as discussed earlier), they should also be clear about what outcomes they are seeki</w:t>
      </w:r>
      <w:r w:rsidR="0024695B">
        <w:rPr>
          <w:noProof/>
        </w:rPr>
        <mc:AlternateContent>
          <mc:Choice Requires="wps">
            <w:drawing>
              <wp:anchor distT="0" distB="0" distL="114300" distR="114300" simplePos="0" relativeHeight="251692032" behindDoc="1" locked="1" layoutInCell="1" allowOverlap="1" wp14:anchorId="03DC5460" wp14:editId="5A1DFEA2">
                <wp:simplePos x="0" y="0"/>
                <wp:positionH relativeFrom="column">
                  <wp:posOffset>-304800</wp:posOffset>
                </wp:positionH>
                <wp:positionV relativeFrom="page">
                  <wp:posOffset>704850</wp:posOffset>
                </wp:positionV>
                <wp:extent cx="6695440" cy="1685925"/>
                <wp:effectExtent l="0" t="0" r="0" b="9525"/>
                <wp:wrapNone/>
                <wp:docPr id="144539863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168592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5C022" id="Rectangle 2" o:spid="_x0000_s1026" alt="&quot;&quot;" style="position:absolute;margin-left:-24pt;margin-top:55.5pt;width:527.2pt;height:132.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" fillcolor="#8087a3" stroked="f" strokeweight="1pt">
                <v:fill opacity="16448f"/>
                <w10:wrap anchory="page"/>
                <w10:anchorlock/>
              </v:rect>
            </w:pict>
          </mc:Fallback>
        </mc:AlternateContent>
      </w:r>
      <w:r w:rsidRPr="00B53C63">
        <w:rPr>
          <w:lang w:val="en-US"/>
        </w:rPr>
        <w:t>ng for children and families, and be able to monitor whether these are being achieved.</w:t>
      </w:r>
      <w:bookmarkEnd w:id="28"/>
    </w:p>
    <w:p w14:paraId="4BBA3A1C" w14:textId="48336C59" w:rsidR="00737D3B" w:rsidRDefault="00737D3B" w:rsidP="00663B82">
      <w:pPr>
        <w:rPr>
          <w:lang w:val="en-US"/>
        </w:rPr>
      </w:pPr>
    </w:p>
    <w:p w14:paraId="78D856D3" w14:textId="77777777" w:rsidR="00663B82" w:rsidRDefault="00663B82" w:rsidP="00663B82">
      <w:pPr>
        <w:rPr>
          <w:lang w:val="en-US"/>
        </w:rPr>
      </w:pPr>
    </w:p>
    <w:p w14:paraId="09A7997A" w14:textId="77777777" w:rsidR="00663B82" w:rsidRPr="00663B82" w:rsidRDefault="00663B82" w:rsidP="00663B82">
      <w:pPr>
        <w:rPr>
          <w:b/>
          <w:bCs/>
          <w:color w:val="0C2C74"/>
          <w:lang w:val="en-US"/>
        </w:rPr>
      </w:pPr>
      <w:r w:rsidRPr="00663B82">
        <w:rPr>
          <w:b/>
          <w:bCs/>
          <w:color w:val="0C2C74"/>
          <w:lang w:val="en-US"/>
        </w:rPr>
        <w:t>Implications for ECI Best Practice Framework</w:t>
      </w:r>
    </w:p>
    <w:p w14:paraId="7DB795F6" w14:textId="77777777" w:rsidR="00663B82" w:rsidRPr="00663B82" w:rsidRDefault="00663B82" w:rsidP="00663B82">
      <w:pPr>
        <w:rPr>
          <w:lang w:val="en-US"/>
        </w:rPr>
      </w:pPr>
      <w:r w:rsidRPr="00663B82">
        <w:rPr>
          <w:lang w:val="en-US"/>
        </w:rPr>
        <w:t>It is recommended that the ECI Best Practice Framework:</w:t>
      </w:r>
    </w:p>
    <w:p w14:paraId="07010ADD" w14:textId="1E683292" w:rsidR="00663B82" w:rsidRPr="00663B82" w:rsidRDefault="00663B82" w:rsidP="0031511B">
      <w:pPr>
        <w:pStyle w:val="ListParagraph"/>
        <w:numPr>
          <w:ilvl w:val="0"/>
          <w:numId w:val="30"/>
        </w:numPr>
        <w:ind w:left="714" w:hanging="357"/>
        <w:contextualSpacing w:val="0"/>
        <w:rPr>
          <w:lang w:val="en-US"/>
        </w:rPr>
      </w:pPr>
      <w:r w:rsidRPr="00663B82">
        <w:rPr>
          <w:lang w:val="en-US"/>
        </w:rPr>
        <w:t>is based on a clear understanding of the conditions that families need to make informed choices regarding goals, funding and services</w:t>
      </w:r>
    </w:p>
    <w:p w14:paraId="7F9AED71" w14:textId="4BB81995" w:rsidR="00663B82" w:rsidRPr="00663B82" w:rsidRDefault="00663B82" w:rsidP="0031511B">
      <w:pPr>
        <w:pStyle w:val="ListParagraph"/>
        <w:numPr>
          <w:ilvl w:val="0"/>
          <w:numId w:val="30"/>
        </w:numPr>
        <w:ind w:left="714" w:hanging="357"/>
        <w:contextualSpacing w:val="0"/>
        <w:rPr>
          <w:lang w:val="en-US"/>
        </w:rPr>
      </w:pPr>
      <w:r w:rsidRPr="00663B82">
        <w:rPr>
          <w:lang w:val="en-US"/>
        </w:rPr>
        <w:t>specifies the outcomes that are being sought for children and families</w:t>
      </w:r>
    </w:p>
    <w:p w14:paraId="4C272AB0" w14:textId="77D0735C" w:rsidR="00663B82" w:rsidRPr="00663B82" w:rsidRDefault="00663B82" w:rsidP="0031511B">
      <w:pPr>
        <w:pStyle w:val="ListParagraph"/>
        <w:numPr>
          <w:ilvl w:val="0"/>
          <w:numId w:val="30"/>
        </w:numPr>
        <w:ind w:left="714" w:hanging="357"/>
        <w:contextualSpacing w:val="0"/>
        <w:rPr>
          <w:lang w:val="en-US"/>
        </w:rPr>
      </w:pPr>
      <w:r w:rsidRPr="00663B82">
        <w:rPr>
          <w:lang w:val="en-US"/>
        </w:rPr>
        <w:t>provides ways of m</w:t>
      </w:r>
      <w:r w:rsidR="0024695B">
        <w:rPr>
          <w:noProof/>
        </w:rPr>
        <mc:AlternateContent>
          <mc:Choice Requires="wps">
            <w:drawing>
              <wp:anchor distT="0" distB="0" distL="114300" distR="114300" simplePos="0" relativeHeight="251693056" behindDoc="1" locked="1" layoutInCell="1" allowOverlap="1" wp14:anchorId="12E6993E" wp14:editId="0402078E">
                <wp:simplePos x="0" y="0"/>
                <wp:positionH relativeFrom="column">
                  <wp:posOffset>-311150</wp:posOffset>
                </wp:positionH>
                <wp:positionV relativeFrom="page">
                  <wp:posOffset>2660650</wp:posOffset>
                </wp:positionV>
                <wp:extent cx="6695440" cy="1901825"/>
                <wp:effectExtent l="19050" t="19050" r="10160" b="22225"/>
                <wp:wrapNone/>
                <wp:docPr id="188803950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1901825"/>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0761" id="Rectangle 2" o:spid="_x0000_s1026" alt="&quot;&quot;" style="position:absolute;margin-left:-24.5pt;margin-top:209.5pt;width:527.2pt;height:149.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" fillcolor="#f2f2f2 [3052]" strokecolor="#8087a3" strokeweight="2.25pt">
                <w10:wrap anchory="page"/>
                <w10:anchorlock/>
              </v:rect>
            </w:pict>
          </mc:Fallback>
        </mc:AlternateContent>
      </w:r>
      <w:r w:rsidRPr="00663B82">
        <w:rPr>
          <w:lang w:val="en-US"/>
        </w:rPr>
        <w:t>easuring child and family outcomes</w:t>
      </w:r>
    </w:p>
    <w:p w14:paraId="7B617332" w14:textId="77777777" w:rsidR="00663B82" w:rsidRDefault="00663B82" w:rsidP="00663B82">
      <w:pPr>
        <w:rPr>
          <w:lang w:val="en-US"/>
        </w:rPr>
      </w:pPr>
    </w:p>
    <w:p w14:paraId="1929CA3A" w14:textId="77777777" w:rsidR="00663B82" w:rsidRDefault="00663B82" w:rsidP="00663B82">
      <w:pPr>
        <w:rPr>
          <w:lang w:val="en-US"/>
        </w:rPr>
      </w:pPr>
    </w:p>
    <w:p w14:paraId="23B97DD8" w14:textId="77777777" w:rsidR="001F7350" w:rsidRPr="001F7350" w:rsidRDefault="001F7350" w:rsidP="001F7350">
      <w:pPr>
        <w:rPr>
          <w:b/>
          <w:bCs/>
          <w:lang w:val="en-US"/>
        </w:rPr>
      </w:pPr>
      <w:r w:rsidRPr="001F7350">
        <w:rPr>
          <w:b/>
          <w:bCs/>
          <w:lang w:val="en-US"/>
        </w:rPr>
        <w:t>Changing ideas about evidence and implementation</w:t>
      </w:r>
    </w:p>
    <w:p w14:paraId="1E1D7F12" w14:textId="77777777" w:rsidR="001F7350" w:rsidRPr="001F7350" w:rsidRDefault="001F7350" w:rsidP="001F7350">
      <w:pPr>
        <w:rPr>
          <w:lang w:val="en-US"/>
        </w:rPr>
      </w:pPr>
      <w:r w:rsidRPr="001F7350">
        <w:rPr>
          <w:lang w:val="en-US"/>
        </w:rPr>
        <w:t>Another major feature of service delivery over the past two decades has been the emergence of the evidence-based practice and implementation science movements. The term evidence-based practice is usually understood as the use of programs and interventions that have been demonstrated to be effective through a particular set of methods – randomised controlled trials with replications and longitudinal follow ups, and systematic reviews of such trials. It has been argued that interventions that have not been subjected to these tests and shown to be effective should be avoided. This has led to the generation of lists of evidence-based programs that practitioners were advised or even required to choose from.</w:t>
      </w:r>
    </w:p>
    <w:p w14:paraId="6CA09779" w14:textId="77777777" w:rsidR="001F7350" w:rsidRPr="001F7350" w:rsidRDefault="001F7350" w:rsidP="001F7350">
      <w:pPr>
        <w:rPr>
          <w:lang w:val="en-US"/>
        </w:rPr>
      </w:pPr>
      <w:r w:rsidRPr="001F7350">
        <w:rPr>
          <w:lang w:val="en-US"/>
        </w:rPr>
        <w:t xml:space="preserve">This approach has been criticised on several grounds (Fonagy et al., 2014; Greenhalgh, 2012, 2018; Hammersley, 2013; Moore, 2016). While existence of evidence increases the chances of a treatment being effective, it is no guarantee. Fonagy and colleagues (2014) state that we now know that evidence-based practice cannot be assured by 'choosing' a treatment from a list of approved options, an approach they describe as a parody of evidence-based practice. </w:t>
      </w:r>
    </w:p>
    <w:p w14:paraId="67DFF72A" w14:textId="77777777" w:rsidR="001F7350" w:rsidRPr="001F7350" w:rsidRDefault="001F7350" w:rsidP="001F7350">
      <w:pPr>
        <w:rPr>
          <w:lang w:val="en-US"/>
        </w:rPr>
      </w:pPr>
      <w:r w:rsidRPr="001F7350">
        <w:rPr>
          <w:lang w:val="en-US"/>
        </w:rPr>
        <w:t xml:space="preserve">One of the problems with this approach is that programs that have been shown to be effective in controlled trials are not so easy to implement (and therefore less effective) in real world settings, which are invariably less well controlled (Greenhalgh, 2018). One response to this problem has been the implementation science movement, which argues that better outcomes will be achieved if programs that have been shown to be effective are delivered as designed. Implementation science involves developing ways of ensuring that practitioners deliver intervention with greater program fidelity (Fixen et al., 2005; Kaiser &amp; Hemmeter, 2013). The evidence shows that stronger outcomes result when implementation is better, and that one can fail to achieve desirable outcomes if implementation is poor (Durlak, 2016). Numerous implementation science frameworks have been developed, and there are </w:t>
      </w:r>
      <w:r w:rsidRPr="001F7350">
        <w:rPr>
          <w:lang w:val="en-US"/>
        </w:rPr>
        <w:lastRenderedPageBreak/>
        <w:t xml:space="preserve">ongoing efforts to identify the common elements, and the conditions needed to ensure that interventions known to be effective are implemented with fidelity (Fixsen et al., 2019, 2021). </w:t>
      </w:r>
    </w:p>
    <w:p w14:paraId="1619E9FE" w14:textId="77777777" w:rsidR="001F7350" w:rsidRPr="001F7350" w:rsidRDefault="001F7350" w:rsidP="001F7350">
      <w:pPr>
        <w:rPr>
          <w:lang w:val="en-US"/>
        </w:rPr>
      </w:pPr>
      <w:r w:rsidRPr="001F7350">
        <w:rPr>
          <w:lang w:val="en-US"/>
        </w:rPr>
        <w:t>However, there can also be problems with this approach, as illustrated by a study by Kilburn and colleagues (2017) of an intervention to improve parenting style in a sample of parents of young children with disabilities. Among other factors, they measured how faithfully the practitioner followed the intervention protocols and found that high implementation fidelity was associated with poorer parenting outcomes. They had two possible explanations for this unexpected finding.  One was that the process or quality of intervention delivery is more influential than content fidelity, which considers only adherence to the intervention manual. The second possibility was that, in ECI services, working with families calls for a greater focus on relationships between practitioners and parents and on building parental capabilities, and less on the content of the specific intervention.</w:t>
      </w:r>
    </w:p>
    <w:p w14:paraId="7B325FAE" w14:textId="25EC3A9F" w:rsidR="001F7350" w:rsidRPr="001F7350" w:rsidRDefault="001F7350" w:rsidP="001F7350">
      <w:pPr>
        <w:rPr>
          <w:lang w:val="en-US"/>
        </w:rPr>
      </w:pPr>
      <w:r w:rsidRPr="001F7350">
        <w:rPr>
          <w:lang w:val="en-US"/>
        </w:rPr>
        <w:t>There are good reasons for thinking that both these explanations may be true. Focusing solely on program fidelity ignores other dimensions of practice that are vital for interventions to be effective. Evidence-based practice is multidimensional and cannot be reduced to a single dimension. In medicine, evidence-based practice has been defined as ‘the conscientious, explicit, and judicious use of current best evidence in making decisions about the care of individual patients’ (Sackett et al., 1996). In the ECI field, Buysse and Wesley (2006) define evidence-based practice as ‘a decision-making process that integrates the best available research evidence with family and professional wisdom and values</w:t>
      </w:r>
      <w:r w:rsidR="009E307B">
        <w:rPr>
          <w:lang w:val="en-US"/>
        </w:rPr>
        <w:t>.</w:t>
      </w:r>
      <w:r w:rsidRPr="001F7350">
        <w:rPr>
          <w:lang w:val="en-US"/>
        </w:rPr>
        <w:t xml:space="preserve">’ In other words, it involves a balance of scientific evidence, family and professional wisdom, and family and professional values. </w:t>
      </w:r>
    </w:p>
    <w:p w14:paraId="568D8F12" w14:textId="77777777" w:rsidR="001F7350" w:rsidRPr="001F7350" w:rsidRDefault="001F7350" w:rsidP="001F7350">
      <w:pPr>
        <w:rPr>
          <w:lang w:val="en-US"/>
        </w:rPr>
      </w:pPr>
      <w:r w:rsidRPr="001F7350">
        <w:rPr>
          <w:lang w:val="en-US"/>
        </w:rPr>
        <w:t>This indicates that the tendency to equate evidence-based practice with evidence-based programs or treatments does not capture its true multidimensional nature: properly understood, evidence-informed practice involves three key components: evidence-based programs, evidence-based processes, and client and professional values and beliefs:</w:t>
      </w:r>
    </w:p>
    <w:p w14:paraId="0FB67EEF" w14:textId="7016E89E" w:rsidR="001F7350" w:rsidRPr="001F7350" w:rsidRDefault="001F7350" w:rsidP="009B7BC4">
      <w:pPr>
        <w:pStyle w:val="ListParagraph"/>
        <w:numPr>
          <w:ilvl w:val="0"/>
          <w:numId w:val="31"/>
        </w:numPr>
        <w:ind w:left="714" w:hanging="357"/>
        <w:contextualSpacing w:val="0"/>
        <w:rPr>
          <w:lang w:val="en-US"/>
        </w:rPr>
      </w:pPr>
      <w:r w:rsidRPr="001F7350">
        <w:rPr>
          <w:lang w:val="en-US"/>
        </w:rPr>
        <w:t xml:space="preserve">Evidence-based programs refer to interventions or programs that have been shown through rigorous formal testing to be effective in building client competencies and changing behaviour and functioning. </w:t>
      </w:r>
    </w:p>
    <w:p w14:paraId="67303EAF" w14:textId="39E6EEC8" w:rsidR="001F7350" w:rsidRPr="001F7350" w:rsidRDefault="001F7350" w:rsidP="009B7BC4">
      <w:pPr>
        <w:pStyle w:val="ListParagraph"/>
        <w:numPr>
          <w:ilvl w:val="0"/>
          <w:numId w:val="31"/>
        </w:numPr>
        <w:ind w:left="714" w:hanging="357"/>
        <w:contextualSpacing w:val="0"/>
        <w:rPr>
          <w:lang w:val="en-US"/>
        </w:rPr>
      </w:pPr>
      <w:r w:rsidRPr="001F7350">
        <w:rPr>
          <w:lang w:val="en-US"/>
        </w:rPr>
        <w:t xml:space="preserve">Evidence-based processes refer to the way in which service providers and the service system as a whole engage and work with families, individually and collectively (Moore, 2016, 2017). </w:t>
      </w:r>
    </w:p>
    <w:p w14:paraId="40E1B1B1" w14:textId="6B635262" w:rsidR="001F7350" w:rsidRPr="001F7350" w:rsidRDefault="001F7350" w:rsidP="009B7BC4">
      <w:pPr>
        <w:pStyle w:val="ListParagraph"/>
        <w:numPr>
          <w:ilvl w:val="0"/>
          <w:numId w:val="31"/>
        </w:numPr>
        <w:ind w:left="714" w:hanging="357"/>
        <w:contextualSpacing w:val="0"/>
        <w:rPr>
          <w:lang w:val="en-US"/>
        </w:rPr>
      </w:pPr>
      <w:r w:rsidRPr="001F7350">
        <w:rPr>
          <w:lang w:val="en-US"/>
        </w:rPr>
        <w:t>Client and professional values and beliefs refer to the crucial role played by values and beliefs in determining what goals are important, what interventions and programs are acceptable, and how effective these are (McCarthy &amp; Rose, 2010).</w:t>
      </w:r>
    </w:p>
    <w:p w14:paraId="2D6A9F48" w14:textId="77777777" w:rsidR="001F7350" w:rsidRPr="001F7350" w:rsidRDefault="001F7350" w:rsidP="001F7350">
      <w:pPr>
        <w:rPr>
          <w:lang w:val="en-US"/>
        </w:rPr>
      </w:pPr>
      <w:r w:rsidRPr="001F7350">
        <w:rPr>
          <w:lang w:val="en-US"/>
        </w:rPr>
        <w:t xml:space="preserve">The evidence regarding the three elements indicates that all three make important contributions to achieving positive outcomes. The overall process (called evidence-informed practice to distinguish it from the common usage of evidence-based practice) should be understood as a decision-making process, a way of blending the three major sources of ‘evidence’ in practice (Moore, 2016). For the NDIS Quality and Safeguards Commission (2016), evidence-informed practice is a process for making informed decisions about the delivery of supports and services that involves </w:t>
      </w:r>
      <w:r w:rsidRPr="001F7350">
        <w:rPr>
          <w:lang w:val="en-US"/>
        </w:rPr>
        <w:lastRenderedPageBreak/>
        <w:t xml:space="preserve">integrating the rights and perspectives of the person with disability, with the best available research with professional expertise and information from the implementing or practice contexts. Several evidence-informed decision-making models that take account of the various sources of evidence in service delivery have been developed (An &amp; Palisano, 2014; Kuhn &amp; Marvin, 2016; Moore, 2018; NDIS Quality and Safeguards Commission, 2016; Palisano et al., 2012). </w:t>
      </w:r>
    </w:p>
    <w:p w14:paraId="6E6D47AC" w14:textId="77777777" w:rsidR="001F7350" w:rsidRPr="001F7350" w:rsidRDefault="001F7350" w:rsidP="001F7350">
      <w:pPr>
        <w:rPr>
          <w:lang w:val="en-US"/>
        </w:rPr>
      </w:pPr>
      <w:r w:rsidRPr="001F7350">
        <w:rPr>
          <w:lang w:val="en-US"/>
        </w:rPr>
        <w:t>In addition, there is an important role for theory. Odom (2016) argues that the selection of intervention strategies should be informed by theory as to how the interventions have their effects. Whether practitioners choose to follow a single theory or draw on multiple theories in designing programs, they should select practices that are not only firmly based on scientific evidence and professional judgment but are also informed by theory. This suggests that ECI provision should be based on a clear theory of change that describes how the practices and strategies used achieve the outcomes that are desired.</w:t>
      </w:r>
    </w:p>
    <w:p w14:paraId="71638C5D" w14:textId="77777777" w:rsidR="001F7350" w:rsidRPr="001F7350" w:rsidRDefault="001F7350" w:rsidP="001F7350">
      <w:pPr>
        <w:rPr>
          <w:b/>
          <w:bCs/>
          <w:lang w:val="en-US"/>
        </w:rPr>
      </w:pPr>
      <w:r w:rsidRPr="001F7350">
        <w:rPr>
          <w:b/>
          <w:bCs/>
          <w:lang w:val="en-US"/>
        </w:rPr>
        <w:t>Implementation issues</w:t>
      </w:r>
    </w:p>
    <w:p w14:paraId="130CC7CB" w14:textId="77777777" w:rsidR="001F7350" w:rsidRPr="001F7350" w:rsidRDefault="001F7350" w:rsidP="001F7350">
      <w:pPr>
        <w:rPr>
          <w:lang w:val="en-US"/>
        </w:rPr>
      </w:pPr>
      <w:r w:rsidRPr="001F7350">
        <w:rPr>
          <w:lang w:val="en-US"/>
        </w:rPr>
        <w:t xml:space="preserve">Implementation science has emphasised the importance of program fidelity – delivering programs exactly as designed. Program fidelity only applies to one of the three elements of evidence-informed practice. To capture the other two elements, we need strategies for measuring process fidelity and values fidelity (Moore, 2016). This means obtaining feedback on the way in which services are provided as well as the impact they are having. Feedback is increasingly seen as essential for service improvement (Gawunde, 2009; Syed, 2015), and plays an essential role in improving the effectiveness in psychotherapy (Miller &amp; Bargmann, 2012; Duncan et al., 2017). </w:t>
      </w:r>
    </w:p>
    <w:p w14:paraId="6C5981E6" w14:textId="77777777" w:rsidR="001F7350" w:rsidRPr="001F7350" w:rsidRDefault="001F7350" w:rsidP="001F7350">
      <w:pPr>
        <w:rPr>
          <w:lang w:val="en-US"/>
        </w:rPr>
      </w:pPr>
      <w:r w:rsidRPr="001F7350">
        <w:rPr>
          <w:lang w:val="en-US"/>
        </w:rPr>
        <w:t xml:space="preserve">Ensuring that ECI services are implemented with fidelity has long been recognised as a challenge. Issues include whether ECI practitioners know about and implement evidence-based practices, and the extent to which they are able to implement best practices such as family-centred practice with fidelity. It also involves the extent to which practitioners are able to engage children and families effectively, and the extent to which the strategies chosen are acceptable to families and able to be incorporated into family routines. </w:t>
      </w:r>
    </w:p>
    <w:p w14:paraId="40D93583" w14:textId="77777777" w:rsidR="001F7350" w:rsidRPr="001F7350" w:rsidRDefault="001F7350" w:rsidP="001F7350">
      <w:pPr>
        <w:rPr>
          <w:lang w:val="en-US"/>
        </w:rPr>
      </w:pPr>
      <w:r w:rsidRPr="001F7350">
        <w:rPr>
          <w:lang w:val="en-US"/>
        </w:rPr>
        <w:t xml:space="preserve">The extent to which new knowledge about evidence-based strategies is being incorporated into practice is unclear. For instance, reviews suggest that many of the interventions used by paediatric therapists working with children with cerebral palsy in Australia do not typically seek research evidence when selecting interventions (Kerr et al., 2015) or use interventions that lack evidence of efficacy (Novak et al., 2013). Another Australian study (Luskin-Saxby et al., 2024) investigated the use of evidence-based practice by Australian autism early intervention service providers and found that participants reported using practices supported by research evidence, but also some emerging and unsupported practices. </w:t>
      </w:r>
    </w:p>
    <w:p w14:paraId="67E6BE13" w14:textId="77777777" w:rsidR="001F7350" w:rsidRPr="001F7350" w:rsidRDefault="001F7350" w:rsidP="001F7350">
      <w:pPr>
        <w:rPr>
          <w:lang w:val="en-US"/>
        </w:rPr>
      </w:pPr>
      <w:r w:rsidRPr="001F7350">
        <w:rPr>
          <w:lang w:val="en-US"/>
        </w:rPr>
        <w:t xml:space="preserve">Another issue is how ECI practitioners learn about evidence-based strategies. A survey by Kong and colleagues (2024) explored this question and found that most respondents reported being familiar or somewhat familiar with research evidence for their practices and chose discussion with colleagues as the most frequently used strategy to learn and make decisions about a new practice. </w:t>
      </w:r>
    </w:p>
    <w:p w14:paraId="1A16D6CA" w14:textId="77777777" w:rsidR="001F7350" w:rsidRPr="001F7350" w:rsidRDefault="001F7350" w:rsidP="001F7350">
      <w:pPr>
        <w:rPr>
          <w:lang w:val="en-US"/>
        </w:rPr>
      </w:pPr>
      <w:r w:rsidRPr="001F7350">
        <w:rPr>
          <w:lang w:val="en-US"/>
        </w:rPr>
        <w:t xml:space="preserve">Implementing family-centred practice is another challenge. While accepted as a core plank of ECI services, family-centred practice has been difficult to operationalise (Bailey et al., 2011; Epley, 2010), and to implement consistently (Bruder, 2000; </w:t>
      </w:r>
      <w:r w:rsidRPr="001F7350">
        <w:rPr>
          <w:lang w:val="en-US"/>
        </w:rPr>
        <w:lastRenderedPageBreak/>
        <w:t xml:space="preserve">Darrah et al., 2012; Dempsey &amp; Keen, 2017; Dunst &amp; Espe-Sherwindt, 2016; Dunst et al., 2014; Epley et al., 2010; Fordham et al., 2012; Hiebert-Murphy et al., 2017; Johnston et al., 2017; Wright et al., 2010; Ziviani et al., 2011). There are many factors that can contribute to this shortfall, such as parental expectations, lack of appropriate training, and lack of managerial support. Although family-centred practice encourages negotiation and collaborative goal setting, parents may not always be ready to take on highly collaborative roles (Forsingale et al., 2013), and there is a danger that too much will be expected of them (Cameron, 2018; Lord et al., 2018). Being the parent of a child with a disability comprises multiple roles, and some parents express the desire to ‘just be parents’ and separate themselves from the duties of the professionals responsible for supporting their children (Cameron, 2018). This is a question of balance: an over-reliance on parents’ participation has the potential to undercut a sense of normalcy in families’ lives and emphasise the child’s disability (Cameron, 2018). </w:t>
      </w:r>
    </w:p>
    <w:p w14:paraId="793ACED5" w14:textId="77777777" w:rsidR="001F7350" w:rsidRPr="001F7350" w:rsidRDefault="001F7350" w:rsidP="001F7350">
      <w:pPr>
        <w:rPr>
          <w:lang w:val="en-US"/>
        </w:rPr>
      </w:pPr>
      <w:r w:rsidRPr="001F7350">
        <w:rPr>
          <w:lang w:val="en-US"/>
        </w:rPr>
        <w:t>Several factors need to be in place for parent-delivered interventions to be successful. These include developing positive, trusting and reciprocal relationships between the parent, child, and health care professionals; parents having strong support networks including support for their own needs to feel capable to deliver the intervention; and all involved parties need to see the intervention as a priority (Lord et al., 2018). Implementation of family-centred practices by individual practitioners is more likely to be effective within a whole-of-organisation framework where the organisational culture supports the use of evidence-based practices (Dempsey &amp; Keen, 2017; Summers et al., 2005).</w:t>
      </w:r>
    </w:p>
    <w:p w14:paraId="73EF7527" w14:textId="601DBE35" w:rsidR="00663B82" w:rsidRDefault="001F7350" w:rsidP="001F7350">
      <w:pPr>
        <w:rPr>
          <w:lang w:val="en-US"/>
        </w:rPr>
      </w:pPr>
      <w:r w:rsidRPr="001F7350">
        <w:rPr>
          <w:lang w:val="en-US"/>
        </w:rPr>
        <w:t>To promote the adoption of evidence-based strategies, performance checklists have been developed (ECTA Centre - http://ectacenter.org/decrp/type-checklists.asp), along with family and practitioner practice guides that include descriptions and examples of how to use evidence-informed interventions as part of everyday practice (Dunst, 2017b, 2017c, 2018). However, neither performance checklists nor training are sufficient to ensure the implementation of evidence-based practices with fidelity (Artman-Meeker et al., 2015; Bransford et al., 2000). To promote the use of recommended practices, Dunst and colleagues (2020) recommend providing evidence-based capacity-building professional development, while others are exploring the use of practice-based coaching (Fox et al., 2017; Jayaraman et al., 2015; Snyder et al., 2015, 2022) and job-embedded hands-on professional development conducted in real time to bridge the research-practice gap (Luskin-Saxby et al., 2024).</w:t>
      </w:r>
    </w:p>
    <w:p w14:paraId="091BD8A2" w14:textId="77777777" w:rsidR="001F7350" w:rsidRDefault="001F7350" w:rsidP="001F7350">
      <w:pPr>
        <w:rPr>
          <w:lang w:val="en-US"/>
        </w:rPr>
      </w:pPr>
    </w:p>
    <w:p w14:paraId="2FD0D551" w14:textId="77777777" w:rsidR="00245AF4" w:rsidRPr="00245AF4" w:rsidRDefault="00245AF4" w:rsidP="00245AF4">
      <w:pPr>
        <w:rPr>
          <w:b/>
          <w:bCs/>
          <w:lang w:val="en-US"/>
        </w:rPr>
      </w:pPr>
      <w:r w:rsidRPr="00245AF4">
        <w:rPr>
          <w:b/>
          <w:bCs/>
          <w:lang w:val="en-US"/>
        </w:rPr>
        <w:t>Implications for ECI services</w:t>
      </w:r>
    </w:p>
    <w:p w14:paraId="79945EF0" w14:textId="20EF4FE3" w:rsidR="00245AF4" w:rsidRPr="00245AF4" w:rsidRDefault="00245AF4" w:rsidP="0031511B">
      <w:pPr>
        <w:pStyle w:val="ListParagraph"/>
        <w:numPr>
          <w:ilvl w:val="0"/>
          <w:numId w:val="32"/>
        </w:numPr>
        <w:ind w:left="714" w:hanging="357"/>
        <w:contextualSpacing w:val="0"/>
        <w:rPr>
          <w:lang w:val="en-US"/>
        </w:rPr>
      </w:pPr>
      <w:r w:rsidRPr="00245AF4">
        <w:rPr>
          <w:lang w:val="en-US"/>
        </w:rPr>
        <w:t>What these new i</w:t>
      </w:r>
      <w:r>
        <w:rPr>
          <w:noProof/>
        </w:rPr>
        <mc:AlternateContent>
          <mc:Choice Requires="wps">
            <w:drawing>
              <wp:anchor distT="0" distB="0" distL="114300" distR="114300" simplePos="0" relativeHeight="251642880" behindDoc="1" locked="1" layoutInCell="1" allowOverlap="1" wp14:anchorId="17D8804C" wp14:editId="6B9BAF54">
                <wp:simplePos x="0" y="0"/>
                <wp:positionH relativeFrom="column">
                  <wp:posOffset>-476250</wp:posOffset>
                </wp:positionH>
                <wp:positionV relativeFrom="page">
                  <wp:posOffset>7600950</wp:posOffset>
                </wp:positionV>
                <wp:extent cx="6695440" cy="2238375"/>
                <wp:effectExtent l="0" t="0" r="0" b="9525"/>
                <wp:wrapNone/>
                <wp:docPr id="102328576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23837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A7254" id="Rectangle 2" o:spid="_x0000_s1026" alt="&quot;&quot;" style="position:absolute;margin-left:-37.5pt;margin-top:598.5pt;width:527.2pt;height:17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" fillcolor="#8087a3" stroked="f" strokeweight="1pt">
                <v:fill opacity="16448f"/>
                <w10:wrap anchory="page"/>
                <w10:anchorlock/>
              </v:rect>
            </w:pict>
          </mc:Fallback>
        </mc:AlternateContent>
      </w:r>
      <w:r w:rsidRPr="00245AF4">
        <w:rPr>
          <w:lang w:val="en-US"/>
        </w:rPr>
        <w:t>deas about evidence indicate is the importance of relational practice and of having a decision-making framework that incorporates the three elements of evidence-informed practice: evidence-based programs, evidence-based processes, and client and professional values and beliefs. This way of working is implied in family-centred practice but needs to be made more explicit so that it can be practised more purposefully and effectively.</w:t>
      </w:r>
    </w:p>
    <w:p w14:paraId="4C0B0736" w14:textId="77777777" w:rsidR="00245AF4" w:rsidRPr="00245AF4" w:rsidRDefault="00245AF4" w:rsidP="0031511B">
      <w:pPr>
        <w:pStyle w:val="ListParagraph"/>
        <w:numPr>
          <w:ilvl w:val="0"/>
          <w:numId w:val="32"/>
        </w:numPr>
        <w:ind w:left="714" w:hanging="357"/>
        <w:contextualSpacing w:val="0"/>
        <w:rPr>
          <w:lang w:val="en-US"/>
        </w:rPr>
      </w:pPr>
      <w:r w:rsidRPr="00245AF4">
        <w:rPr>
          <w:lang w:val="en-US"/>
        </w:rPr>
        <w:t xml:space="preserve">Guralnick (2017) has described ECI as a problem-solving process involving the family, the intervention team and other supports within the community. Several step-by-step models for decision-making, implementation and </w:t>
      </w:r>
      <w:r w:rsidRPr="00245AF4">
        <w:rPr>
          <w:lang w:val="en-US"/>
        </w:rPr>
        <w:lastRenderedPageBreak/>
        <w:t>evaluation have been developed (An &amp; Palisano, 2014; Kuhn &amp; Marvin, 2016; Moore, 2016, 2018; Palisano et al., 2012).</w:t>
      </w:r>
    </w:p>
    <w:p w14:paraId="5E207D5B" w14:textId="0EBF3A8B" w:rsidR="00245AF4" w:rsidRPr="00245AF4" w:rsidRDefault="00245AF4" w:rsidP="0031511B">
      <w:pPr>
        <w:pStyle w:val="ListParagraph"/>
        <w:numPr>
          <w:ilvl w:val="0"/>
          <w:numId w:val="32"/>
        </w:numPr>
        <w:ind w:left="714" w:hanging="357"/>
        <w:contextualSpacing w:val="0"/>
        <w:rPr>
          <w:lang w:val="en-US"/>
        </w:rPr>
      </w:pPr>
      <w:r w:rsidRPr="00245AF4">
        <w:rPr>
          <w:lang w:val="en-US"/>
        </w:rPr>
        <w:t>Australian ECI practitioners need an authoritative source of information about evidence-based strategies and best practices. The Early Childhood Technical Assistance (ECTA) centre performs this function in the US and could serve as a model for a similar resource in Au</w:t>
      </w:r>
      <w:r w:rsidR="0024695B">
        <w:rPr>
          <w:noProof/>
        </w:rPr>
        <mc:AlternateContent>
          <mc:Choice Requires="wps">
            <w:drawing>
              <wp:anchor distT="0" distB="0" distL="114300" distR="114300" simplePos="0" relativeHeight="251694080" behindDoc="1" locked="1" layoutInCell="1" allowOverlap="1" wp14:anchorId="5935A0B7" wp14:editId="6E57422B">
                <wp:simplePos x="0" y="0"/>
                <wp:positionH relativeFrom="column">
                  <wp:posOffset>-485775</wp:posOffset>
                </wp:positionH>
                <wp:positionV relativeFrom="page">
                  <wp:posOffset>800100</wp:posOffset>
                </wp:positionV>
                <wp:extent cx="6695440" cy="2286000"/>
                <wp:effectExtent l="0" t="0" r="0" b="0"/>
                <wp:wrapNone/>
                <wp:docPr id="98997893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286000"/>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6B13D" id="Rectangle 2" o:spid="_x0000_s1026" alt="&quot;&quot;" style="position:absolute;margin-left:-38.25pt;margin-top:63pt;width:527.2pt;height:18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" fillcolor="#8087a3" stroked="f" strokeweight="1pt">
                <v:fill opacity="16448f"/>
                <w10:wrap anchory="page"/>
                <w10:anchorlock/>
              </v:rect>
            </w:pict>
          </mc:Fallback>
        </mc:AlternateContent>
      </w:r>
      <w:r w:rsidRPr="00245AF4">
        <w:rPr>
          <w:lang w:val="en-US"/>
        </w:rPr>
        <w:t>stralia. The ECI sector also needs a theory of change that shows how the practices and strategies being used achieve the desired outcomes.</w:t>
      </w:r>
    </w:p>
    <w:p w14:paraId="55150E5D" w14:textId="1F75E4A0" w:rsidR="001F7350" w:rsidRDefault="00245AF4" w:rsidP="0031511B">
      <w:pPr>
        <w:pStyle w:val="ListParagraph"/>
        <w:numPr>
          <w:ilvl w:val="0"/>
          <w:numId w:val="32"/>
        </w:numPr>
        <w:ind w:left="714" w:hanging="357"/>
        <w:contextualSpacing w:val="0"/>
        <w:rPr>
          <w:lang w:val="en-US"/>
        </w:rPr>
      </w:pPr>
      <w:r w:rsidRPr="00245AF4">
        <w:rPr>
          <w:lang w:val="en-US"/>
        </w:rPr>
        <w:t>To ensure the implementation of evidence-based strategies and best practice, on-the-job support, coaching, and continuous learning strategies are needed.</w:t>
      </w:r>
    </w:p>
    <w:p w14:paraId="25EC92C7" w14:textId="77777777" w:rsidR="00245AF4" w:rsidRDefault="00245AF4" w:rsidP="00245AF4">
      <w:pPr>
        <w:rPr>
          <w:lang w:val="en-US"/>
        </w:rPr>
      </w:pPr>
    </w:p>
    <w:p w14:paraId="2B07CF02" w14:textId="77777777" w:rsidR="00245AF4" w:rsidRDefault="00245AF4" w:rsidP="00245AF4">
      <w:pPr>
        <w:rPr>
          <w:lang w:val="en-US"/>
        </w:rPr>
      </w:pPr>
    </w:p>
    <w:p w14:paraId="5F4B6F50" w14:textId="30664551" w:rsidR="00245AF4" w:rsidRDefault="00CD0941" w:rsidP="00245AF4">
      <w:pPr>
        <w:rPr>
          <w:lang w:val="en-US"/>
        </w:rPr>
      </w:pPr>
      <w:r>
        <w:rPr>
          <w:noProof/>
        </w:rPr>
        <mc:AlternateContent>
          <mc:Choice Requires="wps">
            <w:drawing>
              <wp:anchor distT="0" distB="0" distL="114300" distR="114300" simplePos="0" relativeHeight="251643904" behindDoc="1" locked="1" layoutInCell="1" allowOverlap="1" wp14:anchorId="5E7E0E90" wp14:editId="6794A25C">
                <wp:simplePos x="0" y="0"/>
                <wp:positionH relativeFrom="column">
                  <wp:posOffset>-483235</wp:posOffset>
                </wp:positionH>
                <wp:positionV relativeFrom="page">
                  <wp:posOffset>3394075</wp:posOffset>
                </wp:positionV>
                <wp:extent cx="6695440" cy="3827780"/>
                <wp:effectExtent l="12700" t="12700" r="10160" b="7620"/>
                <wp:wrapNone/>
                <wp:docPr id="9936656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82778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3974F" id="Rectangle 2" o:spid="_x0000_s1026" alt="&quot;&quot;" style="position:absolute;margin-left:-38.05pt;margin-top:267.25pt;width:527.2pt;height:30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" fillcolor="#f2f2f2 [3052]" strokecolor="#8087a3" strokeweight="2.25pt">
                <w10:wrap anchory="page"/>
                <w10:anchorlock/>
              </v:rect>
            </w:pict>
          </mc:Fallback>
        </mc:AlternateContent>
      </w:r>
    </w:p>
    <w:p w14:paraId="690192EA" w14:textId="77777777" w:rsidR="00CD0941" w:rsidRPr="00CD0941" w:rsidRDefault="00CD0941" w:rsidP="00CD0941">
      <w:pPr>
        <w:rPr>
          <w:b/>
          <w:bCs/>
          <w:color w:val="0C2C74"/>
          <w:lang w:val="en-US"/>
        </w:rPr>
      </w:pPr>
      <w:r w:rsidRPr="00CD0941">
        <w:rPr>
          <w:b/>
          <w:bCs/>
          <w:color w:val="0C2C74"/>
          <w:lang w:val="en-US"/>
        </w:rPr>
        <w:t>Implications for the ECI Best Practice Framework</w:t>
      </w:r>
    </w:p>
    <w:p w14:paraId="7C6E1690" w14:textId="77777777" w:rsidR="00CD0941" w:rsidRPr="00CD0941" w:rsidRDefault="00CD0941" w:rsidP="00CD0941">
      <w:pPr>
        <w:rPr>
          <w:lang w:val="en-US"/>
        </w:rPr>
      </w:pPr>
      <w:r w:rsidRPr="00CD0941">
        <w:rPr>
          <w:lang w:val="en-US"/>
        </w:rPr>
        <w:t>It is recommended that the ECI Best Practice Framework:</w:t>
      </w:r>
    </w:p>
    <w:p w14:paraId="2664804F" w14:textId="241C6E24" w:rsidR="00CD0941" w:rsidRPr="00CD0941" w:rsidRDefault="00CD0941" w:rsidP="0031511B">
      <w:pPr>
        <w:pStyle w:val="ListParagraph"/>
        <w:numPr>
          <w:ilvl w:val="0"/>
          <w:numId w:val="33"/>
        </w:numPr>
        <w:ind w:left="714" w:hanging="357"/>
        <w:contextualSpacing w:val="0"/>
        <w:rPr>
          <w:lang w:val="en-US"/>
        </w:rPr>
      </w:pPr>
      <w:r w:rsidRPr="00CD0941">
        <w:rPr>
          <w:lang w:val="en-US"/>
        </w:rPr>
        <w:t>includes a description of a decision-making process that incorporates evidence-based programs, evidence-based processes, and client and professional values and beliefs</w:t>
      </w:r>
    </w:p>
    <w:p w14:paraId="729C8715" w14:textId="3407A39C" w:rsidR="00CD0941" w:rsidRPr="00CD0941" w:rsidRDefault="00CD0941" w:rsidP="0031511B">
      <w:pPr>
        <w:pStyle w:val="ListParagraph"/>
        <w:numPr>
          <w:ilvl w:val="0"/>
          <w:numId w:val="33"/>
        </w:numPr>
        <w:ind w:left="714" w:hanging="357"/>
        <w:contextualSpacing w:val="0"/>
        <w:rPr>
          <w:lang w:val="en-US"/>
        </w:rPr>
      </w:pPr>
      <w:r w:rsidRPr="00CD0941">
        <w:rPr>
          <w:lang w:val="en-US"/>
        </w:rPr>
        <w:t>specifies the importance of preferencing family values and cultural beliefs</w:t>
      </w:r>
    </w:p>
    <w:p w14:paraId="173699E0" w14:textId="5C64C922" w:rsidR="00CD0941" w:rsidRPr="00CD0941" w:rsidRDefault="00CD0941" w:rsidP="0031511B">
      <w:pPr>
        <w:pStyle w:val="ListParagraph"/>
        <w:numPr>
          <w:ilvl w:val="0"/>
          <w:numId w:val="33"/>
        </w:numPr>
        <w:ind w:left="714" w:hanging="357"/>
        <w:contextualSpacing w:val="0"/>
        <w:rPr>
          <w:lang w:val="en-US"/>
        </w:rPr>
      </w:pPr>
      <w:r w:rsidRPr="00CD0941">
        <w:rPr>
          <w:lang w:val="en-US"/>
        </w:rPr>
        <w:t xml:space="preserve">specifies the importance of ECI practitioners keeping </w:t>
      </w:r>
      <w:r w:rsidR="009E307B" w:rsidRPr="00CD0941">
        <w:rPr>
          <w:lang w:val="en-US"/>
        </w:rPr>
        <w:t>up to date</w:t>
      </w:r>
      <w:r w:rsidRPr="00CD0941">
        <w:rPr>
          <w:lang w:val="en-US"/>
        </w:rPr>
        <w:t xml:space="preserve"> with evidence-based strategies and processes</w:t>
      </w:r>
    </w:p>
    <w:p w14:paraId="0ADB7B5E" w14:textId="77E5E813" w:rsidR="00CD0941" w:rsidRPr="00CD0941" w:rsidRDefault="00CD0941" w:rsidP="0031511B">
      <w:pPr>
        <w:pStyle w:val="ListParagraph"/>
        <w:numPr>
          <w:ilvl w:val="0"/>
          <w:numId w:val="33"/>
        </w:numPr>
        <w:ind w:left="714" w:hanging="357"/>
        <w:contextualSpacing w:val="0"/>
        <w:rPr>
          <w:lang w:val="en-US"/>
        </w:rPr>
      </w:pPr>
      <w:r w:rsidRPr="00CD0941">
        <w:rPr>
          <w:lang w:val="en-US"/>
        </w:rPr>
        <w:t>specifies the importance of implementing such strategies and processes with fidelity</w:t>
      </w:r>
    </w:p>
    <w:p w14:paraId="448D5024" w14:textId="76B27A6E" w:rsidR="00CD0941" w:rsidRPr="00CD0941" w:rsidRDefault="00CD0941" w:rsidP="0031511B">
      <w:pPr>
        <w:pStyle w:val="ListParagraph"/>
        <w:numPr>
          <w:ilvl w:val="0"/>
          <w:numId w:val="33"/>
        </w:numPr>
        <w:ind w:left="714" w:hanging="357"/>
        <w:contextualSpacing w:val="0"/>
        <w:rPr>
          <w:lang w:val="en-US"/>
        </w:rPr>
      </w:pPr>
      <w:r w:rsidRPr="00CD0941">
        <w:rPr>
          <w:lang w:val="en-US"/>
        </w:rPr>
        <w:t>provides ECI practitioners with guidance and tools monitoring both program and process fidelity</w:t>
      </w:r>
    </w:p>
    <w:p w14:paraId="7A8A6D88" w14:textId="6D06E653" w:rsidR="00245AF4" w:rsidRDefault="00CD0941" w:rsidP="0031511B">
      <w:pPr>
        <w:pStyle w:val="ListParagraph"/>
        <w:numPr>
          <w:ilvl w:val="0"/>
          <w:numId w:val="33"/>
        </w:numPr>
        <w:ind w:left="714" w:hanging="357"/>
        <w:contextualSpacing w:val="0"/>
        <w:rPr>
          <w:lang w:val="en-US"/>
        </w:rPr>
      </w:pPr>
      <w:r w:rsidRPr="00CD0941">
        <w:rPr>
          <w:lang w:val="en-US"/>
        </w:rPr>
        <w:t>provides ECI practitioners with guidance and tools to monitor the extent to which they have engaged effectively with children and families, and the extent to which the strategies chosen have been accepted and used by families</w:t>
      </w:r>
    </w:p>
    <w:p w14:paraId="54B77105" w14:textId="77777777" w:rsidR="00CD0941" w:rsidRDefault="00CD0941" w:rsidP="00CD0941">
      <w:pPr>
        <w:rPr>
          <w:lang w:val="en-US"/>
        </w:rPr>
      </w:pPr>
    </w:p>
    <w:p w14:paraId="7357C820" w14:textId="77777777" w:rsidR="00CD0941" w:rsidRDefault="00CD0941" w:rsidP="00CD0941">
      <w:pPr>
        <w:rPr>
          <w:lang w:val="en-US"/>
        </w:rPr>
      </w:pPr>
    </w:p>
    <w:p w14:paraId="79916327" w14:textId="77777777" w:rsidR="003B5778" w:rsidRPr="003B5778" w:rsidRDefault="003B5778" w:rsidP="003B5778">
      <w:pPr>
        <w:pStyle w:val="Heading2"/>
        <w:rPr>
          <w:lang w:val="en-US"/>
        </w:rPr>
      </w:pPr>
      <w:bookmarkStart w:id="29" w:name="_Toc177730821"/>
      <w:r w:rsidRPr="003B5778">
        <w:rPr>
          <w:lang w:val="en-US"/>
        </w:rPr>
        <w:t>Discussion and implications</w:t>
      </w:r>
      <w:bookmarkEnd w:id="29"/>
    </w:p>
    <w:p w14:paraId="5995B6B8" w14:textId="77777777" w:rsidR="003B5778" w:rsidRPr="003B5778" w:rsidRDefault="003B5778" w:rsidP="003B5778">
      <w:pPr>
        <w:rPr>
          <w:lang w:val="en-US"/>
        </w:rPr>
      </w:pPr>
      <w:r w:rsidRPr="003B5778">
        <w:rPr>
          <w:lang w:val="en-US"/>
        </w:rPr>
        <w:t xml:space="preserve">This section has discussed a number of developments in policy, research and practice over the decades that are of relevance for ECI services. </w:t>
      </w:r>
    </w:p>
    <w:p w14:paraId="5F8F8BBB" w14:textId="572B1143" w:rsidR="003B5778" w:rsidRPr="003B5778" w:rsidRDefault="003B5778" w:rsidP="003B5778">
      <w:pPr>
        <w:rPr>
          <w:lang w:val="en-US"/>
        </w:rPr>
      </w:pPr>
      <w:r w:rsidRPr="003B5778">
        <w:rPr>
          <w:lang w:val="en-US"/>
        </w:rPr>
        <w:t xml:space="preserve">The first development discussed was the impact that dramatic social changes have had on families, communities and services. These changes have led to a growth of economic and social inequities as well as social diversity, and have challenged the ability of early childhood services, including ECI services, to meet the needs of all families. In the case of inequities, families of young children with developmental </w:t>
      </w:r>
      <w:r w:rsidR="00972AF4">
        <w:rPr>
          <w:lang w:val="en-US"/>
        </w:rPr>
        <w:t xml:space="preserve">concerns, delay or </w:t>
      </w:r>
      <w:r w:rsidRPr="003B5778">
        <w:rPr>
          <w:lang w:val="en-US"/>
        </w:rPr>
        <w:t xml:space="preserve">disability are more likely to be experiencing multiple challenges and having difficulty in accessing services, especially if they are living in rural or remote areas, or do not speak English. The ECI service system needs to organise to </w:t>
      </w:r>
      <w:r w:rsidRPr="003B5778">
        <w:rPr>
          <w:lang w:val="en-US"/>
        </w:rPr>
        <w:lastRenderedPageBreak/>
        <w:t xml:space="preserve">provide support to all young children with developmental concerns or disability in an equitable and timely manner.  To address inequities and diversity, the service system needs to be better integrated and ECI services need to be part of a wider system of services capable of addressing the needs of families varying greatly in composition, culture and resources.  </w:t>
      </w:r>
    </w:p>
    <w:p w14:paraId="20F06B70" w14:textId="77777777" w:rsidR="003B5778" w:rsidRPr="003B5778" w:rsidRDefault="003B5778" w:rsidP="003B5778">
      <w:pPr>
        <w:rPr>
          <w:lang w:val="en-US"/>
        </w:rPr>
      </w:pPr>
      <w:r w:rsidRPr="003B5778">
        <w:rPr>
          <w:lang w:val="en-US"/>
        </w:rPr>
        <w:t xml:space="preserve">The second topic discussed was our expanding knowledge about </w:t>
      </w:r>
      <w:r w:rsidRPr="00A35293">
        <w:rPr>
          <w:b/>
          <w:bCs/>
          <w:i/>
          <w:iCs/>
          <w:lang w:val="en-US"/>
        </w:rPr>
        <w:t>the nature and importance of development in the early years</w:t>
      </w:r>
      <w:r w:rsidRPr="003B5778">
        <w:rPr>
          <w:lang w:val="en-US"/>
        </w:rPr>
        <w:t>, particularly the first 1000 days. While this new knowledge strengthens the case for early intervention and is an affirmation of what ECI has been striving towards for the last 50 years, they also represent a valuable challenge to the field: how to blend ECI services with these new efforts to create environments and service systems that meet the needs of all children and families. The evidence regarding the importance of the early years heightens the need for ECI service provision to begin as early as possible. This will mean that ECI services need to develop a better understanding of how to work with infants and their parents in developmentally appropriate ways.</w:t>
      </w:r>
    </w:p>
    <w:p w14:paraId="42566DBF" w14:textId="77777777" w:rsidR="003B5778" w:rsidRPr="003B5778" w:rsidRDefault="003B5778" w:rsidP="003B5778">
      <w:pPr>
        <w:rPr>
          <w:lang w:val="en-US"/>
        </w:rPr>
      </w:pPr>
      <w:r w:rsidRPr="003B5778">
        <w:rPr>
          <w:lang w:val="en-US"/>
        </w:rPr>
        <w:t>There has also been growing awareness of the importance of responsive caregiving in the early years. The implication of this evidence is that supporting parents and caregivers in developing positive and responsive relationships with children with developmental delays or disabilities from as early an age as possible should be a major focus of early childhood intervention services.</w:t>
      </w:r>
    </w:p>
    <w:p w14:paraId="08BD0BDC" w14:textId="77777777" w:rsidR="003B5778" w:rsidRPr="003B5778" w:rsidRDefault="003B5778" w:rsidP="003B5778">
      <w:pPr>
        <w:rPr>
          <w:lang w:val="en-US"/>
        </w:rPr>
      </w:pPr>
      <w:r w:rsidRPr="003B5778">
        <w:rPr>
          <w:lang w:val="en-US"/>
        </w:rPr>
        <w:t xml:space="preserve">We have also become much more aware of the major role that environments play in shaping human development and functioning. ECI services need to shift to a positive focus on the conditions children and families need to thrive, in line with the national Early Years Strategy. ECI services need to be part of collective efforts to ensure that all young children and families have the conditions they need to thrive. These conditions affect the capacity of the family to provide their children with the nurturing care that all children need, and the extra supports that children with developmental delays or disabilities need. ECI services cannot be expected to address all the social determinants that impact on the families they work with. However, they should be part of a wider system of integrated services that can address the factors that may be compromising their family’s ability to meet their children’s needs.  </w:t>
      </w:r>
    </w:p>
    <w:p w14:paraId="577CB7BC" w14:textId="77777777" w:rsidR="003B5778" w:rsidRPr="003B5778" w:rsidRDefault="003B5778" w:rsidP="003B5778">
      <w:pPr>
        <w:rPr>
          <w:lang w:val="en-US"/>
        </w:rPr>
      </w:pPr>
      <w:r w:rsidRPr="003B5778">
        <w:rPr>
          <w:lang w:val="en-US"/>
        </w:rPr>
        <w:t xml:space="preserve">The third development concerns the significant changes in how disabilities are viewed and understood, both at the policy and professional level, and in public perceptions. These changes include a shift from biomedical to biopsychosocial models that has informed both policy and practice. It also includes the rise of disability advocacy groups and a higher public profile for people with disabilities.  All these different ways of reframing disability have implications for early childhood intervention. An issue of particular importance is the tension between approaches that aim to meet the needs of people with disabilities by changing the person to fit in with the existing environments or changing the environments to enable the person to participate more fully. Efforts to change the child directly include behaviour modifications strategies or direct therapy, while interventions that focus more on changing the environments include naturalistic teaching strategies such as responsive caregiving and teaching practices, interest-based and self-directed practices, and use of everyday naturally occurring activities.  </w:t>
      </w:r>
    </w:p>
    <w:p w14:paraId="66A185B4" w14:textId="77777777" w:rsidR="003B5778" w:rsidRPr="003B5778" w:rsidRDefault="003B5778" w:rsidP="003B5778">
      <w:pPr>
        <w:rPr>
          <w:lang w:val="en-US"/>
        </w:rPr>
      </w:pPr>
      <w:r w:rsidRPr="003B5778">
        <w:rPr>
          <w:lang w:val="en-US"/>
        </w:rPr>
        <w:t xml:space="preserve">This is not an either/or debate: both approaches may be needed under different circumstances, and the functioning of people with disabilities is properly understood as the product of an interaction between person and environment, not of one alone.  </w:t>
      </w:r>
      <w:r w:rsidRPr="003B5778">
        <w:rPr>
          <w:lang w:val="en-US"/>
        </w:rPr>
        <w:lastRenderedPageBreak/>
        <w:t xml:space="preserve">However, in the case of very young children, the case for efforts to change the child directly is weakened by the lack of evidence for the effectiveness of such approaches. Based upon such evidence, Dunst and Espe-Sherwindt (2017) make the strong claim that highly structured and non-contextualised intervention practices are neither necessary nor appropriate for promoting the learning and development of infants and toddlers with developmental disabilities.  </w:t>
      </w:r>
    </w:p>
    <w:p w14:paraId="75DE03AF" w14:textId="07635410" w:rsidR="003B5778" w:rsidRPr="003B5778" w:rsidRDefault="003B5778" w:rsidP="003B5778">
      <w:pPr>
        <w:rPr>
          <w:lang w:val="en-US"/>
        </w:rPr>
      </w:pPr>
      <w:r w:rsidRPr="003B5778">
        <w:rPr>
          <w:lang w:val="en-US"/>
        </w:rPr>
        <w:t xml:space="preserve">The fourth development of relevance to ECI services is </w:t>
      </w:r>
      <w:r w:rsidRPr="00A35293">
        <w:rPr>
          <w:b/>
          <w:bCs/>
          <w:i/>
          <w:iCs/>
          <w:lang w:val="en-US"/>
        </w:rPr>
        <w:t>the emergence of new models of service delivery</w:t>
      </w:r>
      <w:r w:rsidRPr="003B5778">
        <w:rPr>
          <w:lang w:val="en-US"/>
        </w:rPr>
        <w:t>. Old models of service delivery have been challenged in various ways. Some of these involve changes in relationship between government and consumers – these include people-centred health care, co-design and co-production approaches, self-managed and personalised funding models, and an increasing focus on outcomes. These emerging models are highly congruent with the principles of family-centred practice and suggest that other service sectors are beginning to understand what the ECI sector has long understood. However, some of the ideas being developed go beyond family-centred practice as traditionally practised and may challenge the ECI sector to engage with families of children with disabilities in new ways.</w:t>
      </w:r>
    </w:p>
    <w:p w14:paraId="614035A7" w14:textId="77777777" w:rsidR="003B5778" w:rsidRPr="003B5778" w:rsidRDefault="003B5778" w:rsidP="003B5778">
      <w:pPr>
        <w:rPr>
          <w:lang w:val="en-US"/>
        </w:rPr>
      </w:pPr>
      <w:r w:rsidRPr="003B5778">
        <w:rPr>
          <w:lang w:val="en-US"/>
        </w:rPr>
        <w:t xml:space="preserve">There are also lessons to be learned from the various efforts to implement self-managed funding models. This has direct relevance for ECI services under the NDIS. Although such models can have positive benefits, these are only likely to be experienced if certain conditions are in place. We need to identify those conditions and ensure that they in place so that families entering the NDIS can experience the full benefits of self-directed funding. Choice is meaningless for those who have no viable support services to choose from. Choice is also compromised when parents are not well informed about ECI services, which may result in them making choices that are not in their best interests of the child or family or that make poor use of funding, all through no fault of their own. </w:t>
      </w:r>
    </w:p>
    <w:p w14:paraId="775722DA" w14:textId="77777777" w:rsidR="003B5778" w:rsidRPr="003B5778" w:rsidRDefault="003B5778" w:rsidP="003B5778">
      <w:pPr>
        <w:rPr>
          <w:lang w:val="en-US"/>
        </w:rPr>
      </w:pPr>
      <w:r w:rsidRPr="003B5778">
        <w:rPr>
          <w:lang w:val="en-US"/>
        </w:rPr>
        <w:t>The increasing focus on outcomes has lessons for ECI services. Not only should services be based on the clear understanding of the overall aims of ECI (as discussed earlier), ECI service providers they should also be clear about what outcomes they are seeking for children and families and be able to monitor whether these are being achieved.</w:t>
      </w:r>
    </w:p>
    <w:p w14:paraId="289EDD1E" w14:textId="64E10792" w:rsidR="00CD0941" w:rsidRDefault="003B5778" w:rsidP="003B5778">
      <w:pPr>
        <w:rPr>
          <w:lang w:val="en-US"/>
        </w:rPr>
      </w:pPr>
      <w:r w:rsidRPr="003B5778">
        <w:rPr>
          <w:lang w:val="en-US"/>
        </w:rPr>
        <w:t>Another major feature of service delivery over the past two decades has been the emergence of the evidence-based practice and implementation science movements.  What these new ideas about evidence indicate is the importance of relational practice and of having a decision-making framework that incorporates the three elements of evidence-informed practice: evidence-based programs, evidence-based processes, and client and professional values and beliefs. This way of working is implied in family-centred practice but needs to be made more explicit so that it can be practised more purposefully and effectively. Australian ECI practitioners also need an authoritative source of information about evidence-based strategies and best practices. The ECTA centre performs this function in the US and could serve as a model for a similar resource in Australia.  To ensure the implementation of evidence-based strategies and best practice, on-the-job support and coaching is needed.</w:t>
      </w:r>
    </w:p>
    <w:p w14:paraId="622C1635" w14:textId="4C35616A" w:rsidR="00556A16" w:rsidRPr="00556A16" w:rsidRDefault="00556A16" w:rsidP="00556A16">
      <w:pPr>
        <w:pStyle w:val="Heading1"/>
      </w:pPr>
      <w:bookmarkStart w:id="30" w:name="_Toc177730822"/>
      <w:r w:rsidRPr="00556A16">
        <w:lastRenderedPageBreak/>
        <w:t>The evidence base for ECI services</w:t>
      </w:r>
      <w:bookmarkEnd w:id="30"/>
    </w:p>
    <w:p w14:paraId="505CDAA0" w14:textId="77777777" w:rsidR="00556A16" w:rsidRPr="00556A16" w:rsidRDefault="00556A16" w:rsidP="00556A16">
      <w:pPr>
        <w:rPr>
          <w:lang w:val="en-US"/>
        </w:rPr>
      </w:pPr>
      <w:r w:rsidRPr="00556A16">
        <w:rPr>
          <w:lang w:val="en-US"/>
        </w:rPr>
        <w:t>This section reviews what is known about ECI services. ECI is informed by evidence drawn from a variety of sources. There are eight main sources of evidence (Moore, 2022):</w:t>
      </w:r>
    </w:p>
    <w:p w14:paraId="153C1122" w14:textId="336B3DBE" w:rsidR="00556A16" w:rsidRPr="00556A16" w:rsidRDefault="00556A16" w:rsidP="003E17FD">
      <w:pPr>
        <w:pStyle w:val="ListParagraph"/>
        <w:numPr>
          <w:ilvl w:val="0"/>
          <w:numId w:val="34"/>
        </w:numPr>
        <w:ind w:left="714" w:hanging="357"/>
        <w:contextualSpacing w:val="0"/>
        <w:rPr>
          <w:lang w:val="en-US"/>
        </w:rPr>
      </w:pPr>
      <w:r w:rsidRPr="00556A16">
        <w:rPr>
          <w:b/>
          <w:bCs/>
          <w:lang w:val="en-US"/>
        </w:rPr>
        <w:t>Biological / developmental evidence about children</w:t>
      </w:r>
      <w:r w:rsidRPr="00556A16">
        <w:rPr>
          <w:lang w:val="en-US"/>
        </w:rPr>
        <w:t xml:space="preserve"> – what we know about how children with and without disabilities develop and learn</w:t>
      </w:r>
    </w:p>
    <w:p w14:paraId="3C69F322" w14:textId="342C7BB7" w:rsidR="00556A16" w:rsidRPr="00556A16" w:rsidRDefault="00556A16" w:rsidP="003E17FD">
      <w:pPr>
        <w:pStyle w:val="ListParagraph"/>
        <w:numPr>
          <w:ilvl w:val="0"/>
          <w:numId w:val="34"/>
        </w:numPr>
        <w:ind w:left="714" w:hanging="357"/>
        <w:contextualSpacing w:val="0"/>
        <w:rPr>
          <w:lang w:val="en-US"/>
        </w:rPr>
      </w:pPr>
      <w:r w:rsidRPr="00556A16">
        <w:rPr>
          <w:b/>
          <w:bCs/>
          <w:lang w:val="en-US"/>
        </w:rPr>
        <w:t>Socioecological evidence about families</w:t>
      </w:r>
      <w:r w:rsidRPr="00556A16">
        <w:rPr>
          <w:lang w:val="en-US"/>
        </w:rPr>
        <w:t xml:space="preserve"> – what we know about the factors that shape family functioning and development </w:t>
      </w:r>
    </w:p>
    <w:p w14:paraId="47A13884" w14:textId="2992DF38" w:rsidR="00556A16" w:rsidRPr="00556A16" w:rsidRDefault="00556A16" w:rsidP="003E17FD">
      <w:pPr>
        <w:pStyle w:val="ListParagraph"/>
        <w:numPr>
          <w:ilvl w:val="0"/>
          <w:numId w:val="34"/>
        </w:numPr>
        <w:ind w:left="714" w:hanging="357"/>
        <w:contextualSpacing w:val="0"/>
        <w:rPr>
          <w:lang w:val="en-US"/>
        </w:rPr>
      </w:pPr>
      <w:r w:rsidRPr="00556A16">
        <w:rPr>
          <w:b/>
          <w:bCs/>
          <w:lang w:val="en-US"/>
        </w:rPr>
        <w:t>People’s lived experience</w:t>
      </w:r>
      <w:r w:rsidRPr="00556A16">
        <w:rPr>
          <w:lang w:val="en-US"/>
        </w:rPr>
        <w:t xml:space="preserve"> – people’s direct experiences and views about what matters to them </w:t>
      </w:r>
    </w:p>
    <w:p w14:paraId="0F01FFA4" w14:textId="028A229E" w:rsidR="00556A16" w:rsidRPr="00556A16" w:rsidRDefault="00556A16" w:rsidP="003E17FD">
      <w:pPr>
        <w:pStyle w:val="ListParagraph"/>
        <w:numPr>
          <w:ilvl w:val="0"/>
          <w:numId w:val="34"/>
        </w:numPr>
        <w:ind w:left="714" w:hanging="357"/>
        <w:contextualSpacing w:val="0"/>
        <w:rPr>
          <w:lang w:val="en-US"/>
        </w:rPr>
      </w:pPr>
      <w:r w:rsidRPr="00556A16">
        <w:rPr>
          <w:b/>
          <w:bCs/>
          <w:lang w:val="en-US"/>
        </w:rPr>
        <w:t>Service delivery evidence</w:t>
      </w:r>
      <w:r w:rsidRPr="00556A16">
        <w:rPr>
          <w:lang w:val="en-US"/>
        </w:rPr>
        <w:t xml:space="preserve"> – convergent evidence about effective ways of working with families </w:t>
      </w:r>
    </w:p>
    <w:p w14:paraId="5AB8E854" w14:textId="085EAE84" w:rsidR="00556A16" w:rsidRPr="00556A16" w:rsidRDefault="00556A16" w:rsidP="003E17FD">
      <w:pPr>
        <w:pStyle w:val="ListParagraph"/>
        <w:numPr>
          <w:ilvl w:val="0"/>
          <w:numId w:val="34"/>
        </w:numPr>
        <w:ind w:left="714" w:hanging="357"/>
        <w:contextualSpacing w:val="0"/>
        <w:rPr>
          <w:lang w:val="en-US"/>
        </w:rPr>
      </w:pPr>
      <w:r w:rsidRPr="00556A16">
        <w:rPr>
          <w:b/>
          <w:bCs/>
          <w:lang w:val="en-US"/>
        </w:rPr>
        <w:t>Published research findings about ECI practices</w:t>
      </w:r>
      <w:r w:rsidRPr="00556A16">
        <w:rPr>
          <w:lang w:val="en-US"/>
        </w:rPr>
        <w:t xml:space="preserve"> – evidence-based practice (randomised controlled trials and systematic reviews)</w:t>
      </w:r>
    </w:p>
    <w:p w14:paraId="02B5CFBD" w14:textId="3359AA64" w:rsidR="00556A16" w:rsidRPr="00556A16" w:rsidRDefault="00556A16" w:rsidP="003E17FD">
      <w:pPr>
        <w:pStyle w:val="ListParagraph"/>
        <w:numPr>
          <w:ilvl w:val="0"/>
          <w:numId w:val="34"/>
        </w:numPr>
        <w:ind w:left="714" w:hanging="357"/>
        <w:contextualSpacing w:val="0"/>
        <w:rPr>
          <w:lang w:val="en-US"/>
        </w:rPr>
      </w:pPr>
      <w:r w:rsidRPr="00556A16">
        <w:rPr>
          <w:b/>
          <w:bCs/>
          <w:lang w:val="en-US"/>
        </w:rPr>
        <w:t>Practice wisdom</w:t>
      </w:r>
      <w:r w:rsidRPr="00556A16">
        <w:rPr>
          <w:lang w:val="en-US"/>
        </w:rPr>
        <w:t xml:space="preserve"> – what practitioners know about what works with particular families and contexts</w:t>
      </w:r>
    </w:p>
    <w:p w14:paraId="13EF2462" w14:textId="11EA7DC9" w:rsidR="00556A16" w:rsidRPr="00556A16" w:rsidRDefault="00556A16" w:rsidP="003E17FD">
      <w:pPr>
        <w:pStyle w:val="ListParagraph"/>
        <w:numPr>
          <w:ilvl w:val="0"/>
          <w:numId w:val="34"/>
        </w:numPr>
        <w:ind w:left="714" w:hanging="357"/>
        <w:contextualSpacing w:val="0"/>
        <w:rPr>
          <w:lang w:val="en-US"/>
        </w:rPr>
      </w:pPr>
      <w:r w:rsidRPr="00556A16">
        <w:rPr>
          <w:b/>
          <w:bCs/>
          <w:lang w:val="en-US"/>
        </w:rPr>
        <w:t>Indigenous and other cultural systems</w:t>
      </w:r>
      <w:r w:rsidRPr="00556A16">
        <w:rPr>
          <w:lang w:val="en-US"/>
        </w:rPr>
        <w:t xml:space="preserve"> – alternatives to Western positivist science and cultural assumptions</w:t>
      </w:r>
    </w:p>
    <w:p w14:paraId="58538936" w14:textId="6BE84CD7" w:rsidR="00556A16" w:rsidRPr="00556A16" w:rsidRDefault="00556A16" w:rsidP="003E17FD">
      <w:pPr>
        <w:pStyle w:val="ListParagraph"/>
        <w:numPr>
          <w:ilvl w:val="0"/>
          <w:numId w:val="34"/>
        </w:numPr>
        <w:ind w:left="714" w:hanging="357"/>
        <w:contextualSpacing w:val="0"/>
        <w:rPr>
          <w:lang w:val="en-US"/>
        </w:rPr>
      </w:pPr>
      <w:r w:rsidRPr="00556A16">
        <w:rPr>
          <w:b/>
          <w:bCs/>
          <w:lang w:val="en-US"/>
        </w:rPr>
        <w:t>Data</w:t>
      </w:r>
      <w:r w:rsidRPr="00556A16">
        <w:rPr>
          <w:lang w:val="en-US"/>
        </w:rPr>
        <w:t xml:space="preserve"> – audits and evaluations, outcome measurements, and feedback from families</w:t>
      </w:r>
    </w:p>
    <w:p w14:paraId="7AA1592E" w14:textId="17C3C3A5" w:rsidR="00556A16" w:rsidRDefault="00556A16" w:rsidP="00556A16">
      <w:pPr>
        <w:rPr>
          <w:lang w:val="en-US"/>
        </w:rPr>
      </w:pPr>
      <w:r w:rsidRPr="00556A16">
        <w:rPr>
          <w:lang w:val="en-US"/>
        </w:rPr>
        <w:t>Each of these sources are addressed below, and the implications for ECI services and an ECI practice framework are discussed.</w:t>
      </w:r>
    </w:p>
    <w:p w14:paraId="5B664456" w14:textId="77777777" w:rsidR="00BE1E68" w:rsidRPr="00BE1E68" w:rsidRDefault="00BE1E68" w:rsidP="000D7FC0">
      <w:pPr>
        <w:pStyle w:val="Heading2"/>
        <w:rPr>
          <w:lang w:val="en-US"/>
        </w:rPr>
      </w:pPr>
      <w:bookmarkStart w:id="31" w:name="_Toc177730823"/>
      <w:r w:rsidRPr="00BE1E68">
        <w:rPr>
          <w:lang w:val="en-US"/>
        </w:rPr>
        <w:t>Biological / developmental evidence about children</w:t>
      </w:r>
      <w:bookmarkEnd w:id="31"/>
    </w:p>
    <w:p w14:paraId="7D5881A3" w14:textId="77777777" w:rsidR="00BE1E68" w:rsidRPr="00BE1E68" w:rsidRDefault="00BE1E68" w:rsidP="00BE1E68">
      <w:pPr>
        <w:rPr>
          <w:lang w:val="en-US"/>
        </w:rPr>
      </w:pPr>
      <w:r w:rsidRPr="00BE1E68">
        <w:rPr>
          <w:lang w:val="en-US"/>
        </w:rPr>
        <w:t xml:space="preserve">ECI services should be informed by what is known about how young children develop and learn, and what factors shape their development. The key features of early childhood development have already been discussed (section 3.2), including increasing recognition of the importance of the early years, greater awareness of the importance of responsive caregiving in the early years, and greater understanding of the impact of environmental conditions on child development and family functioning. </w:t>
      </w:r>
    </w:p>
    <w:p w14:paraId="477247B8" w14:textId="77777777" w:rsidR="00BE1E68" w:rsidRPr="00BE1E68" w:rsidRDefault="00BE1E68" w:rsidP="00BE1E68">
      <w:pPr>
        <w:rPr>
          <w:lang w:val="en-US"/>
        </w:rPr>
      </w:pPr>
      <w:r w:rsidRPr="00BE1E68">
        <w:rPr>
          <w:lang w:val="en-US"/>
        </w:rPr>
        <w:t>This section begins with consideration of what we know about the development of children with developmental delays and disabilities, then looks at how children with and without disabilities develop and learn.</w:t>
      </w:r>
    </w:p>
    <w:p w14:paraId="06364147" w14:textId="77777777" w:rsidR="00BE1E68" w:rsidRPr="00C2509C" w:rsidRDefault="00BE1E68" w:rsidP="00C2509C">
      <w:pPr>
        <w:rPr>
          <w:rFonts w:cs="Arial"/>
          <w:b/>
          <w:bCs/>
          <w:lang w:val="en-US"/>
        </w:rPr>
      </w:pPr>
      <w:r w:rsidRPr="000D7FC0">
        <w:rPr>
          <w:b/>
          <w:bCs/>
          <w:lang w:val="en-US"/>
        </w:rPr>
        <w:t>Developmental disabilities and delays</w:t>
      </w:r>
    </w:p>
    <w:p w14:paraId="55F7A6E1" w14:textId="09666A85" w:rsidR="00C2509C" w:rsidRPr="00C2509C" w:rsidRDefault="00C2509C" w:rsidP="00C2509C">
      <w:pPr>
        <w:rPr>
          <w:rFonts w:cs="Arial"/>
        </w:rPr>
      </w:pPr>
      <w:r w:rsidRPr="00C2509C">
        <w:rPr>
          <w:rFonts w:cs="Arial"/>
        </w:rPr>
        <w:t xml:space="preserve">The terms </w:t>
      </w:r>
      <w:r w:rsidRPr="0024695B">
        <w:rPr>
          <w:rFonts w:cs="Arial"/>
          <w:i/>
          <w:iCs/>
        </w:rPr>
        <w:t>developmental delay</w:t>
      </w:r>
      <w:r w:rsidRPr="00C2509C">
        <w:rPr>
          <w:rFonts w:cs="Arial"/>
        </w:rPr>
        <w:t xml:space="preserve"> and </w:t>
      </w:r>
      <w:r w:rsidRPr="0024695B">
        <w:rPr>
          <w:rFonts w:cs="Arial"/>
          <w:i/>
          <w:iCs/>
        </w:rPr>
        <w:t>developmental disability</w:t>
      </w:r>
      <w:r w:rsidRPr="00C2509C">
        <w:rPr>
          <w:rFonts w:cs="Arial"/>
        </w:rPr>
        <w:t xml:space="preserve"> are a common source of confusion in early childhood services, especially for parents (</w:t>
      </w:r>
      <w:bookmarkStart w:id="32" w:name="_Hlk171326489"/>
      <w:r w:rsidRPr="00C2509C">
        <w:rPr>
          <w:rFonts w:cs="Arial"/>
        </w:rPr>
        <w:t>Cohen &amp; Houtrow, 2019; Grech, 2021; Olusanya, 2023)</w:t>
      </w:r>
      <w:bookmarkEnd w:id="32"/>
      <w:r w:rsidRPr="00C2509C">
        <w:rPr>
          <w:rFonts w:cs="Arial"/>
        </w:rPr>
        <w:t xml:space="preserve">. </w:t>
      </w:r>
      <w:bookmarkStart w:id="33" w:name="_Hlk125456394"/>
      <w:bookmarkStart w:id="34" w:name="_Hlk171007259"/>
      <w:r w:rsidRPr="00C2509C">
        <w:rPr>
          <w:rFonts w:cs="Arial"/>
        </w:rPr>
        <w:t>The Centre for Disease Control and Prevention in the US</w:t>
      </w:r>
      <w:r w:rsidR="00110AD8">
        <w:rPr>
          <w:rStyle w:val="FootnoteReference"/>
          <w:rFonts w:cs="Arial"/>
        </w:rPr>
        <w:footnoteReference w:id="35"/>
      </w:r>
      <w:r w:rsidRPr="00C2509C">
        <w:rPr>
          <w:rFonts w:cs="Arial"/>
        </w:rPr>
        <w:t xml:space="preserve"> describes developmental disabilities as a group of conditions due to an impairment in physical, learning, language, or behaviour areas that begin during the developmental period (conception and birth to age 18 years) and usually impact day-to-day functioning throughout a person’s lifetime.</w:t>
      </w:r>
      <w:bookmarkStart w:id="35" w:name="_Hlk125456520"/>
      <w:bookmarkEnd w:id="33"/>
      <w:r w:rsidRPr="00C2509C">
        <w:rPr>
          <w:rFonts w:cs="Arial"/>
        </w:rPr>
        <w:t xml:space="preserve"> The conditions typically include </w:t>
      </w:r>
      <w:r w:rsidRPr="00C2509C">
        <w:rPr>
          <w:rFonts w:cs="Arial"/>
        </w:rPr>
        <w:lastRenderedPageBreak/>
        <w:t>cerebral palsy, epilepsy, hearing impairments (including deafness), speech or language impairments, visual impairments (including blindness), intellectual disability, autism spectrum disorder, and attention-deficit/hyperactivity disorder</w:t>
      </w:r>
      <w:bookmarkEnd w:id="34"/>
      <w:bookmarkEnd w:id="35"/>
      <w:r w:rsidRPr="00C2509C">
        <w:rPr>
          <w:rFonts w:cs="Arial"/>
        </w:rPr>
        <w:t>.</w:t>
      </w:r>
    </w:p>
    <w:p w14:paraId="57486A48" w14:textId="77777777" w:rsidR="00BE1E68" w:rsidRPr="00BE1E68" w:rsidRDefault="00BE1E68" w:rsidP="00C2509C">
      <w:pPr>
        <w:rPr>
          <w:lang w:val="en-US"/>
        </w:rPr>
      </w:pPr>
      <w:r w:rsidRPr="00C2509C">
        <w:rPr>
          <w:rFonts w:cs="Arial"/>
          <w:lang w:val="en-US"/>
        </w:rPr>
        <w:t>While a developmental delay may be one of the manifestations of a developmental</w:t>
      </w:r>
      <w:r w:rsidRPr="00BE1E68">
        <w:rPr>
          <w:lang w:val="en-US"/>
        </w:rPr>
        <w:t xml:space="preserve"> disability, the two terms are not the same (Cohen &amp; Houtrow, 2019; Grech, 2021; Olusanya, 2023). Developmental delays are delays in some aspect of functioning in relation to general developmental milestones in typically developing children and can be constitutional, transitory, and self-limiting (Olusanya, 2023). Unlike developmental delays, developmental disabilities are specific conditions that require a lifetime of support (Patel et al., 2010). To avoid confusing parents, it is important that, once a developmental disability has been identified, it should not be presented to parents as a developmental delay (Olusanya et al., 2023). Families report lower satisfaction when information is withheld, the diagnosis and labels are ambiguous, and the diagnostic process is unduly lengthy (Grech, 2021). Early intervention is critical regardless of whether the child is temporarily delayed in some aspect of their development or has a disability that will be with them for life. </w:t>
      </w:r>
    </w:p>
    <w:p w14:paraId="102223FA" w14:textId="59C11148" w:rsidR="00BE1E68" w:rsidRPr="00BE1E68" w:rsidRDefault="00BE1E68" w:rsidP="00BE1E68">
      <w:pPr>
        <w:rPr>
          <w:lang w:val="en-US"/>
        </w:rPr>
      </w:pPr>
      <w:r w:rsidRPr="6A439164">
        <w:rPr>
          <w:lang w:val="en-US"/>
        </w:rPr>
        <w:t xml:space="preserve">Disabilities in young children are developmental in two senses. First, they occur in the early years when development is most rapid and consequential. Second, they are developing </w:t>
      </w:r>
      <w:r w:rsidRPr="0024695B">
        <w:rPr>
          <w:i/>
          <w:iCs/>
          <w:lang w:val="en-US"/>
        </w:rPr>
        <w:t>with</w:t>
      </w:r>
      <w:r w:rsidRPr="6A439164">
        <w:rPr>
          <w:lang w:val="en-US"/>
        </w:rPr>
        <w:t xml:space="preserve"> the child – they are not fixed conditions that can be remediated or rehabilitated as is the case with adults (Rosenbaum, 2015). Instead, they evolve with the child, making services for children with developmental disability very different from services for adults with disability. Just as early experiences become biologically embedded and alter brain development, early intervention is part of th</w:t>
      </w:r>
      <w:r w:rsidR="72BF0397" w:rsidRPr="6A439164">
        <w:rPr>
          <w:lang w:val="en-US"/>
        </w:rPr>
        <w:t>ese experiences</w:t>
      </w:r>
      <w:r w:rsidRPr="6A439164">
        <w:rPr>
          <w:lang w:val="en-US"/>
        </w:rPr>
        <w:t xml:space="preserve"> and can therefore be understood as being embedded in the developing brain (Nelson et al., 2024). </w:t>
      </w:r>
    </w:p>
    <w:p w14:paraId="08CADCCE" w14:textId="7F68967B" w:rsidR="00BE1E68" w:rsidRPr="00BE1E68" w:rsidRDefault="00BE1E68" w:rsidP="00BE1E68">
      <w:pPr>
        <w:rPr>
          <w:lang w:val="en-US"/>
        </w:rPr>
      </w:pPr>
      <w:r w:rsidRPr="000D7FC0">
        <w:rPr>
          <w:b/>
          <w:bCs/>
          <w:i/>
          <w:iCs/>
          <w:lang w:val="en-US"/>
        </w:rPr>
        <w:t>The most common developmental disabilities</w:t>
      </w:r>
      <w:r w:rsidRPr="00BE1E68">
        <w:rPr>
          <w:lang w:val="en-US"/>
        </w:rPr>
        <w:t xml:space="preserve"> – autism, cerebral palsy, developmental delays – occur in the womb or at birth (</w:t>
      </w:r>
      <w:r w:rsidR="00297B1B">
        <w:rPr>
          <w:lang w:val="en-US"/>
        </w:rPr>
        <w:t>Beopoulos</w:t>
      </w:r>
      <w:r w:rsidRPr="00BE1E68">
        <w:rPr>
          <w:lang w:val="en-US"/>
        </w:rPr>
        <w:t xml:space="preserve"> et al., 2022; Courchesne et al, 2020; Hadders-Algra, 2014). This means that we are missing many opportunities to support children and parents during the most sensitive periods of development. For instance, by the time a child has been identified and diagnosed with autism, many of the best opportunities to capitalise upon brain plasticity very early in development are not realised (Whitehouse, 2017). </w:t>
      </w:r>
    </w:p>
    <w:p w14:paraId="69857A0A" w14:textId="77777777" w:rsidR="00BE1E68" w:rsidRPr="00BE1E68" w:rsidRDefault="00BE1E68" w:rsidP="00BE1E68">
      <w:pPr>
        <w:rPr>
          <w:lang w:val="en-US"/>
        </w:rPr>
      </w:pPr>
      <w:r w:rsidRPr="000D7FC0">
        <w:rPr>
          <w:b/>
          <w:bCs/>
          <w:i/>
          <w:iCs/>
          <w:lang w:val="en-US"/>
        </w:rPr>
        <w:t>All disabilities form continua</w:t>
      </w:r>
      <w:r w:rsidRPr="00BE1E68">
        <w:rPr>
          <w:lang w:val="en-US"/>
        </w:rPr>
        <w:t xml:space="preserve"> – Disability lies on a continuum from little or no disability to extreme disability (Cieza et al., 2018; McLennan, 2016). In discussing the WHO’s ongoing work on understanding and managing disability, Cieza et al. (2018) state that:</w:t>
      </w:r>
    </w:p>
    <w:p w14:paraId="40A7BC1B" w14:textId="77777777" w:rsidR="00BE1E68" w:rsidRPr="00BE1E68" w:rsidRDefault="00BE1E68" w:rsidP="00BE1E68">
      <w:pPr>
        <w:rPr>
          <w:lang w:val="en-US"/>
        </w:rPr>
      </w:pPr>
      <w:r w:rsidRPr="00BE1E68">
        <w:rPr>
          <w:lang w:val="en-US"/>
        </w:rPr>
        <w:t>The lesson learned from WHO’s activities is that disability is a universal human experience, in the sense that everyone can be placed on a continuum of functioning and either currently experiences or is vulnerable to experiencing disability over the course of their lives. This understanding of disability is the key to mainstreaming disability within the public discourse.</w:t>
      </w:r>
    </w:p>
    <w:p w14:paraId="7DE835EA" w14:textId="77777777" w:rsidR="00BE1E68" w:rsidRPr="00BE1E68" w:rsidRDefault="00BE1E68" w:rsidP="00BE1E68">
      <w:pPr>
        <w:rPr>
          <w:lang w:val="en-US"/>
        </w:rPr>
      </w:pPr>
      <w:r w:rsidRPr="00BE1E68">
        <w:rPr>
          <w:lang w:val="en-US"/>
        </w:rPr>
        <w:t xml:space="preserve">If all forms of disability form continua, this means that the cut off points for determining whether people have a disability are arbitrary. Therefore, determining eligibility for disability services is problematic and likely to be contested, especially if eligibility gives access to money and services. It also means that those who have marginally less severe forms of impairment may get no services. The continuous distribution of abilities challenges us to rethink the concept of ‘normal’ (Rosenbaum, </w:t>
      </w:r>
      <w:r w:rsidRPr="00BE1E68">
        <w:rPr>
          <w:lang w:val="en-US"/>
        </w:rPr>
        <w:lastRenderedPageBreak/>
        <w:t>2015). There is no such thing as normal (Chaney, 2022): we are all on multiple spectrums of ability, functioning and health.</w:t>
      </w:r>
    </w:p>
    <w:p w14:paraId="5069579B" w14:textId="77777777" w:rsidR="00BE1E68" w:rsidRPr="00BE1E68" w:rsidRDefault="00BE1E68" w:rsidP="00BE1E68">
      <w:pPr>
        <w:rPr>
          <w:lang w:val="en-US"/>
        </w:rPr>
      </w:pPr>
      <w:r w:rsidRPr="00325967">
        <w:rPr>
          <w:b/>
          <w:bCs/>
          <w:i/>
          <w:iCs/>
          <w:lang w:val="en-US"/>
        </w:rPr>
        <w:t>Children with disabilities are not a homogenous group and they often have multiple developmental and health problems</w:t>
      </w:r>
      <w:r w:rsidRPr="00BE1E68">
        <w:rPr>
          <w:lang w:val="en-US"/>
        </w:rPr>
        <w:t xml:space="preserve"> (Dewey, 2018; Olusanya et al., 2023). Neurodevelopmental disorders including attention-deficit/hyperactivity disorder, developmental coordination disorder, autism spectrum disorder, and learning disorders co-occur more commonly than would be expected by chance, and there has been an increase in diversity in many developmental disabilities such as autism (Happé &amp; Frith, 2020; Ure et al., 2018). There are several likely causes for these co-occurrences - genetic, epigenetic, neurobiological, and environmental (Dewey, 2018). The existence of multiple problems means that an individualised approach is needed, considering the nature of the disability, the pattern of comorbid problems, and the unique challenges of the child’s social context (McDowell, 2018). </w:t>
      </w:r>
    </w:p>
    <w:p w14:paraId="7452AA0D" w14:textId="77777777" w:rsidR="00BE1E68" w:rsidRPr="00BE1E68" w:rsidRDefault="00BE1E68" w:rsidP="00BE1E68">
      <w:pPr>
        <w:rPr>
          <w:lang w:val="en-US"/>
        </w:rPr>
      </w:pPr>
      <w:r w:rsidRPr="009923C0">
        <w:rPr>
          <w:b/>
          <w:bCs/>
          <w:i/>
          <w:iCs/>
          <w:lang w:val="en-US"/>
        </w:rPr>
        <w:t>There are many commonalities between different forms of disability</w:t>
      </w:r>
      <w:r w:rsidRPr="00BE1E68">
        <w:rPr>
          <w:lang w:val="en-US"/>
        </w:rPr>
        <w:t xml:space="preserve">. We have already considered the arguments for adopting a non-categorical approach to disability services (section 3.3). Further support for this idea comes from the fact that children with developmental disability share the same core needs with other children and with each other. Moreover, the same principles of service apply to all children regardless of their diagnostic category. In addition, there are many common strategies that are effective with children who have diverse conditions. </w:t>
      </w:r>
    </w:p>
    <w:p w14:paraId="22529F46" w14:textId="77777777" w:rsidR="00BE1E68" w:rsidRPr="00BE1E68" w:rsidRDefault="00BE1E68" w:rsidP="00BE1E68">
      <w:pPr>
        <w:rPr>
          <w:lang w:val="en-US"/>
        </w:rPr>
      </w:pPr>
      <w:r w:rsidRPr="00BE1E68">
        <w:rPr>
          <w:lang w:val="en-US"/>
        </w:rPr>
        <w:t xml:space="preserve">The evidence indicates that </w:t>
      </w:r>
      <w:r w:rsidRPr="00867BC9">
        <w:rPr>
          <w:b/>
          <w:bCs/>
          <w:i/>
          <w:iCs/>
          <w:lang w:val="en-US"/>
        </w:rPr>
        <w:t xml:space="preserve">children with developmental disabilities have the same core needs as all children </w:t>
      </w:r>
      <w:r w:rsidRPr="00BE1E68">
        <w:rPr>
          <w:lang w:val="en-US"/>
        </w:rPr>
        <w:t xml:space="preserve">– needs for attachment, nurturance, emotional responsiveness, care, safety and security and so on (Biringen et al., 2005; Moore, 2009, 2024; World Health Organisation and UNICEF, 2012). Moreover, these crucial conditions have the same impact on their development as they do on typically developing children. </w:t>
      </w:r>
    </w:p>
    <w:p w14:paraId="56B4FF25" w14:textId="77777777" w:rsidR="00BE1E68" w:rsidRPr="00BE1E68" w:rsidRDefault="00BE1E68" w:rsidP="00BE1E68">
      <w:pPr>
        <w:rPr>
          <w:lang w:val="en-US"/>
        </w:rPr>
      </w:pPr>
      <w:r w:rsidRPr="00BE1E68">
        <w:rPr>
          <w:lang w:val="en-US"/>
        </w:rPr>
        <w:t xml:space="preserve">However, children with developmental disabilities may have difficulty having these needs realised because of the nature of their disabilities. They may initiate interactions less frequently and give cues that are more subtle and difficult to read (Biringen et al., 2005; Howe, 2006; Kelly &amp; Barnard, 2000). As a result, children with a developmental delay or disability may be at greater risk of insecure or disorganized attachment than typically developing children (Alexander et al., 2023; Moore, 2009; van Ijzendoorn et al., 1999). However, in the case of children with autism, although they may display aberrant behaviours and are at increased risk for disorganised attachments, it is clear that they can and do form selective attachments that are functionally similar to those seen in other children (Dissanayake &amp; Crossley, 1996, 1997; Dissanayake &amp; Sigman, 2001; Zeanah et al., 2011). </w:t>
      </w:r>
    </w:p>
    <w:p w14:paraId="78AD098D" w14:textId="77777777" w:rsidR="00BE1E68" w:rsidRDefault="00BE1E68" w:rsidP="00BE1E68">
      <w:pPr>
        <w:rPr>
          <w:lang w:val="en-US"/>
        </w:rPr>
      </w:pPr>
      <w:r w:rsidRPr="00BE1E68">
        <w:rPr>
          <w:lang w:val="en-US"/>
        </w:rPr>
        <w:t xml:space="preserve">Children with developmental disability may also have reduced access to the range of environments and experiences that other children have, and fewer opportunities to participate (World Health Organisation and UNICEF, 2012, 2023). Their families may also have reduced opportunities to work and to participate in community life. As a result, these children and families will be deprived of some of the core care conditions they need, making it harder for them to flourish. Thus, in seeking to meet the needs of children with developmental disabilities and their families, it is important to make special efforts to ensure that their core care conditions are met, and that any additional support and environmental adaptations they need are provided. </w:t>
      </w:r>
    </w:p>
    <w:p w14:paraId="312E7B9D" w14:textId="77777777" w:rsidR="0083234F" w:rsidRPr="00BE1E68" w:rsidRDefault="0083234F" w:rsidP="00BE1E68">
      <w:pPr>
        <w:rPr>
          <w:lang w:val="en-US"/>
        </w:rPr>
      </w:pPr>
    </w:p>
    <w:p w14:paraId="215461A2" w14:textId="77777777" w:rsidR="00BE1E68" w:rsidRPr="00867BC9" w:rsidRDefault="00BE1E68" w:rsidP="00BE1E68">
      <w:pPr>
        <w:rPr>
          <w:b/>
          <w:bCs/>
          <w:lang w:val="en-US"/>
        </w:rPr>
      </w:pPr>
      <w:r w:rsidRPr="00867BC9">
        <w:rPr>
          <w:b/>
          <w:bCs/>
          <w:lang w:val="en-US"/>
        </w:rPr>
        <w:lastRenderedPageBreak/>
        <w:t>How children develop and learn</w:t>
      </w:r>
    </w:p>
    <w:p w14:paraId="3D323D9F" w14:textId="77777777" w:rsidR="00BE1E68" w:rsidRPr="00BE1E68" w:rsidRDefault="00BE1E68" w:rsidP="00BE1E68">
      <w:pPr>
        <w:rPr>
          <w:lang w:val="en-US"/>
        </w:rPr>
      </w:pPr>
      <w:r w:rsidRPr="00BE1E68">
        <w:rPr>
          <w:lang w:val="en-US"/>
        </w:rPr>
        <w:t>Children learn in every environment in which they spend time (Shuey &amp; Kankaraš, 2018). This means that all environments can be considered early childhood intervention environments, and that ECI is not restricted to the time ECI practitioners spend with families. Children’s development and learning are shaped by the nature and quality of these environments, and the physical, social and learning opportunities these environments provide. Hence the core aim of ECI is to promote the capacity of parents and other caregivers to provide positive learning environments. That principle extends to the other environments in which young children spend time – community and ECEC settings.</w:t>
      </w:r>
    </w:p>
    <w:p w14:paraId="4B72D853" w14:textId="77777777" w:rsidR="00BE1E68" w:rsidRPr="00BE1E68" w:rsidRDefault="00BE1E68" w:rsidP="00BE1E68">
      <w:pPr>
        <w:rPr>
          <w:lang w:val="en-US"/>
        </w:rPr>
      </w:pPr>
      <w:r w:rsidRPr="00BE1E68">
        <w:rPr>
          <w:lang w:val="en-US"/>
        </w:rPr>
        <w:t>There is a question of what constitutes a suitable environment for young children. Because of young children’s needs to build secure attachments with their parents or core caregivers, the home environment is most appropriate. Some forms of early intervention seek to replace the home environment with centre-based programs or with high levels of therapy support, inside and outside the home This practice has become more prevalent under the NDIS in Australia and results in children spending too much time in intervention activities at the expense of learning in the natural home environment.</w:t>
      </w:r>
    </w:p>
    <w:p w14:paraId="0FE1C0A5" w14:textId="77777777" w:rsidR="00BE1E68" w:rsidRPr="00BE1E68" w:rsidRDefault="00BE1E68" w:rsidP="00BE1E68">
      <w:pPr>
        <w:rPr>
          <w:lang w:val="en-US"/>
        </w:rPr>
      </w:pPr>
      <w:r w:rsidRPr="00867BC9">
        <w:rPr>
          <w:b/>
          <w:bCs/>
          <w:i/>
          <w:iCs/>
          <w:lang w:val="en-US"/>
        </w:rPr>
        <w:t>Children learn by having multiple opportunities to practice functional skills in everyday settings</w:t>
      </w:r>
      <w:r w:rsidRPr="00BE1E68">
        <w:rPr>
          <w:lang w:val="en-US"/>
        </w:rPr>
        <w:t xml:space="preserve"> – what Mahoney (2013) calls massive practice. A major aim in ECI should be to ensure that children with developmental disabilities have as many opportunities as possible to actively practice key functional skills (Rosenbaum &amp; Gorter, 2012). This is best achieved by capitalising on the naturally occurring opportunities that arise in everyday home and community settings (Dunst, 2020; Johnson et al., 2015). This is in contrast to expecting parents to add additional ‘therapy’ activities to their schedules. Versions of this strategy include activity-based intervention (Johnson et al., 2015), naturalistic instructional techniques (Dunst et al., 2011; Meadan et al., 2016; Snyder et al., 2015), and the Coaching in Context approach that aims to enhance functioning in everyday activities of children with autism and their families (Potvin et al., 2018).  </w:t>
      </w:r>
    </w:p>
    <w:p w14:paraId="62A84145" w14:textId="642740CA" w:rsidR="00BE1E68" w:rsidRPr="00BE1E68" w:rsidRDefault="00BE1E68" w:rsidP="00BE1E68">
      <w:pPr>
        <w:rPr>
          <w:lang w:val="en-US"/>
        </w:rPr>
      </w:pPr>
      <w:r w:rsidRPr="00D0118E">
        <w:rPr>
          <w:b/>
          <w:bCs/>
          <w:i/>
          <w:iCs/>
          <w:lang w:val="en-US"/>
        </w:rPr>
        <w:t>Participation is a major driver of development</w:t>
      </w:r>
      <w:r w:rsidRPr="00BE1E68">
        <w:rPr>
          <w:lang w:val="en-US"/>
        </w:rPr>
        <w:t xml:space="preserve"> and should be seen as a major goal of ECI (Imms et al., 2017). Participation drives development through active engagement with others in home, community and ECEC settings. Participation can be seen as both a means to an end and an end in its own right (Imms et al., 2017). It is a means to an end in that it is a driver of development, and an end in its own right in that the ultimate purpose of work</w:t>
      </w:r>
      <w:r w:rsidR="00A224C8">
        <w:rPr>
          <w:lang w:val="en-US"/>
        </w:rPr>
        <w:t>ing</w:t>
      </w:r>
      <w:r w:rsidRPr="00BE1E68">
        <w:rPr>
          <w:lang w:val="en-US"/>
        </w:rPr>
        <w:t xml:space="preserve"> with children and their families is to promote optimal participation throughout life (Imms, 2020). </w:t>
      </w:r>
    </w:p>
    <w:p w14:paraId="6BDCF145" w14:textId="0AB6F00F" w:rsidR="00BE1E68" w:rsidRPr="00BE1E68" w:rsidRDefault="00BE1E68" w:rsidP="00BE1E68">
      <w:pPr>
        <w:rPr>
          <w:lang w:val="en-US"/>
        </w:rPr>
      </w:pPr>
      <w:r w:rsidRPr="00BE1E68">
        <w:rPr>
          <w:lang w:val="en-US"/>
        </w:rPr>
        <w:t xml:space="preserve">The extent to which a child or person is able to participate is largely a function of what the social and physical environment allows them to do and to be, rather than their gender, sexual identity, race, or whether they have developmental </w:t>
      </w:r>
      <w:r w:rsidR="007A4B51">
        <w:rPr>
          <w:lang w:val="en-US"/>
        </w:rPr>
        <w:t>concerns, delay or</w:t>
      </w:r>
      <w:r w:rsidRPr="00BE1E68">
        <w:rPr>
          <w:lang w:val="en-US"/>
        </w:rPr>
        <w:t xml:space="preserve"> disability. We need to design community environments and service systems that provides all children and families – regardless of their race, age, disability, location – with the social and physical environments that do not place any restriction on what they can do and what they can become.  </w:t>
      </w:r>
    </w:p>
    <w:p w14:paraId="1620D1EA" w14:textId="77777777" w:rsidR="00BE1E68" w:rsidRPr="00BE1E68" w:rsidRDefault="00BE1E68" w:rsidP="00BE1E68">
      <w:pPr>
        <w:rPr>
          <w:lang w:val="en-US"/>
        </w:rPr>
      </w:pPr>
      <w:r w:rsidRPr="00D0118E">
        <w:rPr>
          <w:b/>
          <w:bCs/>
          <w:i/>
          <w:iCs/>
          <w:lang w:val="en-US"/>
        </w:rPr>
        <w:t>Building a sense of agency and self-determination</w:t>
      </w:r>
      <w:r w:rsidRPr="00BE1E68">
        <w:rPr>
          <w:lang w:val="en-US"/>
        </w:rPr>
        <w:t xml:space="preserve"> is an important goal for any child. It is especially important for children with developmental disability as they are at risk of not being given the opportunities to choose and have a say that other </w:t>
      </w:r>
      <w:r w:rsidRPr="00BE1E68">
        <w:rPr>
          <w:lang w:val="en-US"/>
        </w:rPr>
        <w:lastRenderedPageBreak/>
        <w:t xml:space="preserve">children are. It is important therefore to understand the pathway from total dependence in infancy to independence in adulthood, and how to build a sense of agency at each step of the way (Erwin et al., 2015; Palmer et al., 2013, 2019; Summers et al., 2014). </w:t>
      </w:r>
    </w:p>
    <w:p w14:paraId="0421BC6D" w14:textId="77777777" w:rsidR="00BE1E68" w:rsidRPr="00BE1E68" w:rsidRDefault="00BE1E68" w:rsidP="00BE1E68">
      <w:pPr>
        <w:rPr>
          <w:lang w:val="en-US"/>
        </w:rPr>
      </w:pPr>
      <w:r w:rsidRPr="00BE1E68">
        <w:rPr>
          <w:lang w:val="en-US"/>
        </w:rPr>
        <w:t>The origins of agency lie in infancy and arise in the context of responsive caregiving through the infant’s participation in the give and take of early reciprocal interactions with parents and caregivers. The basic foundational skills for developing self-determination in later life are choice-making and problem solving, self-regulation, and engagement. (Erwin et al., 2015; Palmer et al., 2013). This is how they build a sense of agency, of being able to make choices and decisions to influence events and to have an impact on their world (ACECQA, 2018; EYLF). Families are often well aware of the need to promote agency in their children and report a variety of strategies used to develop choice-making, self-regulation, and engagement skills (Summers et al., 2014).</w:t>
      </w:r>
    </w:p>
    <w:p w14:paraId="1D4660D7" w14:textId="77777777" w:rsidR="00BE1E68" w:rsidRPr="00BE1E68" w:rsidRDefault="00BE1E68" w:rsidP="00BE1E68">
      <w:pPr>
        <w:rPr>
          <w:lang w:val="en-US"/>
        </w:rPr>
      </w:pPr>
      <w:r w:rsidRPr="00BE1E68">
        <w:rPr>
          <w:lang w:val="en-US"/>
        </w:rPr>
        <w:t>Building a sense of agency can also be promoted through use of interest-based and self-directed practices (Dunst &amp; Espe-Scherwindt, 2017; Dunst et al, 2012, 2016; Novak &amp; Honan, 2019; Palisano et al., 2012). For instance, incorporating the interests and preferences of young children with autism spectrum disorders into interventions has been shown to be effective in increasing prosocial and decreasing aberrant child behaviour (Dunst et al., 2012, 2016). Dunst and colleagues (2011) conducted an analysis of naturalistic language teaching strategies, such as enhanced milieu teaching, incidental teaching and responsive parenting. One of the most important common features among these approaches was interest-based child learning. (Other common features included use of everyday naturally occurring activities as contexts for child-initiated interactions; adult sensitivity and contingent social responsiveness to child initiations; and joint attention plus turn taking as activities for sustaining adult-child interactive exchanges.) Another systematic research review, this time of paediatric occupational therapy for children with disabilities, found that the most effective therapies all began with the child’s goal in order to maximise motivation and saliency of practice (Novak &amp; Honan, 2019).</w:t>
      </w:r>
    </w:p>
    <w:p w14:paraId="782D8D8C" w14:textId="2FFDD745" w:rsidR="00A06F50" w:rsidRDefault="00BE1E68" w:rsidP="00BE1E68">
      <w:pPr>
        <w:rPr>
          <w:lang w:val="en-US"/>
        </w:rPr>
      </w:pPr>
      <w:r w:rsidRPr="00BE1E68">
        <w:rPr>
          <w:lang w:val="en-US"/>
        </w:rPr>
        <w:t xml:space="preserve">All these core features of how children learn applies just as much to children with developmental delays and disabilities as to normally developing children. They also learn in every environment in which they spend time, benefit from having multiple opportunities to practice functional skills, benefit from meaningful participation, and from building a sense of agency.  </w:t>
      </w:r>
    </w:p>
    <w:p w14:paraId="59E9BB2F" w14:textId="77777777" w:rsidR="002E74E9" w:rsidRDefault="002E74E9" w:rsidP="00BE1E68">
      <w:pPr>
        <w:rPr>
          <w:lang w:val="en-US"/>
        </w:rPr>
      </w:pPr>
    </w:p>
    <w:p w14:paraId="737D7BA5" w14:textId="084502B0" w:rsidR="008F41FA" w:rsidRPr="008F41FA" w:rsidRDefault="008F41FA" w:rsidP="008F41FA">
      <w:pPr>
        <w:rPr>
          <w:b/>
          <w:bCs/>
          <w:color w:val="0C2C74"/>
          <w:lang w:val="en-US"/>
        </w:rPr>
      </w:pPr>
      <w:r w:rsidRPr="008F41FA">
        <w:rPr>
          <w:b/>
          <w:bCs/>
          <w:color w:val="0C2C74"/>
          <w:lang w:val="en-US"/>
        </w:rPr>
        <w:t>Impli</w:t>
      </w:r>
      <w:r>
        <w:rPr>
          <w:noProof/>
        </w:rPr>
        <mc:AlternateContent>
          <mc:Choice Requires="wps">
            <w:drawing>
              <wp:anchor distT="0" distB="0" distL="114300" distR="114300" simplePos="0" relativeHeight="251644928" behindDoc="1" locked="1" layoutInCell="1" allowOverlap="1" wp14:anchorId="5A84E204" wp14:editId="05E1AC3C">
                <wp:simplePos x="0" y="0"/>
                <wp:positionH relativeFrom="column">
                  <wp:posOffset>-314325</wp:posOffset>
                </wp:positionH>
                <wp:positionV relativeFrom="page">
                  <wp:posOffset>7439025</wp:posOffset>
                </wp:positionV>
                <wp:extent cx="6695440" cy="2368550"/>
                <wp:effectExtent l="0" t="0" r="0" b="0"/>
                <wp:wrapNone/>
                <wp:docPr id="193895262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368550"/>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F3858" id="Rectangle 2" o:spid="_x0000_s1026" alt="&quot;&quot;" style="position:absolute;margin-left:-24.75pt;margin-top:585.75pt;width:527.2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" fillcolor="#8087a3" stroked="f" strokeweight="1pt">
                <v:fill opacity="16448f"/>
                <w10:wrap anchory="page"/>
                <w10:anchorlock/>
              </v:rect>
            </w:pict>
          </mc:Fallback>
        </mc:AlternateContent>
      </w:r>
      <w:r w:rsidRPr="008F41FA">
        <w:rPr>
          <w:b/>
          <w:bCs/>
          <w:color w:val="0C2C74"/>
          <w:lang w:val="en-US"/>
        </w:rPr>
        <w:t>cations for the ECI services</w:t>
      </w:r>
    </w:p>
    <w:p w14:paraId="2FFD5C8F" w14:textId="77777777" w:rsidR="008F41FA" w:rsidRPr="008F41FA" w:rsidRDefault="008F41FA" w:rsidP="0031511B">
      <w:pPr>
        <w:pStyle w:val="ListParagraph"/>
        <w:numPr>
          <w:ilvl w:val="0"/>
          <w:numId w:val="35"/>
        </w:numPr>
        <w:ind w:left="714" w:hanging="357"/>
        <w:contextualSpacing w:val="0"/>
        <w:rPr>
          <w:lang w:val="en-US"/>
        </w:rPr>
      </w:pPr>
      <w:r w:rsidRPr="008F41FA">
        <w:rPr>
          <w:lang w:val="en-US"/>
        </w:rPr>
        <w:t xml:space="preserve">These findings regarding how children with and without developmental disabilities develop and learn reinforce many of the key features of ECI best practice. This includes promoting the capacity of parents and other caregivers to provide children with environments and opportunities to practise functionals skills and participate meaningfully and providing multiple opportunities for children to practise functional skills in everyday environment. It Is also useful to be reminded of how important it is to ensures that all children’s core needs are met, not just those needs relating to their disability. </w:t>
      </w:r>
    </w:p>
    <w:p w14:paraId="25D497EB" w14:textId="1343F187" w:rsidR="008F41FA" w:rsidRPr="008F41FA" w:rsidRDefault="008F41FA" w:rsidP="0031511B">
      <w:pPr>
        <w:pStyle w:val="ListParagraph"/>
        <w:numPr>
          <w:ilvl w:val="0"/>
          <w:numId w:val="35"/>
        </w:numPr>
        <w:ind w:left="714" w:hanging="357"/>
        <w:contextualSpacing w:val="0"/>
        <w:rPr>
          <w:lang w:val="en-US"/>
        </w:rPr>
      </w:pPr>
      <w:r w:rsidRPr="008F41FA">
        <w:rPr>
          <w:lang w:val="en-US"/>
        </w:rPr>
        <w:t xml:space="preserve">Some of these findings highlight some factors that impact on development that ECI may not yet have incorporated into best practice. These include </w:t>
      </w:r>
      <w:r w:rsidRPr="008F41FA">
        <w:rPr>
          <w:lang w:val="en-US"/>
        </w:rPr>
        <w:lastRenderedPageBreak/>
        <w:t>being aware of the possible presence of multiple health conditions and ensuring that they are addressed in a holistic way. The goal of building the child’s sense of agency a</w:t>
      </w:r>
      <w:r w:rsidR="0083234F">
        <w:rPr>
          <w:noProof/>
        </w:rPr>
        <mc:AlternateContent>
          <mc:Choice Requires="wps">
            <w:drawing>
              <wp:anchor distT="0" distB="0" distL="114300" distR="114300" simplePos="0" relativeHeight="251674682" behindDoc="1" locked="1" layoutInCell="1" allowOverlap="1" wp14:anchorId="309575E6" wp14:editId="3C4A01D6">
                <wp:simplePos x="0" y="0"/>
                <wp:positionH relativeFrom="column">
                  <wp:posOffset>-419100</wp:posOffset>
                </wp:positionH>
                <wp:positionV relativeFrom="page">
                  <wp:posOffset>571500</wp:posOffset>
                </wp:positionV>
                <wp:extent cx="6695440" cy="1809750"/>
                <wp:effectExtent l="0" t="0" r="0" b="0"/>
                <wp:wrapNone/>
                <wp:docPr id="183484938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1809750"/>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16B62" id="Rectangle 2" o:spid="_x0000_s1026" alt="&quot;&quot;" style="position:absolute;margin-left:-33pt;margin-top:45pt;width:527.2pt;height:142.5pt;z-index:-2516417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" fillcolor="#8087a3" stroked="f" strokeweight="1pt">
                <v:fill opacity="16448f"/>
                <w10:wrap anchory="page"/>
                <w10:anchorlock/>
              </v:rect>
            </w:pict>
          </mc:Fallback>
        </mc:AlternateContent>
      </w:r>
      <w:r w:rsidRPr="008F41FA">
        <w:rPr>
          <w:lang w:val="en-US"/>
        </w:rPr>
        <w:t>nd ‘voice’ is also an important consideration for ECI services.</w:t>
      </w:r>
    </w:p>
    <w:p w14:paraId="2E42AAEB" w14:textId="67D4CE29" w:rsidR="008F41FA" w:rsidRDefault="008F41FA" w:rsidP="0031511B">
      <w:pPr>
        <w:pStyle w:val="ListParagraph"/>
        <w:numPr>
          <w:ilvl w:val="0"/>
          <w:numId w:val="35"/>
        </w:numPr>
        <w:ind w:left="714" w:hanging="357"/>
        <w:contextualSpacing w:val="0"/>
        <w:rPr>
          <w:lang w:val="en-US"/>
        </w:rPr>
      </w:pPr>
      <w:r w:rsidRPr="008F41FA">
        <w:rPr>
          <w:lang w:val="en-US"/>
        </w:rPr>
        <w:t>Since abilities and disabilities are continuous, ECI practitioners need to be able to meet the needs of any child with developmental concerns and their families.</w:t>
      </w:r>
    </w:p>
    <w:p w14:paraId="6B819084" w14:textId="77777777" w:rsidR="008F41FA" w:rsidRDefault="008F41FA" w:rsidP="008F41FA">
      <w:pPr>
        <w:rPr>
          <w:lang w:val="en-US"/>
        </w:rPr>
      </w:pPr>
    </w:p>
    <w:p w14:paraId="22370E2D" w14:textId="77777777" w:rsidR="008F41FA" w:rsidRDefault="008F41FA" w:rsidP="008F41FA">
      <w:pPr>
        <w:rPr>
          <w:lang w:val="en-US"/>
        </w:rPr>
      </w:pPr>
    </w:p>
    <w:p w14:paraId="48B7D9A5" w14:textId="77777777" w:rsidR="008F41FA" w:rsidRDefault="008F41FA" w:rsidP="008F41FA">
      <w:pPr>
        <w:rPr>
          <w:lang w:val="en-US"/>
        </w:rPr>
      </w:pPr>
    </w:p>
    <w:p w14:paraId="05BD5E2C" w14:textId="77777777" w:rsidR="0090419D" w:rsidRPr="0090419D" w:rsidRDefault="0090419D" w:rsidP="0090419D">
      <w:pPr>
        <w:rPr>
          <w:b/>
          <w:bCs/>
          <w:color w:val="0C2C74"/>
          <w:lang w:val="en-US"/>
        </w:rPr>
      </w:pPr>
      <w:r w:rsidRPr="0090419D">
        <w:rPr>
          <w:b/>
          <w:bCs/>
          <w:color w:val="0C2C74"/>
          <w:lang w:val="en-US"/>
        </w:rPr>
        <w:t>Implications for the ECI Best Practice Framework</w:t>
      </w:r>
    </w:p>
    <w:p w14:paraId="4CD2810B" w14:textId="555B1AE4" w:rsidR="0090419D" w:rsidRPr="0090419D" w:rsidRDefault="0090419D" w:rsidP="0090419D">
      <w:pPr>
        <w:rPr>
          <w:lang w:val="en-US"/>
        </w:rPr>
      </w:pPr>
      <w:r w:rsidRPr="0090419D">
        <w:rPr>
          <w:lang w:val="en-US"/>
        </w:rPr>
        <w:t>It is rec</w:t>
      </w:r>
      <w:r>
        <w:rPr>
          <w:noProof/>
        </w:rPr>
        <mc:AlternateContent>
          <mc:Choice Requires="wps">
            <w:drawing>
              <wp:anchor distT="0" distB="0" distL="114300" distR="114300" simplePos="0" relativeHeight="251645952" behindDoc="1" locked="1" layoutInCell="1" allowOverlap="1" wp14:anchorId="232391F1" wp14:editId="57634554">
                <wp:simplePos x="0" y="0"/>
                <wp:positionH relativeFrom="column">
                  <wp:posOffset>-415290</wp:posOffset>
                </wp:positionH>
                <wp:positionV relativeFrom="page">
                  <wp:posOffset>2968625</wp:posOffset>
                </wp:positionV>
                <wp:extent cx="6695440" cy="4389120"/>
                <wp:effectExtent l="12700" t="12700" r="10160" b="17780"/>
                <wp:wrapNone/>
                <wp:docPr id="20169432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438912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FF5E" id="Rectangle 2" o:spid="_x0000_s1026" alt="&quot;&quot;" style="position:absolute;margin-left:-32.7pt;margin-top:233.75pt;width:527.2pt;height:3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" fillcolor="#f2f2f2 [3052]" strokecolor="#8087a3" strokeweight="2.25pt">
                <w10:wrap anchory="page"/>
                <w10:anchorlock/>
              </v:rect>
            </w:pict>
          </mc:Fallback>
        </mc:AlternateContent>
      </w:r>
      <w:r w:rsidRPr="0090419D">
        <w:rPr>
          <w:lang w:val="en-US"/>
        </w:rPr>
        <w:t>ommended that the ECI Best Practice Framework:</w:t>
      </w:r>
    </w:p>
    <w:p w14:paraId="42AD72A4" w14:textId="0C06C58D" w:rsidR="0090419D" w:rsidRPr="0090419D" w:rsidRDefault="0090419D" w:rsidP="0031511B">
      <w:pPr>
        <w:pStyle w:val="ListParagraph"/>
        <w:numPr>
          <w:ilvl w:val="0"/>
          <w:numId w:val="36"/>
        </w:numPr>
        <w:ind w:left="714" w:hanging="357"/>
        <w:contextualSpacing w:val="0"/>
        <w:rPr>
          <w:lang w:val="en-US"/>
        </w:rPr>
      </w:pPr>
      <w:r w:rsidRPr="0090419D">
        <w:rPr>
          <w:lang w:val="en-US"/>
        </w:rPr>
        <w:t xml:space="preserve">focuses on promoting the capacity of parents and other caregivers to provide children with environments and opportunities to practise functionals skills and participate meaningfully, being actively involved in all activities </w:t>
      </w:r>
    </w:p>
    <w:p w14:paraId="1313C9C9" w14:textId="7AD56A6A" w:rsidR="0090419D" w:rsidRPr="0090419D" w:rsidRDefault="0090419D" w:rsidP="0031511B">
      <w:pPr>
        <w:pStyle w:val="ListParagraph"/>
        <w:numPr>
          <w:ilvl w:val="0"/>
          <w:numId w:val="36"/>
        </w:numPr>
        <w:ind w:left="714" w:hanging="357"/>
        <w:contextualSpacing w:val="0"/>
        <w:rPr>
          <w:lang w:val="en-US"/>
        </w:rPr>
      </w:pPr>
      <w:r w:rsidRPr="0090419D">
        <w:rPr>
          <w:lang w:val="en-US"/>
        </w:rPr>
        <w:t xml:space="preserve">specifies the need to provide multiple opportunities to practise functional skills in everyday environment </w:t>
      </w:r>
    </w:p>
    <w:p w14:paraId="7930CD14" w14:textId="68606D8D" w:rsidR="0090419D" w:rsidRPr="0090419D" w:rsidRDefault="0090419D" w:rsidP="0031511B">
      <w:pPr>
        <w:pStyle w:val="ListParagraph"/>
        <w:numPr>
          <w:ilvl w:val="0"/>
          <w:numId w:val="36"/>
        </w:numPr>
        <w:ind w:left="714" w:hanging="357"/>
        <w:contextualSpacing w:val="0"/>
        <w:rPr>
          <w:lang w:val="en-US"/>
        </w:rPr>
      </w:pPr>
      <w:r w:rsidRPr="0090419D">
        <w:rPr>
          <w:lang w:val="en-US"/>
        </w:rPr>
        <w:t>promotes participation in home, community and ECEC</w:t>
      </w:r>
    </w:p>
    <w:p w14:paraId="603866C9" w14:textId="56579C9A" w:rsidR="0090419D" w:rsidRPr="0090419D" w:rsidRDefault="0090419D" w:rsidP="0031511B">
      <w:pPr>
        <w:pStyle w:val="ListParagraph"/>
        <w:numPr>
          <w:ilvl w:val="0"/>
          <w:numId w:val="36"/>
        </w:numPr>
        <w:ind w:left="714" w:hanging="357"/>
        <w:contextualSpacing w:val="0"/>
        <w:rPr>
          <w:lang w:val="en-US"/>
        </w:rPr>
      </w:pPr>
      <w:r w:rsidRPr="0090419D">
        <w:rPr>
          <w:lang w:val="en-US"/>
        </w:rPr>
        <w:t>ensures that all children’s core needs are met, not just those needs relating to their disability</w:t>
      </w:r>
    </w:p>
    <w:p w14:paraId="6ECC03DC" w14:textId="7A1FACBD" w:rsidR="0090419D" w:rsidRPr="0090419D" w:rsidRDefault="0090419D" w:rsidP="0031511B">
      <w:pPr>
        <w:pStyle w:val="ListParagraph"/>
        <w:numPr>
          <w:ilvl w:val="0"/>
          <w:numId w:val="36"/>
        </w:numPr>
        <w:ind w:left="714" w:hanging="357"/>
        <w:contextualSpacing w:val="0"/>
        <w:rPr>
          <w:lang w:val="en-US"/>
        </w:rPr>
      </w:pPr>
      <w:r w:rsidRPr="0090419D">
        <w:rPr>
          <w:lang w:val="en-US"/>
        </w:rPr>
        <w:t xml:space="preserve">encourages and awareness of the possible presence of multiple conditions and ensures that they are addressed in a holistic way </w:t>
      </w:r>
    </w:p>
    <w:p w14:paraId="23BCFCC5" w14:textId="2C32C4F9" w:rsidR="0090419D" w:rsidRPr="0090419D" w:rsidRDefault="0090419D" w:rsidP="0031511B">
      <w:pPr>
        <w:pStyle w:val="ListParagraph"/>
        <w:numPr>
          <w:ilvl w:val="0"/>
          <w:numId w:val="36"/>
        </w:numPr>
        <w:ind w:left="714" w:hanging="357"/>
        <w:contextualSpacing w:val="0"/>
        <w:rPr>
          <w:lang w:val="en-US"/>
        </w:rPr>
      </w:pPr>
      <w:r w:rsidRPr="0090419D">
        <w:rPr>
          <w:lang w:val="en-US"/>
        </w:rPr>
        <w:t>identifies building the child’s sense of agency and ‘voice’ as an important goal – and how to promote agency at every stage of the child’s life</w:t>
      </w:r>
    </w:p>
    <w:p w14:paraId="2439CFFC" w14:textId="32BB571B" w:rsidR="0090419D" w:rsidRPr="0090419D" w:rsidRDefault="0090419D" w:rsidP="0031511B">
      <w:pPr>
        <w:pStyle w:val="ListParagraph"/>
        <w:numPr>
          <w:ilvl w:val="0"/>
          <w:numId w:val="36"/>
        </w:numPr>
        <w:ind w:left="714" w:hanging="357"/>
        <w:contextualSpacing w:val="0"/>
        <w:rPr>
          <w:lang w:val="en-US"/>
        </w:rPr>
      </w:pPr>
      <w:r w:rsidRPr="0090419D">
        <w:rPr>
          <w:lang w:val="en-US"/>
        </w:rPr>
        <w:t>is based on a clear understanding of what child’s agency and voice looks like at different ages and how to help families and others promote the child’s growing ability to participate</w:t>
      </w:r>
    </w:p>
    <w:p w14:paraId="156BFBC5" w14:textId="580967B2" w:rsidR="008F41FA" w:rsidRDefault="0090419D" w:rsidP="0031511B">
      <w:pPr>
        <w:pStyle w:val="ListParagraph"/>
        <w:numPr>
          <w:ilvl w:val="0"/>
          <w:numId w:val="36"/>
        </w:numPr>
        <w:ind w:left="714" w:hanging="357"/>
        <w:contextualSpacing w:val="0"/>
        <w:rPr>
          <w:lang w:val="en-US"/>
        </w:rPr>
      </w:pPr>
      <w:r w:rsidRPr="0090419D">
        <w:rPr>
          <w:lang w:val="en-US"/>
        </w:rPr>
        <w:t>specifies the need to build on children’s interests and self-directed activities</w:t>
      </w:r>
    </w:p>
    <w:p w14:paraId="319CFEE3" w14:textId="77777777" w:rsidR="0090419D" w:rsidRDefault="0090419D" w:rsidP="0090419D">
      <w:pPr>
        <w:rPr>
          <w:lang w:val="en-US"/>
        </w:rPr>
      </w:pPr>
    </w:p>
    <w:p w14:paraId="1FE84BA9" w14:textId="77777777" w:rsidR="0090419D" w:rsidRDefault="0090419D" w:rsidP="0090419D">
      <w:pPr>
        <w:rPr>
          <w:lang w:val="en-US"/>
        </w:rPr>
      </w:pPr>
    </w:p>
    <w:p w14:paraId="2240AFC5" w14:textId="77777777" w:rsidR="005463F9" w:rsidRPr="00A36E8D" w:rsidRDefault="005463F9" w:rsidP="00A36E8D">
      <w:pPr>
        <w:pStyle w:val="Heading2"/>
      </w:pPr>
      <w:bookmarkStart w:id="36" w:name="_Toc177730824"/>
      <w:r w:rsidRPr="00A36E8D">
        <w:t>Socioecological evidence about families</w:t>
      </w:r>
      <w:bookmarkEnd w:id="36"/>
    </w:p>
    <w:p w14:paraId="26A3E838" w14:textId="77777777" w:rsidR="005463F9" w:rsidRPr="005463F9" w:rsidRDefault="005463F9" w:rsidP="005463F9">
      <w:pPr>
        <w:rPr>
          <w:lang w:val="en-US"/>
        </w:rPr>
      </w:pPr>
      <w:r w:rsidRPr="005463F9">
        <w:rPr>
          <w:lang w:val="en-US"/>
        </w:rPr>
        <w:t>ECI services work in partnership with parents and other caregivers. It needs to be based on what we know about the factors that shape family functioning and development and the conditions caregivers and families need to flourish. This section looks at some key features of families and how they apply to families of children with disability.</w:t>
      </w:r>
    </w:p>
    <w:p w14:paraId="7910630A" w14:textId="77777777" w:rsidR="005463F9" w:rsidRPr="00A36E8D" w:rsidRDefault="005463F9" w:rsidP="005463F9">
      <w:pPr>
        <w:rPr>
          <w:b/>
          <w:bCs/>
          <w:lang w:val="en-US"/>
        </w:rPr>
      </w:pPr>
      <w:r w:rsidRPr="00A36E8D">
        <w:rPr>
          <w:b/>
          <w:bCs/>
          <w:lang w:val="en-US"/>
        </w:rPr>
        <w:t>Family development</w:t>
      </w:r>
    </w:p>
    <w:p w14:paraId="04B46767" w14:textId="77777777" w:rsidR="005463F9" w:rsidRPr="005463F9" w:rsidRDefault="005463F9" w:rsidP="005463F9">
      <w:pPr>
        <w:rPr>
          <w:lang w:val="en-US"/>
        </w:rPr>
      </w:pPr>
      <w:r w:rsidRPr="005463F9">
        <w:rPr>
          <w:lang w:val="en-US"/>
        </w:rPr>
        <w:t xml:space="preserve">Families of young children are on a developmental journey just as much as their children are. Having a child is a radical change both biologically and in lifestyle. There are neurobiological changes associated with becoming a mother that are so </w:t>
      </w:r>
      <w:r w:rsidRPr="005463F9">
        <w:rPr>
          <w:lang w:val="en-US"/>
        </w:rPr>
        <w:lastRenderedPageBreak/>
        <w:t>significant and lifechanging that they constitute a distinct phase of development that is as significant as adolescence and has been dubbed matrescence (Conaboy, 2022; Jones, 2023; McKay, 2023). Fathers also experience significant changes, both biologically and in lifestyle (Hrdy, 2024).</w:t>
      </w:r>
    </w:p>
    <w:p w14:paraId="17EF9C22" w14:textId="50ED7A92" w:rsidR="005463F9" w:rsidRPr="005463F9" w:rsidRDefault="005463F9" w:rsidP="005463F9">
      <w:pPr>
        <w:rPr>
          <w:lang w:val="en-US"/>
        </w:rPr>
      </w:pPr>
      <w:r w:rsidRPr="005463F9">
        <w:rPr>
          <w:lang w:val="en-US"/>
        </w:rPr>
        <w:t xml:space="preserve">The core conditions that parents and families need in order to flourish have been identified (Moore, 2024). Foremost among these is </w:t>
      </w:r>
      <w:r w:rsidRPr="00A36E8D">
        <w:rPr>
          <w:b/>
          <w:bCs/>
          <w:i/>
          <w:iCs/>
          <w:lang w:val="en-US"/>
        </w:rPr>
        <w:t>social support and peer support</w:t>
      </w:r>
      <w:r w:rsidRPr="005463F9">
        <w:rPr>
          <w:lang w:val="en-US"/>
        </w:rPr>
        <w:t xml:space="preserve">. Positive personal relationships and social networks are essential for our health and wellbeing throughout our lives. Biologically, we are a relational species, built for attunement and engagement with others of our kind (Christakis, 2019; Cozolino, 2013; Lieberman, 2013). Our health and wellbeing are shaped by the quality and extent of our close personal relationships, our wider social networks, and even the general level of civility in the wider society (Barnes et al., 2006; Dunbar, 2021; Edwards &amp; Bromfield, 2009; Hawkley &amp; Cacioppo, 2013; Hertz, 2020; Pinker, 2015; Lieberman, 2013; Popkin et al., 2010; Seeman, 2000). Our immediate social networks – those people we mix with on a regular basis – have a significant influence on our ideas, emotions, health, relationships, behaviour, and even our politics (Christakis &amp; Fowler, 2009; Pinker, 2015). </w:t>
      </w:r>
    </w:p>
    <w:p w14:paraId="5E45834A" w14:textId="77777777" w:rsidR="005463F9" w:rsidRPr="005463F9" w:rsidRDefault="005463F9" w:rsidP="005463F9">
      <w:pPr>
        <w:rPr>
          <w:lang w:val="en-US"/>
        </w:rPr>
      </w:pPr>
      <w:r w:rsidRPr="005463F9">
        <w:rPr>
          <w:lang w:val="en-US"/>
        </w:rPr>
        <w:t>Positive social support has many beneficial effects on parenting. Support during pregnancy reduces the likelihood of maternal stress, depression and risk-taking behaviours during and after pregnancy (Kawachi &amp; Berkman, 2001; Rini et al., 2006). Social support also greatly affects parental care-giving capacity by promoting positive mental health and resilience during challenging periods (Green et al., 2007; Palamaro Munsell et al., 2012) and by providing peer advice, support, and connections to other resources (Plesko et al., 2021). Importantly, positive social support reduces the likelihood of child maltreatment, especially for those families experiencing multiple challenges (such as poverty, depression, unemployment) (Bishop &amp; Leadbeater, 1999; MacLeod &amp; Nelson, 2000). The more adverse a person’s circumstance and the fewer resources they have, the more important it is for them to have secure supportive relationships with one or more people in their lives (Plesko et al., 2021; Ungar, 2013; Ungar et al., 2013).</w:t>
      </w:r>
    </w:p>
    <w:p w14:paraId="2BCA9DE7" w14:textId="77777777" w:rsidR="005463F9" w:rsidRPr="005463F9" w:rsidRDefault="005463F9" w:rsidP="005463F9">
      <w:pPr>
        <w:rPr>
          <w:lang w:val="en-US"/>
        </w:rPr>
      </w:pPr>
      <w:r w:rsidRPr="005463F9">
        <w:rPr>
          <w:lang w:val="en-US"/>
        </w:rPr>
        <w:t xml:space="preserve">There is another key reason why having strong support networks is important for all parents. Just as children depend upon the nurturing care they receive from parents, so parents’ capacity to provide their children with nurturing care is in turn shaped by the nurturing care they receive from others. In order to be able to provide responsive caregiving to their children, parents need to be provided with responsive caregiving themselves. Urie Bronfenbrenner also said, ‘To help meet a child's needs, the primary caregiver should also have the support of another adult, such as a spouse or grandparent’. Just as every child needs someone who, in Bronfenbrenner’s words, ‘is irrationally crazy about him or her’, so every parent needs someone who is irrationally crazy about them.  </w:t>
      </w:r>
    </w:p>
    <w:p w14:paraId="1F7E21C4" w14:textId="78898085" w:rsidR="005463F9" w:rsidRPr="005463F9" w:rsidRDefault="005463F9" w:rsidP="005463F9">
      <w:pPr>
        <w:rPr>
          <w:lang w:val="en-US"/>
        </w:rPr>
      </w:pPr>
      <w:r w:rsidRPr="005463F9">
        <w:rPr>
          <w:lang w:val="en-US"/>
        </w:rPr>
        <w:t xml:space="preserve">Beyond this need for intimate support, we also need support from a core group of social partners with whom we have regular contact (Dunbar, 2021). In the case of parents, this often takes the form of other parents who have children of the same age. These can provide practical assistance, advice and emotional support. These informal supports have a greater influence on the personal functioning of parents than formal supports (Dunst et al., 1997). The formal services that are available to families of young children often neglect this aspect of parents’ lives. Given the importance of social support for personal wellbeing as well as for parenting, there </w:t>
      </w:r>
      <w:r w:rsidRPr="005463F9">
        <w:rPr>
          <w:lang w:val="en-US"/>
        </w:rPr>
        <w:lastRenderedPageBreak/>
        <w:t xml:space="preserve">should be a much more purposeful focus on ensuring that all parents have opportunities to meet and build positive social support networks with other parents. For families of children with disabilities, family support provides an enhancing effect to family quality of life, family functioning, and family satisfaction and a buffering effect on family stress (Hauser-Cram et al., 2013; Kyzar et al., 2012). Parents need strong support networks, including support for their own needs, to feel capable of implementing interventions with their child (Lord et al., 2018). </w:t>
      </w:r>
    </w:p>
    <w:p w14:paraId="44E2263B" w14:textId="02C7CB26" w:rsidR="005463F9" w:rsidRPr="00A36E8D" w:rsidRDefault="005463F9" w:rsidP="005463F9">
      <w:pPr>
        <w:rPr>
          <w:b/>
          <w:bCs/>
          <w:lang w:val="en-US"/>
        </w:rPr>
      </w:pPr>
      <w:r w:rsidRPr="00A36E8D">
        <w:rPr>
          <w:b/>
          <w:bCs/>
          <w:lang w:val="en-US"/>
        </w:rPr>
        <w:t xml:space="preserve">Families of children with developmental </w:t>
      </w:r>
      <w:r w:rsidR="00D60DC9">
        <w:rPr>
          <w:b/>
          <w:bCs/>
          <w:lang w:val="en-US"/>
        </w:rPr>
        <w:t>concerns, delay or</w:t>
      </w:r>
      <w:r w:rsidRPr="00A36E8D">
        <w:rPr>
          <w:b/>
          <w:bCs/>
          <w:lang w:val="en-US"/>
        </w:rPr>
        <w:t xml:space="preserve"> disability</w:t>
      </w:r>
    </w:p>
    <w:p w14:paraId="32E190F5" w14:textId="27E497C3" w:rsidR="005463F9" w:rsidRPr="005463F9" w:rsidRDefault="005463F9" w:rsidP="005463F9">
      <w:pPr>
        <w:rPr>
          <w:lang w:val="en-US"/>
        </w:rPr>
      </w:pPr>
      <w:r w:rsidRPr="00A36E8D">
        <w:rPr>
          <w:b/>
          <w:bCs/>
          <w:i/>
          <w:iCs/>
          <w:lang w:val="en-US"/>
        </w:rPr>
        <w:t xml:space="preserve">Families of children with developmental </w:t>
      </w:r>
      <w:r w:rsidR="00D60DC9">
        <w:rPr>
          <w:b/>
          <w:bCs/>
          <w:i/>
          <w:iCs/>
          <w:lang w:val="en-US"/>
        </w:rPr>
        <w:t>concerns, delays or</w:t>
      </w:r>
      <w:r w:rsidRPr="00A36E8D">
        <w:rPr>
          <w:b/>
          <w:bCs/>
          <w:i/>
          <w:iCs/>
          <w:lang w:val="en-US"/>
        </w:rPr>
        <w:t xml:space="preserve"> disabilities have the same core needs as other families</w:t>
      </w:r>
      <w:r w:rsidRPr="005463F9">
        <w:rPr>
          <w:lang w:val="en-US"/>
        </w:rPr>
        <w:t xml:space="preserve"> – for nurturing care and support, for material basics, for opportunities to participate in community activities. However, families of children with disabilities may have difficulty having these needs realised because of the nature of the child’s disabilities and the constraints that these place upon the family’s ability to work and to participate in community activities. Moreover, having a child with developmental disabilities can disrupt previous social support and leave parents in an isolated and vulnerable position. </w:t>
      </w:r>
    </w:p>
    <w:p w14:paraId="1282D395" w14:textId="77777777" w:rsidR="005463F9" w:rsidRPr="005463F9" w:rsidRDefault="005463F9" w:rsidP="005463F9">
      <w:pPr>
        <w:rPr>
          <w:lang w:val="en-US"/>
        </w:rPr>
      </w:pPr>
      <w:r w:rsidRPr="005463F9">
        <w:rPr>
          <w:lang w:val="en-US"/>
        </w:rPr>
        <w:t xml:space="preserve">The importance of social support for families of children with developmental disabilities has long been recognized (Bailey et al., 2007; Bronfenbrenner, 1979, 1992; Dunst, 2000, 2017; Guralnick, 2011, 2019). Social isolation is one of the main risk factors for families of children with disability (Cheng &amp; Lai, 2023; Smith et al., 2023). Social participation can be reduced in some families because of the behavioural and functional challenges of taking the child into community environments. The resulting isolation can affect the child’s and parent’s mental health (Smith et al., 2023). </w:t>
      </w:r>
    </w:p>
    <w:p w14:paraId="3FFBC708" w14:textId="77777777" w:rsidR="005463F9" w:rsidRPr="005463F9" w:rsidRDefault="005463F9" w:rsidP="005463F9">
      <w:pPr>
        <w:rPr>
          <w:lang w:val="en-US"/>
        </w:rPr>
      </w:pPr>
      <w:r w:rsidRPr="005463F9">
        <w:rPr>
          <w:lang w:val="en-US"/>
        </w:rPr>
        <w:t>The benefits of social support for caregivers raising a child with a disability include improvement of the mental and physical well</w:t>
      </w:r>
      <w:r w:rsidRPr="005463F9">
        <w:rPr>
          <w:rFonts w:ascii="Cambria Math" w:hAnsi="Cambria Math" w:cs="Cambria Math"/>
          <w:lang w:val="en-US"/>
        </w:rPr>
        <w:t>‐</w:t>
      </w:r>
      <w:r w:rsidRPr="005463F9">
        <w:rPr>
          <w:lang w:val="en-US"/>
        </w:rPr>
        <w:t>being and empowerment of the caregivers, improvement in caregiving styles, and overall improvement of family quality of life (Lancaster et al., 2024; Mantri</w:t>
      </w:r>
      <w:r w:rsidRPr="005463F9">
        <w:rPr>
          <w:rFonts w:ascii="Cambria Math" w:hAnsi="Cambria Math" w:cs="Cambria Math"/>
          <w:lang w:val="en-US"/>
        </w:rPr>
        <w:t>‐</w:t>
      </w:r>
      <w:r w:rsidRPr="005463F9">
        <w:rPr>
          <w:lang w:val="en-US"/>
        </w:rPr>
        <w:t>Langeveldt et al., 2019; Postma et al., 2024). Such support is particularly important during the early years when core patterns of responsive caregiving are being laid down. Evidence of importance of such support for families of children with developmental disabilities has been summarised (Bailey et al., 2007; Chakraborti et al., 2021; Dunst, 2021, 2022a, 2022b; Espe-Sherwindt and Serrano, 2020; Kyzar et al., 2012; Strawa &amp; Sartore, 2023).</w:t>
      </w:r>
    </w:p>
    <w:p w14:paraId="390F57D2" w14:textId="77777777" w:rsidR="005463F9" w:rsidRPr="005463F9" w:rsidRDefault="005463F9" w:rsidP="005463F9">
      <w:pPr>
        <w:rPr>
          <w:lang w:val="en-US"/>
        </w:rPr>
      </w:pPr>
      <w:r w:rsidRPr="005463F9">
        <w:rPr>
          <w:lang w:val="en-US"/>
        </w:rPr>
        <w:t xml:space="preserve">By virtue of its capacity to influence child, parent and family functioning, social support functions as a form of early intervention (Dunst et al., 1997). Therefore, it needs to be an important focus of early childhood intervention support to parents. An important source of support for many families of children with developmental delays or disabilities comes from other families in similar circumstances (Heyworth, 2018; Hiebert-Murphy, 2013; Pang &amp; Yarborough, 2023; Shilling et al., 2015a, 2015b). Parent-to-parent peer support can buffer the early isolation and stress (Yamoah &amp; Brown, 2023), and start parents of children with disability on a transformational journey from a ‘surviving’ mindset (just ‘getting by’) to embrace a ‘thriving’ mindset in which parents feel supported by their peers and able to thrive, grow and flourish (Heyworth, 2018). Individual peer-to-peer support has shown to have a positive impact on the emotional and psychological well-being of parents, as well as the overall quality of life for families caring for children with developmental disabilities (Postma et al, 2024). </w:t>
      </w:r>
    </w:p>
    <w:p w14:paraId="1CA8EBEF" w14:textId="77777777" w:rsidR="005463F9" w:rsidRPr="005463F9" w:rsidRDefault="005463F9" w:rsidP="005463F9">
      <w:pPr>
        <w:rPr>
          <w:lang w:val="en-US"/>
        </w:rPr>
      </w:pPr>
      <w:r w:rsidRPr="005463F9">
        <w:rPr>
          <w:lang w:val="en-US"/>
        </w:rPr>
        <w:lastRenderedPageBreak/>
        <w:t>Parents of children with developmental delays or disabilities can also act as peer workers in supporting other parents (Heyworth, 2018). Examples of peer support-based programs include</w:t>
      </w:r>
    </w:p>
    <w:p w14:paraId="176FDEBB" w14:textId="4E145CAF" w:rsidR="005463F9" w:rsidRPr="00A36E8D" w:rsidRDefault="005463F9" w:rsidP="0031511B">
      <w:pPr>
        <w:pStyle w:val="ListParagraph"/>
        <w:numPr>
          <w:ilvl w:val="0"/>
          <w:numId w:val="37"/>
        </w:numPr>
        <w:ind w:left="714" w:hanging="357"/>
        <w:contextualSpacing w:val="0"/>
        <w:rPr>
          <w:lang w:val="en-US"/>
        </w:rPr>
      </w:pPr>
      <w:r w:rsidRPr="00A36E8D">
        <w:rPr>
          <w:lang w:val="en-US"/>
        </w:rPr>
        <w:t>the Now and Next program run by Plumtree, an ECI service in New South Wales (Heyworth et al., 2017; Lancaster et al, 2024; Mahmic et al., 2018; Moore et al., 2018),</w:t>
      </w:r>
    </w:p>
    <w:p w14:paraId="39C07A89" w14:textId="7E3494D7" w:rsidR="005463F9" w:rsidRPr="00A36E8D" w:rsidRDefault="005463F9" w:rsidP="0031511B">
      <w:pPr>
        <w:pStyle w:val="ListParagraph"/>
        <w:numPr>
          <w:ilvl w:val="0"/>
          <w:numId w:val="37"/>
        </w:numPr>
        <w:ind w:left="714" w:hanging="357"/>
        <w:contextualSpacing w:val="0"/>
        <w:rPr>
          <w:lang w:val="en-US"/>
        </w:rPr>
      </w:pPr>
      <w:r w:rsidRPr="00A36E8D">
        <w:rPr>
          <w:lang w:val="en-US"/>
        </w:rPr>
        <w:t xml:space="preserve">the Healthy Parent Carers program in the UK (Borek et al., 2018; Garrood et al., 202); Lloyd et al., 2021); and </w:t>
      </w:r>
    </w:p>
    <w:p w14:paraId="2829A201" w14:textId="423EF231" w:rsidR="005463F9" w:rsidRPr="00A36E8D" w:rsidRDefault="005463F9" w:rsidP="0031511B">
      <w:pPr>
        <w:pStyle w:val="ListParagraph"/>
        <w:numPr>
          <w:ilvl w:val="0"/>
          <w:numId w:val="37"/>
        </w:numPr>
        <w:ind w:left="714" w:hanging="357"/>
        <w:contextualSpacing w:val="0"/>
        <w:rPr>
          <w:lang w:val="en-US"/>
        </w:rPr>
      </w:pPr>
      <w:r w:rsidRPr="00A36E8D">
        <w:rPr>
          <w:lang w:val="en-US"/>
        </w:rPr>
        <w:t xml:space="preserve">the ENVISAGE program in Canada and Australia (Miller et al, 2022a, 2022b; Pozniak et al., 2022; Rosenbaum et al., 2024). </w:t>
      </w:r>
    </w:p>
    <w:p w14:paraId="6038B7BC" w14:textId="77777777" w:rsidR="005463F9" w:rsidRPr="004137A7" w:rsidRDefault="005463F9" w:rsidP="005463F9">
      <w:pPr>
        <w:rPr>
          <w:b/>
          <w:bCs/>
          <w:lang w:val="en-US"/>
        </w:rPr>
      </w:pPr>
      <w:r w:rsidRPr="004137A7">
        <w:rPr>
          <w:b/>
          <w:bCs/>
          <w:lang w:val="en-US"/>
        </w:rPr>
        <w:t xml:space="preserve">Family experiences of having a child with a developmental disability </w:t>
      </w:r>
    </w:p>
    <w:p w14:paraId="7AED8A0D" w14:textId="77777777" w:rsidR="005463F9" w:rsidRPr="005463F9" w:rsidRDefault="005463F9" w:rsidP="005463F9">
      <w:pPr>
        <w:rPr>
          <w:lang w:val="en-US"/>
        </w:rPr>
      </w:pPr>
      <w:r w:rsidRPr="005463F9">
        <w:rPr>
          <w:lang w:val="en-US"/>
        </w:rPr>
        <w:t xml:space="preserve">Parenting a child with developmental disability can be stressful (Cheng &amp; Lai, 2023; Guralnick, 2019; Matthews et al., 2017; Novak-Pavlic et al., 2023). Parents and caregivers of children with additional needs such as disabilities and chronic health conditions are often required to adopt ‘informal caregiving careers’ that can span the child’s lifetime, a responsibility exceeding that of typical parental care. A survey of Victorian parents of children with additional needs (Matthews et al., 2017) found that poor parent physical and mental health were associated with having a child with additional needs. Compared to other parents, parents whose child had psychological or behavioural difficulties were less likely to have confidence in their parenting. Parents of children with additional needs were more likely to be single, female and not in full-time paid employment than parents who did not have children with additional needs. Other studies have confirmed the mothers of children with disabilities or special health care needs tend to have poorer general health and mental health than mothers whose children do not have special needs (Dikow et al., 2024; Dillon-Wallace et al. 2014, Gilson et al., 2018). </w:t>
      </w:r>
    </w:p>
    <w:p w14:paraId="05D5FE00" w14:textId="77777777" w:rsidR="005463F9" w:rsidRPr="005463F9" w:rsidRDefault="005463F9" w:rsidP="005463F9">
      <w:pPr>
        <w:rPr>
          <w:lang w:val="en-US"/>
        </w:rPr>
      </w:pPr>
      <w:r w:rsidRPr="005463F9">
        <w:rPr>
          <w:lang w:val="en-US"/>
        </w:rPr>
        <w:t xml:space="preserve">Morning, dinnertime, and bedtime routines can be particularly stressful and chaotic times of the day for families because of time pressure, tiredness, and their children’s behaviour (Boyd et al., 2014; Hughes-Scholes et al., 2019). The demands of caring for a child with a disability can affect family quality of life. Children with development disabilities tend to have a lower quality of life than other children (Ncube et al., 2018), so ensuring positive family quality of life is an important outcome for ECI (Bhopti et al., 2016), and monitoring family quality of life should be a consideration for ECI service providers (Bhopti et al., 2016; Zuna et al., 2014). ECI services can contribute to family stress by expecting too much of families. In some cases, the additional stress caused by the demands of ECI can cause parents to give up on therapy entirely (e.g. Lee, 2017). Other factors that adversely affect parental wellbeing include lack of continuity in services and having to deal with multiple service providers (Hodgetts et al. (2017). </w:t>
      </w:r>
    </w:p>
    <w:p w14:paraId="7D7E016A" w14:textId="77777777" w:rsidR="005463F9" w:rsidRPr="005463F9" w:rsidRDefault="005463F9" w:rsidP="005463F9">
      <w:pPr>
        <w:rPr>
          <w:lang w:val="en-US"/>
        </w:rPr>
      </w:pPr>
      <w:r w:rsidRPr="005463F9">
        <w:rPr>
          <w:lang w:val="en-US"/>
        </w:rPr>
        <w:t xml:space="preserve">Managing uncertainty is one of the major challenges faced by parents of children with disability (Aldiss et al., 2021: Fortune et al., 2023; Reeder &amp; Morriss, 2021). Parents caring for a child with an undiagnosed genetic condition face unique challenges, particularly in relation to managing uncertainty (Aldiss et al., 2021). This has an Impact on their emotional and physical wellbeing. They report times of feeling stressed, worried and anxious, and being confused due to being overloaded with information, and frustrated by a lack of care coordination. Parents did not appear to prioritise their own wellbeing and held back their emotions to protect themselves and </w:t>
      </w:r>
      <w:r w:rsidRPr="005463F9">
        <w:rPr>
          <w:lang w:val="en-US"/>
        </w:rPr>
        <w:lastRenderedPageBreak/>
        <w:t xml:space="preserve">others. As a result, they had many unmet needs, particularly relating to emotional support (Aldiss et al., 2021). Not surprisingly, parents of children with intellectual disabilities report experiencing emotional relief when they receive a genetic diagnosis (Dikow et al., 2024). </w:t>
      </w:r>
    </w:p>
    <w:p w14:paraId="66094148" w14:textId="185BBE86" w:rsidR="005463F9" w:rsidRPr="005463F9" w:rsidRDefault="005463F9" w:rsidP="005463F9">
      <w:pPr>
        <w:rPr>
          <w:lang w:val="en-US"/>
        </w:rPr>
      </w:pPr>
      <w:r w:rsidRPr="005463F9">
        <w:rPr>
          <w:lang w:val="en-US"/>
        </w:rPr>
        <w:t>Reeder and Morriss (2021) discuss how to help parents to manage the uncertainty associated with having a child with a long-term disability. They suggest that support needs to move beyond the provision of accurate and timely information, to include measures/strategies that help parents to accept and make sense of their situation. Re-</w:t>
      </w:r>
      <w:r w:rsidR="007378B5" w:rsidRPr="005463F9">
        <w:rPr>
          <w:lang w:val="en-US"/>
        </w:rPr>
        <w:t>centering</w:t>
      </w:r>
      <w:r w:rsidRPr="005463F9">
        <w:rPr>
          <w:lang w:val="en-US"/>
        </w:rPr>
        <w:t xml:space="preserve"> the child and reducing focus on diagnosis may help to allow space for continued hope.</w:t>
      </w:r>
    </w:p>
    <w:p w14:paraId="0C1A5814" w14:textId="3015B863" w:rsidR="005463F9" w:rsidRPr="006F6847" w:rsidRDefault="005463F9" w:rsidP="005463F9">
      <w:pPr>
        <w:rPr>
          <w:b/>
          <w:bCs/>
          <w:lang w:val="en-US"/>
        </w:rPr>
      </w:pPr>
      <w:r w:rsidRPr="006F6847">
        <w:rPr>
          <w:b/>
          <w:bCs/>
          <w:lang w:val="en-US"/>
        </w:rPr>
        <w:t>The family ‘journey’</w:t>
      </w:r>
    </w:p>
    <w:p w14:paraId="69B1A079" w14:textId="77777777" w:rsidR="005463F9" w:rsidRPr="005463F9" w:rsidRDefault="005463F9" w:rsidP="005463F9">
      <w:pPr>
        <w:rPr>
          <w:lang w:val="en-US"/>
        </w:rPr>
      </w:pPr>
      <w:r w:rsidRPr="005463F9">
        <w:rPr>
          <w:lang w:val="en-US"/>
        </w:rPr>
        <w:t xml:space="preserve">There has been an important reframing of the experience of families of children with developmental delays or disabilities from a story of trauma and ‘chronic sorrow’ to one of adaptation and hope (Hauser-Cram et al., 2013). As discussed by Moore (2016), a family’s adaptation to having a child with a disability emerges over many years and takes many forms. As Landsman (2005, 2009) has shown, mothers of children with disabilities may begin by subscribing to the medical model of disability, one in which the disability is seen as being in the body or mind of the child, and therefore as something to be ‘cured’. However, over time, they often gravitate towards a social mode, one in which the barriers to a high quality of life are not within the child but rather the product of environments that do not make accommodations to enable the child to participate meaningfully. The changes that mothers experience on this journey include embracing the exceptional qualities of the child as the essence of who they are, or even reassessing the very concept of normality itself (Landsman, 2005). </w:t>
      </w:r>
    </w:p>
    <w:p w14:paraId="5E663E69" w14:textId="77777777" w:rsidR="005463F9" w:rsidRPr="005463F9" w:rsidRDefault="005463F9" w:rsidP="005463F9">
      <w:pPr>
        <w:rPr>
          <w:lang w:val="en-US"/>
        </w:rPr>
      </w:pPr>
      <w:r w:rsidRPr="005463F9">
        <w:rPr>
          <w:lang w:val="en-US"/>
        </w:rPr>
        <w:t xml:space="preserve">Many other studies and accounts of the impact on families of having a child with a disability have shown that some families go well beyond mere ‘acceptance’ of the child, and consider themselves changed for the better (e.g. Corman, 2009; Dykens, 2005, 2006; Flaherty &amp; Glidden, 2000; Hastings &amp; Taunt, 2000; Kausar et al., 2003; King et al., 2006; Schwartz, 2003; Solomon, 2013; Thompson-Hodgetts et al., 2024). </w:t>
      </w:r>
    </w:p>
    <w:p w14:paraId="235B975E" w14:textId="13753709" w:rsidR="0090419D" w:rsidRDefault="005463F9" w:rsidP="005463F9">
      <w:pPr>
        <w:rPr>
          <w:lang w:val="en-US"/>
        </w:rPr>
      </w:pPr>
      <w:r w:rsidRPr="005463F9">
        <w:rPr>
          <w:lang w:val="en-US"/>
        </w:rPr>
        <w:t>Families of children with developmental disability are on a developmental journey just as much as their children (Bhopti et al., 2022; Nelson Goff et al., 2016). In the early stages of the family journey, there is much uncertainty – about the future for the child and about what can be done – so support needed during initial period of uncertainty (Fortune et al., 2023). The hardships and challenges of caregiving increase as the child gets older, but can be offset by positive adaptations, beliefs and transformations (Bhopti et al., 2022). ECI services can provide many forms of support to help. Building parental capabilities is one key way to support positive adaptation. Coaching can play a key role in this regard (Kemp &amp; Turnbull, 2014; McLeod et al., 2024; Meadan et al., 2018; Novak, 2014; Salisbury et al., 2018; Simpson, 2015; Tomeny et al., 2019; Vismara &amp; rogers, 2018; Ziegler &amp; Hadders-Algra, 2020).</w:t>
      </w:r>
    </w:p>
    <w:p w14:paraId="5FF89392" w14:textId="77777777" w:rsidR="00D8641A" w:rsidRDefault="00D8641A" w:rsidP="005463F9">
      <w:pPr>
        <w:rPr>
          <w:lang w:val="en-US"/>
        </w:rPr>
      </w:pPr>
    </w:p>
    <w:p w14:paraId="2A3A24FD" w14:textId="77777777" w:rsidR="00D8641A" w:rsidRDefault="00D8641A" w:rsidP="005463F9">
      <w:pPr>
        <w:rPr>
          <w:lang w:val="en-US"/>
        </w:rPr>
      </w:pPr>
    </w:p>
    <w:p w14:paraId="74AA1F39" w14:textId="77777777" w:rsidR="00D8641A" w:rsidRDefault="00D8641A" w:rsidP="005463F9">
      <w:pPr>
        <w:rPr>
          <w:lang w:val="en-US"/>
        </w:rPr>
      </w:pPr>
    </w:p>
    <w:p w14:paraId="75C96E46" w14:textId="77777777" w:rsidR="00D8641A" w:rsidRDefault="00D8641A" w:rsidP="005463F9">
      <w:pPr>
        <w:rPr>
          <w:lang w:val="en-US"/>
        </w:rPr>
      </w:pPr>
    </w:p>
    <w:p w14:paraId="0405050E" w14:textId="1125B8DD" w:rsidR="00D8641A" w:rsidRPr="00D8641A" w:rsidRDefault="00D8641A" w:rsidP="00D8641A">
      <w:pPr>
        <w:rPr>
          <w:b/>
          <w:bCs/>
          <w:color w:val="0C2C74"/>
          <w:lang w:val="en-US"/>
        </w:rPr>
      </w:pPr>
      <w:r w:rsidRPr="00D8641A">
        <w:rPr>
          <w:b/>
          <w:bCs/>
          <w:color w:val="0C2C74"/>
          <w:lang w:val="en-US"/>
        </w:rPr>
        <w:lastRenderedPageBreak/>
        <w:t>Im</w:t>
      </w:r>
      <w:r>
        <w:rPr>
          <w:noProof/>
        </w:rPr>
        <mc:AlternateContent>
          <mc:Choice Requires="wps">
            <w:drawing>
              <wp:anchor distT="0" distB="0" distL="114300" distR="114300" simplePos="0" relativeHeight="251646976" behindDoc="1" locked="1" layoutInCell="1" allowOverlap="1" wp14:anchorId="6F31B140" wp14:editId="44E4278E">
                <wp:simplePos x="0" y="0"/>
                <wp:positionH relativeFrom="column">
                  <wp:posOffset>-481965</wp:posOffset>
                </wp:positionH>
                <wp:positionV relativeFrom="page">
                  <wp:posOffset>688975</wp:posOffset>
                </wp:positionV>
                <wp:extent cx="6695440" cy="3825875"/>
                <wp:effectExtent l="0" t="0" r="0" b="0"/>
                <wp:wrapNone/>
                <wp:docPr id="44683850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82587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2BEDE" id="Rectangle 2" o:spid="_x0000_s1026" alt="&quot;&quot;" style="position:absolute;margin-left:-37.95pt;margin-top:54.25pt;width:527.2pt;height:3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" fillcolor="#8087a3" stroked="f" strokeweight="1pt">
                <v:fill opacity="16448f"/>
                <w10:wrap anchory="page"/>
                <w10:anchorlock/>
              </v:rect>
            </w:pict>
          </mc:Fallback>
        </mc:AlternateContent>
      </w:r>
      <w:r w:rsidRPr="00D8641A">
        <w:rPr>
          <w:b/>
          <w:bCs/>
          <w:color w:val="0C2C74"/>
          <w:lang w:val="en-US"/>
        </w:rPr>
        <w:t>plications for the ECI services</w:t>
      </w:r>
    </w:p>
    <w:p w14:paraId="4F9F96D1" w14:textId="77777777" w:rsidR="00D8641A" w:rsidRPr="00D8641A" w:rsidRDefault="00D8641A" w:rsidP="0031511B">
      <w:pPr>
        <w:pStyle w:val="ListParagraph"/>
        <w:numPr>
          <w:ilvl w:val="0"/>
          <w:numId w:val="38"/>
        </w:numPr>
        <w:ind w:left="714" w:hanging="357"/>
        <w:contextualSpacing w:val="0"/>
        <w:rPr>
          <w:lang w:val="en-US"/>
        </w:rPr>
      </w:pPr>
      <w:r w:rsidRPr="00D8641A">
        <w:rPr>
          <w:lang w:val="en-US"/>
        </w:rPr>
        <w:t xml:space="preserve">These findings about families reinforces some of the existing best practices in ECI services and highlights some other aspects that deserve to become part of best practice. </w:t>
      </w:r>
    </w:p>
    <w:p w14:paraId="3869BAA0" w14:textId="77777777" w:rsidR="00D8641A" w:rsidRPr="00D8641A" w:rsidRDefault="00D8641A" w:rsidP="0031511B">
      <w:pPr>
        <w:pStyle w:val="ListParagraph"/>
        <w:numPr>
          <w:ilvl w:val="0"/>
          <w:numId w:val="38"/>
        </w:numPr>
        <w:ind w:left="714" w:hanging="357"/>
        <w:contextualSpacing w:val="0"/>
        <w:rPr>
          <w:lang w:val="en-US"/>
        </w:rPr>
      </w:pPr>
      <w:r w:rsidRPr="00D8641A">
        <w:rPr>
          <w:lang w:val="en-US"/>
        </w:rPr>
        <w:t>The fact that families of children with disability have the same core needs as other families should remind ECI services of the importance of thinking about the family as a whole and including parent and family goals, as well as child goals, in family service plans. It also highlights the need to think more broadly about family needs and ensure that they have the same opportunities as other families to participate fully in community and work settings, and that their core needs are met so that they can provide their children with the core conditions the children need to flourish (Moore, 2024). In particular, ensuring that families have positive social support should be a priority.</w:t>
      </w:r>
    </w:p>
    <w:p w14:paraId="7AA9EA0A" w14:textId="4B2958C7" w:rsidR="00D8641A" w:rsidRDefault="00D8641A" w:rsidP="0031511B">
      <w:pPr>
        <w:pStyle w:val="ListParagraph"/>
        <w:numPr>
          <w:ilvl w:val="0"/>
          <w:numId w:val="38"/>
        </w:numPr>
        <w:ind w:left="714" w:hanging="357"/>
        <w:contextualSpacing w:val="0"/>
        <w:rPr>
          <w:lang w:val="en-US"/>
        </w:rPr>
      </w:pPr>
      <w:r w:rsidRPr="00D8641A">
        <w:rPr>
          <w:lang w:val="en-US"/>
        </w:rPr>
        <w:t>Another valuable implication concerns the need to adopt a positive approach regarding the child and family’s future, not being pessimistic or conclusive about the child’s future but offering families realistic hope (Hauser-Cram et al, 2013; Kern et al., 2019; Mahmic et al., 2021).</w:t>
      </w:r>
    </w:p>
    <w:p w14:paraId="61872240" w14:textId="77777777" w:rsidR="00D8641A" w:rsidRDefault="00D8641A" w:rsidP="00D8641A">
      <w:pPr>
        <w:rPr>
          <w:lang w:val="en-US"/>
        </w:rPr>
      </w:pPr>
    </w:p>
    <w:p w14:paraId="7815FD27" w14:textId="77777777" w:rsidR="00D8641A" w:rsidRDefault="00D8641A" w:rsidP="00D8641A">
      <w:pPr>
        <w:rPr>
          <w:lang w:val="en-US"/>
        </w:rPr>
      </w:pPr>
    </w:p>
    <w:p w14:paraId="06497D17" w14:textId="77777777" w:rsidR="00D8641A" w:rsidRDefault="00D8641A" w:rsidP="00D8641A">
      <w:pPr>
        <w:rPr>
          <w:lang w:val="en-US"/>
        </w:rPr>
      </w:pPr>
    </w:p>
    <w:p w14:paraId="05CAA0A4" w14:textId="2B3E2E29" w:rsidR="00EE3CAD" w:rsidRPr="00EE3CAD" w:rsidRDefault="00EE3CAD" w:rsidP="00EE3CAD">
      <w:pPr>
        <w:rPr>
          <w:b/>
          <w:bCs/>
          <w:color w:val="0C2C74"/>
          <w:lang w:val="en-US"/>
        </w:rPr>
      </w:pPr>
      <w:r w:rsidRPr="00EE3CAD">
        <w:rPr>
          <w:b/>
          <w:bCs/>
          <w:color w:val="0C2C74"/>
          <w:lang w:val="en-US"/>
        </w:rPr>
        <w:t>Implications fo</w:t>
      </w:r>
      <w:r w:rsidR="00E04C84">
        <w:rPr>
          <w:noProof/>
        </w:rPr>
        <mc:AlternateContent>
          <mc:Choice Requires="wps">
            <w:drawing>
              <wp:anchor distT="0" distB="0" distL="114300" distR="114300" simplePos="0" relativeHeight="251648000" behindDoc="1" locked="1" layoutInCell="1" allowOverlap="1" wp14:anchorId="0B7D9498" wp14:editId="0822C529">
                <wp:simplePos x="0" y="0"/>
                <wp:positionH relativeFrom="column">
                  <wp:posOffset>-481965</wp:posOffset>
                </wp:positionH>
                <wp:positionV relativeFrom="page">
                  <wp:posOffset>4809490</wp:posOffset>
                </wp:positionV>
                <wp:extent cx="6695440" cy="2575560"/>
                <wp:effectExtent l="12700" t="12700" r="10160" b="15240"/>
                <wp:wrapNone/>
                <wp:docPr id="15418956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57556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16DDA" id="Rectangle 2" o:spid="_x0000_s1026" alt="&quot;&quot;" style="position:absolute;margin-left:-37.95pt;margin-top:378.7pt;width:527.2pt;height:20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" fillcolor="#f2f2f2 [3052]" strokecolor="#8087a3" strokeweight="2.25pt">
                <w10:wrap anchory="page"/>
                <w10:anchorlock/>
              </v:rect>
            </w:pict>
          </mc:Fallback>
        </mc:AlternateContent>
      </w:r>
      <w:r w:rsidRPr="00EE3CAD">
        <w:rPr>
          <w:b/>
          <w:bCs/>
          <w:color w:val="0C2C74"/>
          <w:lang w:val="en-US"/>
        </w:rPr>
        <w:t>r the ECI Best Practice Framework</w:t>
      </w:r>
    </w:p>
    <w:p w14:paraId="498172F8" w14:textId="77777777" w:rsidR="00EE3CAD" w:rsidRPr="00EE3CAD" w:rsidRDefault="00EE3CAD" w:rsidP="00EE3CAD">
      <w:pPr>
        <w:rPr>
          <w:lang w:val="en-US"/>
        </w:rPr>
      </w:pPr>
      <w:r w:rsidRPr="00EE3CAD">
        <w:rPr>
          <w:lang w:val="en-US"/>
        </w:rPr>
        <w:t>It is recommended that the ECI Best Practice Framework:</w:t>
      </w:r>
    </w:p>
    <w:p w14:paraId="06246133" w14:textId="02DE3319" w:rsidR="00EE3CAD" w:rsidRPr="00EE3CAD" w:rsidRDefault="00EE3CAD" w:rsidP="0031511B">
      <w:pPr>
        <w:pStyle w:val="ListParagraph"/>
        <w:numPr>
          <w:ilvl w:val="0"/>
          <w:numId w:val="39"/>
        </w:numPr>
        <w:ind w:left="714" w:hanging="357"/>
        <w:contextualSpacing w:val="0"/>
        <w:rPr>
          <w:lang w:val="en-US"/>
        </w:rPr>
      </w:pPr>
      <w:r w:rsidRPr="00EE3CAD">
        <w:rPr>
          <w:lang w:val="en-US"/>
        </w:rPr>
        <w:t>adopts a positive approach regarding the child and family’s future, offering families realistic hope</w:t>
      </w:r>
    </w:p>
    <w:p w14:paraId="3CB1917B" w14:textId="215AE82B" w:rsidR="00EE3CAD" w:rsidRPr="00EE3CAD" w:rsidRDefault="00EE3CAD" w:rsidP="0031511B">
      <w:pPr>
        <w:pStyle w:val="ListParagraph"/>
        <w:numPr>
          <w:ilvl w:val="0"/>
          <w:numId w:val="39"/>
        </w:numPr>
        <w:ind w:left="714" w:hanging="357"/>
        <w:contextualSpacing w:val="0"/>
        <w:rPr>
          <w:lang w:val="en-US"/>
        </w:rPr>
      </w:pPr>
      <w:r w:rsidRPr="00EE3CAD">
        <w:rPr>
          <w:lang w:val="en-US"/>
        </w:rPr>
        <w:t>specifies the need to help families develop positive social networks</w:t>
      </w:r>
    </w:p>
    <w:p w14:paraId="0326FF1E" w14:textId="378976A5" w:rsidR="00EE3CAD" w:rsidRPr="00EE3CAD" w:rsidRDefault="00EE3CAD" w:rsidP="0031511B">
      <w:pPr>
        <w:pStyle w:val="ListParagraph"/>
        <w:numPr>
          <w:ilvl w:val="0"/>
          <w:numId w:val="39"/>
        </w:numPr>
        <w:ind w:left="714" w:hanging="357"/>
        <w:contextualSpacing w:val="0"/>
        <w:rPr>
          <w:lang w:val="en-US"/>
        </w:rPr>
      </w:pPr>
      <w:r w:rsidRPr="00EE3CAD">
        <w:rPr>
          <w:lang w:val="en-US"/>
        </w:rPr>
        <w:t>ensures that all parents and family core needs are met, not just those relating to the child’s disability</w:t>
      </w:r>
    </w:p>
    <w:p w14:paraId="4B22406D" w14:textId="2F99644B" w:rsidR="00D8641A" w:rsidRDefault="00EE3CAD" w:rsidP="0031511B">
      <w:pPr>
        <w:pStyle w:val="ListParagraph"/>
        <w:numPr>
          <w:ilvl w:val="0"/>
          <w:numId w:val="39"/>
        </w:numPr>
        <w:ind w:left="714" w:hanging="357"/>
        <w:contextualSpacing w:val="0"/>
        <w:rPr>
          <w:lang w:val="en-US"/>
        </w:rPr>
      </w:pPr>
      <w:r w:rsidRPr="00EE3CAD">
        <w:rPr>
          <w:lang w:val="en-US"/>
        </w:rPr>
        <w:t>includes goals for the child, the parents and the family as a whole in service plans</w:t>
      </w:r>
    </w:p>
    <w:p w14:paraId="49691ECB" w14:textId="77777777" w:rsidR="00562337" w:rsidRDefault="00562337" w:rsidP="00562337">
      <w:pPr>
        <w:rPr>
          <w:lang w:val="en-US"/>
        </w:rPr>
      </w:pPr>
    </w:p>
    <w:p w14:paraId="1A19CE8B" w14:textId="77777777" w:rsidR="00562337" w:rsidRDefault="00562337" w:rsidP="00562337">
      <w:pPr>
        <w:rPr>
          <w:lang w:val="en-US"/>
        </w:rPr>
      </w:pPr>
    </w:p>
    <w:p w14:paraId="31AE1DFF" w14:textId="77777777" w:rsidR="00562337" w:rsidRDefault="00562337" w:rsidP="00562337">
      <w:pPr>
        <w:rPr>
          <w:lang w:val="en-US"/>
        </w:rPr>
      </w:pPr>
    </w:p>
    <w:p w14:paraId="3E49D01A" w14:textId="77777777" w:rsidR="00562337" w:rsidRDefault="00562337" w:rsidP="00562337">
      <w:pPr>
        <w:rPr>
          <w:lang w:val="en-US"/>
        </w:rPr>
      </w:pPr>
    </w:p>
    <w:p w14:paraId="001A5714" w14:textId="77777777" w:rsidR="00562337" w:rsidRDefault="00562337" w:rsidP="00562337">
      <w:pPr>
        <w:rPr>
          <w:lang w:val="en-US"/>
        </w:rPr>
      </w:pPr>
    </w:p>
    <w:p w14:paraId="34F5BAE7" w14:textId="77777777" w:rsidR="00562337" w:rsidRDefault="00562337" w:rsidP="00562337">
      <w:pPr>
        <w:rPr>
          <w:lang w:val="en-US"/>
        </w:rPr>
      </w:pPr>
    </w:p>
    <w:p w14:paraId="4CA8AD52" w14:textId="77777777" w:rsidR="00562337" w:rsidRDefault="00562337" w:rsidP="00562337">
      <w:pPr>
        <w:rPr>
          <w:lang w:val="en-US"/>
        </w:rPr>
      </w:pPr>
    </w:p>
    <w:p w14:paraId="78B2E8E4" w14:textId="77777777" w:rsidR="00562337" w:rsidRDefault="00562337" w:rsidP="00562337">
      <w:pPr>
        <w:rPr>
          <w:lang w:val="en-US"/>
        </w:rPr>
      </w:pPr>
    </w:p>
    <w:p w14:paraId="6CC8D1DC" w14:textId="77777777" w:rsidR="00562337" w:rsidRDefault="00562337" w:rsidP="00562337">
      <w:pPr>
        <w:rPr>
          <w:lang w:val="en-US"/>
        </w:rPr>
      </w:pPr>
    </w:p>
    <w:p w14:paraId="64AE31D7" w14:textId="77777777" w:rsidR="00562337" w:rsidRDefault="00562337" w:rsidP="00562337">
      <w:pPr>
        <w:rPr>
          <w:lang w:val="en-US"/>
        </w:rPr>
      </w:pPr>
    </w:p>
    <w:p w14:paraId="64AB11AF" w14:textId="77777777" w:rsidR="00562337" w:rsidRDefault="00562337" w:rsidP="00562337">
      <w:pPr>
        <w:rPr>
          <w:lang w:val="en-US"/>
        </w:rPr>
      </w:pPr>
    </w:p>
    <w:p w14:paraId="0C9B67D8" w14:textId="77777777" w:rsidR="00D91DD9" w:rsidRPr="00D91DD9" w:rsidRDefault="00D91DD9" w:rsidP="00D91DD9">
      <w:pPr>
        <w:pStyle w:val="Heading2"/>
        <w:rPr>
          <w:lang w:val="en-US"/>
        </w:rPr>
      </w:pPr>
      <w:bookmarkStart w:id="37" w:name="_Toc177730825"/>
      <w:r w:rsidRPr="00D91DD9">
        <w:rPr>
          <w:lang w:val="en-US"/>
        </w:rPr>
        <w:lastRenderedPageBreak/>
        <w:t>People’s lived experience</w:t>
      </w:r>
      <w:bookmarkEnd w:id="37"/>
    </w:p>
    <w:p w14:paraId="40EB8ABB" w14:textId="57D77439" w:rsidR="00D91DD9" w:rsidRPr="00D91DD9" w:rsidRDefault="00D91DD9" w:rsidP="00D91DD9">
      <w:pPr>
        <w:rPr>
          <w:lang w:val="en-US"/>
        </w:rPr>
      </w:pPr>
      <w:r w:rsidRPr="00D91DD9">
        <w:rPr>
          <w:lang w:val="en-US"/>
        </w:rPr>
        <w:t xml:space="preserve">A vital source of evidence for ECI services is what can be learned from the lived experience of children with developmental </w:t>
      </w:r>
      <w:r w:rsidR="00EB1646">
        <w:rPr>
          <w:lang w:val="en-US"/>
        </w:rPr>
        <w:t xml:space="preserve">concerns, delay or </w:t>
      </w:r>
      <w:r w:rsidRPr="00D91DD9">
        <w:rPr>
          <w:lang w:val="en-US"/>
        </w:rPr>
        <w:t xml:space="preserve">disability and their families. This includes their views about what matters to them and what they say about services they need, those they receive, and what helps most. </w:t>
      </w:r>
    </w:p>
    <w:p w14:paraId="273609CB" w14:textId="4114B923" w:rsidR="00D91DD9" w:rsidRPr="00D91DD9" w:rsidRDefault="00D91DD9" w:rsidP="00D91DD9">
      <w:pPr>
        <w:rPr>
          <w:lang w:val="en-US"/>
        </w:rPr>
      </w:pPr>
      <w:r w:rsidRPr="00D91DD9">
        <w:rPr>
          <w:lang w:val="en-US"/>
        </w:rPr>
        <w:t>There are many studies that have explored parental experiences and reports of receiving services. They include accounts of early identification of child developmental concerns (Smith et al, 2023), expectations of ECI services (Phoenix et al., 2019), experiences of and responses to diagnosis of autism (Carlsson et al., 2016; Edwards et al, 2016; Grant et al., 2016; Hennel et al., 2016), expectations of genetic diagnosis of children with intellectual disability (Dikow et al., 2024), parent decision-making processes (Carlon et al., 2013, 2014, 2015; Hennel et al., 2016), experiences of family-centred practice (e</w:t>
      </w:r>
      <w:r w:rsidR="00474AC4">
        <w:rPr>
          <w:lang w:val="en-US"/>
        </w:rPr>
        <w:t>.</w:t>
      </w:r>
      <w:r w:rsidRPr="00D91DD9">
        <w:rPr>
          <w:lang w:val="en-US"/>
        </w:rPr>
        <w:t>g.</w:t>
      </w:r>
      <w:r w:rsidR="00474AC4">
        <w:rPr>
          <w:lang w:val="en-US"/>
        </w:rPr>
        <w:t>,</w:t>
      </w:r>
      <w:r w:rsidRPr="00D91DD9">
        <w:rPr>
          <w:lang w:val="en-US"/>
        </w:rPr>
        <w:t xml:space="preserve"> Batz &amp; Yadav, 2024; Lietz &amp; Geiger, 2017; Pighini et al., 2014; Ziviani et al. 2011), and experiences of empowerment (Cameron, 2018). In a Canadian study (Pighini et al., 2014), parents reported how empowering they found it when professionals embraced collaborative practices, sharing strategies and information to support parents in gaining a deeper understanding of their children's individual developmental characteristics. Cameron (2018) also focused on empowerment and found that parents struggled with navigating a system that was perceived as rigid and cumbersome, that they often found themselves in the position of having to ‘police’ the professionals involved in supporting them, and that they expressed a desire to ‘just be parents’ and relinquish a degree of control to professionals. </w:t>
      </w:r>
    </w:p>
    <w:p w14:paraId="5F226CC3" w14:textId="77777777" w:rsidR="00D91DD9" w:rsidRPr="00D91DD9" w:rsidRDefault="00D91DD9" w:rsidP="00D91DD9">
      <w:pPr>
        <w:rPr>
          <w:lang w:val="en-US"/>
        </w:rPr>
      </w:pPr>
      <w:r w:rsidRPr="00D91DD9">
        <w:rPr>
          <w:lang w:val="en-US"/>
        </w:rPr>
        <w:t xml:space="preserve">These and other studies (e.g., King et al., 2023; Lord et al., 2018; Reid et al., 2011) can provide valuable guidance for ECI practice. For instance, the study by Phoenix and colleagues (2019) suggested that service providers can improve family-centred care and collaboration with parents by explicitly discussing parents’ expectations when beginning, and throughout, therapy. The study by Edwards and colleagues (2016) highlighted the need for allied health professionals to communicate openly with parents about the anticipated outcomes of ECI programs. In an Australian study, Hennel and colleagues (2016) surveyed parents of children with autism regarding their experiences of diagnostic consultation sessions with paediatricians. The found that parents wanted more information than can be conveyed in a single diagnostic consultation and concluded that developing a tailored ‘autism action plan’ with written materials could improve parents' understanding of and satisfaction with children's autism diagnoses. The importance of attending to parents’ need for information was also highlighted in a study by Ziviani and colleagues (2011). </w:t>
      </w:r>
    </w:p>
    <w:p w14:paraId="46B361A3" w14:textId="530F4F34" w:rsidR="00D91DD9" w:rsidRPr="00D91DD9" w:rsidRDefault="00D91DD9" w:rsidP="00D91DD9">
      <w:pPr>
        <w:rPr>
          <w:lang w:val="en-US"/>
        </w:rPr>
      </w:pPr>
      <w:r w:rsidRPr="00D91DD9">
        <w:rPr>
          <w:lang w:val="en-US"/>
        </w:rPr>
        <w:t>A Canadian study (Pozniak et al., 2023) of parental experiences of ECI services found that parents want care that is individualized, coordinated, easily accessible, and takes into account the entire family dynamic. They want service providers to be informed and invested in their child’s care, and to provide parents with practical assistance. They also want to be treated with respect, caring and empathy, and to work together with service providers in developing a service plan. They also valued responsiveness to needs and mental health; effective communication (vs information giving); practical support (in addition to emotional and informational support); and availability and scheduling.</w:t>
      </w:r>
    </w:p>
    <w:p w14:paraId="6AB57A29" w14:textId="77777777" w:rsidR="00D91DD9" w:rsidRPr="00D91DD9" w:rsidRDefault="00D91DD9" w:rsidP="00D91DD9">
      <w:pPr>
        <w:rPr>
          <w:lang w:val="en-US"/>
        </w:rPr>
      </w:pPr>
      <w:r w:rsidRPr="00D91DD9">
        <w:rPr>
          <w:lang w:val="en-US"/>
        </w:rPr>
        <w:lastRenderedPageBreak/>
        <w:t>A particularly illuminating study by Grant and colleagues (2016) explored how parents of children with autism spectrum disorders made decisions and what form of information they preferred. Parents described a journey from the point of diagnosis that involved seeking information on autism interventions from multiple sources, with the Internet being the primary source. They were overwhelmed by the sheer volume of information available, and their preferences for information varied according to their stage in the journey post diagnosis. Parents had a ‘trial and error’ approach to choosing interventions, with their confidence increasing as they became more familiar with their child's condition and had opportunities to explore numerous information sources about their child's diagnosis. While their confidence increased over time, they gave little consideration to the effectiveness or evidence supporting interventions throughout the journey. This study highlights the need for parents of children with autism to be supported to make informed intervention decisions, particularly with consideration for research evidence.</w:t>
      </w:r>
    </w:p>
    <w:p w14:paraId="4B0C2806" w14:textId="4F1C6FD4" w:rsidR="00562337" w:rsidRDefault="00D91DD9" w:rsidP="00D91DD9">
      <w:pPr>
        <w:rPr>
          <w:lang w:val="en-US"/>
        </w:rPr>
      </w:pPr>
      <w:r w:rsidRPr="00D91DD9">
        <w:rPr>
          <w:lang w:val="en-US"/>
        </w:rPr>
        <w:t>Consultations and engagement with Aboriginal and Torres Strait Islander families and communities, consistently highlight the impact of fear of child removal or other ‘interventions’ on family engagement with services (e.g., SNAICC 2021, 2021; Kral at al., 2021). Concerns are underpinned by the higher likelihood of being Aboriginal or Torres Strait Islander child in out-of-home care (Delfabbro 2018), and the history of inter-generational trauma associated with the Stolen Generation (AIHW, 2018). The need to fund and embed community-led, trusted systems of support are consistently recommended (SNAICC 2023; 2021).</w:t>
      </w:r>
    </w:p>
    <w:p w14:paraId="062DD551" w14:textId="77777777" w:rsidR="00D91DD9" w:rsidRDefault="00D91DD9" w:rsidP="00D91DD9">
      <w:pPr>
        <w:rPr>
          <w:lang w:val="en-US"/>
        </w:rPr>
      </w:pPr>
    </w:p>
    <w:p w14:paraId="4BCA86FA" w14:textId="7299BF08" w:rsidR="002A289E" w:rsidRPr="00940607" w:rsidRDefault="002A289E" w:rsidP="002A289E">
      <w:pPr>
        <w:rPr>
          <w:b/>
          <w:bCs/>
          <w:color w:val="0C2C74"/>
          <w:lang w:val="en-US"/>
        </w:rPr>
      </w:pPr>
      <w:r w:rsidRPr="00940607">
        <w:rPr>
          <w:b/>
          <w:bCs/>
          <w:color w:val="0C2C74"/>
          <w:lang w:val="en-US"/>
        </w:rPr>
        <w:t>Implications for the ECI services</w:t>
      </w:r>
    </w:p>
    <w:p w14:paraId="40EB2B6C" w14:textId="644FDAD3" w:rsidR="00D91DD9" w:rsidRPr="00940607" w:rsidRDefault="002A289E" w:rsidP="0031511B">
      <w:pPr>
        <w:pStyle w:val="ListParagraph"/>
        <w:numPr>
          <w:ilvl w:val="0"/>
          <w:numId w:val="41"/>
        </w:numPr>
        <w:rPr>
          <w:lang w:val="en-US"/>
        </w:rPr>
      </w:pPr>
      <w:r w:rsidRPr="00940607">
        <w:rPr>
          <w:lang w:val="en-US"/>
        </w:rPr>
        <w:t>ECI services should be informed by what parents and others identify as the issues that are of most importance to the, and the ways in which services can be of most help. The evidence considered earlier (section 3.4) about the importance of co-design suggests that ECI should do more to engage parents as co-designers, co evaluators and co-deliverers of ECI services. For Aboriginal and Torres Strait Islander families, community-led service development</w:t>
      </w:r>
      <w:r w:rsidR="00940607">
        <w:rPr>
          <w:noProof/>
        </w:rPr>
        <mc:AlternateContent>
          <mc:Choice Requires="wps">
            <w:drawing>
              <wp:anchor distT="0" distB="0" distL="114300" distR="114300" simplePos="0" relativeHeight="251649024" behindDoc="1" locked="1" layoutInCell="1" allowOverlap="1" wp14:anchorId="668AC504" wp14:editId="4D5E9B3E">
                <wp:simplePos x="0" y="0"/>
                <wp:positionH relativeFrom="column">
                  <wp:posOffset>-478790</wp:posOffset>
                </wp:positionH>
                <wp:positionV relativeFrom="page">
                  <wp:posOffset>5007610</wp:posOffset>
                </wp:positionV>
                <wp:extent cx="6695440" cy="2011680"/>
                <wp:effectExtent l="0" t="0" r="0" b="0"/>
                <wp:wrapNone/>
                <wp:docPr id="197597730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011680"/>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56D57" id="Rectangle 2" o:spid="_x0000_s1026" alt="&quot;&quot;" style="position:absolute;margin-left:-37.7pt;margin-top:394.3pt;width:527.2pt;height:15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" fillcolor="#8087a3" stroked="f" strokeweight="1pt">
                <v:fill opacity="16448f"/>
                <w10:wrap anchory="page"/>
                <w10:anchorlock/>
              </v:rect>
            </w:pict>
          </mc:Fallback>
        </mc:AlternateContent>
      </w:r>
      <w:r w:rsidR="00940607">
        <w:rPr>
          <w:noProof/>
        </w:rPr>
        <mc:AlternateContent>
          <mc:Choice Requires="wps">
            <w:drawing>
              <wp:anchor distT="0" distB="0" distL="114300" distR="114300" simplePos="0" relativeHeight="251650048" behindDoc="1" locked="1" layoutInCell="1" allowOverlap="1" wp14:anchorId="5FF3DD19" wp14:editId="0E69C7AE">
                <wp:simplePos x="0" y="0"/>
                <wp:positionH relativeFrom="column">
                  <wp:posOffset>-480060</wp:posOffset>
                </wp:positionH>
                <wp:positionV relativeFrom="page">
                  <wp:posOffset>7214870</wp:posOffset>
                </wp:positionV>
                <wp:extent cx="6695440" cy="2364740"/>
                <wp:effectExtent l="12700" t="12700" r="10160" b="10160"/>
                <wp:wrapNone/>
                <wp:docPr id="40808166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36474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BD29C" id="Rectangle 2" o:spid="_x0000_s1026" alt="&quot;&quot;" style="position:absolute;margin-left:-37.8pt;margin-top:568.1pt;width:527.2pt;height:18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" fillcolor="#f2f2f2 [3052]" strokecolor="#8087a3" strokeweight="2.25pt">
                <w10:wrap anchory="page"/>
                <w10:anchorlock/>
              </v:rect>
            </w:pict>
          </mc:Fallback>
        </mc:AlternateContent>
      </w:r>
      <w:r w:rsidRPr="00940607">
        <w:rPr>
          <w:lang w:val="en-US"/>
        </w:rPr>
        <w:t xml:space="preserve"> is key to addressing the need to build trust and culturally responsive services.</w:t>
      </w:r>
    </w:p>
    <w:p w14:paraId="5F008CEC" w14:textId="77777777" w:rsidR="00011EF2" w:rsidRDefault="00011EF2" w:rsidP="002A289E">
      <w:pPr>
        <w:rPr>
          <w:lang w:val="en-US"/>
        </w:rPr>
      </w:pPr>
    </w:p>
    <w:p w14:paraId="4C58072A" w14:textId="41766B7F" w:rsidR="00011EF2" w:rsidRPr="00940607" w:rsidRDefault="00940607" w:rsidP="00011EF2">
      <w:pPr>
        <w:rPr>
          <w:b/>
          <w:bCs/>
          <w:color w:val="0C2C74"/>
          <w:lang w:val="en-US"/>
        </w:rPr>
      </w:pPr>
      <w:r>
        <w:rPr>
          <w:b/>
          <w:bCs/>
          <w:color w:val="0C2C74"/>
          <w:lang w:val="en-US"/>
        </w:rPr>
        <w:br/>
      </w:r>
      <w:r w:rsidR="00011EF2" w:rsidRPr="00940607">
        <w:rPr>
          <w:b/>
          <w:bCs/>
          <w:color w:val="0C2C74"/>
          <w:lang w:val="en-US"/>
        </w:rPr>
        <w:t>Implications for the ECI Best Practice Framework</w:t>
      </w:r>
    </w:p>
    <w:p w14:paraId="6817AD3F" w14:textId="77777777" w:rsidR="00011EF2" w:rsidRPr="00011EF2" w:rsidRDefault="00011EF2" w:rsidP="00011EF2">
      <w:pPr>
        <w:rPr>
          <w:lang w:val="en-US"/>
        </w:rPr>
      </w:pPr>
      <w:r w:rsidRPr="00011EF2">
        <w:rPr>
          <w:lang w:val="en-US"/>
        </w:rPr>
        <w:t>It is recommended that the ECI Best Practice Framework:</w:t>
      </w:r>
    </w:p>
    <w:p w14:paraId="6F5E45AA" w14:textId="6C9DBBFB" w:rsidR="00011EF2" w:rsidRPr="00940607" w:rsidRDefault="00011EF2" w:rsidP="0031511B">
      <w:pPr>
        <w:pStyle w:val="ListParagraph"/>
        <w:numPr>
          <w:ilvl w:val="0"/>
          <w:numId w:val="40"/>
        </w:numPr>
        <w:ind w:left="714" w:hanging="357"/>
        <w:contextualSpacing w:val="0"/>
        <w:rPr>
          <w:lang w:val="en-US"/>
        </w:rPr>
      </w:pPr>
      <w:r w:rsidRPr="00940607">
        <w:rPr>
          <w:lang w:val="en-US"/>
        </w:rPr>
        <w:t>specifies the need for basing service delivery on an understanding of what families say they value and want from services</w:t>
      </w:r>
    </w:p>
    <w:p w14:paraId="0EA38DA9" w14:textId="7A418E1B" w:rsidR="00011EF2" w:rsidRPr="00940607" w:rsidRDefault="00011EF2" w:rsidP="0031511B">
      <w:pPr>
        <w:pStyle w:val="ListParagraph"/>
        <w:numPr>
          <w:ilvl w:val="0"/>
          <w:numId w:val="40"/>
        </w:numPr>
        <w:ind w:left="714" w:hanging="357"/>
        <w:contextualSpacing w:val="0"/>
        <w:rPr>
          <w:lang w:val="en-US"/>
        </w:rPr>
      </w:pPr>
      <w:r w:rsidRPr="00940607">
        <w:rPr>
          <w:lang w:val="en-US"/>
        </w:rPr>
        <w:t>ensures that family values and cultural practices are understood and respected</w:t>
      </w:r>
    </w:p>
    <w:p w14:paraId="337E4C76" w14:textId="3FF5A0AA" w:rsidR="00011EF2" w:rsidRPr="00940607" w:rsidRDefault="00011EF2" w:rsidP="0031511B">
      <w:pPr>
        <w:pStyle w:val="ListParagraph"/>
        <w:numPr>
          <w:ilvl w:val="0"/>
          <w:numId w:val="40"/>
        </w:numPr>
        <w:ind w:left="714" w:hanging="357"/>
        <w:contextualSpacing w:val="0"/>
        <w:rPr>
          <w:lang w:val="en-US"/>
        </w:rPr>
      </w:pPr>
      <w:r w:rsidRPr="00940607">
        <w:rPr>
          <w:lang w:val="en-US"/>
        </w:rPr>
        <w:t xml:space="preserve">bases services on the issues that parents say they most want help with </w:t>
      </w:r>
    </w:p>
    <w:p w14:paraId="18F3850C" w14:textId="4D21612A" w:rsidR="00011EF2" w:rsidRDefault="00011EF2" w:rsidP="0031511B">
      <w:pPr>
        <w:pStyle w:val="ListParagraph"/>
        <w:numPr>
          <w:ilvl w:val="0"/>
          <w:numId w:val="40"/>
        </w:numPr>
        <w:ind w:left="714" w:hanging="357"/>
        <w:contextualSpacing w:val="0"/>
        <w:rPr>
          <w:lang w:val="en-US"/>
        </w:rPr>
      </w:pPr>
      <w:r w:rsidRPr="00940607">
        <w:rPr>
          <w:lang w:val="en-US"/>
        </w:rPr>
        <w:t>identifies ways in which ECI service providers can be supported to make informed decisions</w:t>
      </w:r>
    </w:p>
    <w:p w14:paraId="1A20CF8E" w14:textId="77777777" w:rsidR="00940607" w:rsidRDefault="00940607" w:rsidP="00940607">
      <w:pPr>
        <w:rPr>
          <w:lang w:val="en-US"/>
        </w:rPr>
      </w:pPr>
    </w:p>
    <w:p w14:paraId="280BF535" w14:textId="77777777" w:rsidR="002842C6" w:rsidRPr="002842C6" w:rsidRDefault="002842C6" w:rsidP="00FB3048">
      <w:pPr>
        <w:pStyle w:val="Heading2"/>
        <w:rPr>
          <w:lang w:val="en-US"/>
        </w:rPr>
      </w:pPr>
      <w:bookmarkStart w:id="38" w:name="_Toc177730826"/>
      <w:r w:rsidRPr="002842C6">
        <w:rPr>
          <w:lang w:val="en-US"/>
        </w:rPr>
        <w:lastRenderedPageBreak/>
        <w:t>Service delivery evidence</w:t>
      </w:r>
      <w:bookmarkEnd w:id="38"/>
    </w:p>
    <w:p w14:paraId="6DCAAA13" w14:textId="77777777" w:rsidR="002842C6" w:rsidRPr="002842C6" w:rsidRDefault="002842C6" w:rsidP="002842C6">
      <w:pPr>
        <w:rPr>
          <w:lang w:val="en-US"/>
        </w:rPr>
      </w:pPr>
      <w:r w:rsidRPr="002842C6">
        <w:rPr>
          <w:lang w:val="en-US"/>
        </w:rPr>
        <w:t>Convergent evidence from a variety of forms of service sectors, including medicine, psychology, and social work. Key finding include:</w:t>
      </w:r>
    </w:p>
    <w:p w14:paraId="12EB811C" w14:textId="77777777" w:rsidR="002842C6" w:rsidRPr="002842C6" w:rsidRDefault="002842C6" w:rsidP="002842C6">
      <w:pPr>
        <w:rPr>
          <w:lang w:val="en-US"/>
        </w:rPr>
      </w:pPr>
      <w:r w:rsidRPr="00FB3048">
        <w:rPr>
          <w:b/>
          <w:bCs/>
          <w:i/>
          <w:iCs/>
          <w:lang w:val="en-US"/>
        </w:rPr>
        <w:t>Human services are fundamentally relational, dependent upon the quality of the relationships between service provider and client</w:t>
      </w:r>
      <w:r w:rsidRPr="002842C6">
        <w:rPr>
          <w:lang w:val="en-US"/>
        </w:rPr>
        <w:t xml:space="preserve"> (Ingram &amp; Smith, 2018; Moore, 2017). Convergent evidence from many service sectors indicates that the quality of the relationships between practitioners and parents are central to achieving the objectives of services (Bell &amp; Smerdon, 2011; Braun et al., 2006; CCCH, 2021; Greenhalgh et al., 2014; Lord et al., 2018; McColgan &amp; McMullin, 2017; Moloney, 2016; Moore, 2017; Scott et al., 2007). The way in which services engage and work with families is critical: professionals need to respond to family priorities, build on family strengths and establish partnerships that involve shared decision-making, thereby giving families greater control over their lives (CCCH, 2010; Kennedy, 2017). </w:t>
      </w:r>
    </w:p>
    <w:p w14:paraId="6FC4B95B" w14:textId="77777777" w:rsidR="002842C6" w:rsidRPr="002842C6" w:rsidRDefault="002842C6" w:rsidP="002842C6">
      <w:pPr>
        <w:rPr>
          <w:lang w:val="en-US"/>
        </w:rPr>
      </w:pPr>
      <w:r w:rsidRPr="00FB3048">
        <w:rPr>
          <w:b/>
          <w:bCs/>
          <w:i/>
          <w:iCs/>
          <w:lang w:val="en-US"/>
        </w:rPr>
        <w:t>The way in which support services engage vulnerable families is as important as the actual programs they provide</w:t>
      </w:r>
      <w:r w:rsidRPr="002842C6">
        <w:rPr>
          <w:lang w:val="en-US"/>
        </w:rPr>
        <w:t xml:space="preserve"> (CCCH, 2010, 2021; Dunst &amp; Trivette, 2009; Moore, McDonald et al., 2012; Moore, 2017; Saleebey, 2006; Trivette &amp; Dunst, 2014). Parents benefit most when they are actively involved in deciding what knowledge is important to them, and how they want to access that information. Changes in actual parenting practices are more likely when professionals use strength-based, capacity-building, help-giving practices they need, seeking to build parents’ capacity to meet the needs of their children more effectively (Harper Browne, 2014; Pattoni, 2012; Moore &amp; Larkin, 2005; Trivette &amp; Dunst, 2014). The more vulnerable the parents are, the more important it is to establish effective relationships (CCCH, 2010). For those who are better resourced and supported, effective engagement is not as critical, but still important. The quality of the relationships that practitioners develop with parents and caregivers affects how effective they are as helpers and change agents.</w:t>
      </w:r>
    </w:p>
    <w:p w14:paraId="6907BC03" w14:textId="77777777" w:rsidR="002842C6" w:rsidRPr="002842C6" w:rsidRDefault="002842C6" w:rsidP="002842C6">
      <w:pPr>
        <w:rPr>
          <w:lang w:val="en-US"/>
        </w:rPr>
      </w:pPr>
      <w:r w:rsidRPr="00FB3048">
        <w:rPr>
          <w:b/>
          <w:bCs/>
          <w:i/>
          <w:iCs/>
          <w:lang w:val="en-US"/>
        </w:rPr>
        <w:t>Training in the key skills of relational practice is needed</w:t>
      </w:r>
      <w:r w:rsidRPr="002842C6">
        <w:rPr>
          <w:lang w:val="en-US"/>
        </w:rPr>
        <w:t xml:space="preserve"> (Gadsen et al., 2016). Effective communication is an essential part of effective human services, and professionals need to learn about and practice communication and listening skills (King, 2021; Law et al., 2003). The key elements of effective relationships and therapeutic relationships are now sufficiently well understood and can form the basis of what Norcross and Wampbold (2011) call evidence-based therapy relationships. There are many valuable accounts of the key skills needed to build effective relationships with others (for example, Geldard et al., 2021; Harms, 2015; Miller &amp; Rollnick, 2013). In Australia, the most relevant and accessible training for human service providers is the Family Partnership Model, developed at the Centre for Parent and Child Support in the UK (Davis &amp; Day, 2010).  </w:t>
      </w:r>
    </w:p>
    <w:p w14:paraId="68C4A4C4" w14:textId="77777777" w:rsidR="002842C6" w:rsidRPr="002842C6" w:rsidRDefault="002842C6" w:rsidP="002842C6">
      <w:pPr>
        <w:rPr>
          <w:lang w:val="en-US"/>
        </w:rPr>
      </w:pPr>
      <w:r w:rsidRPr="002842C6">
        <w:rPr>
          <w:lang w:val="en-US"/>
        </w:rPr>
        <w:t xml:space="preserve">Training is also needed in cultural responsiveness and cultural safety practices, as well as trauma and healing-informed practices. These are particular skills sets in relational practice. </w:t>
      </w:r>
    </w:p>
    <w:p w14:paraId="5AF1DFB3" w14:textId="77777777" w:rsidR="002842C6" w:rsidRPr="002842C6" w:rsidRDefault="002842C6" w:rsidP="002842C6">
      <w:pPr>
        <w:rPr>
          <w:lang w:val="en-US"/>
        </w:rPr>
      </w:pPr>
      <w:r w:rsidRPr="00FB3048">
        <w:rPr>
          <w:b/>
          <w:bCs/>
          <w:i/>
          <w:iCs/>
          <w:lang w:val="en-US"/>
        </w:rPr>
        <w:t>Engaging with families is a necessary but not sufficient condition for change.</w:t>
      </w:r>
      <w:r w:rsidRPr="002842C6">
        <w:rPr>
          <w:lang w:val="en-US"/>
        </w:rPr>
        <w:t xml:space="preserve"> Effective partnerships provide the platform for change – for the families to learn how to provide children with the conditions they need to develop functional skills. However, change only occurs if the caregivers learn to apply new strategies and environmental adaptations that ensure that the child benefits. Families will vary in their capacity to change, with some living in circumstances that compromise their </w:t>
      </w:r>
      <w:r w:rsidRPr="002842C6">
        <w:rPr>
          <w:lang w:val="en-US"/>
        </w:rPr>
        <w:lastRenderedPageBreak/>
        <w:t>ability to provide their children with the core care conditions they need. In ECI practitioners need to be mindful of these circumstances and be careful not to blame parents.</w:t>
      </w:r>
    </w:p>
    <w:p w14:paraId="56CDBFFD" w14:textId="0C1FB078" w:rsidR="00940607" w:rsidRDefault="002842C6" w:rsidP="002842C6">
      <w:pPr>
        <w:rPr>
          <w:lang w:val="en-US"/>
        </w:rPr>
      </w:pPr>
      <w:r w:rsidRPr="00C279E6">
        <w:rPr>
          <w:b/>
          <w:bCs/>
          <w:i/>
          <w:iCs/>
          <w:lang w:val="en-US"/>
        </w:rPr>
        <w:t>Monitoring the quality of relationships is important for ensuring effective implementation.</w:t>
      </w:r>
      <w:r w:rsidRPr="002842C6">
        <w:rPr>
          <w:lang w:val="en-US"/>
        </w:rPr>
        <w:t xml:space="preserve"> Getting feedback from parents and gathering data about the overall levels of relational practice are essential tools for improving the efficacy of ECI services.</w:t>
      </w:r>
    </w:p>
    <w:p w14:paraId="1BAEEE52" w14:textId="77777777" w:rsidR="003270E9" w:rsidRDefault="003270E9" w:rsidP="002842C6">
      <w:pPr>
        <w:rPr>
          <w:lang w:val="en-US"/>
        </w:rPr>
      </w:pPr>
    </w:p>
    <w:p w14:paraId="6FAFF7BF" w14:textId="77777777" w:rsidR="00A533A1" w:rsidRPr="00A533A1" w:rsidRDefault="00A533A1" w:rsidP="00A533A1">
      <w:pPr>
        <w:rPr>
          <w:b/>
          <w:bCs/>
          <w:color w:val="0C2C74"/>
          <w:lang w:val="en-US"/>
        </w:rPr>
      </w:pPr>
      <w:r w:rsidRPr="00A533A1">
        <w:rPr>
          <w:b/>
          <w:bCs/>
          <w:color w:val="0C2C74"/>
          <w:lang w:val="en-US"/>
        </w:rPr>
        <w:t>Implications for the ECI services</w:t>
      </w:r>
    </w:p>
    <w:p w14:paraId="4CC05D5C" w14:textId="14EE5D8B" w:rsidR="00A533A1" w:rsidRPr="00A533A1" w:rsidRDefault="00A533A1" w:rsidP="0031511B">
      <w:pPr>
        <w:pStyle w:val="ListParagraph"/>
        <w:numPr>
          <w:ilvl w:val="0"/>
          <w:numId w:val="42"/>
        </w:numPr>
        <w:ind w:left="714" w:hanging="357"/>
        <w:contextualSpacing w:val="0"/>
        <w:rPr>
          <w:lang w:val="en-US"/>
        </w:rPr>
      </w:pPr>
      <w:r w:rsidRPr="00A533A1">
        <w:rPr>
          <w:lang w:val="en-US"/>
        </w:rPr>
        <w:t>These findings support some of the central planks of ECI best practice, especially family-centred practice. They provide convergent evidence from a varie</w:t>
      </w:r>
      <w:r w:rsidR="006A28FC">
        <w:rPr>
          <w:noProof/>
        </w:rPr>
        <mc:AlternateContent>
          <mc:Choice Requires="wps">
            <w:drawing>
              <wp:anchor distT="0" distB="0" distL="114300" distR="114300" simplePos="0" relativeHeight="251651072" behindDoc="1" locked="1" layoutInCell="1" allowOverlap="1" wp14:anchorId="178757A5" wp14:editId="3B2ECEB2">
                <wp:simplePos x="0" y="0"/>
                <wp:positionH relativeFrom="column">
                  <wp:posOffset>-478790</wp:posOffset>
                </wp:positionH>
                <wp:positionV relativeFrom="page">
                  <wp:posOffset>2405380</wp:posOffset>
                </wp:positionV>
                <wp:extent cx="6695440" cy="3558540"/>
                <wp:effectExtent l="0" t="0" r="0" b="0"/>
                <wp:wrapNone/>
                <wp:docPr id="20194144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558540"/>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5E79" id="Rectangle 2" o:spid="_x0000_s1026" alt="&quot;&quot;" style="position:absolute;margin-left:-37.7pt;margin-top:189.4pt;width:527.2pt;height:28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" fillcolor="#8087a3" stroked="f" strokeweight="1pt">
                <v:fill opacity="16448f"/>
                <w10:wrap anchory="page"/>
                <w10:anchorlock/>
              </v:rect>
            </w:pict>
          </mc:Fallback>
        </mc:AlternateContent>
      </w:r>
      <w:r w:rsidR="006A28FC">
        <w:rPr>
          <w:noProof/>
        </w:rPr>
        <mc:AlternateContent>
          <mc:Choice Requires="wps">
            <w:drawing>
              <wp:anchor distT="0" distB="0" distL="114300" distR="114300" simplePos="0" relativeHeight="251652096" behindDoc="1" locked="1" layoutInCell="1" allowOverlap="1" wp14:anchorId="531CC5A5" wp14:editId="6FA23797">
                <wp:simplePos x="0" y="0"/>
                <wp:positionH relativeFrom="column">
                  <wp:posOffset>-480060</wp:posOffset>
                </wp:positionH>
                <wp:positionV relativeFrom="page">
                  <wp:posOffset>6188075</wp:posOffset>
                </wp:positionV>
                <wp:extent cx="6695440" cy="2054860"/>
                <wp:effectExtent l="12700" t="12700" r="10160" b="15240"/>
                <wp:wrapNone/>
                <wp:docPr id="155816710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05486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F7BE8" id="Rectangle 2" o:spid="_x0000_s1026" alt="&quot;&quot;" style="position:absolute;margin-left:-37.8pt;margin-top:487.25pt;width:527.2pt;height:16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" fillcolor="#f2f2f2 [3052]" strokecolor="#8087a3" strokeweight="2.25pt">
                <w10:wrap anchory="page"/>
                <w10:anchorlock/>
              </v:rect>
            </w:pict>
          </mc:Fallback>
        </mc:AlternateContent>
      </w:r>
      <w:r w:rsidRPr="00A533A1">
        <w:rPr>
          <w:lang w:val="en-US"/>
        </w:rPr>
        <w:t xml:space="preserve">ty of allied fields for the importance of relational-based practice and the importance of authentic engagement and partnership with parents (Centre for Community Child Health, 2021). Maintaining authentic engagement can be challenging (Moore, 2017). </w:t>
      </w:r>
    </w:p>
    <w:p w14:paraId="0ACA7FBF" w14:textId="77777777" w:rsidR="00A533A1" w:rsidRPr="00A533A1" w:rsidRDefault="00A533A1" w:rsidP="0031511B">
      <w:pPr>
        <w:pStyle w:val="ListParagraph"/>
        <w:numPr>
          <w:ilvl w:val="0"/>
          <w:numId w:val="42"/>
        </w:numPr>
        <w:ind w:left="714" w:hanging="357"/>
        <w:contextualSpacing w:val="0"/>
        <w:rPr>
          <w:lang w:val="en-US"/>
        </w:rPr>
      </w:pPr>
      <w:r w:rsidRPr="00A533A1">
        <w:rPr>
          <w:lang w:val="en-US"/>
        </w:rPr>
        <w:t xml:space="preserve">The findings are also a reminder that ECI services are not simply about developing positive relationships with families. Positive relationships are both an end in their own right and a means to an end. They are an end in their own right in that any positive relationships are beneficial for parents’ wellbeing. They are a means to an end in that that they are the medium through which practitioners can help parents develop the skills they need to meet their children’s need. For children to benefit, the environment they live in needs to become more optimal. </w:t>
      </w:r>
    </w:p>
    <w:p w14:paraId="2184D2CD" w14:textId="15937664" w:rsidR="003270E9" w:rsidRDefault="00A533A1" w:rsidP="0031511B">
      <w:pPr>
        <w:pStyle w:val="ListParagraph"/>
        <w:numPr>
          <w:ilvl w:val="0"/>
          <w:numId w:val="42"/>
        </w:numPr>
        <w:ind w:left="714" w:hanging="357"/>
        <w:contextualSpacing w:val="0"/>
        <w:rPr>
          <w:lang w:val="en-US"/>
        </w:rPr>
      </w:pPr>
      <w:r w:rsidRPr="00A533A1">
        <w:rPr>
          <w:lang w:val="en-US"/>
        </w:rPr>
        <w:t>Training in the core skills of effective help-giving is essential for ECI practitioners.</w:t>
      </w:r>
    </w:p>
    <w:p w14:paraId="03C22446" w14:textId="77777777" w:rsidR="00A533A1" w:rsidRDefault="00A533A1" w:rsidP="00A533A1">
      <w:pPr>
        <w:rPr>
          <w:lang w:val="en-US"/>
        </w:rPr>
      </w:pPr>
    </w:p>
    <w:p w14:paraId="0A737BEC" w14:textId="77777777" w:rsidR="00A533A1" w:rsidRDefault="00A533A1" w:rsidP="00A533A1">
      <w:pPr>
        <w:rPr>
          <w:lang w:val="en-US"/>
        </w:rPr>
      </w:pPr>
    </w:p>
    <w:p w14:paraId="206B5255" w14:textId="77777777" w:rsidR="006A28FC" w:rsidRPr="006A28FC" w:rsidRDefault="006A28FC" w:rsidP="006A28FC">
      <w:pPr>
        <w:rPr>
          <w:b/>
          <w:bCs/>
          <w:color w:val="0C2C74"/>
          <w:lang w:val="en-US"/>
        </w:rPr>
      </w:pPr>
      <w:r w:rsidRPr="006A28FC">
        <w:rPr>
          <w:b/>
          <w:bCs/>
          <w:color w:val="0C2C74"/>
          <w:lang w:val="en-US"/>
        </w:rPr>
        <w:t>Implications for the ECI Practice Framework</w:t>
      </w:r>
    </w:p>
    <w:p w14:paraId="50424D3C" w14:textId="77777777" w:rsidR="006A28FC" w:rsidRPr="006A28FC" w:rsidRDefault="006A28FC" w:rsidP="006A28FC">
      <w:pPr>
        <w:rPr>
          <w:lang w:val="en-US"/>
        </w:rPr>
      </w:pPr>
      <w:r w:rsidRPr="006A28FC">
        <w:rPr>
          <w:lang w:val="en-US"/>
        </w:rPr>
        <w:t>It is recommended that the ECI Practice Framework:</w:t>
      </w:r>
    </w:p>
    <w:p w14:paraId="1A99E625" w14:textId="531490FA" w:rsidR="006A28FC" w:rsidRPr="006A28FC" w:rsidRDefault="006A28FC" w:rsidP="0031511B">
      <w:pPr>
        <w:pStyle w:val="ListParagraph"/>
        <w:numPr>
          <w:ilvl w:val="0"/>
          <w:numId w:val="43"/>
        </w:numPr>
        <w:ind w:left="714" w:hanging="357"/>
        <w:contextualSpacing w:val="0"/>
        <w:rPr>
          <w:lang w:val="en-US"/>
        </w:rPr>
      </w:pPr>
      <w:r w:rsidRPr="006A28FC">
        <w:rPr>
          <w:lang w:val="en-US"/>
        </w:rPr>
        <w:t xml:space="preserve">places authentic engagement and partnership building at the centre of ECI practice </w:t>
      </w:r>
    </w:p>
    <w:p w14:paraId="1D1EC9C6" w14:textId="570AABAC" w:rsidR="006A28FC" w:rsidRPr="006A28FC" w:rsidRDefault="006A28FC" w:rsidP="0031511B">
      <w:pPr>
        <w:pStyle w:val="ListParagraph"/>
        <w:numPr>
          <w:ilvl w:val="0"/>
          <w:numId w:val="43"/>
        </w:numPr>
        <w:ind w:left="714" w:hanging="357"/>
        <w:contextualSpacing w:val="0"/>
        <w:rPr>
          <w:lang w:val="en-US"/>
        </w:rPr>
      </w:pPr>
      <w:r w:rsidRPr="006A28FC">
        <w:rPr>
          <w:lang w:val="en-US"/>
        </w:rPr>
        <w:t>specifies the importance of practitioners receiving training in core skills of effective help-giving</w:t>
      </w:r>
    </w:p>
    <w:p w14:paraId="4BA06DAB" w14:textId="4F68D20E" w:rsidR="00A533A1" w:rsidRDefault="006A28FC" w:rsidP="0031511B">
      <w:pPr>
        <w:pStyle w:val="ListParagraph"/>
        <w:numPr>
          <w:ilvl w:val="0"/>
          <w:numId w:val="43"/>
        </w:numPr>
        <w:ind w:left="714" w:hanging="357"/>
        <w:contextualSpacing w:val="0"/>
        <w:rPr>
          <w:lang w:val="en-US"/>
        </w:rPr>
      </w:pPr>
      <w:r w:rsidRPr="006A28FC">
        <w:rPr>
          <w:lang w:val="en-US"/>
        </w:rPr>
        <w:t>endorses family-centred practice as a core principle of ECI service delivery</w:t>
      </w:r>
    </w:p>
    <w:p w14:paraId="52A5DC3B" w14:textId="77777777" w:rsidR="00504A60" w:rsidRDefault="00504A60" w:rsidP="00504A60">
      <w:pPr>
        <w:rPr>
          <w:lang w:val="en-US"/>
        </w:rPr>
      </w:pPr>
    </w:p>
    <w:p w14:paraId="7B3D5196" w14:textId="77777777" w:rsidR="00504A60" w:rsidRDefault="00504A60" w:rsidP="00504A60">
      <w:pPr>
        <w:rPr>
          <w:lang w:val="en-US"/>
        </w:rPr>
      </w:pPr>
    </w:p>
    <w:p w14:paraId="2F18EBDE" w14:textId="77777777" w:rsidR="00504A60" w:rsidRDefault="00504A60" w:rsidP="00504A60">
      <w:pPr>
        <w:rPr>
          <w:lang w:val="en-US"/>
        </w:rPr>
      </w:pPr>
    </w:p>
    <w:p w14:paraId="06810BD0" w14:textId="77777777" w:rsidR="00504A60" w:rsidRDefault="00504A60" w:rsidP="00504A60">
      <w:pPr>
        <w:rPr>
          <w:lang w:val="en-US"/>
        </w:rPr>
      </w:pPr>
    </w:p>
    <w:p w14:paraId="12BCB4FB" w14:textId="77777777" w:rsidR="00504A60" w:rsidRDefault="00504A60" w:rsidP="00504A60">
      <w:pPr>
        <w:rPr>
          <w:lang w:val="en-US"/>
        </w:rPr>
      </w:pPr>
    </w:p>
    <w:p w14:paraId="47AB0572" w14:textId="77777777" w:rsidR="00504A60" w:rsidRDefault="00504A60" w:rsidP="00504A60">
      <w:pPr>
        <w:rPr>
          <w:lang w:val="en-US"/>
        </w:rPr>
      </w:pPr>
    </w:p>
    <w:p w14:paraId="294B9095" w14:textId="77777777" w:rsidR="00504A60" w:rsidRDefault="00504A60" w:rsidP="00504A60">
      <w:pPr>
        <w:rPr>
          <w:lang w:val="en-US"/>
        </w:rPr>
      </w:pPr>
    </w:p>
    <w:p w14:paraId="0D0DCCC2" w14:textId="77777777" w:rsidR="00D63AD3" w:rsidRPr="00D63AD3" w:rsidRDefault="00D63AD3" w:rsidP="00D63AD3">
      <w:pPr>
        <w:pStyle w:val="Heading2"/>
      </w:pPr>
      <w:bookmarkStart w:id="39" w:name="_Toc177730827"/>
      <w:r w:rsidRPr="00D63AD3">
        <w:lastRenderedPageBreak/>
        <w:t>Evidence-based practice</w:t>
      </w:r>
      <w:bookmarkEnd w:id="39"/>
    </w:p>
    <w:p w14:paraId="6574F488" w14:textId="77777777" w:rsidR="00D63AD3" w:rsidRPr="00D63AD3" w:rsidRDefault="00D63AD3" w:rsidP="00D63AD3">
      <w:pPr>
        <w:rPr>
          <w:lang w:val="en-US"/>
        </w:rPr>
      </w:pPr>
      <w:r w:rsidRPr="00D63AD3">
        <w:rPr>
          <w:lang w:val="en-US"/>
        </w:rPr>
        <w:t xml:space="preserve">All best practice guides state that ECI practitioners should only be using strategies that are evidence-based, that is, that have been demonstrated to be effective. However, the deployment of these strategies needs to be part of a process of negotiation with families. As the previous section has demonstrated, how services are delivered is as important as what is delivered. It is critical that practitioners engage effectively with families and understand their goals and circumstances if they are help them build their capabilities to meet the child and families’ needs. </w:t>
      </w:r>
    </w:p>
    <w:p w14:paraId="52D5FF3D" w14:textId="0C622D85" w:rsidR="00D63AD3" w:rsidRPr="00D63AD3" w:rsidRDefault="00D63AD3" w:rsidP="00D63AD3">
      <w:pPr>
        <w:rPr>
          <w:lang w:val="en-US"/>
        </w:rPr>
      </w:pPr>
      <w:r w:rsidRPr="00D63AD3">
        <w:rPr>
          <w:lang w:val="en-US"/>
        </w:rPr>
        <w:t xml:space="preserve">Once a partnership has been established and parent priorities agreed, the selection of strategies to address these strategies can begin. Choosing strategies needs to be part of an evidence-informed decision-making process (Moore, 2016) that takes account </w:t>
      </w:r>
      <w:r w:rsidR="00792913">
        <w:rPr>
          <w:lang w:val="en-US"/>
        </w:rPr>
        <w:t xml:space="preserve">of </w:t>
      </w:r>
      <w:r w:rsidRPr="00D63AD3">
        <w:rPr>
          <w:lang w:val="en-US"/>
        </w:rPr>
        <w:t>what is acceptable to the families and what can realistically be implemented in the family circumstances. The strategies that ECI practitioners share should be evidence-based, known to be effective.  The final choice of strategies should be made by parents.</w:t>
      </w:r>
    </w:p>
    <w:p w14:paraId="76ADAE55" w14:textId="77777777" w:rsidR="00D63AD3" w:rsidRPr="00D63AD3" w:rsidRDefault="00D63AD3" w:rsidP="00D63AD3">
      <w:pPr>
        <w:rPr>
          <w:lang w:val="en-US"/>
        </w:rPr>
      </w:pPr>
      <w:r w:rsidRPr="00D63AD3">
        <w:rPr>
          <w:lang w:val="en-US"/>
        </w:rPr>
        <w:t xml:space="preserve">It is possible for strategies to be effective but to be used to cause harm. It is important therefore that the strategies chosen are used to achieve goals that are desired by the family, and that the family are fully informed about the strengths and weaknesses of different strategies. In determining goals on behalf of young children who are unable to articulate their own preferences, we need to be sure that they are goals that are truly in the child’s interest and not solely in the interests of caregivers or service providers.  </w:t>
      </w:r>
    </w:p>
    <w:p w14:paraId="428D9E5C" w14:textId="2C8E1FA8" w:rsidR="005808C6" w:rsidRDefault="00D63AD3" w:rsidP="00D63AD3">
      <w:pPr>
        <w:rPr>
          <w:lang w:val="en-US"/>
        </w:rPr>
      </w:pPr>
      <w:r w:rsidRPr="00D63AD3">
        <w:rPr>
          <w:lang w:val="en-US"/>
        </w:rPr>
        <w:t>The ECI field is now sufficiently well-established that there are many systematic reviews that can be used to identify effective intervention strategies, as well as those that are unproven or ineffective. (This evidence is addressed in the systematic review reported in Section 7). As this evidence is constantly expanding, it is important that ECI practitioners have access to a continuously updated evidence base (Chakraborty et al., 2024).</w:t>
      </w:r>
    </w:p>
    <w:p w14:paraId="265EA18E" w14:textId="77777777" w:rsidR="005808C6" w:rsidRDefault="005808C6" w:rsidP="00D63AD3">
      <w:pPr>
        <w:rPr>
          <w:lang w:val="en-US"/>
        </w:rPr>
      </w:pPr>
    </w:p>
    <w:p w14:paraId="2D8B2E26" w14:textId="77777777" w:rsidR="005808C6" w:rsidRPr="005808C6" w:rsidRDefault="005808C6" w:rsidP="005808C6">
      <w:pPr>
        <w:rPr>
          <w:b/>
          <w:bCs/>
          <w:color w:val="0C2C74"/>
          <w:lang w:val="en-US"/>
        </w:rPr>
      </w:pPr>
      <w:r w:rsidRPr="005808C6">
        <w:rPr>
          <w:b/>
          <w:bCs/>
          <w:color w:val="0C2C74"/>
          <w:lang w:val="en-US"/>
        </w:rPr>
        <w:t>Implications for the ECI Best Practice Framework</w:t>
      </w:r>
    </w:p>
    <w:p w14:paraId="4F76264B" w14:textId="77777777" w:rsidR="005808C6" w:rsidRPr="005808C6" w:rsidRDefault="005808C6" w:rsidP="005808C6">
      <w:pPr>
        <w:rPr>
          <w:lang w:val="en-US"/>
        </w:rPr>
      </w:pPr>
      <w:r w:rsidRPr="005808C6">
        <w:rPr>
          <w:lang w:val="en-US"/>
        </w:rPr>
        <w:t>It is recommended that the ECI Best Practice Framework:</w:t>
      </w:r>
    </w:p>
    <w:p w14:paraId="02A7F7D2" w14:textId="4E1AF74D" w:rsidR="005808C6" w:rsidRPr="005808C6" w:rsidRDefault="005808C6" w:rsidP="0031511B">
      <w:pPr>
        <w:pStyle w:val="ListParagraph"/>
        <w:numPr>
          <w:ilvl w:val="0"/>
          <w:numId w:val="44"/>
        </w:numPr>
        <w:ind w:left="714" w:hanging="357"/>
        <w:contextualSpacing w:val="0"/>
        <w:rPr>
          <w:lang w:val="en-US"/>
        </w:rPr>
      </w:pPr>
      <w:r w:rsidRPr="005808C6">
        <w:rPr>
          <w:lang w:val="en-US"/>
        </w:rPr>
        <w:t>ensures that the strategies that ECI providers use to address family needs should be eviden</w:t>
      </w:r>
      <w:r>
        <w:rPr>
          <w:noProof/>
        </w:rPr>
        <mc:AlternateContent>
          <mc:Choice Requires="wps">
            <w:drawing>
              <wp:anchor distT="0" distB="0" distL="114300" distR="114300" simplePos="0" relativeHeight="251653120" behindDoc="1" locked="1" layoutInCell="1" allowOverlap="1" wp14:anchorId="7B8E2A46" wp14:editId="04F22E9D">
                <wp:simplePos x="0" y="0"/>
                <wp:positionH relativeFrom="column">
                  <wp:posOffset>-480695</wp:posOffset>
                </wp:positionH>
                <wp:positionV relativeFrom="page">
                  <wp:posOffset>6439535</wp:posOffset>
                </wp:positionV>
                <wp:extent cx="6695440" cy="2054860"/>
                <wp:effectExtent l="12700" t="12700" r="10160" b="15240"/>
                <wp:wrapNone/>
                <wp:docPr id="132398020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05486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822F9" id="Rectangle 2" o:spid="_x0000_s1026" alt="&quot;&quot;" style="position:absolute;margin-left:-37.85pt;margin-top:507.05pt;width:527.2pt;height:16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" fillcolor="#f2f2f2 [3052]" strokecolor="#8087a3" strokeweight="2.25pt">
                <w10:wrap anchory="page"/>
                <w10:anchorlock/>
              </v:rect>
            </w:pict>
          </mc:Fallback>
        </mc:AlternateContent>
      </w:r>
      <w:r w:rsidRPr="005808C6">
        <w:rPr>
          <w:lang w:val="en-US"/>
        </w:rPr>
        <w:t>ce-based, adapted as necessary to meet family circumstances</w:t>
      </w:r>
    </w:p>
    <w:p w14:paraId="22E33529" w14:textId="69F611D0" w:rsidR="005808C6" w:rsidRDefault="005808C6" w:rsidP="0031511B">
      <w:pPr>
        <w:pStyle w:val="ListParagraph"/>
        <w:numPr>
          <w:ilvl w:val="0"/>
          <w:numId w:val="44"/>
        </w:numPr>
        <w:ind w:left="714" w:hanging="357"/>
        <w:contextualSpacing w:val="0"/>
        <w:rPr>
          <w:lang w:val="en-US"/>
        </w:rPr>
      </w:pPr>
      <w:r w:rsidRPr="005808C6">
        <w:rPr>
          <w:lang w:val="en-US"/>
        </w:rPr>
        <w:t>ensures that the choice of strategies should be guided by an evidence-informed decision-making process that preferences family values, priorities and goals</w:t>
      </w:r>
    </w:p>
    <w:p w14:paraId="56BA0901" w14:textId="035B9AE3" w:rsidR="005808C6" w:rsidRDefault="005808C6" w:rsidP="005808C6">
      <w:pPr>
        <w:rPr>
          <w:lang w:val="en-US"/>
        </w:rPr>
      </w:pPr>
    </w:p>
    <w:p w14:paraId="063129A2" w14:textId="77777777" w:rsidR="005808C6" w:rsidRDefault="005808C6" w:rsidP="005808C6">
      <w:pPr>
        <w:rPr>
          <w:lang w:val="en-US"/>
        </w:rPr>
      </w:pPr>
    </w:p>
    <w:p w14:paraId="36036E59" w14:textId="77777777" w:rsidR="005808C6" w:rsidRDefault="005808C6" w:rsidP="005808C6">
      <w:pPr>
        <w:rPr>
          <w:lang w:val="en-US"/>
        </w:rPr>
      </w:pPr>
    </w:p>
    <w:p w14:paraId="59CF1575" w14:textId="77777777" w:rsidR="005808C6" w:rsidRDefault="005808C6" w:rsidP="005808C6">
      <w:pPr>
        <w:rPr>
          <w:lang w:val="en-US"/>
        </w:rPr>
      </w:pPr>
    </w:p>
    <w:p w14:paraId="09B6ADE9" w14:textId="77777777" w:rsidR="005808C6" w:rsidRDefault="005808C6" w:rsidP="005808C6">
      <w:pPr>
        <w:rPr>
          <w:lang w:val="en-US"/>
        </w:rPr>
      </w:pPr>
    </w:p>
    <w:p w14:paraId="1E65ED06" w14:textId="77777777" w:rsidR="005808C6" w:rsidRDefault="005808C6" w:rsidP="005808C6">
      <w:pPr>
        <w:rPr>
          <w:lang w:val="en-US"/>
        </w:rPr>
      </w:pPr>
    </w:p>
    <w:p w14:paraId="105EA4BD" w14:textId="77777777" w:rsidR="00146344" w:rsidRPr="00146344" w:rsidRDefault="00146344" w:rsidP="00146344">
      <w:pPr>
        <w:pStyle w:val="Heading2"/>
        <w:rPr>
          <w:lang w:val="en-US"/>
        </w:rPr>
      </w:pPr>
      <w:bookmarkStart w:id="40" w:name="_Toc177730828"/>
      <w:r w:rsidRPr="00146344">
        <w:rPr>
          <w:lang w:val="en-US"/>
        </w:rPr>
        <w:lastRenderedPageBreak/>
        <w:t>Practice wisdom / practice-based evidence</w:t>
      </w:r>
      <w:bookmarkEnd w:id="40"/>
    </w:p>
    <w:p w14:paraId="19E2B304" w14:textId="77777777" w:rsidR="00146344" w:rsidRPr="00146344" w:rsidRDefault="00146344" w:rsidP="00146344">
      <w:pPr>
        <w:rPr>
          <w:lang w:val="en-US"/>
        </w:rPr>
      </w:pPr>
      <w:r w:rsidRPr="00146344">
        <w:rPr>
          <w:lang w:val="en-US"/>
        </w:rPr>
        <w:t xml:space="preserve">As noted already, evidence-informed practice is decision-making process that blends evidence-based practice, practice-based evidence, and parental views and values. </w:t>
      </w:r>
    </w:p>
    <w:p w14:paraId="28FA5774" w14:textId="77777777" w:rsidR="00146344" w:rsidRPr="00146344" w:rsidRDefault="00146344" w:rsidP="00146344">
      <w:pPr>
        <w:rPr>
          <w:lang w:val="en-US"/>
        </w:rPr>
      </w:pPr>
      <w:r w:rsidRPr="00146344">
        <w:rPr>
          <w:lang w:val="en-US"/>
        </w:rPr>
        <w:t xml:space="preserve">Practice-based evidence (also referred to as practice wisdom) can take several forms, including the use of clinical expertise, the synthesis of evidence obtained from programs with similar (but not necessarily the same) aims and outcomes, and the gathering of evidence during practice (Centre for Community Child Health, 2011, Moore, 2016).  </w:t>
      </w:r>
    </w:p>
    <w:p w14:paraId="6442AEE9" w14:textId="6A67A394" w:rsidR="005808C6" w:rsidRDefault="00146344" w:rsidP="00146344">
      <w:pPr>
        <w:rPr>
          <w:lang w:val="en-US"/>
        </w:rPr>
      </w:pPr>
      <w:r w:rsidRPr="00146344">
        <w:rPr>
          <w:lang w:val="en-US"/>
        </w:rPr>
        <w:t>In the context of ECI services, practice-based evidence refers to the accumulated knowledge that practitioners develop regarding how evidence-based strategies can be applied in real world settings and what works with particular families and contexts. To comprehensively meet the needs of families, early childhood practitioners will need to not only he able to apply evidence-based practices, but they also will need to know how to adapt these practices to support families who are raising young children with disabilities in complex situations (Trivette &amp; Corr, 2018). For example, embedded learning opportunities and routines-based approaches require practitioners to adapt effective strategies to fit in with the many different family environments and routines. This means that practitioners can build up a knowledge of a range of ways in which this has been done successfully with different families (Hughes-Scholes et al. 2015, 2019</w:t>
      </w:r>
      <w:r w:rsidR="00550572" w:rsidRPr="00146344">
        <w:rPr>
          <w:lang w:val="en-US"/>
        </w:rPr>
        <w:t>) and</w:t>
      </w:r>
      <w:r w:rsidRPr="00146344">
        <w:rPr>
          <w:lang w:val="en-US"/>
        </w:rPr>
        <w:t xml:space="preserve"> can then draw on this knowledge when working with new families.</w:t>
      </w:r>
    </w:p>
    <w:p w14:paraId="46AF7FCD" w14:textId="77777777" w:rsidR="007752FF" w:rsidRDefault="007752FF" w:rsidP="00146344">
      <w:pPr>
        <w:rPr>
          <w:lang w:val="en-US"/>
        </w:rPr>
      </w:pPr>
    </w:p>
    <w:p w14:paraId="23A9B79D" w14:textId="77777777" w:rsidR="007752FF" w:rsidRPr="007752FF" w:rsidRDefault="007752FF" w:rsidP="007752FF">
      <w:pPr>
        <w:rPr>
          <w:b/>
          <w:bCs/>
          <w:color w:val="0C2C74"/>
          <w:lang w:val="en-US"/>
        </w:rPr>
      </w:pPr>
      <w:r w:rsidRPr="007752FF">
        <w:rPr>
          <w:b/>
          <w:bCs/>
          <w:color w:val="0C2C74"/>
          <w:lang w:val="en-US"/>
        </w:rPr>
        <w:t>Implications for ECI services</w:t>
      </w:r>
    </w:p>
    <w:p w14:paraId="12752F88" w14:textId="3EEAF60B" w:rsidR="007752FF" w:rsidRDefault="007752FF" w:rsidP="0031511B">
      <w:pPr>
        <w:pStyle w:val="ListParagraph"/>
        <w:numPr>
          <w:ilvl w:val="0"/>
          <w:numId w:val="45"/>
        </w:numPr>
        <w:rPr>
          <w:lang w:val="en-US"/>
        </w:rPr>
      </w:pPr>
      <w:r w:rsidRPr="007752FF">
        <w:rPr>
          <w:lang w:val="en-US"/>
        </w:rPr>
        <w:t>The relationship between evidence-based practice and practice-based evidence is a dynamic one in which both influence each other. As noted already, choosing strategie</w:t>
      </w:r>
      <w:r w:rsidR="00D447BE">
        <w:rPr>
          <w:noProof/>
        </w:rPr>
        <mc:AlternateContent>
          <mc:Choice Requires="wps">
            <w:drawing>
              <wp:anchor distT="0" distB="0" distL="114300" distR="114300" simplePos="0" relativeHeight="251655168" behindDoc="1" locked="1" layoutInCell="1" allowOverlap="1" wp14:anchorId="56EDDDFC" wp14:editId="35B0C5E5">
                <wp:simplePos x="0" y="0"/>
                <wp:positionH relativeFrom="column">
                  <wp:posOffset>-434975</wp:posOffset>
                </wp:positionH>
                <wp:positionV relativeFrom="page">
                  <wp:posOffset>5143500</wp:posOffset>
                </wp:positionV>
                <wp:extent cx="6695440" cy="2171700"/>
                <wp:effectExtent l="0" t="0" r="0" b="0"/>
                <wp:wrapNone/>
                <wp:docPr id="21084676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171700"/>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4AECD" id="Rectangle 2" o:spid="_x0000_s1026" alt="&quot;&quot;" style="position:absolute;margin-left:-34.25pt;margin-top:405pt;width:527.2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" fillcolor="#8087a3" stroked="f" strokeweight="1pt">
                <v:fill opacity="16448f"/>
                <w10:wrap anchory="page"/>
                <w10:anchorlock/>
              </v:rect>
            </w:pict>
          </mc:Fallback>
        </mc:AlternateContent>
      </w:r>
      <w:r w:rsidRPr="007752FF">
        <w:rPr>
          <w:lang w:val="en-US"/>
        </w:rPr>
        <w:t xml:space="preserve">s to address the goals that parents’ choice requires an evidence-informed decision-making process that gives equal weight to evidence-based research findings, practice-based evidence and learnings, and parental values and priorities. Any adaptation of evidence-based strategies should be made in the light of the acceptability to the parents and the practitioners’ knowledge of effective ways of adapting strategies in ways that will enable them to be embedded in the family’s daily routines.  </w:t>
      </w:r>
    </w:p>
    <w:p w14:paraId="1D3A1D48" w14:textId="77777777" w:rsidR="007752FF" w:rsidRDefault="007752FF" w:rsidP="007752FF">
      <w:pPr>
        <w:rPr>
          <w:lang w:val="en-US"/>
        </w:rPr>
      </w:pPr>
    </w:p>
    <w:p w14:paraId="1CE5D213" w14:textId="77777777" w:rsidR="00503EB9" w:rsidRDefault="00503EB9" w:rsidP="00D447BE">
      <w:pPr>
        <w:rPr>
          <w:b/>
          <w:bCs/>
          <w:color w:val="0C2C74"/>
          <w:lang w:val="en-US"/>
        </w:rPr>
      </w:pPr>
    </w:p>
    <w:p w14:paraId="2A21FB4C" w14:textId="59A4A89F" w:rsidR="00D447BE" w:rsidRPr="00D447BE" w:rsidRDefault="00D447BE" w:rsidP="00D447BE">
      <w:pPr>
        <w:rPr>
          <w:b/>
          <w:bCs/>
          <w:color w:val="0C2C74"/>
          <w:lang w:val="en-US"/>
        </w:rPr>
      </w:pPr>
      <w:r>
        <w:rPr>
          <w:b/>
          <w:bCs/>
          <w:color w:val="0C2C74"/>
          <w:lang w:val="en-US"/>
        </w:rPr>
        <w:br/>
      </w:r>
      <w:r w:rsidRPr="00D447BE">
        <w:rPr>
          <w:b/>
          <w:bCs/>
          <w:color w:val="0C2C74"/>
          <w:lang w:val="en-US"/>
        </w:rPr>
        <w:t>Implications for the ECI Best Practice Framework</w:t>
      </w:r>
    </w:p>
    <w:p w14:paraId="74B2681A" w14:textId="494E1F1B" w:rsidR="00D447BE" w:rsidRPr="00D447BE" w:rsidRDefault="00D447BE" w:rsidP="00D447BE">
      <w:pPr>
        <w:rPr>
          <w:lang w:val="en-US"/>
        </w:rPr>
      </w:pPr>
      <w:r w:rsidRPr="00D447BE">
        <w:rPr>
          <w:lang w:val="en-US"/>
        </w:rPr>
        <w:t xml:space="preserve">It is recommended that the ECI </w:t>
      </w:r>
      <w:r>
        <w:rPr>
          <w:noProof/>
        </w:rPr>
        <mc:AlternateContent>
          <mc:Choice Requires="wps">
            <w:drawing>
              <wp:anchor distT="0" distB="0" distL="114300" distR="114300" simplePos="0" relativeHeight="251654144" behindDoc="1" locked="1" layoutInCell="1" allowOverlap="1" wp14:anchorId="550C3A54" wp14:editId="32A82121">
                <wp:simplePos x="0" y="0"/>
                <wp:positionH relativeFrom="column">
                  <wp:posOffset>-432435</wp:posOffset>
                </wp:positionH>
                <wp:positionV relativeFrom="page">
                  <wp:posOffset>7716520</wp:posOffset>
                </wp:positionV>
                <wp:extent cx="6695440" cy="1618615"/>
                <wp:effectExtent l="12700" t="12700" r="10160" b="6985"/>
                <wp:wrapNone/>
                <wp:docPr id="90275977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1618615"/>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ACA91" id="Rectangle 2" o:spid="_x0000_s1026" alt="&quot;&quot;" style="position:absolute;margin-left:-34.05pt;margin-top:607.6pt;width:527.2pt;height:1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" fillcolor="#f2f2f2 [3052]" strokecolor="#8087a3" strokeweight="2.25pt">
                <w10:wrap anchory="page"/>
                <w10:anchorlock/>
              </v:rect>
            </w:pict>
          </mc:Fallback>
        </mc:AlternateContent>
      </w:r>
      <w:r w:rsidRPr="00D447BE">
        <w:rPr>
          <w:lang w:val="en-US"/>
        </w:rPr>
        <w:t>Best Practice Framework:</w:t>
      </w:r>
    </w:p>
    <w:p w14:paraId="7B5090F2" w14:textId="09E2062A" w:rsidR="00D447BE" w:rsidRPr="00D447BE" w:rsidRDefault="00D447BE" w:rsidP="0031511B">
      <w:pPr>
        <w:pStyle w:val="ListParagraph"/>
        <w:numPr>
          <w:ilvl w:val="0"/>
          <w:numId w:val="45"/>
        </w:numPr>
        <w:ind w:left="714" w:hanging="357"/>
        <w:contextualSpacing w:val="0"/>
        <w:rPr>
          <w:lang w:val="en-US"/>
        </w:rPr>
      </w:pPr>
      <w:r w:rsidRPr="00D447BE">
        <w:rPr>
          <w:lang w:val="en-US"/>
        </w:rPr>
        <w:t>supports the adaption of evidence-based strategies to meet the needs and circumstances of individual children and families.</w:t>
      </w:r>
    </w:p>
    <w:p w14:paraId="7DFB8899" w14:textId="3F13320E" w:rsidR="007752FF" w:rsidRDefault="00D447BE" w:rsidP="0031511B">
      <w:pPr>
        <w:pStyle w:val="ListParagraph"/>
        <w:numPr>
          <w:ilvl w:val="0"/>
          <w:numId w:val="45"/>
        </w:numPr>
        <w:ind w:left="714" w:hanging="357"/>
        <w:contextualSpacing w:val="0"/>
        <w:rPr>
          <w:lang w:val="en-US"/>
        </w:rPr>
      </w:pPr>
      <w:r w:rsidRPr="00D447BE">
        <w:rPr>
          <w:lang w:val="en-US"/>
        </w:rPr>
        <w:t>encourages the use of an evidence-informed decision-making process for determining what strategies to use and how to adapt them</w:t>
      </w:r>
    </w:p>
    <w:p w14:paraId="6892C14E" w14:textId="77777777" w:rsidR="00D447BE" w:rsidRDefault="00D447BE" w:rsidP="00D447BE">
      <w:pPr>
        <w:rPr>
          <w:lang w:val="en-US"/>
        </w:rPr>
      </w:pPr>
    </w:p>
    <w:p w14:paraId="376EA9E4" w14:textId="77777777" w:rsidR="00D447BE" w:rsidRDefault="00D447BE" w:rsidP="00D447BE">
      <w:pPr>
        <w:rPr>
          <w:lang w:val="en-US"/>
        </w:rPr>
      </w:pPr>
    </w:p>
    <w:p w14:paraId="105F2A72" w14:textId="77777777" w:rsidR="00E67DBE" w:rsidRPr="00E67DBE" w:rsidRDefault="00E67DBE" w:rsidP="00E67DBE">
      <w:pPr>
        <w:pStyle w:val="Heading2"/>
        <w:rPr>
          <w:lang w:val="en-US"/>
        </w:rPr>
      </w:pPr>
      <w:bookmarkStart w:id="41" w:name="_Toc177730829"/>
      <w:r w:rsidRPr="00E67DBE">
        <w:rPr>
          <w:lang w:val="en-US"/>
        </w:rPr>
        <w:lastRenderedPageBreak/>
        <w:t>Indigenous and other cultural systems</w:t>
      </w:r>
      <w:bookmarkEnd w:id="41"/>
      <w:r w:rsidRPr="00E67DBE">
        <w:rPr>
          <w:lang w:val="en-US"/>
        </w:rPr>
        <w:t xml:space="preserve"> </w:t>
      </w:r>
    </w:p>
    <w:p w14:paraId="2DEC214B" w14:textId="77777777" w:rsidR="00E67DBE" w:rsidRPr="00E67DBE" w:rsidRDefault="00E67DBE" w:rsidP="00E67DBE">
      <w:pPr>
        <w:rPr>
          <w:lang w:val="en-US"/>
        </w:rPr>
      </w:pPr>
      <w:r w:rsidRPr="00E67DBE">
        <w:rPr>
          <w:lang w:val="en-US"/>
        </w:rPr>
        <w:t xml:space="preserve">For ECI services to be effective, they need to be able to understand, engage with and learn from people from backgrounds that are different to their backgrounds. This includes First Nations groups, such as Aboriginal and Torres Strait Islanders, and other cultural groups, including people of different faith denominations or immigrant and refugee families from different countries. </w:t>
      </w:r>
    </w:p>
    <w:p w14:paraId="56C617D5" w14:textId="77777777" w:rsidR="00E67DBE" w:rsidRPr="00E67DBE" w:rsidRDefault="00E67DBE" w:rsidP="00E67DBE">
      <w:pPr>
        <w:rPr>
          <w:lang w:val="en-US"/>
        </w:rPr>
      </w:pPr>
      <w:r w:rsidRPr="00E67DBE">
        <w:rPr>
          <w:lang w:val="en-US"/>
        </w:rPr>
        <w:t>For Western policy makers and services, what is understood to be true and effective is based on a conception of evidence based on positivist science and ways of establishing what is true or demonstrated in research. However, for other cultures and other families, what is deemed to be true and valuable may is often based on very different sets of assumptions and beliefs. These alternative understandings are just as valid and powerful for these groups as the assumptions of Western science are for Western-trained service providers. Services will be less effective in helping those from groups with different world views and values if they do not seek to understand and respect them. Not only is it important that those trained in the dominant Western way of understanding health and wellbeing understand alternative world views, it is also important that they be open to learning new ways of framing health and wellbeing (Gordon, 2023; McDonald et al., 2022).</w:t>
      </w:r>
    </w:p>
    <w:p w14:paraId="28593EAF" w14:textId="335D1065" w:rsidR="00E67DBE" w:rsidRPr="00E67DBE" w:rsidRDefault="00E67DBE" w:rsidP="00E67DBE">
      <w:pPr>
        <w:rPr>
          <w:lang w:val="en-US"/>
        </w:rPr>
      </w:pPr>
      <w:r w:rsidRPr="00E67DBE">
        <w:rPr>
          <w:lang w:val="en-US"/>
        </w:rPr>
        <w:t>There are also significant differences in cultural understandings of disability. In particular, disability is a Western concept that was not familiar to Aboriginal and Torres Strait Islander people (Avery</w:t>
      </w:r>
      <w:r w:rsidR="00926F79">
        <w:rPr>
          <w:lang w:val="en-US"/>
        </w:rPr>
        <w:t>,</w:t>
      </w:r>
      <w:r w:rsidRPr="00E67DBE">
        <w:rPr>
          <w:lang w:val="en-US"/>
        </w:rPr>
        <w:t xml:space="preserve"> 2018). </w:t>
      </w:r>
    </w:p>
    <w:p w14:paraId="02C67A2C" w14:textId="77777777" w:rsidR="00E67DBE" w:rsidRPr="00E67DBE" w:rsidRDefault="00E67DBE" w:rsidP="00E67DBE">
      <w:pPr>
        <w:rPr>
          <w:b/>
          <w:bCs/>
          <w:lang w:val="en-US"/>
        </w:rPr>
      </w:pPr>
      <w:r w:rsidRPr="00E67DBE">
        <w:rPr>
          <w:b/>
          <w:bCs/>
          <w:lang w:val="en-US"/>
        </w:rPr>
        <w:t>Aboriginal and Torres Strait Islander peoples</w:t>
      </w:r>
    </w:p>
    <w:p w14:paraId="13499F1D" w14:textId="77777777" w:rsidR="00E67DBE" w:rsidRPr="00E67DBE" w:rsidRDefault="00E67DBE" w:rsidP="00E67DBE">
      <w:pPr>
        <w:rPr>
          <w:lang w:val="en-US"/>
        </w:rPr>
      </w:pPr>
      <w:r w:rsidRPr="00E67DBE">
        <w:rPr>
          <w:lang w:val="en-US"/>
        </w:rPr>
        <w:t xml:space="preserve">As highlighted earlier, there are also significant differences in cultural understandings of disability and Aboriginal and Torres Strait Islander organisations tend to accept a social model of disability which views the systems as limiting rather than the individual (Avery, 2018). In seeking to engage with the belief systems and cultural values of Aboriginal and Torres Strait Islander families and communities, ECI services need to be aware that there are several different levels involved – the spiritual belief systems (including connection to country), the governance systems (including legal systems), and the cultural practices (including health and child rearing practices). To accommodate these various levels, ECI services need to respect Aboriginal and Torres Strait Islander peoples’ ways of knowing, being and doing (Parter et al., 2024). </w:t>
      </w:r>
    </w:p>
    <w:p w14:paraId="0A69C6B3" w14:textId="77777777" w:rsidR="00E67DBE" w:rsidRPr="00E67DBE" w:rsidRDefault="00E67DBE" w:rsidP="00E67DBE">
      <w:pPr>
        <w:rPr>
          <w:lang w:val="en-US"/>
        </w:rPr>
      </w:pPr>
      <w:r w:rsidRPr="00E67DBE">
        <w:rPr>
          <w:lang w:val="en-US"/>
        </w:rPr>
        <w:t xml:space="preserve">For instance, many Aboriginal parents see learning Aboriginal culture in the home and community, within large extended family groups, as the most significant of their children’s learning. This learning is understood to take place through land, language, history and story with the concept of respect as an overarching concept linking traditional cultural values and everyday life. For parents, their major role is encompassed in teaching and learning ‘respect’, an overarching concept that encompasses traditional cultural values and contemporary everyday life (Woodrow et al., 2016). </w:t>
      </w:r>
    </w:p>
    <w:p w14:paraId="16F87D1F" w14:textId="77777777" w:rsidR="00E67DBE" w:rsidRPr="00E67DBE" w:rsidRDefault="00E67DBE" w:rsidP="00E67DBE">
      <w:pPr>
        <w:rPr>
          <w:lang w:val="en-US"/>
        </w:rPr>
      </w:pPr>
      <w:r w:rsidRPr="00E67DBE">
        <w:rPr>
          <w:lang w:val="en-US"/>
        </w:rPr>
        <w:t xml:space="preserve">Practitioners also need to be mindful of the cultural determinants of health – the ways in which damage can be done when Western ideas about disability are imposed and Indigenous peoples’ perspectives ignored (Ineese-Nash, 2020). </w:t>
      </w:r>
    </w:p>
    <w:p w14:paraId="55E4DBA9" w14:textId="77777777" w:rsidR="00E67DBE" w:rsidRPr="00E67DBE" w:rsidRDefault="00E67DBE" w:rsidP="00E67DBE">
      <w:pPr>
        <w:rPr>
          <w:lang w:val="en-US"/>
        </w:rPr>
      </w:pPr>
      <w:r w:rsidRPr="00E67DBE">
        <w:rPr>
          <w:lang w:val="en-US"/>
        </w:rPr>
        <w:t xml:space="preserve">As with any families, the conditions under which Indigenous families are living shapes their capacity to provide their children with the conditions that the children </w:t>
      </w:r>
      <w:r w:rsidRPr="00E67DBE">
        <w:rPr>
          <w:lang w:val="en-US"/>
        </w:rPr>
        <w:lastRenderedPageBreak/>
        <w:t>need to thrive (e.g., Axford et al., 2018). For instance, the engagement of Aboriginal and Torres Strait Islander families in ECEC and other services is reduced when they are living in precarious financial circumstances – their preoccupation with safety and survival reduces the time and capacity to work with their children to create an environment of learning (Somerville, 2016). These findings reinforce that the basic needs of families in low-socio-economic contexts, regardless of cultural context, need to be met in order to free up time and resources for them to focus on family-led learning (Core, 2015; Luby et al, 2015).</w:t>
      </w:r>
    </w:p>
    <w:p w14:paraId="47CBD496" w14:textId="77777777" w:rsidR="00E67DBE" w:rsidRPr="00E67DBE" w:rsidRDefault="00E67DBE" w:rsidP="00E67DBE">
      <w:pPr>
        <w:rPr>
          <w:lang w:val="en-US"/>
        </w:rPr>
      </w:pPr>
      <w:r w:rsidRPr="00E67DBE">
        <w:rPr>
          <w:lang w:val="en-US"/>
        </w:rPr>
        <w:t>The consensus from the many reports, reviews and studies is that better outcomes for Aboriginal and Torres Strait Islander communities, families and children will only be achieved when there is an authentic partnership approach with families that is strength based, focuses on mutual goal setting, and implemented with appropriate cultural sensitivity, shared responsibility, dignity and respect (Sprigg dos Santos et al., 2022). At a community level, there needs to be a greater degree of power sharing with Aboriginal and Torres Strait Islander communities having the final say over the goals, services and practices (Parter et al., 2024). Co-designing services is another important strategy (Sherriff &amp; Gwynn, 2024).</w:t>
      </w:r>
    </w:p>
    <w:p w14:paraId="71A7516F" w14:textId="77777777" w:rsidR="00E67DBE" w:rsidRPr="00E67DBE" w:rsidRDefault="00E67DBE" w:rsidP="00E67DBE">
      <w:pPr>
        <w:rPr>
          <w:lang w:val="en-US"/>
        </w:rPr>
      </w:pPr>
      <w:r w:rsidRPr="00E67DBE">
        <w:rPr>
          <w:lang w:val="en-US"/>
        </w:rPr>
        <w:t xml:space="preserve">The National Aboriginal and Torres Strait Islander Early Childhood Strategy (NIAA, 2021) identifies goals and opportunities for Aboriginal and Torres Strait Islander children (0-5 years) so that they are born healthy and remain strong, nurtured by strong families and thrive in their early years. The Framework to inform the development of this strategy (SNAICC and NIAA, 2021) identifies the following best practice principles for working with Aboriginal and Torres Strait Islander families and communities: </w:t>
      </w:r>
    </w:p>
    <w:p w14:paraId="3AEC1273" w14:textId="6F9D6328" w:rsidR="00E67DBE" w:rsidRPr="00792913" w:rsidRDefault="00E67DBE" w:rsidP="00FE0E76">
      <w:pPr>
        <w:pStyle w:val="ListParagraph"/>
        <w:numPr>
          <w:ilvl w:val="0"/>
          <w:numId w:val="46"/>
        </w:numPr>
        <w:ind w:left="714" w:hanging="357"/>
        <w:contextualSpacing w:val="0"/>
        <w:rPr>
          <w:lang w:val="en-US"/>
        </w:rPr>
      </w:pPr>
      <w:r w:rsidRPr="00792913">
        <w:rPr>
          <w:b/>
          <w:bCs/>
          <w:lang w:val="en-US"/>
        </w:rPr>
        <w:t>Adopting a holistic view of early development</w:t>
      </w:r>
      <w:r w:rsidRPr="00792913">
        <w:rPr>
          <w:lang w:val="en-US"/>
        </w:rPr>
        <w:t xml:space="preserve"> (and health/wellbeing) that place children at the centre and which encompasses physical, mental, cultural and spiritual health and addresses social, historical and political determinants including maternal and child health, housing, early education and care, disability, family, and parenting supports, ensuring child and family safety, and promoting cultural identity development.</w:t>
      </w:r>
    </w:p>
    <w:p w14:paraId="0D8C9AAD" w14:textId="03F1F583" w:rsidR="00E67DBE" w:rsidRPr="00792913" w:rsidRDefault="00E67DBE" w:rsidP="00FE0E76">
      <w:pPr>
        <w:pStyle w:val="ListParagraph"/>
        <w:numPr>
          <w:ilvl w:val="0"/>
          <w:numId w:val="46"/>
        </w:numPr>
        <w:ind w:left="714" w:hanging="357"/>
        <w:contextualSpacing w:val="0"/>
        <w:rPr>
          <w:lang w:val="en-US"/>
        </w:rPr>
      </w:pPr>
      <w:r w:rsidRPr="00792913">
        <w:rPr>
          <w:b/>
          <w:bCs/>
          <w:lang w:val="en-US"/>
        </w:rPr>
        <w:t>Self-determination at all levels.</w:t>
      </w:r>
      <w:r w:rsidRPr="00792913">
        <w:rPr>
          <w:lang w:val="en-US"/>
        </w:rPr>
        <w:t xml:space="preserve"> This means empowering parents and kin as first teachers and primary caregivers for their children, and empowering Aboriginal and Torres Strait Islander communities and their community-controlled services to lead responses to children’s needs.</w:t>
      </w:r>
    </w:p>
    <w:p w14:paraId="66168A9B" w14:textId="74645F5B" w:rsidR="00E67DBE" w:rsidRPr="00792913" w:rsidRDefault="00E67DBE" w:rsidP="00FE0E76">
      <w:pPr>
        <w:pStyle w:val="ListParagraph"/>
        <w:numPr>
          <w:ilvl w:val="0"/>
          <w:numId w:val="46"/>
        </w:numPr>
        <w:ind w:left="714" w:hanging="357"/>
        <w:contextualSpacing w:val="0"/>
        <w:rPr>
          <w:lang w:val="en-US"/>
        </w:rPr>
      </w:pPr>
      <w:r w:rsidRPr="00792913">
        <w:rPr>
          <w:b/>
          <w:bCs/>
          <w:lang w:val="en-US"/>
        </w:rPr>
        <w:t>Recognising the centrality of Aboriginal and Torres Strait Islander family and kinship</w:t>
      </w:r>
      <w:r w:rsidRPr="00792913">
        <w:rPr>
          <w:lang w:val="en-US"/>
        </w:rPr>
        <w:t xml:space="preserve"> as well as the broader concepts of family and the bonds of reciprocal affection, responsibility and sharing. </w:t>
      </w:r>
    </w:p>
    <w:p w14:paraId="09D03926" w14:textId="49AB0BD0" w:rsidR="00E67DBE" w:rsidRPr="00792913" w:rsidRDefault="00E67DBE" w:rsidP="00FE0E76">
      <w:pPr>
        <w:pStyle w:val="ListParagraph"/>
        <w:numPr>
          <w:ilvl w:val="0"/>
          <w:numId w:val="46"/>
        </w:numPr>
        <w:ind w:left="714" w:hanging="357"/>
        <w:contextualSpacing w:val="0"/>
        <w:rPr>
          <w:lang w:val="en-US"/>
        </w:rPr>
      </w:pPr>
      <w:r w:rsidRPr="00792913">
        <w:rPr>
          <w:b/>
          <w:bCs/>
          <w:lang w:val="en-US"/>
        </w:rPr>
        <w:t>Respecting the human rights of Aboriginal and Torres Strait Islander people</w:t>
      </w:r>
      <w:r w:rsidRPr="00792913">
        <w:rPr>
          <w:lang w:val="en-US"/>
        </w:rPr>
        <w:t xml:space="preserve">. The full scope of children’s rights recognised in the UN Convention on the Rights of the Child (United Nations, 1990) must be upheld and promoted to ensure the best interests of the child are the primary consideration. Human rights articulated in the Convention on the Rights of Persons with Disabilities (United Nations, 2006) and the Declaration on the Rights of Indigenous Peoples (United Nations, 2007) must also be embedded into practice. </w:t>
      </w:r>
    </w:p>
    <w:p w14:paraId="142D1C4E" w14:textId="41F0F7AA" w:rsidR="00E67DBE" w:rsidRPr="00E67DBE" w:rsidRDefault="00E67DBE" w:rsidP="00FE0E76">
      <w:pPr>
        <w:pStyle w:val="ListParagraph"/>
        <w:numPr>
          <w:ilvl w:val="0"/>
          <w:numId w:val="46"/>
        </w:numPr>
        <w:ind w:left="714" w:hanging="357"/>
        <w:contextualSpacing w:val="0"/>
        <w:rPr>
          <w:lang w:val="en-US"/>
        </w:rPr>
      </w:pPr>
      <w:r w:rsidRPr="00792913">
        <w:rPr>
          <w:b/>
          <w:bCs/>
          <w:lang w:val="en-US"/>
        </w:rPr>
        <w:t>Supporting strength-based, locally led trauma-aware and healing-informed approaches</w:t>
      </w:r>
      <w:r w:rsidRPr="00792913">
        <w:rPr>
          <w:lang w:val="en-US"/>
        </w:rPr>
        <w:t xml:space="preserve"> that reco</w:t>
      </w:r>
      <w:r w:rsidRPr="00E67DBE">
        <w:rPr>
          <w:lang w:val="en-US"/>
        </w:rPr>
        <w:t xml:space="preserve">gnise (a) the strengths, knowledge, creativity </w:t>
      </w:r>
      <w:r w:rsidRPr="00E67DBE">
        <w:rPr>
          <w:lang w:val="en-US"/>
        </w:rPr>
        <w:lastRenderedPageBreak/>
        <w:t xml:space="preserve">and endurance of Aboriginal and Torres Strait Islander peoples, and (b) the ongoing impact of colonisation including intergenerational experiences of trauma, structural racism and poverty so that children grow up loved and cared for within their families, communities and cultures.  Healing informed approaches are by definition locally led and determined and have cultural connection at their heart. </w:t>
      </w:r>
    </w:p>
    <w:p w14:paraId="21A3AA57" w14:textId="545A0B13" w:rsidR="00E67DBE" w:rsidRPr="00E67DBE" w:rsidRDefault="00E67DBE" w:rsidP="00FE0E76">
      <w:pPr>
        <w:pStyle w:val="ListParagraph"/>
        <w:numPr>
          <w:ilvl w:val="0"/>
          <w:numId w:val="46"/>
        </w:numPr>
        <w:ind w:left="714" w:hanging="357"/>
        <w:contextualSpacing w:val="0"/>
        <w:rPr>
          <w:lang w:val="en-US"/>
        </w:rPr>
      </w:pPr>
      <w:r w:rsidRPr="009F20DE">
        <w:rPr>
          <w:b/>
          <w:bCs/>
          <w:lang w:val="en-US"/>
        </w:rPr>
        <w:t>Culturally valid understandings and evidence-based approaches</w:t>
      </w:r>
      <w:r w:rsidRPr="009F20DE">
        <w:rPr>
          <w:lang w:val="en-US"/>
        </w:rPr>
        <w:t xml:space="preserve"> m</w:t>
      </w:r>
      <w:r w:rsidRPr="00E67DBE">
        <w:rPr>
          <w:lang w:val="en-US"/>
        </w:rPr>
        <w:t>ust shape program design and service delivery. Consistent with the intent of the Closing the Gap National Agreement, this requires partnering with Aboriginal and Torres Strait Islander communities and organisations to establish coordinated, cross portfolio, whole of governments, and whole of community response and investments to address children’s needs. Programs and practices must be flexible in order to recognise and accommodate the diversity of Aboriginal and Torres Strait Islander cultures.</w:t>
      </w:r>
    </w:p>
    <w:p w14:paraId="1ECA8275" w14:textId="77777777" w:rsidR="00E67DBE" w:rsidRPr="00E67DBE" w:rsidRDefault="00E67DBE" w:rsidP="00E67DBE">
      <w:pPr>
        <w:rPr>
          <w:lang w:val="en-US"/>
        </w:rPr>
      </w:pPr>
      <w:r w:rsidRPr="00E67DBE">
        <w:rPr>
          <w:lang w:val="en-US"/>
        </w:rPr>
        <w:t>In working with families from different cultural backgrounds, it is important that service providers such as ECI service practitioners seek to understand and respect the belief systems and values of the people they are working with (Hauser-Cram et al., 2013). While the experience of disability is universal, cultures differ in how disability is interpreted. A medical model dominates Western approaches to defining disability, and within this approach, relevant factors such as gender, socioeconomic status, and religion are largely ignored. Cross</w:t>
      </w:r>
      <w:r w:rsidRPr="00E67DBE">
        <w:rPr>
          <w:rFonts w:ascii="Cambria Math" w:hAnsi="Cambria Math" w:cs="Cambria Math"/>
          <w:lang w:val="en-US"/>
        </w:rPr>
        <w:t>‐</w:t>
      </w:r>
      <w:r w:rsidRPr="00E67DBE">
        <w:rPr>
          <w:lang w:val="en-US"/>
        </w:rPr>
        <w:t>cultural research shows that disability is a social construction, with definitions of disability being influenced by the unique and long</w:t>
      </w:r>
      <w:r w:rsidRPr="00E67DBE">
        <w:rPr>
          <w:rFonts w:ascii="Cambria Math" w:hAnsi="Cambria Math" w:cs="Cambria Math"/>
          <w:lang w:val="en-US"/>
        </w:rPr>
        <w:t>‐</w:t>
      </w:r>
      <w:r w:rsidRPr="00E67DBE">
        <w:rPr>
          <w:lang w:val="en-US"/>
        </w:rPr>
        <w:t xml:space="preserve">standing cultural beliefs and practices, as well as the social and legal histories, of groups of people. How different cultures perceive the causes of a disability or impairment plays a significant role in determining community and family attitudes toward a child with a disability (Hauser-Cram et al., 2013). The extent to which ECI providers understand and respect these perceptions shapes how well they are able to engage with and support families from different backgrounds effectively. </w:t>
      </w:r>
    </w:p>
    <w:p w14:paraId="59FB747B" w14:textId="77777777" w:rsidR="00E67DBE" w:rsidRPr="00E67DBE" w:rsidRDefault="00E67DBE" w:rsidP="00E67DBE">
      <w:pPr>
        <w:rPr>
          <w:lang w:val="en-US"/>
        </w:rPr>
      </w:pPr>
      <w:r w:rsidRPr="00E67DBE">
        <w:rPr>
          <w:lang w:val="en-US"/>
        </w:rPr>
        <w:t xml:space="preserve">Services need to be open to diversity and consider cultural differences in family support (Federation of Ethnic Communities’ Councils of Australia, 2019; Thackrah &amp; Thompson, 2013; Ulferts, 2020). Having people from the same cultural group act as ‘cultural brokers’ shows promise as a way of supporting culturally diverse families of children with developmental disabilities and helping them navigate complex systems (Pang &amp; Yarbrough, 2023). </w:t>
      </w:r>
    </w:p>
    <w:p w14:paraId="1EB07272" w14:textId="77777777" w:rsidR="00E67DBE" w:rsidRPr="00E67DBE" w:rsidRDefault="00E67DBE" w:rsidP="00E67DBE">
      <w:pPr>
        <w:rPr>
          <w:lang w:val="en-US"/>
        </w:rPr>
      </w:pPr>
      <w:r w:rsidRPr="00E67DBE">
        <w:rPr>
          <w:lang w:val="en-US"/>
        </w:rPr>
        <w:t xml:space="preserve">To be effective in working with people from diverse cultural backgrounds, organisations and practitioners need to become culturally competent (Thackrah &amp; Thompson, 2013). </w:t>
      </w:r>
      <w:r w:rsidRPr="000A62A4">
        <w:rPr>
          <w:b/>
          <w:bCs/>
          <w:i/>
          <w:iCs/>
          <w:lang w:val="en-US"/>
        </w:rPr>
        <w:t>Cultural competence</w:t>
      </w:r>
      <w:r w:rsidRPr="00E67DBE">
        <w:rPr>
          <w:lang w:val="en-US"/>
        </w:rPr>
        <w:t xml:space="preserve"> is the ability to understand, communicate and effectively interact across cultures (Federation of Ethnic Communities’ Councils of Australia, 2019). At an organisational level, cultural competence involves developing systems, policies and processes that ensure cultural diversity and difference are considered in all aspects of an organisation’s work. This includes understanding the needs and preferences of a diverse range of consumers and provide products and services that are appropriate, accessible and inclusive (Federation of Ethnic Communities’ Councils of Australia, 2019). </w:t>
      </w:r>
    </w:p>
    <w:p w14:paraId="72233822" w14:textId="77777777" w:rsidR="00E67DBE" w:rsidRPr="00E67DBE" w:rsidRDefault="00E67DBE" w:rsidP="00E67DBE">
      <w:pPr>
        <w:rPr>
          <w:lang w:val="en-US"/>
        </w:rPr>
      </w:pPr>
      <w:r w:rsidRPr="00AC4280">
        <w:rPr>
          <w:b/>
          <w:bCs/>
          <w:i/>
          <w:iCs/>
          <w:lang w:val="en-US"/>
        </w:rPr>
        <w:t>Culturally sensitive practice</w:t>
      </w:r>
      <w:r w:rsidRPr="00E67DBE">
        <w:rPr>
          <w:lang w:val="en-US"/>
        </w:rPr>
        <w:t xml:space="preserve"> is a key aspect of best practice in ECI service delivery (Este, 2013; Goode et al., 2017; Hanson &amp; Lynch, 2010; Hanson &amp; Espinosa, 2016). According to Hanson and Espinosa (2016), culturally and linguistically sensitive and </w:t>
      </w:r>
      <w:r w:rsidRPr="00E67DBE">
        <w:rPr>
          <w:lang w:val="en-US"/>
        </w:rPr>
        <w:lastRenderedPageBreak/>
        <w:t>individually tailored services are essential to the effective delivery of human services. The key features of culturally sensitive practice have been identified by Este (2013) as follows:</w:t>
      </w:r>
    </w:p>
    <w:p w14:paraId="4C2D5D72" w14:textId="77777777" w:rsidR="00E67DBE" w:rsidRPr="00AC4280" w:rsidRDefault="00E67DBE" w:rsidP="00AC4280">
      <w:pPr>
        <w:ind w:left="720"/>
        <w:rPr>
          <w:i/>
          <w:iCs/>
          <w:lang w:val="en-US"/>
        </w:rPr>
      </w:pPr>
      <w:r w:rsidRPr="00AC4280">
        <w:rPr>
          <w:i/>
          <w:iCs/>
          <w:lang w:val="en-US"/>
        </w:rPr>
        <w:t>The general consensus is that practitioners (a) need to be aware of their specific cultural, racial, and ethnic identity and experiences; (b) need to be informed about different racial, cultural, ethnic, and diverse groups; (c) must possess strong empathy and skills in order to work with clients from diverse backgrounds and experiences; and (d) must have intrinsic values that truly reflect their willingness and commitment to work in an ethical manner with different client systems.</w:t>
      </w:r>
    </w:p>
    <w:p w14:paraId="0366CA3D" w14:textId="77777777" w:rsidR="00E67DBE" w:rsidRPr="00E67DBE" w:rsidRDefault="00E67DBE" w:rsidP="00E67DBE">
      <w:pPr>
        <w:rPr>
          <w:lang w:val="en-US"/>
        </w:rPr>
      </w:pPr>
      <w:r w:rsidRPr="00E67DBE">
        <w:rPr>
          <w:lang w:val="en-US"/>
        </w:rPr>
        <w:t>Developing cultural competence is a process, not an endpoint (Hanson &amp; Lynch, 2010). It is not a set of skills that can be checked off a list and considered mastered but requires lifelong attention. Although cross-cultural competence may never be fully achievable, there are a number of steps that professionals can take to increase and enhance their skills.</w:t>
      </w:r>
    </w:p>
    <w:p w14:paraId="19694840" w14:textId="77777777" w:rsidR="00E67DBE" w:rsidRPr="00E67DBE" w:rsidRDefault="00E67DBE" w:rsidP="00E67DBE">
      <w:pPr>
        <w:rPr>
          <w:lang w:val="en-US"/>
        </w:rPr>
      </w:pPr>
      <w:r w:rsidRPr="00E67DBE">
        <w:rPr>
          <w:lang w:val="en-US"/>
        </w:rPr>
        <w:t>As early childhood learning environments grow more and more diverse, schools and ECEC programs must learn how to address inequitable practices and policies so that every child learns, belongs, and thrives (Reinking &amp; Thigpen, 2023). Thomas and colleagues (2019) have developed Diversity-Informed Tenets for Work with Infants, Children, and Families. These are based on a recognition that social forces conspire to interfere with the capacity of some groups of children and families to thrive. Reinking and Thigpen (2023) provide practical advice on how to coach early childhood educators in diversity, equity, inclusion, accessibility, and belonging in early childhood settings.</w:t>
      </w:r>
    </w:p>
    <w:p w14:paraId="77057AAA" w14:textId="77777777" w:rsidR="00E67DBE" w:rsidRPr="00E67DBE" w:rsidRDefault="00E67DBE" w:rsidP="00E67DBE">
      <w:pPr>
        <w:rPr>
          <w:lang w:val="en-US"/>
        </w:rPr>
      </w:pPr>
      <w:r w:rsidRPr="00E67DBE">
        <w:rPr>
          <w:lang w:val="en-US"/>
        </w:rPr>
        <w:t xml:space="preserve">To achieve true equity in health and wellbeing, services need to be </w:t>
      </w:r>
      <w:r w:rsidRPr="00AC4280">
        <w:rPr>
          <w:b/>
          <w:bCs/>
          <w:i/>
          <w:iCs/>
          <w:lang w:val="en-US"/>
        </w:rPr>
        <w:t>culturally safe</w:t>
      </w:r>
      <w:r w:rsidRPr="00E67DBE">
        <w:rPr>
          <w:lang w:val="en-US"/>
        </w:rPr>
        <w:t xml:space="preserve"> rather than just seeking to be culturally competent (Commissioner for Children and Young People – Vic, 2024; Curtis et al., 2019; Smith, 2021). Cultural safety involves providing culturally safe relationships and environments for those they seek to help (Curtis et al., 2019; Smith, 2021), welcoming Aboriginal children and young people, and their families into organisations and activities, and supporting them to express their culture and enjoy their rights (Commissioner for Children and Young People – Vic, 2024). This involves practitioners understanding how their own cultural values can impact on others and what changes they need to make to ensure that there is an equal balance of power between them and their clients. Practitioners must necessarily engage in a process of self-reflection about the rights of those they work with and the power that may exist in family/practitioner relationships. Cultural safety, in effect, asks that practitioners step out of our own cultural value system and into the cultural value system of the client (Smith, 2021). National principles for child safe organisations have been identified by the Australian Human Rights Commission (2019).</w:t>
      </w:r>
    </w:p>
    <w:p w14:paraId="283FCD89" w14:textId="77777777" w:rsidR="00E67DBE" w:rsidRPr="00E67DBE" w:rsidRDefault="00E67DBE" w:rsidP="00E67DBE">
      <w:pPr>
        <w:rPr>
          <w:lang w:val="en-US"/>
        </w:rPr>
      </w:pPr>
      <w:r w:rsidRPr="00E67DBE">
        <w:rPr>
          <w:lang w:val="en-US"/>
        </w:rPr>
        <w:t xml:space="preserve">It is also important that we address both cultural and structural forms of racism as well as cultural racism (Bailey et al., 2017; Michaels et al., 2023; Priest et al., 2021; Slopen &amp; Heard-Garris, 2022). </w:t>
      </w:r>
      <w:r w:rsidRPr="00AC4280">
        <w:rPr>
          <w:b/>
          <w:bCs/>
          <w:i/>
          <w:iCs/>
          <w:lang w:val="en-US"/>
        </w:rPr>
        <w:t>Cultural racism</w:t>
      </w:r>
      <w:r w:rsidRPr="00E67DBE">
        <w:rPr>
          <w:lang w:val="en-US"/>
        </w:rPr>
        <w:t xml:space="preserve"> is defined by Priest and colleagues (2021) as </w:t>
      </w:r>
    </w:p>
    <w:p w14:paraId="32BCCB53" w14:textId="77777777" w:rsidR="00E67DBE" w:rsidRPr="00E67DBE" w:rsidRDefault="00E67DBE" w:rsidP="00AC4280">
      <w:pPr>
        <w:ind w:left="720"/>
        <w:rPr>
          <w:lang w:val="en-US"/>
        </w:rPr>
      </w:pPr>
      <w:r w:rsidRPr="00E67DBE">
        <w:rPr>
          <w:lang w:val="en-US"/>
        </w:rPr>
        <w:t xml:space="preserve">… an organised system of oppression that classifies and ranks social groups into ‘races’ and devalues, disempowers and differentially allocates power and resources to those considered inferior. Race has no biological basis and is not </w:t>
      </w:r>
      <w:r w:rsidRPr="00E67DBE">
        <w:rPr>
          <w:lang w:val="en-US"/>
        </w:rPr>
        <w:lastRenderedPageBreak/>
        <w:t>a biological reality. Yet race is a powerful predictor of which groups have access to opportunities and resources in society and which groups face barriers.</w:t>
      </w:r>
    </w:p>
    <w:p w14:paraId="0FD0FEBB" w14:textId="77777777" w:rsidR="00E67DBE" w:rsidRPr="00E67DBE" w:rsidRDefault="00E67DBE" w:rsidP="00E67DBE">
      <w:pPr>
        <w:rPr>
          <w:lang w:val="en-US"/>
        </w:rPr>
      </w:pPr>
      <w:r w:rsidRPr="00E67DBE">
        <w:rPr>
          <w:lang w:val="en-US"/>
        </w:rPr>
        <w:t xml:space="preserve">Racism and racial discrimination are fundamental causes and determinants of health and health inequalities globally. Racial discrimination is frequently experienced by children and young people from Aboriginal and Torres Strait Islander backgrounds, and from some ethnic minoritised groups. Children and young people are particularly vulnerable to racism’s harms (Shonkoff et al., 2021). Racism harms child and youth health through direct exposure to racism and pathways of stressor exposure as well as through the structural and societal legacies of historical and contemporary racism on communities, families and caregivers and their access to resources (Priest et al., 2021). </w:t>
      </w:r>
    </w:p>
    <w:p w14:paraId="42E85469" w14:textId="5FC8FBA9" w:rsidR="00D447BE" w:rsidRDefault="00E67DBE" w:rsidP="00E67DBE">
      <w:pPr>
        <w:rPr>
          <w:lang w:val="en-US"/>
        </w:rPr>
      </w:pPr>
      <w:r w:rsidRPr="00AC4280">
        <w:rPr>
          <w:b/>
          <w:bCs/>
          <w:i/>
          <w:iCs/>
          <w:lang w:val="en-US"/>
        </w:rPr>
        <w:t>Structural racism</w:t>
      </w:r>
      <w:r w:rsidRPr="00E67DBE">
        <w:rPr>
          <w:lang w:val="en-US"/>
        </w:rPr>
        <w:t xml:space="preserve"> refers to the totality of ways in which societies foster racial discrimination through mutually reinforcing systems of housing, education, employment, earnings, benefits, credit, media, health care, and criminal justice. These patterns and practices in turn reinforce discriminatory beliefs, values, and distribution of resources (Bailey et al., 2017).</w:t>
      </w:r>
    </w:p>
    <w:p w14:paraId="1AA611C3" w14:textId="6977A6AA" w:rsidR="0031511B" w:rsidRDefault="0031511B" w:rsidP="00E67DBE">
      <w:pPr>
        <w:rPr>
          <w:lang w:val="en-US"/>
        </w:rPr>
      </w:pPr>
      <w:r>
        <w:rPr>
          <w:lang w:val="en-US"/>
        </w:rPr>
        <w:br/>
      </w:r>
    </w:p>
    <w:p w14:paraId="48ABD9CA" w14:textId="77777777" w:rsidR="0031511B" w:rsidRPr="00503EB9" w:rsidRDefault="0031511B" w:rsidP="0031511B">
      <w:pPr>
        <w:rPr>
          <w:b/>
          <w:bCs/>
          <w:color w:val="002060"/>
          <w:lang w:val="en-US"/>
        </w:rPr>
      </w:pPr>
      <w:r w:rsidRPr="00503EB9">
        <w:rPr>
          <w:b/>
          <w:bCs/>
          <w:color w:val="002060"/>
          <w:lang w:val="en-US"/>
        </w:rPr>
        <w:t>Implications for the ECI services</w:t>
      </w:r>
    </w:p>
    <w:p w14:paraId="03CEED8F" w14:textId="3B6EC112" w:rsidR="0031511B" w:rsidRPr="0031511B" w:rsidRDefault="0031511B" w:rsidP="0031511B">
      <w:pPr>
        <w:pStyle w:val="ListParagraph"/>
        <w:numPr>
          <w:ilvl w:val="0"/>
          <w:numId w:val="47"/>
        </w:numPr>
        <w:ind w:left="714" w:hanging="357"/>
        <w:contextualSpacing w:val="0"/>
        <w:rPr>
          <w:lang w:val="en-US"/>
        </w:rPr>
      </w:pPr>
      <w:r w:rsidRPr="0031511B">
        <w:rPr>
          <w:lang w:val="en-US"/>
        </w:rPr>
        <w:t>ECI services n</w:t>
      </w:r>
      <w:r>
        <w:rPr>
          <w:noProof/>
        </w:rPr>
        <mc:AlternateContent>
          <mc:Choice Requires="wps">
            <w:drawing>
              <wp:anchor distT="0" distB="0" distL="114300" distR="114300" simplePos="0" relativeHeight="251656192" behindDoc="1" locked="1" layoutInCell="1" allowOverlap="1" wp14:anchorId="22F19620" wp14:editId="20602D28">
                <wp:simplePos x="0" y="0"/>
                <wp:positionH relativeFrom="column">
                  <wp:posOffset>-478790</wp:posOffset>
                </wp:positionH>
                <wp:positionV relativeFrom="page">
                  <wp:posOffset>4275455</wp:posOffset>
                </wp:positionV>
                <wp:extent cx="6695440" cy="2517775"/>
                <wp:effectExtent l="0" t="0" r="0" b="0"/>
                <wp:wrapNone/>
                <wp:docPr id="184964435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51777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22B7B" id="Rectangle 2" o:spid="_x0000_s1026" alt="&quot;&quot;" style="position:absolute;margin-left:-37.7pt;margin-top:336.65pt;width:527.2pt;height:1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" fillcolor="#8087a3" stroked="f" strokeweight="1pt">
                <v:fill opacity="16448f"/>
                <w10:wrap anchory="page"/>
                <w10:anchorlock/>
              </v:rect>
            </w:pict>
          </mc:Fallback>
        </mc:AlternateContent>
      </w:r>
      <w:r w:rsidRPr="0031511B">
        <w:rPr>
          <w:lang w:val="en-US"/>
        </w:rPr>
        <w:t xml:space="preserve">eed to be able to engage effectively with all groups within our increasingly diverse society. The evidence considered here clearly shows that this requires a true willingness to engage with, understand and learn from the belief systems and cultural practices of these groups. </w:t>
      </w:r>
    </w:p>
    <w:p w14:paraId="347C2BE4" w14:textId="77777777" w:rsidR="0031511B" w:rsidRPr="0031511B" w:rsidRDefault="0031511B" w:rsidP="0031511B">
      <w:pPr>
        <w:pStyle w:val="ListParagraph"/>
        <w:numPr>
          <w:ilvl w:val="0"/>
          <w:numId w:val="47"/>
        </w:numPr>
        <w:ind w:left="714" w:hanging="357"/>
        <w:contextualSpacing w:val="0"/>
        <w:rPr>
          <w:lang w:val="en-US"/>
        </w:rPr>
      </w:pPr>
      <w:r w:rsidRPr="0031511B">
        <w:rPr>
          <w:lang w:val="en-US"/>
        </w:rPr>
        <w:t>ECI services need to ask whether diversity of their own workforce reflects that of the communities they work with, and to consider employing people from these groups (Centre for Community Child Health, 2021).</w:t>
      </w:r>
    </w:p>
    <w:p w14:paraId="6B9C03F2" w14:textId="1AAC925C" w:rsidR="0031511B" w:rsidRDefault="0031511B" w:rsidP="0031511B">
      <w:pPr>
        <w:pStyle w:val="ListParagraph"/>
        <w:numPr>
          <w:ilvl w:val="0"/>
          <w:numId w:val="47"/>
        </w:numPr>
        <w:ind w:left="714" w:hanging="357"/>
        <w:contextualSpacing w:val="0"/>
        <w:rPr>
          <w:lang w:val="en-US"/>
        </w:rPr>
      </w:pPr>
      <w:r w:rsidRPr="0031511B">
        <w:rPr>
          <w:lang w:val="en-US"/>
        </w:rPr>
        <w:t>The ECI workforce needs to be trained in culturally sensitive and culturally safe practices.</w:t>
      </w:r>
    </w:p>
    <w:p w14:paraId="415BF0E5" w14:textId="77777777" w:rsidR="0031511B" w:rsidRDefault="0031511B" w:rsidP="0031511B">
      <w:pPr>
        <w:rPr>
          <w:lang w:val="en-US"/>
        </w:rPr>
      </w:pPr>
    </w:p>
    <w:p w14:paraId="76879982" w14:textId="77777777" w:rsidR="0031511B" w:rsidRDefault="0031511B" w:rsidP="0031511B">
      <w:pPr>
        <w:rPr>
          <w:lang w:val="en-US"/>
        </w:rPr>
      </w:pPr>
    </w:p>
    <w:p w14:paraId="1CA6518E" w14:textId="77777777" w:rsidR="0031511B" w:rsidRDefault="0031511B" w:rsidP="0031511B">
      <w:pPr>
        <w:rPr>
          <w:lang w:val="en-US"/>
        </w:rPr>
      </w:pPr>
    </w:p>
    <w:p w14:paraId="39765AB3" w14:textId="77777777" w:rsidR="0031511B" w:rsidRDefault="0031511B" w:rsidP="0031511B">
      <w:pPr>
        <w:rPr>
          <w:lang w:val="en-US"/>
        </w:rPr>
      </w:pPr>
    </w:p>
    <w:p w14:paraId="00925B6B" w14:textId="77777777" w:rsidR="0031511B" w:rsidRDefault="0031511B" w:rsidP="0031511B">
      <w:pPr>
        <w:rPr>
          <w:lang w:val="en-US"/>
        </w:rPr>
      </w:pPr>
    </w:p>
    <w:p w14:paraId="1EE6B75C" w14:textId="77777777" w:rsidR="0031511B" w:rsidRDefault="0031511B" w:rsidP="0031511B">
      <w:pPr>
        <w:rPr>
          <w:lang w:val="en-US"/>
        </w:rPr>
      </w:pPr>
    </w:p>
    <w:p w14:paraId="0521E107" w14:textId="77777777" w:rsidR="0031511B" w:rsidRDefault="0031511B" w:rsidP="0031511B">
      <w:pPr>
        <w:rPr>
          <w:lang w:val="en-US"/>
        </w:rPr>
      </w:pPr>
    </w:p>
    <w:p w14:paraId="60984934" w14:textId="77777777" w:rsidR="0031511B" w:rsidRDefault="0031511B" w:rsidP="0031511B">
      <w:pPr>
        <w:rPr>
          <w:lang w:val="en-US"/>
        </w:rPr>
      </w:pPr>
    </w:p>
    <w:p w14:paraId="3E76BC9B" w14:textId="77777777" w:rsidR="0031511B" w:rsidRDefault="0031511B" w:rsidP="0031511B">
      <w:pPr>
        <w:rPr>
          <w:lang w:val="en-US"/>
        </w:rPr>
      </w:pPr>
    </w:p>
    <w:p w14:paraId="4A1A2441" w14:textId="77777777" w:rsidR="0031511B" w:rsidRDefault="0031511B" w:rsidP="0031511B">
      <w:pPr>
        <w:rPr>
          <w:lang w:val="en-US"/>
        </w:rPr>
      </w:pPr>
    </w:p>
    <w:p w14:paraId="21BAEB21" w14:textId="77777777" w:rsidR="0031511B" w:rsidRDefault="0031511B" w:rsidP="0031511B">
      <w:pPr>
        <w:rPr>
          <w:lang w:val="en-US"/>
        </w:rPr>
      </w:pPr>
    </w:p>
    <w:p w14:paraId="60554EBE" w14:textId="77777777" w:rsidR="0031511B" w:rsidRDefault="0031511B" w:rsidP="0031511B">
      <w:pPr>
        <w:rPr>
          <w:lang w:val="en-US"/>
        </w:rPr>
      </w:pPr>
    </w:p>
    <w:p w14:paraId="2BD854BD" w14:textId="26BBE207" w:rsidR="00F20CA9" w:rsidRPr="00F20CA9" w:rsidRDefault="00F20CA9" w:rsidP="00F20CA9">
      <w:pPr>
        <w:pStyle w:val="Heading2"/>
        <w:rPr>
          <w:lang w:val="en-US"/>
        </w:rPr>
      </w:pPr>
      <w:bookmarkStart w:id="42" w:name="_Toc177730830"/>
      <w:r w:rsidRPr="00F20CA9">
        <w:rPr>
          <w:lang w:val="en-US"/>
        </w:rPr>
        <w:lastRenderedPageBreak/>
        <w:t>Data and feedback</w:t>
      </w:r>
      <w:bookmarkEnd w:id="42"/>
    </w:p>
    <w:p w14:paraId="25379ACF" w14:textId="77777777" w:rsidR="00F20CA9" w:rsidRPr="00F20CA9" w:rsidRDefault="00F20CA9" w:rsidP="00F20CA9">
      <w:pPr>
        <w:rPr>
          <w:lang w:val="en-US"/>
        </w:rPr>
      </w:pPr>
      <w:r w:rsidRPr="00F20CA9">
        <w:rPr>
          <w:lang w:val="en-US"/>
        </w:rPr>
        <w:t>Another key source of evidence that should inform ECI practice is the information gathered from audits and evaluations, outcome measurements, and feedback from families.</w:t>
      </w:r>
    </w:p>
    <w:p w14:paraId="66D50C73" w14:textId="613AC59C" w:rsidR="0031511B" w:rsidRDefault="00F20CA9" w:rsidP="00F20CA9">
      <w:pPr>
        <w:rPr>
          <w:lang w:val="en-US"/>
        </w:rPr>
      </w:pPr>
      <w:r w:rsidRPr="00F20CA9">
        <w:rPr>
          <w:lang w:val="en-US"/>
        </w:rPr>
        <w:t>Feedback from families has an important role to play in ECI service delivery. Dunst and Espe-Sherwindt (2016) recommend routinely collecting feedback from parents and other family members to detect any slippage in the use of family-centred practices so that prompt action can be taken to improve practitioner help giving.</w:t>
      </w:r>
    </w:p>
    <w:p w14:paraId="478054F7" w14:textId="77777777" w:rsidR="00F20CA9" w:rsidRDefault="00F20CA9" w:rsidP="00F20CA9">
      <w:pPr>
        <w:rPr>
          <w:lang w:val="en-US"/>
        </w:rPr>
      </w:pPr>
    </w:p>
    <w:p w14:paraId="2387C51A" w14:textId="77777777" w:rsidR="007F2492" w:rsidRDefault="007F2492" w:rsidP="00F20CA9">
      <w:pPr>
        <w:rPr>
          <w:lang w:val="en-US"/>
        </w:rPr>
      </w:pPr>
    </w:p>
    <w:p w14:paraId="5A65AA8C" w14:textId="77777777" w:rsidR="003D3E46" w:rsidRPr="003D3E46" w:rsidRDefault="003D3E46" w:rsidP="003D3E46">
      <w:pPr>
        <w:rPr>
          <w:b/>
          <w:bCs/>
          <w:color w:val="0C2C74"/>
          <w:lang w:val="en-US"/>
        </w:rPr>
      </w:pPr>
      <w:r w:rsidRPr="003D3E46">
        <w:rPr>
          <w:b/>
          <w:bCs/>
          <w:color w:val="0C2C74"/>
          <w:lang w:val="en-US"/>
        </w:rPr>
        <w:t>Implications for the ECI Practice Framework</w:t>
      </w:r>
    </w:p>
    <w:p w14:paraId="094CA9F5" w14:textId="77777777" w:rsidR="003D3E46" w:rsidRPr="003D3E46" w:rsidRDefault="003D3E46" w:rsidP="003D3E46">
      <w:pPr>
        <w:rPr>
          <w:lang w:val="en-US"/>
        </w:rPr>
      </w:pPr>
      <w:r w:rsidRPr="003D3E46">
        <w:rPr>
          <w:lang w:val="en-US"/>
        </w:rPr>
        <w:t>It is recommended that the ECI Practice Framework:</w:t>
      </w:r>
    </w:p>
    <w:p w14:paraId="5D20E176" w14:textId="438D8935" w:rsidR="003D3E46" w:rsidRPr="003D3E46" w:rsidRDefault="003D3E46" w:rsidP="003D3E46">
      <w:pPr>
        <w:pStyle w:val="ListParagraph"/>
        <w:numPr>
          <w:ilvl w:val="0"/>
          <w:numId w:val="48"/>
        </w:numPr>
        <w:ind w:left="714" w:hanging="357"/>
        <w:contextualSpacing w:val="0"/>
        <w:rPr>
          <w:lang w:val="en-US"/>
        </w:rPr>
      </w:pPr>
      <w:r w:rsidRPr="003D3E46">
        <w:rPr>
          <w:lang w:val="en-US"/>
        </w:rPr>
        <w:t>specifies that practitioners should seek and use feedback from parents to ensure that they are delivering services in a way that is respectful of family wishes and beliefs and that builds family capabilities</w:t>
      </w:r>
    </w:p>
    <w:p w14:paraId="6F5E4085" w14:textId="6EF74EE1" w:rsidR="00F20CA9" w:rsidRDefault="003D3E46" w:rsidP="003D3E46">
      <w:pPr>
        <w:pStyle w:val="ListParagraph"/>
        <w:numPr>
          <w:ilvl w:val="0"/>
          <w:numId w:val="48"/>
        </w:numPr>
        <w:ind w:left="714" w:hanging="357"/>
        <w:contextualSpacing w:val="0"/>
        <w:rPr>
          <w:lang w:val="en-US"/>
        </w:rPr>
      </w:pPr>
      <w:r w:rsidRPr="003D3E46">
        <w:rPr>
          <w:lang w:val="en-US"/>
        </w:rPr>
        <w:t>encourages ECI services to mon</w:t>
      </w:r>
      <w:r>
        <w:rPr>
          <w:noProof/>
        </w:rPr>
        <mc:AlternateContent>
          <mc:Choice Requires="wps">
            <w:drawing>
              <wp:anchor distT="0" distB="0" distL="114300" distR="114300" simplePos="0" relativeHeight="251657216" behindDoc="1" locked="1" layoutInCell="1" allowOverlap="1" wp14:anchorId="209A00C1" wp14:editId="483EC308">
                <wp:simplePos x="0" y="0"/>
                <wp:positionH relativeFrom="column">
                  <wp:posOffset>-432435</wp:posOffset>
                </wp:positionH>
                <wp:positionV relativeFrom="page">
                  <wp:posOffset>2921635</wp:posOffset>
                </wp:positionV>
                <wp:extent cx="6695440" cy="2054860"/>
                <wp:effectExtent l="12700" t="12700" r="10160" b="15240"/>
                <wp:wrapNone/>
                <wp:docPr id="16703005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05486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A4FB3" id="Rectangle 2" o:spid="_x0000_s1026" alt="&quot;&quot;" style="position:absolute;margin-left:-34.05pt;margin-top:230.05pt;width:527.2pt;height:16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" fillcolor="#f2f2f2 [3052]" strokecolor="#8087a3" strokeweight="2.25pt">
                <w10:wrap anchory="page"/>
                <w10:anchorlock/>
              </v:rect>
            </w:pict>
          </mc:Fallback>
        </mc:AlternateContent>
      </w:r>
      <w:r w:rsidRPr="003D3E46">
        <w:rPr>
          <w:lang w:val="en-US"/>
        </w:rPr>
        <w:t>itor the extent to which services are being delivered in ways that are consistent with best practices</w:t>
      </w:r>
    </w:p>
    <w:p w14:paraId="6CAC3621" w14:textId="77777777" w:rsidR="003D3E46" w:rsidRDefault="003D3E46" w:rsidP="003D3E46">
      <w:pPr>
        <w:rPr>
          <w:lang w:val="en-US"/>
        </w:rPr>
      </w:pPr>
    </w:p>
    <w:p w14:paraId="0F5435E0" w14:textId="77777777" w:rsidR="003D3E46" w:rsidRDefault="003D3E46" w:rsidP="003D3E46">
      <w:pPr>
        <w:rPr>
          <w:lang w:val="en-US"/>
        </w:rPr>
      </w:pPr>
    </w:p>
    <w:p w14:paraId="38CF1433" w14:textId="77777777" w:rsidR="00C07DF3" w:rsidRPr="00C07DF3" w:rsidRDefault="00C07DF3" w:rsidP="00C07DF3">
      <w:pPr>
        <w:pStyle w:val="Heading2"/>
        <w:rPr>
          <w:lang w:val="en-US"/>
        </w:rPr>
      </w:pPr>
      <w:bookmarkStart w:id="43" w:name="_Toc177730831"/>
      <w:r w:rsidRPr="00C07DF3">
        <w:rPr>
          <w:lang w:val="en-US"/>
        </w:rPr>
        <w:t>Discussion and implications</w:t>
      </w:r>
      <w:bookmarkEnd w:id="43"/>
    </w:p>
    <w:p w14:paraId="7B46C7E8" w14:textId="77777777" w:rsidR="00C07DF3" w:rsidRPr="00C07DF3" w:rsidRDefault="00C07DF3" w:rsidP="00C07DF3">
      <w:pPr>
        <w:rPr>
          <w:lang w:val="en-US"/>
        </w:rPr>
      </w:pPr>
      <w:r w:rsidRPr="00C07DF3">
        <w:rPr>
          <w:lang w:val="en-US"/>
        </w:rPr>
        <w:t>In this section, we have reviewed what is known about ECI services, drawing on evidence from eight different sources. Key findings from this review include the following:</w:t>
      </w:r>
    </w:p>
    <w:p w14:paraId="65701840" w14:textId="2477711C" w:rsidR="00C07DF3" w:rsidRPr="00C07DF3" w:rsidRDefault="00C07DF3" w:rsidP="00C07DF3">
      <w:pPr>
        <w:pStyle w:val="ListParagraph"/>
        <w:numPr>
          <w:ilvl w:val="0"/>
          <w:numId w:val="49"/>
        </w:numPr>
        <w:ind w:left="714" w:hanging="357"/>
        <w:contextualSpacing w:val="0"/>
        <w:rPr>
          <w:lang w:val="en-US"/>
        </w:rPr>
      </w:pPr>
      <w:r w:rsidRPr="00C07DF3">
        <w:rPr>
          <w:lang w:val="en-US"/>
        </w:rPr>
        <w:t>All disabilities form continua: disability lies on a continuum from little or no disability to extreme disability This continuous distribution of abilities challenges us to rethink the concept of ‘normal’. Since abilities and disabilities are continuous, ECI practitioners need to be able to meet the needs of any child with developmental concerns and their families.</w:t>
      </w:r>
    </w:p>
    <w:p w14:paraId="185F2A97" w14:textId="153B02C3" w:rsidR="00C07DF3" w:rsidRPr="00C07DF3" w:rsidRDefault="00C07DF3" w:rsidP="00C07DF3">
      <w:pPr>
        <w:pStyle w:val="ListParagraph"/>
        <w:numPr>
          <w:ilvl w:val="0"/>
          <w:numId w:val="49"/>
        </w:numPr>
        <w:ind w:left="714" w:hanging="357"/>
        <w:contextualSpacing w:val="0"/>
        <w:rPr>
          <w:lang w:val="en-US"/>
        </w:rPr>
      </w:pPr>
      <w:r w:rsidRPr="00C07DF3">
        <w:rPr>
          <w:lang w:val="en-US"/>
        </w:rPr>
        <w:t xml:space="preserve">There are many commonalities between different forms of disability and there are many common strategies that are effective with children who have diverse conditions. Moreover, the same principles of service apply to all children regardless of their diagnostic category. </w:t>
      </w:r>
    </w:p>
    <w:p w14:paraId="15F1A672" w14:textId="13E5A02D" w:rsidR="00C07DF3" w:rsidRPr="00C07DF3" w:rsidRDefault="00C07DF3" w:rsidP="00C07DF3">
      <w:pPr>
        <w:pStyle w:val="ListParagraph"/>
        <w:numPr>
          <w:ilvl w:val="0"/>
          <w:numId w:val="49"/>
        </w:numPr>
        <w:ind w:left="714" w:hanging="357"/>
        <w:contextualSpacing w:val="0"/>
        <w:rPr>
          <w:lang w:val="en-US"/>
        </w:rPr>
      </w:pPr>
      <w:r w:rsidRPr="00C07DF3">
        <w:rPr>
          <w:lang w:val="en-US"/>
        </w:rPr>
        <w:t>Children with disabilities are not a homogenous group and they often have multiple developmental and health problems. The existence of these multiple problems means that an individualised approach is needed, taking account of the nature of the disability, the pattern of additional health and other conditions, and the unique challenges and opportunities provided by the child’s social context.</w:t>
      </w:r>
    </w:p>
    <w:p w14:paraId="728B10BE" w14:textId="75EA12A1" w:rsidR="00C07DF3" w:rsidRPr="00C07DF3" w:rsidRDefault="00C07DF3" w:rsidP="00C07DF3">
      <w:pPr>
        <w:pStyle w:val="ListParagraph"/>
        <w:numPr>
          <w:ilvl w:val="0"/>
          <w:numId w:val="49"/>
        </w:numPr>
        <w:ind w:left="714" w:hanging="357"/>
        <w:contextualSpacing w:val="0"/>
        <w:rPr>
          <w:lang w:val="en-US"/>
        </w:rPr>
      </w:pPr>
      <w:r w:rsidRPr="00C07DF3">
        <w:rPr>
          <w:lang w:val="en-US"/>
        </w:rPr>
        <w:t>Children with developmental disabilities have the same core needs as all children but may have difficulty having these needs realised because of the nature of their disabilities. The focus of support services should be on providing the additional support they need to ensure their core needs are met.</w:t>
      </w:r>
    </w:p>
    <w:p w14:paraId="5C0E451A" w14:textId="2FD99171" w:rsidR="00C07DF3" w:rsidRPr="00C07DF3" w:rsidRDefault="00C07DF3" w:rsidP="00C07DF3">
      <w:pPr>
        <w:pStyle w:val="ListParagraph"/>
        <w:numPr>
          <w:ilvl w:val="0"/>
          <w:numId w:val="49"/>
        </w:numPr>
        <w:ind w:left="714" w:hanging="357"/>
        <w:contextualSpacing w:val="0"/>
        <w:rPr>
          <w:lang w:val="en-US"/>
        </w:rPr>
      </w:pPr>
      <w:r w:rsidRPr="00C07DF3">
        <w:rPr>
          <w:lang w:val="en-US"/>
        </w:rPr>
        <w:lastRenderedPageBreak/>
        <w:t>Children learn in every environment in which they spend time, and they develop new skills by having multiple opportunities to practice functional skills and participate meaningfully in everyday settings. Participation is a major driver of development, so ensuring that children with developmental disabilities are able to participate meaningfully should be a major goal of ECI services.</w:t>
      </w:r>
    </w:p>
    <w:p w14:paraId="2A7DEEDB" w14:textId="48AD658E" w:rsidR="00C07DF3" w:rsidRPr="00C07DF3" w:rsidRDefault="00C07DF3" w:rsidP="00C07DF3">
      <w:pPr>
        <w:pStyle w:val="ListParagraph"/>
        <w:numPr>
          <w:ilvl w:val="0"/>
          <w:numId w:val="49"/>
        </w:numPr>
        <w:ind w:left="714" w:hanging="357"/>
        <w:contextualSpacing w:val="0"/>
        <w:rPr>
          <w:lang w:val="en-US"/>
        </w:rPr>
      </w:pPr>
      <w:r w:rsidRPr="00C07DF3">
        <w:rPr>
          <w:lang w:val="en-US"/>
        </w:rPr>
        <w:t>Building a sense of agency and self-determination is an important goal for any child. It is especially important for children with developmental disability as they are at risk of not being given the opportunities to choose and have a say that other children are.</w:t>
      </w:r>
    </w:p>
    <w:p w14:paraId="3C411D6D" w14:textId="1A2ACA77" w:rsidR="00C07DF3" w:rsidRPr="00C07DF3" w:rsidRDefault="00C07DF3" w:rsidP="00C07DF3">
      <w:pPr>
        <w:pStyle w:val="ListParagraph"/>
        <w:numPr>
          <w:ilvl w:val="0"/>
          <w:numId w:val="49"/>
        </w:numPr>
        <w:ind w:left="714" w:hanging="357"/>
        <w:contextualSpacing w:val="0"/>
        <w:rPr>
          <w:lang w:val="en-US"/>
        </w:rPr>
      </w:pPr>
      <w:r w:rsidRPr="00C07DF3">
        <w:rPr>
          <w:lang w:val="en-US"/>
        </w:rPr>
        <w:t xml:space="preserve">Families of children with developmental disabilities have the same core needs as other families – for nurturing care and support, for material basics, for opportunities to participate in community activities. However, families of children with disabilities may have difficulty having these needs realised because of the nature of the child’s disabilities and the constraints that </w:t>
      </w:r>
      <w:r w:rsidR="007F2492">
        <w:rPr>
          <w:lang w:val="en-US"/>
        </w:rPr>
        <w:t>is</w:t>
      </w:r>
      <w:r w:rsidRPr="00C07DF3">
        <w:rPr>
          <w:lang w:val="en-US"/>
        </w:rPr>
        <w:t xml:space="preserve"> place</w:t>
      </w:r>
      <w:r w:rsidR="007F2492">
        <w:rPr>
          <w:lang w:val="en-US"/>
        </w:rPr>
        <w:t>d</w:t>
      </w:r>
      <w:r w:rsidRPr="00C07DF3">
        <w:rPr>
          <w:lang w:val="en-US"/>
        </w:rPr>
        <w:t xml:space="preserve"> upon the family’s ability to work and to participate in community activities.</w:t>
      </w:r>
    </w:p>
    <w:p w14:paraId="2912BE95" w14:textId="773544B9" w:rsidR="00C07DF3" w:rsidRPr="00C07DF3" w:rsidRDefault="00C07DF3" w:rsidP="00C07DF3">
      <w:pPr>
        <w:pStyle w:val="ListParagraph"/>
        <w:numPr>
          <w:ilvl w:val="0"/>
          <w:numId w:val="49"/>
        </w:numPr>
        <w:ind w:left="714" w:hanging="357"/>
        <w:contextualSpacing w:val="0"/>
        <w:rPr>
          <w:lang w:val="en-US"/>
        </w:rPr>
      </w:pPr>
      <w:r w:rsidRPr="00C07DF3">
        <w:rPr>
          <w:lang w:val="en-US"/>
        </w:rPr>
        <w:t>Positive social support and peer support are critical for all families, and families of children with developmental disabilities are no exception. Ensuring that such families have positive social support networks, including to other parents of children with disabilities, should be a major focus of ECI services.</w:t>
      </w:r>
    </w:p>
    <w:p w14:paraId="4F2627C1" w14:textId="519A5CD9" w:rsidR="00C07DF3" w:rsidRPr="00C07DF3" w:rsidRDefault="00C07DF3" w:rsidP="00C07DF3">
      <w:pPr>
        <w:pStyle w:val="ListParagraph"/>
        <w:numPr>
          <w:ilvl w:val="0"/>
          <w:numId w:val="49"/>
        </w:numPr>
        <w:ind w:left="714" w:hanging="357"/>
        <w:contextualSpacing w:val="0"/>
        <w:rPr>
          <w:lang w:val="en-US"/>
        </w:rPr>
      </w:pPr>
      <w:r w:rsidRPr="00C07DF3">
        <w:rPr>
          <w:lang w:val="en-US"/>
        </w:rPr>
        <w:t xml:space="preserve">There has been an important reframing of the experience of families of children with developmental delays or disabilities from a story of trauma and ‘chronic sorrow’ to one of adaptation and hope. ECI services need to adopt a positive approach regarding the child and family’s future, not being pessimistic or conclusive about the child’s future but offering families realistic hope. </w:t>
      </w:r>
    </w:p>
    <w:p w14:paraId="05CFF7D9" w14:textId="04136ABF" w:rsidR="00C07DF3" w:rsidRPr="00C07DF3" w:rsidRDefault="00C07DF3" w:rsidP="00C07DF3">
      <w:pPr>
        <w:pStyle w:val="ListParagraph"/>
        <w:numPr>
          <w:ilvl w:val="0"/>
          <w:numId w:val="49"/>
        </w:numPr>
        <w:ind w:left="714" w:hanging="357"/>
        <w:contextualSpacing w:val="0"/>
        <w:rPr>
          <w:lang w:val="en-US"/>
        </w:rPr>
      </w:pPr>
      <w:r w:rsidRPr="00C07DF3">
        <w:rPr>
          <w:lang w:val="en-US"/>
        </w:rPr>
        <w:t xml:space="preserve">A vital source of evidence for ECI services is what can be learned from the lived experience of children with developmental </w:t>
      </w:r>
      <w:r w:rsidR="000F0600">
        <w:rPr>
          <w:lang w:val="en-US"/>
        </w:rPr>
        <w:t>concerns, delay or</w:t>
      </w:r>
      <w:r w:rsidRPr="00C07DF3">
        <w:rPr>
          <w:lang w:val="en-US"/>
        </w:rPr>
        <w:t xml:space="preserve"> disability and their families. This includes their views about what matters to them and what they say about services they need, those they receive, and what helps most. ECI should do more to engage parents as co-designers, co evaluators and co-deliverers of ECI services.</w:t>
      </w:r>
    </w:p>
    <w:p w14:paraId="1664066B" w14:textId="66688F7A" w:rsidR="00C07DF3" w:rsidRPr="00C07DF3" w:rsidRDefault="00C07DF3" w:rsidP="00C07DF3">
      <w:pPr>
        <w:pStyle w:val="ListParagraph"/>
        <w:numPr>
          <w:ilvl w:val="0"/>
          <w:numId w:val="49"/>
        </w:numPr>
        <w:ind w:left="714" w:hanging="357"/>
        <w:contextualSpacing w:val="0"/>
        <w:rPr>
          <w:lang w:val="en-US"/>
        </w:rPr>
      </w:pPr>
      <w:r w:rsidRPr="00C07DF3">
        <w:rPr>
          <w:lang w:val="en-US"/>
        </w:rPr>
        <w:t>Convergent evidence from a variety of allied fields has highlighted the importance of relational-based practice and the importance of authentic engagement and partnership with parents. Human services such as ECI services, are fundamentally relational, dependent upon the quality of the relationships between service provider and client. The way in which support services engage vulnerable families is as important as the actual programs they provide.</w:t>
      </w:r>
    </w:p>
    <w:p w14:paraId="1656EE65" w14:textId="545529D7" w:rsidR="00C07DF3" w:rsidRPr="00C07DF3" w:rsidRDefault="00C07DF3" w:rsidP="00C07DF3">
      <w:pPr>
        <w:pStyle w:val="ListParagraph"/>
        <w:numPr>
          <w:ilvl w:val="0"/>
          <w:numId w:val="49"/>
        </w:numPr>
        <w:ind w:left="714" w:hanging="357"/>
        <w:contextualSpacing w:val="0"/>
        <w:rPr>
          <w:lang w:val="en-US"/>
        </w:rPr>
      </w:pPr>
      <w:r w:rsidRPr="00C07DF3">
        <w:rPr>
          <w:lang w:val="en-US"/>
        </w:rPr>
        <w:t xml:space="preserve">Training in the key skills of relational practice is needed for effective ECI support. Ongoing monitoring the quality of relationships is important for ensuring effective engagement and support.  </w:t>
      </w:r>
    </w:p>
    <w:p w14:paraId="20046306" w14:textId="6232F3DF" w:rsidR="00C07DF3" w:rsidRPr="00C07DF3" w:rsidRDefault="00C07DF3" w:rsidP="00C07DF3">
      <w:pPr>
        <w:pStyle w:val="ListParagraph"/>
        <w:numPr>
          <w:ilvl w:val="0"/>
          <w:numId w:val="49"/>
        </w:numPr>
        <w:ind w:left="714" w:hanging="357"/>
        <w:contextualSpacing w:val="0"/>
        <w:rPr>
          <w:lang w:val="en-US"/>
        </w:rPr>
      </w:pPr>
      <w:r w:rsidRPr="00C07DF3">
        <w:rPr>
          <w:lang w:val="en-US"/>
        </w:rPr>
        <w:t xml:space="preserve">Engaging with families is a necessary but not sufficient condition for change. Positive relationships with parents are both an end in their own right and a means to an end. They are an end in their own right in that any positive relationships are beneficial for parents’ wellbeing. They are a means to an end </w:t>
      </w:r>
      <w:r w:rsidRPr="00C07DF3">
        <w:rPr>
          <w:lang w:val="en-US"/>
        </w:rPr>
        <w:lastRenderedPageBreak/>
        <w:t>in that that they are the medium through which practitioners can help parents build the capabilities they need to meet their children’s needs and address the barriers that that prevent them from doing so.</w:t>
      </w:r>
    </w:p>
    <w:p w14:paraId="635797D9" w14:textId="57C298E3" w:rsidR="00C07DF3" w:rsidRPr="00C07DF3" w:rsidRDefault="00C07DF3" w:rsidP="00C07DF3">
      <w:pPr>
        <w:pStyle w:val="ListParagraph"/>
        <w:numPr>
          <w:ilvl w:val="0"/>
          <w:numId w:val="49"/>
        </w:numPr>
        <w:ind w:left="714" w:hanging="357"/>
        <w:contextualSpacing w:val="0"/>
        <w:rPr>
          <w:lang w:val="en-US"/>
        </w:rPr>
      </w:pPr>
      <w:r w:rsidRPr="00C07DF3">
        <w:rPr>
          <w:lang w:val="en-US"/>
        </w:rPr>
        <w:t xml:space="preserve">All best practice guides state that ECI practitioners should only be using strategies that are evidence-based, that is, that have been demonstrated to be effective. However, choosing strategies needs to be part of an evidence-informed decision-making process that considers what is acceptable to the families and what can realistically be implemented in the family circumstances. </w:t>
      </w:r>
    </w:p>
    <w:p w14:paraId="3269424A" w14:textId="5F70255D" w:rsidR="00C07DF3" w:rsidRPr="00C07DF3" w:rsidRDefault="00C07DF3" w:rsidP="00C07DF3">
      <w:pPr>
        <w:pStyle w:val="ListParagraph"/>
        <w:numPr>
          <w:ilvl w:val="0"/>
          <w:numId w:val="49"/>
        </w:numPr>
        <w:ind w:left="714" w:hanging="357"/>
        <w:contextualSpacing w:val="0"/>
        <w:rPr>
          <w:lang w:val="en-US"/>
        </w:rPr>
      </w:pPr>
      <w:r w:rsidRPr="00C07DF3">
        <w:rPr>
          <w:lang w:val="en-US"/>
        </w:rPr>
        <w:t>One of the key elements of evidence-informed decision-making is practice-based evidence or practice wisdom. This refers to the accumulated knowledge that practitioners develop regarding how evidence-based strategies can be applied in real world settings and what works with particular families and contexts. To comprehensively meet the needs of families, early childhood practitioners will need be able to apply evidence-based practices, and also will need to know how to adapt these practices to support families who are raising young children with disabilities in complex situations.</w:t>
      </w:r>
    </w:p>
    <w:p w14:paraId="25B20BA9" w14:textId="1AC65FB9" w:rsidR="00371CF2" w:rsidRDefault="00C07DF3" w:rsidP="00C07DF3">
      <w:pPr>
        <w:pStyle w:val="ListParagraph"/>
        <w:numPr>
          <w:ilvl w:val="0"/>
          <w:numId w:val="49"/>
        </w:numPr>
        <w:ind w:left="714" w:hanging="357"/>
        <w:contextualSpacing w:val="0"/>
        <w:rPr>
          <w:lang w:val="en-US"/>
        </w:rPr>
      </w:pPr>
      <w:r w:rsidRPr="00C07DF3">
        <w:rPr>
          <w:lang w:val="en-US"/>
        </w:rPr>
        <w:t>For ECI services to be effective, they need to be able to understand, engage with and learn from people from diverse backgrounds. This includes First Nations groups, such as Aboriginal and Torres Strait Islanders, and other cultural groups, including people of different faith denominations or immigrant and refugee families from different countries.</w:t>
      </w:r>
    </w:p>
    <w:p w14:paraId="4752EE1C" w14:textId="77777777" w:rsidR="00371CF2" w:rsidRDefault="00371CF2">
      <w:pPr>
        <w:spacing w:before="0" w:after="0"/>
        <w:rPr>
          <w:lang w:val="en-US"/>
        </w:rPr>
      </w:pPr>
      <w:r>
        <w:rPr>
          <w:lang w:val="en-US"/>
        </w:rPr>
        <w:br w:type="page"/>
      </w:r>
    </w:p>
    <w:p w14:paraId="495D94D6" w14:textId="54BF70DE" w:rsidR="00FC5370" w:rsidRPr="00FC5370" w:rsidRDefault="00FC5370" w:rsidP="00FC5370">
      <w:pPr>
        <w:pStyle w:val="SectionHeader"/>
      </w:pPr>
      <w:bookmarkStart w:id="44" w:name="_Toc177730832"/>
      <w:r w:rsidRPr="00FC5370">
        <w:lastRenderedPageBreak/>
        <w:t>Part Two: ECI Services and Frameworks</w:t>
      </w:r>
      <w:bookmarkEnd w:id="44"/>
    </w:p>
    <w:p w14:paraId="194C2F7C" w14:textId="2623C2B1" w:rsidR="003D3E46" w:rsidRDefault="00FC5370" w:rsidP="00FC5370">
      <w:pPr>
        <w:rPr>
          <w:lang w:val="en-US"/>
        </w:rPr>
      </w:pPr>
      <w:r w:rsidRPr="00FC5370">
        <w:rPr>
          <w:lang w:val="en-US"/>
        </w:rPr>
        <w:t>Part Two reviews what is known about early childhood intervention and ECI practice frameworks. consists of three sections. The first looks at what we know about the aims, principles and practices of ECI services, and what form a practice framework should take. The second section is a review of six practice frameworks from different national jurisdictions. The third section reports a systematic review of ECI strategies. As before, each section concludes with a consideration of the general implications for ECI services and the specific implications for an ECI practice framework.</w:t>
      </w:r>
    </w:p>
    <w:p w14:paraId="219EC30E" w14:textId="77777777" w:rsidR="003E79F6" w:rsidRPr="003E79F6" w:rsidRDefault="003E79F6" w:rsidP="003E79F6">
      <w:pPr>
        <w:pStyle w:val="Heading1"/>
      </w:pPr>
      <w:bookmarkStart w:id="45" w:name="_Toc177730833"/>
      <w:r w:rsidRPr="003E79F6">
        <w:t>Aims, principles and practices of ECI services</w:t>
      </w:r>
      <w:bookmarkEnd w:id="45"/>
    </w:p>
    <w:p w14:paraId="62ADA3B6" w14:textId="77777777" w:rsidR="003E79F6" w:rsidRPr="003E79F6" w:rsidRDefault="003E79F6" w:rsidP="003E79F6">
      <w:pPr>
        <w:rPr>
          <w:lang w:val="en-US"/>
        </w:rPr>
      </w:pPr>
      <w:r w:rsidRPr="003E79F6">
        <w:rPr>
          <w:lang w:val="en-US"/>
        </w:rPr>
        <w:t xml:space="preserve">This section sets the scene by discussing the overall aim of ECI services, the principles upon which these are based, and what these look like in practice. It concludes with a discussion of the core features of a best practice framework. </w:t>
      </w:r>
    </w:p>
    <w:p w14:paraId="3A6E5CBA" w14:textId="76A61672" w:rsidR="003E79F6" w:rsidRDefault="003E79F6" w:rsidP="003E79F6">
      <w:pPr>
        <w:rPr>
          <w:lang w:val="en-US"/>
        </w:rPr>
      </w:pPr>
      <w:r w:rsidRPr="003E79F6">
        <w:rPr>
          <w:lang w:val="en-US"/>
        </w:rPr>
        <w:t>In the discussion that follows, the following distinctions are made between aims and outcomes, underlying principles, best practices, and strategies / evidence-based interventions.</w:t>
      </w:r>
      <w:r w:rsidR="00660458">
        <w:rPr>
          <w:lang w:val="en-US"/>
        </w:rPr>
        <w:t xml:space="preserve"> </w:t>
      </w:r>
      <w:r w:rsidR="0073289A" w:rsidRPr="0073289A">
        <w:rPr>
          <w:b/>
          <w:bCs/>
          <w:lang w:val="en-US"/>
        </w:rPr>
        <w:fldChar w:fldCharType="begin"/>
      </w:r>
      <w:r w:rsidR="0073289A" w:rsidRPr="0073289A">
        <w:rPr>
          <w:b/>
          <w:bCs/>
          <w:lang w:val="en-US"/>
        </w:rPr>
        <w:instrText xml:space="preserve"> REF _Ref177709612 \h </w:instrText>
      </w:r>
      <w:r w:rsidR="0073289A">
        <w:rPr>
          <w:b/>
          <w:bCs/>
          <w:lang w:val="en-US"/>
        </w:rPr>
        <w:instrText xml:space="preserve"> \* MERGEFORMAT </w:instrText>
      </w:r>
      <w:r w:rsidR="0073289A" w:rsidRPr="0073289A">
        <w:rPr>
          <w:b/>
          <w:bCs/>
          <w:lang w:val="en-US"/>
        </w:rPr>
      </w:r>
      <w:r w:rsidR="0073289A" w:rsidRPr="0073289A">
        <w:rPr>
          <w:b/>
          <w:bCs/>
          <w:lang w:val="en-US"/>
        </w:rPr>
        <w:fldChar w:fldCharType="separate"/>
      </w:r>
      <w:r w:rsidR="00303407" w:rsidRPr="00501096">
        <w:rPr>
          <w:b/>
          <w:bCs/>
        </w:rPr>
        <w:t xml:space="preserve">Table </w:t>
      </w:r>
      <w:r w:rsidR="00303407">
        <w:rPr>
          <w:b/>
          <w:bCs/>
          <w:noProof/>
        </w:rPr>
        <w:t>1</w:t>
      </w:r>
      <w:r w:rsidR="0073289A" w:rsidRPr="0073289A">
        <w:rPr>
          <w:b/>
          <w:bCs/>
          <w:lang w:val="en-US"/>
        </w:rPr>
        <w:fldChar w:fldCharType="end"/>
      </w:r>
      <w:r w:rsidR="0073289A" w:rsidRPr="0073289A">
        <w:rPr>
          <w:b/>
          <w:bCs/>
          <w:lang w:val="en-US"/>
        </w:rPr>
        <w:t xml:space="preserve"> </w:t>
      </w:r>
      <w:r w:rsidR="0073289A">
        <w:rPr>
          <w:lang w:val="en-US"/>
        </w:rPr>
        <w:t>p</w:t>
      </w:r>
      <w:r w:rsidR="00660458">
        <w:rPr>
          <w:lang w:val="en-US"/>
        </w:rPr>
        <w:t xml:space="preserve">rovides a definition of these key terms. </w:t>
      </w:r>
    </w:p>
    <w:p w14:paraId="078EA24B" w14:textId="0FC8371C" w:rsidR="00660458" w:rsidRPr="003E79F6" w:rsidRDefault="00660458" w:rsidP="00501096">
      <w:pPr>
        <w:rPr>
          <w:lang w:val="en-US"/>
        </w:rPr>
      </w:pPr>
      <w:bookmarkStart w:id="46" w:name="_Ref177709612"/>
      <w:bookmarkStart w:id="47" w:name="_Toc177724999"/>
      <w:bookmarkStart w:id="48" w:name="_Toc177727319"/>
      <w:r w:rsidRPr="00501096">
        <w:rPr>
          <w:b/>
          <w:bCs/>
        </w:rPr>
        <w:t xml:space="preserve">Table </w:t>
      </w:r>
      <w:r w:rsidRPr="00501096">
        <w:rPr>
          <w:b/>
          <w:bCs/>
        </w:rPr>
        <w:fldChar w:fldCharType="begin"/>
      </w:r>
      <w:r w:rsidRPr="00501096">
        <w:rPr>
          <w:b/>
          <w:bCs/>
        </w:rPr>
        <w:instrText xml:space="preserve"> SEQ Table \* ARABIC </w:instrText>
      </w:r>
      <w:r w:rsidRPr="00501096">
        <w:rPr>
          <w:b/>
          <w:bCs/>
        </w:rPr>
        <w:fldChar w:fldCharType="separate"/>
      </w:r>
      <w:r w:rsidR="00303407">
        <w:rPr>
          <w:b/>
          <w:bCs/>
          <w:noProof/>
        </w:rPr>
        <w:t>1</w:t>
      </w:r>
      <w:r w:rsidRPr="00501096">
        <w:rPr>
          <w:b/>
          <w:bCs/>
        </w:rPr>
        <w:fldChar w:fldCharType="end"/>
      </w:r>
      <w:bookmarkEnd w:id="46"/>
      <w:r w:rsidRPr="00501096">
        <w:rPr>
          <w:b/>
          <w:bCs/>
        </w:rPr>
        <w:t>.</w:t>
      </w:r>
      <w:r>
        <w:t xml:space="preserve"> De</w:t>
      </w:r>
      <w:r w:rsidR="0098120F">
        <w:t>finitions of key terms</w:t>
      </w:r>
      <w:bookmarkEnd w:id="47"/>
      <w:bookmarkEnd w:id="48"/>
    </w:p>
    <w:tbl>
      <w:tblPr>
        <w:tblStyle w:val="TableGrid"/>
        <w:tblW w:w="0" w:type="auto"/>
        <w:tblLook w:val="04A0" w:firstRow="1" w:lastRow="0" w:firstColumn="1" w:lastColumn="0" w:noHBand="0" w:noVBand="1"/>
      </w:tblPr>
      <w:tblGrid>
        <w:gridCol w:w="1980"/>
        <w:gridCol w:w="7036"/>
      </w:tblGrid>
      <w:tr w:rsidR="0073289A" w:rsidRPr="0073289A" w14:paraId="559B081D" w14:textId="77777777">
        <w:tc>
          <w:tcPr>
            <w:tcW w:w="1980" w:type="dxa"/>
            <w:tcBorders>
              <w:bottom w:val="single" w:sz="4" w:space="0" w:color="auto"/>
            </w:tcBorders>
            <w:shd w:val="clear" w:color="auto" w:fill="0E2841" w:themeFill="text2"/>
          </w:tcPr>
          <w:p w14:paraId="718F775E" w14:textId="77777777" w:rsidR="0073289A" w:rsidRPr="0073289A" w:rsidRDefault="0073289A" w:rsidP="0073289A">
            <w:pPr>
              <w:rPr>
                <w:b/>
                <w:bCs/>
              </w:rPr>
            </w:pPr>
            <w:r w:rsidRPr="0073289A">
              <w:rPr>
                <w:b/>
                <w:bCs/>
              </w:rPr>
              <w:t>Terms</w:t>
            </w:r>
          </w:p>
        </w:tc>
        <w:tc>
          <w:tcPr>
            <w:tcW w:w="7036" w:type="dxa"/>
            <w:shd w:val="clear" w:color="auto" w:fill="0E2841" w:themeFill="text2"/>
          </w:tcPr>
          <w:p w14:paraId="27E34A02" w14:textId="77777777" w:rsidR="0073289A" w:rsidRPr="0073289A" w:rsidRDefault="0073289A" w:rsidP="0073289A">
            <w:pPr>
              <w:rPr>
                <w:b/>
                <w:bCs/>
              </w:rPr>
            </w:pPr>
            <w:r w:rsidRPr="0073289A">
              <w:rPr>
                <w:b/>
                <w:bCs/>
              </w:rPr>
              <w:t>Definition</w:t>
            </w:r>
          </w:p>
        </w:tc>
      </w:tr>
      <w:tr w:rsidR="0073289A" w:rsidRPr="0073289A" w14:paraId="689ECD37" w14:textId="77777777">
        <w:tc>
          <w:tcPr>
            <w:tcW w:w="1980" w:type="dxa"/>
            <w:tcBorders>
              <w:right w:val="single" w:sz="4" w:space="0" w:color="FFFFFF" w:themeColor="background1"/>
            </w:tcBorders>
          </w:tcPr>
          <w:p w14:paraId="37933520" w14:textId="77777777" w:rsidR="0073289A" w:rsidRPr="0073289A" w:rsidRDefault="0073289A" w:rsidP="0073289A">
            <w:pPr>
              <w:rPr>
                <w:b/>
                <w:bCs/>
              </w:rPr>
            </w:pPr>
            <w:r w:rsidRPr="0073289A">
              <w:rPr>
                <w:b/>
                <w:bCs/>
              </w:rPr>
              <w:t>Aims</w:t>
            </w:r>
          </w:p>
        </w:tc>
        <w:tc>
          <w:tcPr>
            <w:tcW w:w="7036" w:type="dxa"/>
            <w:tcBorders>
              <w:left w:val="single" w:sz="4" w:space="0" w:color="FFFFFF" w:themeColor="background1"/>
            </w:tcBorders>
          </w:tcPr>
          <w:p w14:paraId="2569D861" w14:textId="77777777" w:rsidR="0073289A" w:rsidRPr="0073289A" w:rsidRDefault="0073289A" w:rsidP="0073289A">
            <w:r w:rsidRPr="0073289A">
              <w:t>Statements of what ECI services are seeking to achieve.</w:t>
            </w:r>
          </w:p>
        </w:tc>
      </w:tr>
      <w:tr w:rsidR="0073289A" w:rsidRPr="0073289A" w14:paraId="1BC52D7B" w14:textId="77777777">
        <w:tc>
          <w:tcPr>
            <w:tcW w:w="1980" w:type="dxa"/>
            <w:tcBorders>
              <w:right w:val="single" w:sz="4" w:space="0" w:color="FFFFFF" w:themeColor="background1"/>
            </w:tcBorders>
          </w:tcPr>
          <w:p w14:paraId="2F3397DD" w14:textId="77777777" w:rsidR="0073289A" w:rsidRPr="0073289A" w:rsidRDefault="0073289A" w:rsidP="0073289A">
            <w:pPr>
              <w:rPr>
                <w:b/>
                <w:bCs/>
              </w:rPr>
            </w:pPr>
            <w:r w:rsidRPr="0073289A">
              <w:rPr>
                <w:b/>
                <w:bCs/>
              </w:rPr>
              <w:t>Outcomes</w:t>
            </w:r>
          </w:p>
        </w:tc>
        <w:tc>
          <w:tcPr>
            <w:tcW w:w="7036" w:type="dxa"/>
            <w:tcBorders>
              <w:left w:val="single" w:sz="4" w:space="0" w:color="FFFFFF" w:themeColor="background1"/>
            </w:tcBorders>
          </w:tcPr>
          <w:p w14:paraId="6955CDCD" w14:textId="77777777" w:rsidR="0073289A" w:rsidRPr="0073289A" w:rsidRDefault="0073289A" w:rsidP="0073289A">
            <w:r w:rsidRPr="0073289A">
              <w:t>Benefits/changes experienced because of services and supports provided to children and families.</w:t>
            </w:r>
          </w:p>
        </w:tc>
      </w:tr>
      <w:tr w:rsidR="0073289A" w:rsidRPr="0073289A" w14:paraId="74423B24" w14:textId="77777777">
        <w:tc>
          <w:tcPr>
            <w:tcW w:w="1980" w:type="dxa"/>
            <w:tcBorders>
              <w:right w:val="single" w:sz="4" w:space="0" w:color="FFFFFF" w:themeColor="background1"/>
            </w:tcBorders>
          </w:tcPr>
          <w:p w14:paraId="766E92C2" w14:textId="77777777" w:rsidR="0073289A" w:rsidRPr="0073289A" w:rsidRDefault="0073289A" w:rsidP="0073289A">
            <w:pPr>
              <w:rPr>
                <w:b/>
                <w:bCs/>
              </w:rPr>
            </w:pPr>
            <w:r w:rsidRPr="0073289A">
              <w:rPr>
                <w:b/>
                <w:bCs/>
              </w:rPr>
              <w:t>Principles</w:t>
            </w:r>
          </w:p>
        </w:tc>
        <w:tc>
          <w:tcPr>
            <w:tcW w:w="7036" w:type="dxa"/>
            <w:tcBorders>
              <w:left w:val="single" w:sz="4" w:space="0" w:color="FFFFFF" w:themeColor="background1"/>
            </w:tcBorders>
          </w:tcPr>
          <w:p w14:paraId="0B011CD5" w14:textId="77777777" w:rsidR="0073289A" w:rsidRPr="0073289A" w:rsidRDefault="0073289A" w:rsidP="0073289A">
            <w:r w:rsidRPr="0073289A">
              <w:t xml:space="preserve">Rules, beliefs, or ideas that guide behaviour. </w:t>
            </w:r>
          </w:p>
          <w:p w14:paraId="44BBD0B3" w14:textId="77777777" w:rsidR="0073289A" w:rsidRPr="0073289A" w:rsidRDefault="0073289A" w:rsidP="0073289A">
            <w:r w:rsidRPr="0073289A">
              <w:t>Principles can serve as the foundation for a system of belief or behaviour or for a chain of reasoning (i.e., a theory of change). Principles are independent of context and apply in all circumstances. They are based on three sources: values, rights and evidence.</w:t>
            </w:r>
          </w:p>
        </w:tc>
      </w:tr>
      <w:tr w:rsidR="0073289A" w:rsidRPr="0073289A" w14:paraId="6261A3E2" w14:textId="77777777">
        <w:tc>
          <w:tcPr>
            <w:tcW w:w="1980" w:type="dxa"/>
            <w:tcBorders>
              <w:right w:val="single" w:sz="4" w:space="0" w:color="FFFFFF" w:themeColor="background1"/>
            </w:tcBorders>
          </w:tcPr>
          <w:p w14:paraId="2BE3C54C" w14:textId="77777777" w:rsidR="0073289A" w:rsidRPr="0073289A" w:rsidRDefault="0073289A" w:rsidP="0073289A">
            <w:pPr>
              <w:rPr>
                <w:b/>
                <w:bCs/>
              </w:rPr>
            </w:pPr>
            <w:r w:rsidRPr="0073289A">
              <w:rPr>
                <w:b/>
                <w:bCs/>
              </w:rPr>
              <w:t>Practices</w:t>
            </w:r>
          </w:p>
        </w:tc>
        <w:tc>
          <w:tcPr>
            <w:tcW w:w="7036" w:type="dxa"/>
            <w:tcBorders>
              <w:left w:val="single" w:sz="4" w:space="0" w:color="FFFFFF" w:themeColor="background1"/>
            </w:tcBorders>
          </w:tcPr>
          <w:p w14:paraId="5C14B9C4" w14:textId="77777777" w:rsidR="0073289A" w:rsidRPr="0073289A" w:rsidRDefault="0073289A" w:rsidP="0073289A">
            <w:r w:rsidRPr="0073289A">
              <w:t xml:space="preserve">Specific actions or behaviours that put principles into effect. </w:t>
            </w:r>
          </w:p>
          <w:p w14:paraId="22278725" w14:textId="77777777" w:rsidR="0073289A" w:rsidRPr="0073289A" w:rsidRDefault="0073289A" w:rsidP="0073289A">
            <w:r w:rsidRPr="0073289A">
              <w:t xml:space="preserve">Practices are context-dependent and are methods whereby principles are applied in particular circumstances. </w:t>
            </w:r>
          </w:p>
          <w:p w14:paraId="61786258" w14:textId="77777777" w:rsidR="0073289A" w:rsidRPr="0073289A" w:rsidRDefault="0073289A" w:rsidP="0073289A">
            <w:r w:rsidRPr="0073289A">
              <w:t>Practices are based on three sources of evidence: evidence-based research, practitioner practice knowledge and wisdom, and client values, priorities and circumstances.</w:t>
            </w:r>
          </w:p>
        </w:tc>
      </w:tr>
      <w:tr w:rsidR="0073289A" w:rsidRPr="0073289A" w14:paraId="0AF42B11" w14:textId="77777777">
        <w:tc>
          <w:tcPr>
            <w:tcW w:w="1980" w:type="dxa"/>
            <w:tcBorders>
              <w:right w:val="single" w:sz="4" w:space="0" w:color="FFFFFF" w:themeColor="background1"/>
            </w:tcBorders>
          </w:tcPr>
          <w:p w14:paraId="56D8EDBE" w14:textId="77777777" w:rsidR="0073289A" w:rsidRPr="0073289A" w:rsidRDefault="0073289A" w:rsidP="0073289A">
            <w:pPr>
              <w:rPr>
                <w:b/>
                <w:bCs/>
              </w:rPr>
            </w:pPr>
            <w:r w:rsidRPr="0073289A">
              <w:rPr>
                <w:b/>
                <w:bCs/>
              </w:rPr>
              <w:t>Strategies</w:t>
            </w:r>
          </w:p>
        </w:tc>
        <w:tc>
          <w:tcPr>
            <w:tcW w:w="7036" w:type="dxa"/>
            <w:tcBorders>
              <w:left w:val="single" w:sz="4" w:space="0" w:color="FFFFFF" w:themeColor="background1"/>
            </w:tcBorders>
          </w:tcPr>
          <w:p w14:paraId="5B25674A" w14:textId="77777777" w:rsidR="0073289A" w:rsidRPr="0073289A" w:rsidRDefault="0073289A" w:rsidP="0073289A">
            <w:r w:rsidRPr="0073289A">
              <w:t xml:space="preserve">Evidence-based interventions or approaches. </w:t>
            </w:r>
          </w:p>
          <w:p w14:paraId="44F876D9" w14:textId="77777777" w:rsidR="0073289A" w:rsidRPr="0073289A" w:rsidRDefault="0073289A" w:rsidP="0073289A">
            <w:r w:rsidRPr="0073289A">
              <w:t>Evidence-based strategies or interventions are one of the sources of knowledge on which practices are based. They are interventions that have demonstrated evidence of effectiveness for one or more relevant outcomes under controlled conditions, using rigorous methods of research.</w:t>
            </w:r>
          </w:p>
        </w:tc>
      </w:tr>
    </w:tbl>
    <w:p w14:paraId="13A68D16" w14:textId="74D66F1A" w:rsidR="003E79F6" w:rsidRPr="001B03E4" w:rsidRDefault="003E79F6" w:rsidP="001B03E4">
      <w:pPr>
        <w:pStyle w:val="Heading2"/>
      </w:pPr>
      <w:bookmarkStart w:id="49" w:name="_Toc177730834"/>
      <w:r w:rsidRPr="001B03E4">
        <w:lastRenderedPageBreak/>
        <w:t>ECI aims and outcomes</w:t>
      </w:r>
      <w:bookmarkEnd w:id="49"/>
    </w:p>
    <w:p w14:paraId="777F2E46" w14:textId="77777777" w:rsidR="003E79F6" w:rsidRPr="003E79F6" w:rsidRDefault="003E79F6" w:rsidP="003E79F6">
      <w:pPr>
        <w:rPr>
          <w:lang w:val="en-US"/>
        </w:rPr>
      </w:pPr>
      <w:r w:rsidRPr="003E79F6">
        <w:rPr>
          <w:lang w:val="en-US"/>
        </w:rPr>
        <w:t xml:space="preserve">An ECI practice framework needs to be based on a clear understanding of the overall </w:t>
      </w:r>
      <w:r w:rsidRPr="001B03E4">
        <w:rPr>
          <w:b/>
          <w:bCs/>
          <w:i/>
          <w:iCs/>
          <w:lang w:val="en-US"/>
        </w:rPr>
        <w:t>aim and rationale</w:t>
      </w:r>
      <w:r w:rsidRPr="003E79F6">
        <w:rPr>
          <w:lang w:val="en-US"/>
        </w:rPr>
        <w:t xml:space="preserve"> of ECI services, what </w:t>
      </w:r>
      <w:r w:rsidRPr="001B03E4">
        <w:rPr>
          <w:b/>
          <w:bCs/>
          <w:i/>
          <w:iCs/>
          <w:lang w:val="en-US"/>
        </w:rPr>
        <w:t>outcomes</w:t>
      </w:r>
      <w:r w:rsidRPr="003E79F6">
        <w:rPr>
          <w:lang w:val="en-US"/>
        </w:rPr>
        <w:t xml:space="preserve"> they are seeking to achieve, and a </w:t>
      </w:r>
      <w:r w:rsidRPr="001B03E4">
        <w:rPr>
          <w:b/>
          <w:bCs/>
          <w:i/>
          <w:iCs/>
          <w:lang w:val="en-US"/>
        </w:rPr>
        <w:t>theory of change</w:t>
      </w:r>
      <w:r w:rsidRPr="003E79F6">
        <w:rPr>
          <w:lang w:val="en-US"/>
        </w:rPr>
        <w:t xml:space="preserve"> – how the support they provide achieves these outcomes.  </w:t>
      </w:r>
    </w:p>
    <w:p w14:paraId="651F36DA" w14:textId="77777777" w:rsidR="003E79F6" w:rsidRPr="003E79F6" w:rsidRDefault="003E79F6" w:rsidP="003E79F6">
      <w:pPr>
        <w:rPr>
          <w:lang w:val="en-US"/>
        </w:rPr>
      </w:pPr>
      <w:r w:rsidRPr="003E79F6">
        <w:rPr>
          <w:lang w:val="en-US"/>
        </w:rPr>
        <w:t xml:space="preserve">Our understanding of what ECI services are trying to achieve has evolved over time. ECI services originally took the form of direct work with children, individually or in groups, in clinical settings. As the ECI field evolved and evidence accumulated, there was a major shift in thinking and practice (CCCH, 2011; Moore, 2012). This took the form of a new understanding of the aim and rationale of ECI services, summarised as follows:  </w:t>
      </w:r>
    </w:p>
    <w:p w14:paraId="798839F6" w14:textId="77777777" w:rsidR="003E79F6" w:rsidRPr="003E79F6" w:rsidRDefault="003E79F6" w:rsidP="001B03E4">
      <w:pPr>
        <w:ind w:left="720"/>
        <w:rPr>
          <w:lang w:val="en-US"/>
        </w:rPr>
      </w:pPr>
      <w:r w:rsidRPr="003E79F6">
        <w:rPr>
          <w:lang w:val="en-US"/>
        </w:rPr>
        <w:t xml:space="preserve">Reviewing the rationale for ECI in the light of developmental research findings leads us to conclude that the aim of ECI is not so much to be the major agent of change through direct work with children, but to work with and through the children’s caregivers to ensure that the children’s everyday environments provide them with the opportunities and experiences that will enable them to develop the functional skills to participate meaningfully. This same logic leads to the recognition that the learning environments that children experience outside the home are just as important for their development as their home environments. Therefore, the learning environments provided by early childhood programs are properly regarded as being a major setting for early childhood intervention, not just as a desirable addition, and the task of ECI services is the same as in the home: to work with and through the early childhood staff to ensure that the early childhood environment provides them with the opportunities and experiences that will enable them to develop the functional skills to participate meaningfully in the same social and learning activities as the other children (CCCH, 2011). </w:t>
      </w:r>
    </w:p>
    <w:p w14:paraId="7A247A5D" w14:textId="77777777" w:rsidR="003E79F6" w:rsidRPr="003E79F6" w:rsidRDefault="003E79F6" w:rsidP="003E79F6">
      <w:pPr>
        <w:rPr>
          <w:lang w:val="en-US"/>
        </w:rPr>
      </w:pPr>
      <w:r w:rsidRPr="003E79F6">
        <w:rPr>
          <w:lang w:val="en-US"/>
        </w:rPr>
        <w:t xml:space="preserve">While this change in the ECI rationale led to significant changes in practice in Australia, with many services shifting from centre-based to home-based service provision (Forster, 2017), they were not consistently adopted nationally (Forster, 2017; Moore et al., 2019). Moreover, as Novak and Barry (2014) have noted, home visiting is not an intervention in its own right, but a means of service delivery. The question of whether or not a home program will produce better results depends both on what is done during home visits and how it is done, and whether there is effective follow-up.  Home programs are effective if: (a) the program content is designed upon proven effective interventions; (b) the program is devised so as to respect parent implementation preferences; and (c) the parent is supported and coached to implement the program (Novak and Barry, 2014). </w:t>
      </w:r>
    </w:p>
    <w:p w14:paraId="6477467B" w14:textId="77777777" w:rsidR="003E79F6" w:rsidRPr="003E79F6" w:rsidRDefault="003E79F6" w:rsidP="003E79F6">
      <w:pPr>
        <w:rPr>
          <w:lang w:val="en-US"/>
        </w:rPr>
      </w:pPr>
      <w:r w:rsidRPr="003E79F6">
        <w:rPr>
          <w:lang w:val="en-US"/>
        </w:rPr>
        <w:t xml:space="preserve">The overall aim of ECI just outlined is endorsed by all experts (e.g., Dunst &amp; Espe-Sherwindt, 2017; Guralnick, 2023; Keilty, 2016; King et al., 2018; McWilliam, 2011, 2015, 2016; Mahoney &amp; Perales, 2011; Palisano et al., 2012; Raver &amp; Childress, 2015a). The central goal is to promote the capacity of caregivers to support the child’s learning (Dunst, 2017a; Dunst &amp; Espe-Scherwindt, 2017; Dunst &amp; Trivette, 2009; Levine, 2013; McWilliam, 2014, 2015, 2016; Sawyer &amp; Campbell, 2017; Whipple et al., 2014). The logic of this is that children learn most in the environments in which they spend most of their time, not in specialist intervention sessions (Dunst &amp; Espe-Scherwindt, 2017; McWilliam, 2015, 2016; Whipple et al., 2014). As </w:t>
      </w:r>
      <w:r w:rsidRPr="003E79F6">
        <w:rPr>
          <w:lang w:val="en-US"/>
        </w:rPr>
        <w:lastRenderedPageBreak/>
        <w:t xml:space="preserve">McWilliam (2015) states, what happens between formal sessions is when the learning takes place, not in therapy sessions: children learn from their natural caregivers, whether we want them to or not. Moreover, parents spend much more time with their children than professionals do and therefore have at least ten times more opportunities to interact with their children (Mahoney &amp; Perales, 2011).  </w:t>
      </w:r>
    </w:p>
    <w:p w14:paraId="4ED7D0E6" w14:textId="77777777" w:rsidR="003E79F6" w:rsidRPr="003E79F6" w:rsidRDefault="003E79F6" w:rsidP="003E79F6">
      <w:pPr>
        <w:rPr>
          <w:lang w:val="en-US"/>
        </w:rPr>
      </w:pPr>
      <w:r w:rsidRPr="003E79F6">
        <w:rPr>
          <w:lang w:val="en-US"/>
        </w:rPr>
        <w:t xml:space="preserve">Another reason for working primarily through parents and caregivers is that the principal way in which children learn is through what Mahoney (2013) calls massive practice, that is, having multiple opportunities to practice functional skills in everyday settings. Performance improves with practice, and hence a major aim should be to provide as many opportunities as possible to actively practice key skills (Jackman et al., 2022; Rosenbaum &amp; Gorter, 2012). This is best achieved by capitalising on the naturally occurring opportunities that arise in everyday home and community settings (Hughes-Scholes et al., 2015, 2019; Keilty, 2020; McWilliam et al., 2020; Trivette et al., 2013). </w:t>
      </w:r>
    </w:p>
    <w:p w14:paraId="4875D6D4" w14:textId="484133E7" w:rsidR="003E79F6" w:rsidRPr="003E79F6" w:rsidRDefault="003E79F6" w:rsidP="003E79F6">
      <w:pPr>
        <w:rPr>
          <w:lang w:val="en-US"/>
        </w:rPr>
      </w:pPr>
      <w:r w:rsidRPr="003E79F6">
        <w:rPr>
          <w:lang w:val="en-US"/>
        </w:rPr>
        <w:t xml:space="preserve">The other core plank of early childhood intervention services identified in all current formulations is the </w:t>
      </w:r>
      <w:r w:rsidRPr="006F3862">
        <w:rPr>
          <w:b/>
          <w:bCs/>
          <w:i/>
          <w:iCs/>
          <w:lang w:val="en-US"/>
        </w:rPr>
        <w:t>inclusion and participation of children with disabilities</w:t>
      </w:r>
      <w:r w:rsidRPr="003E79F6">
        <w:rPr>
          <w:lang w:val="en-US"/>
        </w:rPr>
        <w:t xml:space="preserve"> and their families in community settings that serve typically developing children. As noted already, inclusion involves much more than having access to the same environments as other children, but also includes their meaningful participation in those environments. This approach continues to be endorsed both as the right of children with disabilities (Cologon, 2014) and as best practice (Boyle &amp; Anderson, 202</w:t>
      </w:r>
      <w:r w:rsidR="00297B1B">
        <w:rPr>
          <w:lang w:val="en-US"/>
        </w:rPr>
        <w:t>0</w:t>
      </w:r>
      <w:r w:rsidRPr="003E79F6">
        <w:rPr>
          <w:lang w:val="en-US"/>
        </w:rPr>
        <w:t xml:space="preserve">; Cologon, 2014; Fordham &amp; Johnstone, 2014; Frankel et al., 2017; Guralnick &amp; Bruder, 2016; Hauser-Cram et al., 2017; Hebbeler &amp; Spiker, 2016; Marshall et al., 2017; Webster &amp; Forster, 2012; UNESCO, 2021; United Nations, 2019; U.S. Department of Health and Human Services &amp; U.S. Department of Education, 2023; World Health Organization &amp;  UNICEF, 2023). Participation and belonging are preconditions for children to thrive and flourish, and the enhancement of participation has been described as the ultimate outcome for health and educational interventions (Adair et al., 2015). Promoting participation needs to begin early. Imms and Adair (2017) found that trajectories of participation in children with cerebral palsy showing largely stable trajectories from middle childhood on, suggesting the need to establish inclusive patterns early. </w:t>
      </w:r>
    </w:p>
    <w:p w14:paraId="6BBF6399" w14:textId="77777777" w:rsidR="003E79F6" w:rsidRPr="003E79F6" w:rsidRDefault="003E79F6" w:rsidP="003E79F6">
      <w:pPr>
        <w:rPr>
          <w:lang w:val="en-US"/>
        </w:rPr>
      </w:pPr>
      <w:r w:rsidRPr="003E79F6">
        <w:rPr>
          <w:lang w:val="en-US"/>
        </w:rPr>
        <w:t xml:space="preserve">As Hebbeler and Spiker (2016) have noted, providing high-quality early learning environments is consistent with the evolving concept of disability, which emphasises functioning and sees disability as the interaction between the individual and the environment. Early educational environments are not neutral factors when it comes to existing and emerging disabilities: these environments can contribute positively or negatively to the way children will function — and even, for some children, to whether they are considered disabled at all (Hebbeler &amp; Spiker, 2016). Focusing on participation is critical for children with disabilities because, without special efforts to support their participation, they are likely to experience lower levels of participation than other children. Sollis (2019) used data from the Longitudinal Study of Australian Children (LSAC) to assess deprivation among Australian children. She found that children with disability, while generally engaged and included in the family and home environment, are more likely to be experiencing significant social exclusion both at school and in the community. They are also more likely to experience deprivation across all dimensions including being up to three times more likely to lack relationships with friends, and around two times more likely to have mental health concerns. Compared with their non-disabled peers, children with physical disabilities </w:t>
      </w:r>
      <w:r w:rsidRPr="003E79F6">
        <w:rPr>
          <w:lang w:val="en-US"/>
        </w:rPr>
        <w:lastRenderedPageBreak/>
        <w:t xml:space="preserve">participate in fewer leisure activities that occur more at home, spend more time on quiet activities, and are involved in fewer social and physical activities compared with children without disabilities (Palisano et al., 2012). </w:t>
      </w:r>
    </w:p>
    <w:p w14:paraId="0B375D97" w14:textId="28472096" w:rsidR="005B461A" w:rsidRPr="008207C4" w:rsidRDefault="003E79F6" w:rsidP="0083234F">
      <w:pPr>
        <w:spacing w:before="0" w:after="0"/>
        <w:rPr>
          <w:rFonts w:eastAsia="Arial" w:cs="Arial"/>
          <w:lang w:val="en-US"/>
        </w:rPr>
      </w:pPr>
      <w:r w:rsidRPr="6A439164">
        <w:rPr>
          <w:lang w:val="en-US"/>
        </w:rPr>
        <w:t>This shift to thinking about the aim and rationale of ECI in terms of focusing on the environments in which children spend time is consistent with the evidence considered earlier about the contextual nature of development and the importance of core care conditions for children and families. However, we need to consider how this way of framing the aim of ECI fits in with aims for children that are contained in the key national early childhood policy statements – the Early Years Strategy (2024-34)</w:t>
      </w:r>
      <w:r w:rsidR="3933A08B" w:rsidRPr="6A439164">
        <w:rPr>
          <w:lang w:val="en-US"/>
        </w:rPr>
        <w:t xml:space="preserve">, </w:t>
      </w:r>
      <w:r w:rsidRPr="6A439164">
        <w:rPr>
          <w:lang w:val="en-US"/>
        </w:rPr>
        <w:t>the Early Years Learning Framework (EYLF) (2022)</w:t>
      </w:r>
      <w:r w:rsidR="6655A71E" w:rsidRPr="6A439164">
        <w:rPr>
          <w:lang w:val="en-US"/>
        </w:rPr>
        <w:t>,</w:t>
      </w:r>
      <w:r w:rsidR="0083234F">
        <w:rPr>
          <w:lang w:val="en-US"/>
        </w:rPr>
        <w:t xml:space="preserve"> </w:t>
      </w:r>
      <w:r w:rsidR="6655A71E" w:rsidRPr="6A439164">
        <w:rPr>
          <w:lang w:val="en-US"/>
        </w:rPr>
        <w:t xml:space="preserve">and the </w:t>
      </w:r>
      <w:r w:rsidR="6655A71E" w:rsidRPr="0083234F">
        <w:rPr>
          <w:rFonts w:eastAsia="Arial" w:cs="Arial"/>
          <w:lang w:val="en-US"/>
        </w:rPr>
        <w:t>National Aboriginal and Torres Strait Islander Early Childhood Strategy (2021)</w:t>
      </w:r>
      <w:r w:rsidR="6655A71E" w:rsidRPr="6A439164">
        <w:rPr>
          <w:rFonts w:eastAsia="Arial" w:cs="Arial"/>
          <w:b/>
          <w:bCs/>
          <w:lang w:val="en-US"/>
        </w:rPr>
        <w:t xml:space="preserve">. </w:t>
      </w:r>
      <w:r w:rsidRPr="6A439164">
        <w:rPr>
          <w:lang w:val="en-US"/>
        </w:rPr>
        <w:t xml:space="preserve">The overall goal of the </w:t>
      </w:r>
      <w:r w:rsidR="02407465" w:rsidRPr="6A439164">
        <w:rPr>
          <w:lang w:val="en-US"/>
        </w:rPr>
        <w:t xml:space="preserve">National Early Years Strategy </w:t>
      </w:r>
      <w:r w:rsidRPr="6A439164">
        <w:rPr>
          <w:lang w:val="en-US"/>
        </w:rPr>
        <w:t xml:space="preserve">are that all children in Australia thrive in their early years and that they have the opportunity to reach their full potential when nurtured by empowered and connected families who are supported by strong communities. The EYLF is based upon the key principles of belonging, being and becoming. These constitute the conditions that children need in order to thrive. </w:t>
      </w:r>
      <w:r w:rsidR="2A4B0F73" w:rsidRPr="6A439164">
        <w:rPr>
          <w:lang w:val="en-US"/>
        </w:rPr>
        <w:t xml:space="preserve">The vision underpinning the </w:t>
      </w:r>
      <w:r w:rsidR="2A4B0F73" w:rsidRPr="6A439164">
        <w:rPr>
          <w:rFonts w:eastAsia="Arial" w:cs="Arial"/>
          <w:lang w:val="en-US"/>
        </w:rPr>
        <w:t>National Aboriginal and Torres Strait Islander Early Childhood Strategy</w:t>
      </w:r>
      <w:r w:rsidRPr="6A439164">
        <w:rPr>
          <w:lang w:val="en-US"/>
        </w:rPr>
        <w:t xml:space="preserve"> </w:t>
      </w:r>
      <w:r w:rsidR="68E4A2D1" w:rsidRPr="6A439164">
        <w:rPr>
          <w:lang w:val="en-US"/>
        </w:rPr>
        <w:t>is that all A</w:t>
      </w:r>
      <w:r w:rsidR="2C7D75B0" w:rsidRPr="6A439164">
        <w:rPr>
          <w:rFonts w:eastAsia="Arial" w:cs="Arial"/>
          <w:lang w:val="en-US"/>
        </w:rPr>
        <w:t>boriginal and Torres Strait Islander children (0-5 years) are born healthy and remain strong, nurtured by strong families and thrive in their early years.</w:t>
      </w:r>
    </w:p>
    <w:p w14:paraId="425655ED" w14:textId="3832D417" w:rsidR="005B461A" w:rsidRPr="008207C4" w:rsidRDefault="005B461A" w:rsidP="6A439164">
      <w:pPr>
        <w:spacing w:before="0" w:after="0"/>
        <w:rPr>
          <w:lang w:val="en-US"/>
        </w:rPr>
      </w:pPr>
    </w:p>
    <w:p w14:paraId="00CC3236" w14:textId="77777777" w:rsidR="008207C4" w:rsidRPr="008207C4" w:rsidRDefault="008207C4" w:rsidP="008207C4">
      <w:pPr>
        <w:rPr>
          <w:rFonts w:cs="Arial"/>
          <w:color w:val="000000"/>
          <w:sz w:val="18"/>
          <w:szCs w:val="18"/>
        </w:rPr>
      </w:pPr>
      <w:r w:rsidRPr="008207C4">
        <w:rPr>
          <w:rStyle w:val="normaltextrun"/>
          <w:rFonts w:cs="Arial"/>
          <w:color w:val="000000"/>
        </w:rPr>
        <w:t xml:space="preserve">The overall aim of ECI services should be the same as that for all other children – to ensure that they thrive. As stated by the National Early Childhood Technical Assistance Centre in the US </w:t>
      </w:r>
      <w:r w:rsidRPr="008207C4">
        <w:rPr>
          <w:rStyle w:val="FootnoteReference"/>
          <w:rFonts w:cs="Arial"/>
          <w:color w:val="000000"/>
        </w:rPr>
        <w:footnoteReference w:id="36"/>
      </w:r>
      <w:r w:rsidRPr="008207C4">
        <w:rPr>
          <w:rStyle w:val="normaltextrun"/>
          <w:rFonts w:cs="Arial"/>
          <w:color w:val="000000"/>
        </w:rPr>
        <w:t xml:space="preserve">, </w:t>
      </w:r>
      <w:r w:rsidRPr="008207C4">
        <w:rPr>
          <w:rStyle w:val="normaltextrun"/>
          <w:rFonts w:cs="Arial"/>
          <w:i/>
          <w:iCs/>
          <w:color w:val="000000"/>
        </w:rPr>
        <w:t>t</w:t>
      </w:r>
      <w:r w:rsidRPr="008207C4">
        <w:rPr>
          <w:rFonts w:cs="Arial"/>
          <w:i/>
          <w:iCs/>
          <w:color w:val="212529"/>
          <w:shd w:val="clear" w:color="auto" w:fill="FFFFFF"/>
        </w:rPr>
        <w:t>he goal of early intervention and early childhood special education is to enable young children with disabilities to be active and successful participants during their early childhood years and in the future.</w:t>
      </w:r>
      <w:r w:rsidRPr="008207C4">
        <w:rPr>
          <w:rFonts w:cs="Arial"/>
          <w:color w:val="212529"/>
          <w:shd w:val="clear" w:color="auto" w:fill="FFFFFF"/>
        </w:rPr>
        <w:t xml:space="preserve"> The </w:t>
      </w:r>
      <w:r w:rsidRPr="008207C4">
        <w:rPr>
          <w:rStyle w:val="normaltextrun"/>
          <w:rFonts w:cs="Arial"/>
          <w:color w:val="000000"/>
        </w:rPr>
        <w:t xml:space="preserve">conditions that children need in order to thrive will be the same as those for all children.  As stated by the EYLF, these are belonging, being and becoming. </w:t>
      </w:r>
      <w:r w:rsidRPr="008207C4">
        <w:rPr>
          <w:rStyle w:val="normaltextrun"/>
          <w:rFonts w:cs="Arial"/>
          <w:i/>
          <w:iCs/>
          <w:color w:val="000000"/>
        </w:rPr>
        <w:t>Belonging</w:t>
      </w:r>
      <w:r w:rsidRPr="008207C4">
        <w:rPr>
          <w:rStyle w:val="normaltextrun"/>
          <w:rFonts w:cs="Arial"/>
          <w:color w:val="000000"/>
        </w:rPr>
        <w:t xml:space="preserve"> encompasses the child and family having positive support networks and being accepted by community. </w:t>
      </w:r>
      <w:r w:rsidRPr="008207C4">
        <w:rPr>
          <w:rStyle w:val="normaltextrun"/>
          <w:rFonts w:cs="Arial"/>
          <w:i/>
          <w:iCs/>
          <w:color w:val="000000"/>
        </w:rPr>
        <w:t>Being</w:t>
      </w:r>
      <w:r w:rsidRPr="008207C4">
        <w:rPr>
          <w:rStyle w:val="normaltextrun"/>
          <w:rFonts w:cs="Arial"/>
          <w:color w:val="000000"/>
        </w:rPr>
        <w:t xml:space="preserve"> involves the child being able to be a child, enjoying the range of experiences and opportunities afforded to all children. And </w:t>
      </w:r>
      <w:r w:rsidRPr="008207C4">
        <w:rPr>
          <w:rStyle w:val="normaltextrun"/>
          <w:rFonts w:cs="Arial"/>
          <w:i/>
          <w:iCs/>
          <w:color w:val="000000"/>
        </w:rPr>
        <w:t>becoming</w:t>
      </w:r>
      <w:r w:rsidRPr="008207C4">
        <w:rPr>
          <w:rStyle w:val="normaltextrun"/>
          <w:rFonts w:cs="Arial"/>
          <w:color w:val="000000"/>
        </w:rPr>
        <w:t xml:space="preserve"> involves developing functional skills that will enable them to participate meaningfully in home, community and ECEC settings, being engaged and involved and not just present. </w:t>
      </w:r>
    </w:p>
    <w:p w14:paraId="34AEF17F" w14:textId="77777777" w:rsidR="008207C4" w:rsidRPr="00F158A0" w:rsidRDefault="008207C4" w:rsidP="00F158A0">
      <w:pPr>
        <w:rPr>
          <w:rStyle w:val="eop"/>
          <w:rFonts w:cs="Arial"/>
          <w:color w:val="000000"/>
        </w:rPr>
      </w:pPr>
      <w:r w:rsidRPr="008207C4">
        <w:rPr>
          <w:rStyle w:val="normaltextrun"/>
          <w:rFonts w:cs="Arial"/>
          <w:color w:val="000000"/>
        </w:rPr>
        <w:t xml:space="preserve">This expanded way of thinking about the overall aim and rationale of ECI services does not invalidate the earlier framing described above. Building the capacity of caregivers to meet their children’s needs is </w:t>
      </w:r>
      <w:r w:rsidRPr="008207C4">
        <w:rPr>
          <w:rStyle w:val="normaltextrun"/>
          <w:rFonts w:cs="Arial"/>
          <w:i/>
          <w:iCs/>
          <w:color w:val="000000"/>
        </w:rPr>
        <w:t>means</w:t>
      </w:r>
      <w:r w:rsidRPr="008207C4">
        <w:rPr>
          <w:rStyle w:val="normaltextrun"/>
          <w:rFonts w:cs="Arial"/>
          <w:color w:val="000000"/>
        </w:rPr>
        <w:t xml:space="preserve"> by which ECI services achieves their outcomes, one of the key ways in which they contribute to the higher order aim of ensuring that the children thrive.  </w:t>
      </w:r>
      <w:r w:rsidRPr="008207C4">
        <w:rPr>
          <w:rStyle w:val="eop"/>
          <w:rFonts w:cs="Arial"/>
          <w:color w:val="000000"/>
        </w:rPr>
        <w:t> </w:t>
      </w:r>
    </w:p>
    <w:p w14:paraId="756B833E" w14:textId="77777777" w:rsidR="00F158A0" w:rsidRPr="00F158A0" w:rsidRDefault="00F158A0" w:rsidP="00F158A0">
      <w:pPr>
        <w:rPr>
          <w:rStyle w:val="eop"/>
          <w:rFonts w:cs="Arial"/>
          <w:color w:val="000000"/>
        </w:rPr>
      </w:pPr>
    </w:p>
    <w:p w14:paraId="6568B2EB" w14:textId="77777777" w:rsidR="00F4120D" w:rsidRDefault="00F4120D" w:rsidP="00F158A0">
      <w:pPr>
        <w:rPr>
          <w:b/>
          <w:bCs/>
          <w:color w:val="0C2C74"/>
        </w:rPr>
      </w:pPr>
    </w:p>
    <w:p w14:paraId="5B88A06B" w14:textId="77777777" w:rsidR="00F4120D" w:rsidRDefault="00F4120D" w:rsidP="00F158A0">
      <w:pPr>
        <w:rPr>
          <w:b/>
          <w:bCs/>
          <w:color w:val="0C2C74"/>
        </w:rPr>
      </w:pPr>
    </w:p>
    <w:p w14:paraId="5DF06B40" w14:textId="77777777" w:rsidR="00F4120D" w:rsidRDefault="00F4120D" w:rsidP="00F158A0">
      <w:pPr>
        <w:rPr>
          <w:b/>
          <w:bCs/>
          <w:color w:val="0C2C74"/>
        </w:rPr>
      </w:pPr>
    </w:p>
    <w:p w14:paraId="5C9DD594" w14:textId="77777777" w:rsidR="00F4120D" w:rsidRDefault="00F4120D" w:rsidP="00F158A0">
      <w:pPr>
        <w:rPr>
          <w:b/>
          <w:bCs/>
          <w:color w:val="0C2C74"/>
        </w:rPr>
      </w:pPr>
    </w:p>
    <w:p w14:paraId="54AD019D" w14:textId="77777777" w:rsidR="00F4120D" w:rsidRDefault="00F4120D" w:rsidP="00F158A0">
      <w:pPr>
        <w:rPr>
          <w:b/>
          <w:bCs/>
          <w:color w:val="0C2C74"/>
        </w:rPr>
      </w:pPr>
    </w:p>
    <w:p w14:paraId="4C923D94" w14:textId="086BF3EC" w:rsidR="00F158A0" w:rsidRPr="00F4120D" w:rsidRDefault="00F158A0" w:rsidP="00F158A0">
      <w:pPr>
        <w:rPr>
          <w:b/>
          <w:bCs/>
          <w:color w:val="0C2C74"/>
        </w:rPr>
      </w:pPr>
      <w:r w:rsidRPr="00F4120D">
        <w:rPr>
          <w:b/>
          <w:bCs/>
          <w:color w:val="0C2C74"/>
        </w:rPr>
        <w:lastRenderedPageBreak/>
        <w:t>Implications for ECI services</w:t>
      </w:r>
    </w:p>
    <w:p w14:paraId="215133D4" w14:textId="346D004C" w:rsidR="00F158A0" w:rsidRPr="00F158A0" w:rsidRDefault="00F158A0" w:rsidP="003B0B17">
      <w:pPr>
        <w:pStyle w:val="ListParagraph"/>
        <w:numPr>
          <w:ilvl w:val="0"/>
          <w:numId w:val="50"/>
        </w:numPr>
        <w:ind w:left="714" w:hanging="357"/>
        <w:contextualSpacing w:val="0"/>
      </w:pPr>
      <w:r w:rsidRPr="00F158A0">
        <w:t xml:space="preserve">The ultimate goal for children with developmental </w:t>
      </w:r>
      <w:r w:rsidR="000F0600">
        <w:t xml:space="preserve">concerns, delay or </w:t>
      </w:r>
      <w:r w:rsidRPr="00F158A0">
        <w:t>disability should be the same as for all children: to enable them to thrive. Building the capability of caregivers is the means by which c</w:t>
      </w:r>
      <w:r w:rsidR="00F4120D">
        <w:rPr>
          <w:noProof/>
        </w:rPr>
        <mc:AlternateContent>
          <mc:Choice Requires="wps">
            <w:drawing>
              <wp:anchor distT="0" distB="0" distL="114300" distR="114300" simplePos="0" relativeHeight="251658240" behindDoc="1" locked="1" layoutInCell="1" allowOverlap="1" wp14:anchorId="67D790B5" wp14:editId="7C925514">
                <wp:simplePos x="0" y="0"/>
                <wp:positionH relativeFrom="column">
                  <wp:posOffset>-478790</wp:posOffset>
                </wp:positionH>
                <wp:positionV relativeFrom="page">
                  <wp:posOffset>702945</wp:posOffset>
                </wp:positionV>
                <wp:extent cx="6695440" cy="3404235"/>
                <wp:effectExtent l="0" t="0" r="0" b="0"/>
                <wp:wrapNone/>
                <wp:docPr id="209465549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340423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3F333" id="Rectangle 2" o:spid="_x0000_s1026" alt="&quot;&quot;" style="position:absolute;margin-left:-37.7pt;margin-top:55.35pt;width:527.2pt;height:26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" fillcolor="#8087a3" stroked="f" strokeweight="1pt">
                <v:fill opacity="16448f"/>
                <w10:wrap anchory="page"/>
                <w10:anchorlock/>
              </v:rect>
            </w:pict>
          </mc:Fallback>
        </mc:AlternateContent>
      </w:r>
      <w:r w:rsidR="00F4120D">
        <w:rPr>
          <w:noProof/>
        </w:rPr>
        <mc:AlternateContent>
          <mc:Choice Requires="wps">
            <w:drawing>
              <wp:anchor distT="0" distB="0" distL="114300" distR="114300" simplePos="0" relativeHeight="251659264" behindDoc="1" locked="1" layoutInCell="1" allowOverlap="1" wp14:anchorId="0B0E85B9" wp14:editId="624E8FCC">
                <wp:simplePos x="0" y="0"/>
                <wp:positionH relativeFrom="column">
                  <wp:posOffset>-480060</wp:posOffset>
                </wp:positionH>
                <wp:positionV relativeFrom="page">
                  <wp:posOffset>4345940</wp:posOffset>
                </wp:positionV>
                <wp:extent cx="6695440" cy="2670810"/>
                <wp:effectExtent l="12700" t="12700" r="10160" b="8890"/>
                <wp:wrapNone/>
                <wp:docPr id="93432450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67081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013B2" id="Rectangle 2" o:spid="_x0000_s1026" alt="&quot;&quot;" style="position:absolute;margin-left:-37.8pt;margin-top:342.2pt;width:527.2pt;height:21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" fillcolor="#f2f2f2 [3052]" strokecolor="#8087a3" strokeweight="2.25pt">
                <w10:wrap anchory="page"/>
                <w10:anchorlock/>
              </v:rect>
            </w:pict>
          </mc:Fallback>
        </mc:AlternateContent>
      </w:r>
      <w:r w:rsidRPr="00F158A0">
        <w:t xml:space="preserve">hildren learn the functional skills they need in order to participate meaningfully in home and community life. Meaningful participation is a central plank in ensuring that children thrive. </w:t>
      </w:r>
    </w:p>
    <w:p w14:paraId="433E166B" w14:textId="77777777" w:rsidR="00F158A0" w:rsidRPr="00F158A0" w:rsidRDefault="00F158A0" w:rsidP="003B0B17">
      <w:pPr>
        <w:pStyle w:val="ListParagraph"/>
        <w:numPr>
          <w:ilvl w:val="0"/>
          <w:numId w:val="50"/>
        </w:numPr>
        <w:ind w:left="714" w:hanging="357"/>
        <w:contextualSpacing w:val="0"/>
      </w:pPr>
      <w:r w:rsidRPr="00F158A0">
        <w:t xml:space="preserve">This broadening of the aims of ECI is valuable both for ECI services and for families of children with developmental disabilities. For ECI services, it promotes the idea that ECI services should be embedded in mainstream services systems rather than in a separate disability stream. For families, understanding that the overall aim is to help them and their children to thrive places the emphasis on positive aspects of child and family functioning, reminds families and others of the importance of families being able to experience as many of the same opportunities as all other families as possible, and highlights the need to maintain links with mainstream services and community activities. </w:t>
      </w:r>
    </w:p>
    <w:p w14:paraId="3FEEEEDF" w14:textId="77777777" w:rsidR="00F158A0" w:rsidRPr="00F158A0" w:rsidRDefault="00F158A0" w:rsidP="00F158A0"/>
    <w:p w14:paraId="4C4EBF59" w14:textId="218F273B" w:rsidR="00F158A0" w:rsidRPr="00F4120D" w:rsidRDefault="00F4120D" w:rsidP="00F158A0">
      <w:pPr>
        <w:rPr>
          <w:b/>
          <w:bCs/>
          <w:color w:val="0C2C74"/>
        </w:rPr>
      </w:pPr>
      <w:r>
        <w:rPr>
          <w:b/>
          <w:bCs/>
          <w:color w:val="0C2C74"/>
        </w:rPr>
        <w:br/>
      </w:r>
      <w:r>
        <w:rPr>
          <w:b/>
          <w:bCs/>
          <w:color w:val="0C2C74"/>
        </w:rPr>
        <w:br/>
      </w:r>
      <w:r w:rsidR="00F158A0" w:rsidRPr="00F4120D">
        <w:rPr>
          <w:b/>
          <w:bCs/>
          <w:color w:val="0C2C74"/>
        </w:rPr>
        <w:t>Implications for the ECI Best Practice Framework</w:t>
      </w:r>
    </w:p>
    <w:p w14:paraId="040F871D" w14:textId="77777777" w:rsidR="00F158A0" w:rsidRPr="00F158A0" w:rsidRDefault="00F158A0" w:rsidP="00F158A0">
      <w:r w:rsidRPr="00F158A0">
        <w:t>It is recommended that the ECI Best Practice Framework:</w:t>
      </w:r>
    </w:p>
    <w:p w14:paraId="62BF057A" w14:textId="743FDA50" w:rsidR="00F158A0" w:rsidRPr="00F158A0" w:rsidRDefault="00F158A0" w:rsidP="003B0B17">
      <w:pPr>
        <w:pStyle w:val="ListParagraph"/>
        <w:numPr>
          <w:ilvl w:val="0"/>
          <w:numId w:val="51"/>
        </w:numPr>
        <w:ind w:left="714" w:hanging="357"/>
        <w:contextualSpacing w:val="0"/>
      </w:pPr>
      <w:r w:rsidRPr="00F158A0">
        <w:t xml:space="preserve">be based on a clear understanding of the overall aims of ECI and how they relate to aims for all children </w:t>
      </w:r>
    </w:p>
    <w:p w14:paraId="5541FE06" w14:textId="530EA795" w:rsidR="00F158A0" w:rsidRPr="00F158A0" w:rsidRDefault="00F158A0" w:rsidP="003B0B17">
      <w:pPr>
        <w:pStyle w:val="ListParagraph"/>
        <w:numPr>
          <w:ilvl w:val="0"/>
          <w:numId w:val="51"/>
        </w:numPr>
        <w:ind w:left="714" w:hanging="357"/>
        <w:contextualSpacing w:val="0"/>
      </w:pPr>
      <w:r w:rsidRPr="00F158A0">
        <w:t xml:space="preserve">be based on a clear understanding of the conditions that children need to thrive and how these can be met </w:t>
      </w:r>
    </w:p>
    <w:p w14:paraId="5FBB0AD0" w14:textId="08237365" w:rsidR="00F158A0" w:rsidRPr="00F158A0" w:rsidRDefault="00F158A0" w:rsidP="003B0B17">
      <w:pPr>
        <w:pStyle w:val="ListParagraph"/>
        <w:numPr>
          <w:ilvl w:val="0"/>
          <w:numId w:val="51"/>
        </w:numPr>
        <w:ind w:left="714" w:hanging="357"/>
        <w:contextualSpacing w:val="0"/>
      </w:pPr>
      <w:r w:rsidRPr="00F158A0">
        <w:t xml:space="preserve">focuses on ensuring children’s meaningful participation in home, community and ECEC/school settings </w:t>
      </w:r>
    </w:p>
    <w:p w14:paraId="259AB737" w14:textId="25BE1474" w:rsidR="00F158A0" w:rsidRPr="00F158A0" w:rsidRDefault="00F158A0" w:rsidP="003B0B17">
      <w:pPr>
        <w:pStyle w:val="ListParagraph"/>
        <w:numPr>
          <w:ilvl w:val="0"/>
          <w:numId w:val="51"/>
        </w:numPr>
        <w:ind w:left="714" w:hanging="357"/>
        <w:contextualSpacing w:val="0"/>
      </w:pPr>
      <w:r w:rsidRPr="00F158A0">
        <w:t>promotes building the capabilities of caregivers to provide children with opportunities to practice functional skills</w:t>
      </w:r>
    </w:p>
    <w:p w14:paraId="150520E8" w14:textId="77777777" w:rsidR="008207C4" w:rsidRDefault="008207C4" w:rsidP="00F158A0"/>
    <w:p w14:paraId="27FC8CCB" w14:textId="77777777" w:rsidR="00A17779" w:rsidRDefault="00A17779" w:rsidP="00F158A0"/>
    <w:p w14:paraId="2EBD1756" w14:textId="77777777" w:rsidR="00A17779" w:rsidRDefault="00A17779" w:rsidP="00F158A0"/>
    <w:p w14:paraId="371B3B25" w14:textId="77777777" w:rsidR="00A17779" w:rsidRDefault="00A17779" w:rsidP="00F158A0"/>
    <w:p w14:paraId="0C47E747" w14:textId="77777777" w:rsidR="00A17779" w:rsidRDefault="00A17779" w:rsidP="00F158A0"/>
    <w:p w14:paraId="7B0E1329" w14:textId="77777777" w:rsidR="00A17779" w:rsidRDefault="00A17779" w:rsidP="00F158A0"/>
    <w:p w14:paraId="7577A532" w14:textId="77777777" w:rsidR="00A17779" w:rsidRDefault="00A17779" w:rsidP="00F158A0"/>
    <w:p w14:paraId="22EEC9C5" w14:textId="77777777" w:rsidR="00A17779" w:rsidRDefault="00A17779" w:rsidP="00F158A0"/>
    <w:p w14:paraId="6CA21ED4" w14:textId="77777777" w:rsidR="00A17779" w:rsidRDefault="00A17779" w:rsidP="00F158A0"/>
    <w:p w14:paraId="7CC437FD" w14:textId="77777777" w:rsidR="00A17779" w:rsidRDefault="00A17779" w:rsidP="00F158A0"/>
    <w:p w14:paraId="63DA1F07" w14:textId="77777777" w:rsidR="00A17779" w:rsidRDefault="00A17779" w:rsidP="00F158A0"/>
    <w:p w14:paraId="13B89501" w14:textId="77777777" w:rsidR="00A17779" w:rsidRDefault="00A17779" w:rsidP="00F158A0"/>
    <w:p w14:paraId="76B9AE0C" w14:textId="1B4D355A" w:rsidR="00A17779" w:rsidRPr="00A17779" w:rsidRDefault="00A17779" w:rsidP="00A17779">
      <w:pPr>
        <w:pStyle w:val="Heading2"/>
        <w:rPr>
          <w:lang w:val="en-US"/>
        </w:rPr>
      </w:pPr>
      <w:bookmarkStart w:id="50" w:name="_Toc177730835"/>
      <w:r w:rsidRPr="00A17779">
        <w:rPr>
          <w:lang w:val="en-US"/>
        </w:rPr>
        <w:lastRenderedPageBreak/>
        <w:t>ECI principles</w:t>
      </w:r>
      <w:bookmarkEnd w:id="50"/>
    </w:p>
    <w:p w14:paraId="3DD9C4CA" w14:textId="36D60BA7" w:rsidR="00A17779" w:rsidRPr="00A17779" w:rsidRDefault="00A17779" w:rsidP="00A17779">
      <w:pPr>
        <w:rPr>
          <w:lang w:val="en-US"/>
        </w:rPr>
      </w:pPr>
      <w:r w:rsidRPr="00A17779">
        <w:rPr>
          <w:lang w:val="en-US"/>
        </w:rPr>
        <w:t xml:space="preserve">As already noted, principles are rules, beliefs, or ideas that guides our behaviour. They can serve as the foundation for a system of belief or behaviour or for a chain of reasoning (i.e. a theory of change). Principles are independent of context and apply in all circumstances. They are based on three sources: values, rights and evidence. </w:t>
      </w:r>
    </w:p>
    <w:p w14:paraId="665F46DB" w14:textId="77777777" w:rsidR="00A17779" w:rsidRPr="00A17779" w:rsidRDefault="00A17779" w:rsidP="00A17779">
      <w:pPr>
        <w:rPr>
          <w:lang w:val="en-US"/>
        </w:rPr>
      </w:pPr>
      <w:r w:rsidRPr="00A17779">
        <w:rPr>
          <w:lang w:val="en-US"/>
        </w:rPr>
        <w:t>Below is a list of candidate principles for inclusion in a best practice framework. These are drawn from a variety of sources, including:</w:t>
      </w:r>
    </w:p>
    <w:p w14:paraId="702E38B7" w14:textId="4C89E739" w:rsidR="00A17779" w:rsidRPr="00A17779" w:rsidRDefault="00A17779" w:rsidP="003B0B17">
      <w:pPr>
        <w:pStyle w:val="ListParagraph"/>
        <w:numPr>
          <w:ilvl w:val="0"/>
          <w:numId w:val="52"/>
        </w:numPr>
        <w:ind w:hanging="357"/>
        <w:contextualSpacing w:val="0"/>
        <w:rPr>
          <w:lang w:val="en-US"/>
        </w:rPr>
      </w:pPr>
      <w:r w:rsidRPr="00A17779">
        <w:rPr>
          <w:lang w:val="en-US"/>
        </w:rPr>
        <w:t xml:space="preserve">Existing Australian principles and guidelines </w:t>
      </w:r>
    </w:p>
    <w:p w14:paraId="3842B9AB" w14:textId="61786293" w:rsidR="00A17779" w:rsidRPr="00A17779" w:rsidRDefault="00A17779" w:rsidP="003B0B17">
      <w:pPr>
        <w:pStyle w:val="ListParagraph"/>
        <w:numPr>
          <w:ilvl w:val="1"/>
          <w:numId w:val="52"/>
        </w:numPr>
        <w:ind w:hanging="357"/>
        <w:contextualSpacing w:val="0"/>
        <w:rPr>
          <w:lang w:val="en-US"/>
        </w:rPr>
      </w:pPr>
      <w:r w:rsidRPr="00A17779">
        <w:rPr>
          <w:lang w:val="en-US"/>
        </w:rPr>
        <w:t>National Guidelines: Best Practice in Early Childhood Intervention (Early Childhood Intervention Australia, 2016)</w:t>
      </w:r>
    </w:p>
    <w:p w14:paraId="72D9B241" w14:textId="626A9EAE" w:rsidR="00A17779" w:rsidRPr="00A17779" w:rsidRDefault="00A17779" w:rsidP="003B0B17">
      <w:pPr>
        <w:pStyle w:val="ListParagraph"/>
        <w:numPr>
          <w:ilvl w:val="1"/>
          <w:numId w:val="52"/>
        </w:numPr>
        <w:ind w:hanging="357"/>
        <w:contextualSpacing w:val="0"/>
        <w:rPr>
          <w:lang w:val="en-US"/>
        </w:rPr>
      </w:pPr>
      <w:r w:rsidRPr="00A17779">
        <w:rPr>
          <w:lang w:val="en-US"/>
        </w:rPr>
        <w:t xml:space="preserve">National Autism Guideline (Autism CRC, 2024) </w:t>
      </w:r>
    </w:p>
    <w:p w14:paraId="24985F5A" w14:textId="2F566E07" w:rsidR="00A17779" w:rsidRPr="00A17779" w:rsidRDefault="00A17779" w:rsidP="003B0B17">
      <w:pPr>
        <w:pStyle w:val="ListParagraph"/>
        <w:numPr>
          <w:ilvl w:val="1"/>
          <w:numId w:val="52"/>
        </w:numPr>
        <w:ind w:hanging="357"/>
        <w:contextualSpacing w:val="0"/>
        <w:rPr>
          <w:lang w:val="en-US"/>
        </w:rPr>
      </w:pPr>
      <w:r w:rsidRPr="00A17779">
        <w:rPr>
          <w:lang w:val="en-US"/>
        </w:rPr>
        <w:t>Interventions to improve physical function for children and young people with cerebral palsy: international clinical practice guideline (Jackman et al., 2022)</w:t>
      </w:r>
    </w:p>
    <w:p w14:paraId="048EBD37" w14:textId="21C7BCD7" w:rsidR="00A17779" w:rsidRPr="00A17779" w:rsidRDefault="00A17779" w:rsidP="003B0B17">
      <w:pPr>
        <w:pStyle w:val="ListParagraph"/>
        <w:numPr>
          <w:ilvl w:val="0"/>
          <w:numId w:val="52"/>
        </w:numPr>
        <w:ind w:hanging="357"/>
        <w:contextualSpacing w:val="0"/>
        <w:rPr>
          <w:lang w:val="en-US"/>
        </w:rPr>
      </w:pPr>
      <w:r w:rsidRPr="00A17779">
        <w:rPr>
          <w:lang w:val="en-US"/>
        </w:rPr>
        <w:t xml:space="preserve">International statements of best practice principles, including from the USA (Division for Early Childhood, 2014), Canada (Hiebert-Murphy et al., 2017), Spain and Portugal (Serrano et al., 2017).  (See also the review of ECI practice frameworks in Section 6) </w:t>
      </w:r>
    </w:p>
    <w:p w14:paraId="72FD9F53" w14:textId="06A443B9" w:rsidR="00A17779" w:rsidRPr="00A17779" w:rsidRDefault="00A17779" w:rsidP="003B0B17">
      <w:pPr>
        <w:pStyle w:val="ListParagraph"/>
        <w:numPr>
          <w:ilvl w:val="0"/>
          <w:numId w:val="52"/>
        </w:numPr>
        <w:ind w:hanging="357"/>
        <w:contextualSpacing w:val="0"/>
        <w:rPr>
          <w:lang w:val="en-US"/>
        </w:rPr>
      </w:pPr>
      <w:r w:rsidRPr="00A17779">
        <w:rPr>
          <w:lang w:val="en-US"/>
        </w:rPr>
        <w:t>Other best practice summaries, including Dunst (2022), Dunst &amp; Espe-Scherwindt (2017), Guralnick (2017), Keilty (2016), McIntyre et al. (2021), McWilliam (2016), Raver &amp; Childress (2015), Snyder et al. (2017), Vargas-Barón et al. (2019), and Workgroup on Principles and Practices in Natural Environments (2008).</w:t>
      </w:r>
    </w:p>
    <w:p w14:paraId="06D623C6" w14:textId="77777777" w:rsidR="00A17779" w:rsidRPr="00A17779" w:rsidRDefault="00A17779" w:rsidP="00A17779">
      <w:pPr>
        <w:rPr>
          <w:lang w:val="en-US"/>
        </w:rPr>
      </w:pPr>
      <w:r w:rsidRPr="00A17779">
        <w:rPr>
          <w:lang w:val="en-US"/>
        </w:rPr>
        <w:t>The following key principles for ECI services have been commonly identified.</w:t>
      </w:r>
    </w:p>
    <w:p w14:paraId="569EE4EF" w14:textId="2476AFD1" w:rsidR="00A17779" w:rsidRPr="005922BA" w:rsidRDefault="00A17779" w:rsidP="003B0B17">
      <w:pPr>
        <w:pStyle w:val="ListParagraph"/>
        <w:numPr>
          <w:ilvl w:val="0"/>
          <w:numId w:val="53"/>
        </w:numPr>
        <w:rPr>
          <w:lang w:val="en-US"/>
        </w:rPr>
      </w:pPr>
      <w:r w:rsidRPr="008144A0">
        <w:rPr>
          <w:b/>
          <w:bCs/>
          <w:i/>
          <w:iCs/>
          <w:lang w:val="en-US"/>
        </w:rPr>
        <w:t>Family-centred.</w:t>
      </w:r>
      <w:r w:rsidRPr="005922BA">
        <w:rPr>
          <w:lang w:val="en-US"/>
        </w:rPr>
        <w:t xml:space="preserve"> Family-centred is frequently listed as a key principle underpinning ECI services and is strongly endorsed as best practice (Bailey et al., 2011; Dempsey &amp; Keen, 2017; Dunst &amp; Trivette, 2010; Dunst &amp; Espe-Scherwindt , 2016; Ensher &amp; Clark, 2011; Fordham &amp; Johnston, 2014; Hauser-Cram et al., 2017; Hiebert-Murphy et al., 2017; Keilty, 2016; Keilty et al., 2017; King &amp; Chiarello, 2014; Law &amp; Darrah, 2014; Palisano et al., 2012; Raver &amp; Childress, 2015; Serrano et al., 2017; Sukkar et al., 2017; Tomasello et al., 2010; Trute, 2013; Trute &amp; Hiebert-Murphy, 2013). Being family-centred involves more than simply focusing on the family as a whole, important though that is. It is a more comprehensive approach that includes a number of key elements and practices. A good summary is provided by King &amp; Chiarello (2014):</w:t>
      </w:r>
    </w:p>
    <w:p w14:paraId="28C19418" w14:textId="77777777" w:rsidR="00A17779" w:rsidRPr="00A17779" w:rsidRDefault="00A17779" w:rsidP="005922BA">
      <w:pPr>
        <w:ind w:left="1440"/>
        <w:rPr>
          <w:lang w:val="en-US"/>
        </w:rPr>
      </w:pPr>
      <w:r w:rsidRPr="00A17779">
        <w:rPr>
          <w:lang w:val="en-US"/>
        </w:rPr>
        <w:t xml:space="preserve">A family-centred approach is characterized by provider practices that convey dignity and respect to families, where information is exchanged so that informed decisions can be made, where there is responsiveness to the family priorities and choices, and where collaborative family-provider partnerships are considered to be fundamentally important. The key elements of family-centred practice include an emphasis on child and family strengths rather than deficits, facilitating family choice and control, and creating a therapeutic </w:t>
      </w:r>
      <w:r w:rsidRPr="00A17779">
        <w:rPr>
          <w:lang w:val="en-US"/>
        </w:rPr>
        <w:lastRenderedPageBreak/>
        <w:t>environment that optimizes the development of a collaborative family-provider relationship.</w:t>
      </w:r>
    </w:p>
    <w:p w14:paraId="255B2C72" w14:textId="77777777" w:rsidR="00A17779" w:rsidRPr="00A17779" w:rsidRDefault="00A17779" w:rsidP="008144A0">
      <w:pPr>
        <w:ind w:left="720"/>
        <w:rPr>
          <w:lang w:val="en-US"/>
        </w:rPr>
      </w:pPr>
      <w:r w:rsidRPr="00A17779">
        <w:rPr>
          <w:lang w:val="en-US"/>
        </w:rPr>
        <w:t xml:space="preserve">Being family-centred is best understood as a transactional process of care that depends as much upon how the service provider views the family as on how the family views the service provider, and how effectively they collaborate (Schenker et al, 2016).  </w:t>
      </w:r>
    </w:p>
    <w:p w14:paraId="35C4CF15" w14:textId="77777777" w:rsidR="00A17779" w:rsidRPr="00A17779" w:rsidRDefault="00A17779" w:rsidP="008144A0">
      <w:pPr>
        <w:ind w:left="720"/>
        <w:rPr>
          <w:lang w:val="en-US"/>
        </w:rPr>
      </w:pPr>
      <w:r w:rsidRPr="00A17779">
        <w:rPr>
          <w:lang w:val="en-US"/>
        </w:rPr>
        <w:t xml:space="preserve">Although commonly seen as a key principle of ECI service provision, being family-centred may be better understood as a set of practices underpinned by a number of key principles. These include: respect for parental values, knowledge and priorities; individualised services to meet families’ particular needs and circumstances; focusing on the needs of the family as a whole; collaborative parent-professional partnerships; empowering parents and families as key decision-makers; and building on family strengths and resources. </w:t>
      </w:r>
    </w:p>
    <w:p w14:paraId="4233B905" w14:textId="775A7876" w:rsidR="00A17779" w:rsidRPr="00A17779" w:rsidRDefault="00A17779" w:rsidP="008144A0">
      <w:pPr>
        <w:ind w:left="720"/>
        <w:rPr>
          <w:lang w:val="en-US"/>
        </w:rPr>
      </w:pPr>
      <w:r w:rsidRPr="00A17779">
        <w:rPr>
          <w:lang w:val="en-US"/>
        </w:rPr>
        <w:t xml:space="preserve">A key feature of being family-centred is its whole-of-family approach. Early intervention programs must not only effectively meet the needs of the individual child but must also recognise and support the whole family (Dunst, 2017; Frankel et al., 2017; Frantz et al., 2018; Guralnick, 2017, 2019; McWilliam, 2011). The well-being of any one member of the family affects the well-being of other members. To be effective in early intervention, therefore, early interventionists need to attend to the emotional, material, and informational support needs of the parents (Guralnick, 2019). Bhopti (2017) argues that promoting occupations of parents can be an important outcome with some families. Among other things, this means that ECI service plans should include family outcomes as well as child outcomes (Bailey et al., 2011). </w:t>
      </w:r>
    </w:p>
    <w:p w14:paraId="554DCFA1" w14:textId="23169E30" w:rsidR="00A17779" w:rsidRPr="00A17779" w:rsidRDefault="00A17779" w:rsidP="008144A0">
      <w:pPr>
        <w:ind w:left="720"/>
        <w:rPr>
          <w:lang w:val="en-US"/>
        </w:rPr>
      </w:pPr>
      <w:r w:rsidRPr="00A17779">
        <w:rPr>
          <w:lang w:val="en-US"/>
        </w:rPr>
        <w:t>In addition to supporting the whole family, ECI services should explore ways of involving all family members. Involving fathers is a particular priority (Nicholas, 2013; McBride et al., 2017). While ECI providers see fathers as important contributors to child</w:t>
      </w:r>
      <w:r w:rsidR="004C44AA">
        <w:rPr>
          <w:lang w:val="en-US"/>
        </w:rPr>
        <w:t>ren’s</w:t>
      </w:r>
      <w:r w:rsidRPr="00A17779">
        <w:rPr>
          <w:lang w:val="en-US"/>
        </w:rPr>
        <w:t xml:space="preserve"> care and development, they are reluctant to target fathers for involvement in EI services (McBride et al., 2017).</w:t>
      </w:r>
    </w:p>
    <w:p w14:paraId="25233306" w14:textId="77777777" w:rsidR="00A17779" w:rsidRPr="00A17779" w:rsidRDefault="00A17779" w:rsidP="008144A0">
      <w:pPr>
        <w:ind w:left="720"/>
        <w:rPr>
          <w:lang w:val="en-US"/>
        </w:rPr>
      </w:pPr>
      <w:r w:rsidRPr="00A17779">
        <w:rPr>
          <w:lang w:val="en-US"/>
        </w:rPr>
        <w:t>A key feature of being family-centred is parent-professional partnership (An &amp; Palisano, 2014; An et al., 2015; Fialka et al., 2012; Frankel et al., 2017; Frantz et al., 2018; James &amp; Chard, 2010; Keilty, 2016; Keilty et al., 2017; Kennedy, 2017; King &amp; Chiarello, 2014; Moore, 2018; Palisano et al., 2012; Sukkar, 2017; Trute &amp; Hiebert-Murphy, 2013). Partnerships involve shared information, shared power and decision-making, and shared actions. Parents are regarded as ‘experts’ on their own particular family, children and circumstances, whereas practitioners are experts in their particular discipline and what it tells them about families and children in general. Blending these two forms of knowledge and expertise produces synergistic effects – the resulting plans and actions are more effective and powerful than anything that either partner could have produced on their own (Moore, 2018).</w:t>
      </w:r>
    </w:p>
    <w:p w14:paraId="5269375C" w14:textId="77777777" w:rsidR="00A17779" w:rsidRPr="00A17779" w:rsidRDefault="00A17779" w:rsidP="008144A0">
      <w:pPr>
        <w:ind w:left="720"/>
        <w:rPr>
          <w:lang w:val="en-US"/>
        </w:rPr>
      </w:pPr>
      <w:r w:rsidRPr="00A17779">
        <w:rPr>
          <w:lang w:val="en-US"/>
        </w:rPr>
        <w:t>Another key element of being family-centred is parental choice and control: support to families is based on goals that they choose, and parents remain the final decision-makers throughout (Jackman et al., 2022; King &amp; Chiarello, 2014).</w:t>
      </w:r>
    </w:p>
    <w:p w14:paraId="297D9785" w14:textId="77777777" w:rsidR="00A17779" w:rsidRPr="00A17779" w:rsidRDefault="00A17779" w:rsidP="008144A0">
      <w:pPr>
        <w:ind w:left="720"/>
        <w:rPr>
          <w:lang w:val="en-US"/>
        </w:rPr>
      </w:pPr>
      <w:r w:rsidRPr="00A17779">
        <w:rPr>
          <w:lang w:val="en-US"/>
        </w:rPr>
        <w:lastRenderedPageBreak/>
        <w:t>There is much research evidence demonstrating that family-centred service leads to positive outcomes for children, parents, and families (e.g. Dempsey &amp; Keen, 2017; Gavidia-Payne et al., 2015; King &amp; Chiarello, 2014; Moore &amp; Larkin, 2005). Being family-centred has also been endorsed by parents (Fialka et al., 2012; Mahmic, 2016, Novak, 2011; Pighini et al., 2014). Parents report how empowering it is for them when professionals use this approach, and how it helps them articulate their children's needs for developmental, health and educational services (Pighini et al., 2014).</w:t>
      </w:r>
    </w:p>
    <w:p w14:paraId="522A8DA6" w14:textId="64CC451F" w:rsidR="00A17779" w:rsidRPr="008144A0" w:rsidRDefault="00A17779" w:rsidP="003B0B17">
      <w:pPr>
        <w:pStyle w:val="ListParagraph"/>
        <w:numPr>
          <w:ilvl w:val="0"/>
          <w:numId w:val="53"/>
        </w:numPr>
        <w:ind w:left="714" w:hanging="357"/>
        <w:contextualSpacing w:val="0"/>
        <w:rPr>
          <w:lang w:val="en-US"/>
        </w:rPr>
      </w:pPr>
      <w:r w:rsidRPr="008144A0">
        <w:rPr>
          <w:b/>
          <w:bCs/>
          <w:i/>
          <w:iCs/>
          <w:lang w:val="en-US"/>
        </w:rPr>
        <w:t>Capacity-building and strength-based</w:t>
      </w:r>
      <w:r w:rsidRPr="008144A0">
        <w:rPr>
          <w:lang w:val="en-US"/>
        </w:rPr>
        <w:t>. As noted already, building the capacity of parents and caregivers is a central aim of ECI services. Acknowledging, supporting, and building on family member strengths are defining characteristics of family-centred practice (Baldwin et al., 2013; Donaldson et al., 2017; Dunst, 2017; Dunst &amp; Espe-Sherwindt, 2016; Palisano et al., 2012) and of human services in general (Edwards et al, 2016). Helping families make use of existing family resources is an important strength-building strategy (Dunst, 2017; McWilliam, 2011; Palisano et al., 2012). ECI services should add to and strengthen the informal supports families of young children already have, not set up interventions in isolation of the resources families already have (McWilliam, 2011).</w:t>
      </w:r>
    </w:p>
    <w:p w14:paraId="35AA78A9" w14:textId="0B8492A7" w:rsidR="00A17779" w:rsidRPr="008144A0" w:rsidRDefault="00A17779" w:rsidP="003B0B17">
      <w:pPr>
        <w:pStyle w:val="ListParagraph"/>
        <w:numPr>
          <w:ilvl w:val="0"/>
          <w:numId w:val="53"/>
        </w:numPr>
        <w:ind w:left="714" w:hanging="357"/>
        <w:contextualSpacing w:val="0"/>
        <w:rPr>
          <w:lang w:val="en-US"/>
        </w:rPr>
      </w:pPr>
      <w:r w:rsidRPr="008144A0">
        <w:rPr>
          <w:b/>
          <w:bCs/>
          <w:i/>
          <w:iCs/>
          <w:lang w:val="en-US"/>
        </w:rPr>
        <w:t>Culturally responsive and culturally safe</w:t>
      </w:r>
      <w:r w:rsidRPr="008144A0">
        <w:rPr>
          <w:lang w:val="en-US"/>
        </w:rPr>
        <w:t>. Culturally sensitive practice has long been seen as a key aspect of best practice in ECI service delivery (Este, 2013; Goode et al., 2017; Hanson &amp; Lynch, 2010; Hanson &amp; Espinosa, 2016). According to Hanson and Espinosa (2016), culturally and linguistically sensitive and individually tailored services are essential to the effective delivery of human services. The key features of culturally sensitive practice have been identified by Este (2013) as follows:</w:t>
      </w:r>
    </w:p>
    <w:p w14:paraId="21315EE4" w14:textId="4A889479" w:rsidR="00A17779" w:rsidRPr="00A17779" w:rsidRDefault="00A17779" w:rsidP="008144A0">
      <w:pPr>
        <w:ind w:left="1440"/>
        <w:rPr>
          <w:lang w:val="en-US"/>
        </w:rPr>
      </w:pPr>
      <w:r w:rsidRPr="00A17779">
        <w:rPr>
          <w:lang w:val="en-US"/>
        </w:rPr>
        <w:t>The general consensus is that practitioners (a) need to be aware of their specific cultural, racial, and ethnic identity and experiences; (b) need to be informed about different racial, cultural, ethnic, and diverse groups; (c) must possess strong empathy and skills in order to work with clients from diverse backgrounds and experiences; and (d) must have intrinsic values that truly reflect their willingness and commitment to work in an ethical manner with different client systems.</w:t>
      </w:r>
    </w:p>
    <w:p w14:paraId="7E120AD2" w14:textId="5BBBA102" w:rsidR="00A17779" w:rsidRPr="008144A0" w:rsidRDefault="00A17779" w:rsidP="003B0B17">
      <w:pPr>
        <w:pStyle w:val="ListParagraph"/>
        <w:numPr>
          <w:ilvl w:val="0"/>
          <w:numId w:val="54"/>
        </w:numPr>
        <w:ind w:left="714" w:hanging="357"/>
        <w:contextualSpacing w:val="0"/>
        <w:rPr>
          <w:lang w:val="en-US"/>
        </w:rPr>
      </w:pPr>
      <w:r w:rsidRPr="008144A0">
        <w:rPr>
          <w:b/>
          <w:bCs/>
          <w:lang w:val="en-US"/>
        </w:rPr>
        <w:t>Inclusion and participation</w:t>
      </w:r>
      <w:r w:rsidRPr="008144A0">
        <w:rPr>
          <w:lang w:val="en-US"/>
        </w:rPr>
        <w:t>. As we have seen in the discussion of ECI aims, inclusion and participation are foundational principles for ECI services. Inclusive and participatory practices are seen as central to best practice in ECI services (Buysse, 2011; Cologon, 2014; Frankel et al., 2017; Hauser-Cram et al., 2017; Hebbeler &amp; Spiker, 2016; Marshall et al., 2017; Snyder et al., 2015; Webster &amp; Forster, 2012). According to Buysse (2011), there are three defining features of high-quality inclusion:</w:t>
      </w:r>
    </w:p>
    <w:p w14:paraId="15360AC2" w14:textId="481CC103" w:rsidR="00A17779" w:rsidRPr="008144A0" w:rsidRDefault="00A17779" w:rsidP="003B0B17">
      <w:pPr>
        <w:pStyle w:val="ListParagraph"/>
        <w:numPr>
          <w:ilvl w:val="1"/>
          <w:numId w:val="54"/>
        </w:numPr>
        <w:contextualSpacing w:val="0"/>
        <w:rPr>
          <w:lang w:val="en-US"/>
        </w:rPr>
      </w:pPr>
      <w:r w:rsidRPr="008144A0">
        <w:rPr>
          <w:i/>
          <w:iCs/>
          <w:lang w:val="en-US"/>
        </w:rPr>
        <w:t>Access:</w:t>
      </w:r>
      <w:r w:rsidRPr="008144A0">
        <w:rPr>
          <w:lang w:val="en-US"/>
        </w:rPr>
        <w:t xml:space="preserve"> removing physical barriers, providing a wide range of activities and environments, and making necessary adaptations to create opportunities for optimal development and learning for individual children </w:t>
      </w:r>
    </w:p>
    <w:p w14:paraId="554780AD" w14:textId="12257087" w:rsidR="00A17779" w:rsidRPr="008144A0" w:rsidRDefault="00A17779" w:rsidP="003B0B17">
      <w:pPr>
        <w:pStyle w:val="ListParagraph"/>
        <w:numPr>
          <w:ilvl w:val="1"/>
          <w:numId w:val="54"/>
        </w:numPr>
        <w:contextualSpacing w:val="0"/>
        <w:rPr>
          <w:lang w:val="en-US"/>
        </w:rPr>
      </w:pPr>
      <w:r w:rsidRPr="008144A0">
        <w:rPr>
          <w:i/>
          <w:iCs/>
          <w:lang w:val="en-US"/>
        </w:rPr>
        <w:t>Participation:</w:t>
      </w:r>
      <w:r w:rsidRPr="008144A0">
        <w:rPr>
          <w:lang w:val="en-US"/>
        </w:rPr>
        <w:t xml:space="preserve"> using a range of instructional and intervention approaches to promote engagement in play and learning activities, and a sense of belonging for each child</w:t>
      </w:r>
    </w:p>
    <w:p w14:paraId="332062A3" w14:textId="415A95C1" w:rsidR="00A17779" w:rsidRPr="008144A0" w:rsidRDefault="00A17779" w:rsidP="003B0B17">
      <w:pPr>
        <w:pStyle w:val="ListParagraph"/>
        <w:numPr>
          <w:ilvl w:val="1"/>
          <w:numId w:val="54"/>
        </w:numPr>
        <w:contextualSpacing w:val="0"/>
        <w:rPr>
          <w:lang w:val="en-US"/>
        </w:rPr>
      </w:pPr>
      <w:r w:rsidRPr="008144A0">
        <w:rPr>
          <w:i/>
          <w:iCs/>
          <w:lang w:val="en-US"/>
        </w:rPr>
        <w:lastRenderedPageBreak/>
        <w:t>Supports:</w:t>
      </w:r>
      <w:r w:rsidRPr="008144A0">
        <w:rPr>
          <w:lang w:val="en-US"/>
        </w:rPr>
        <w:t xml:space="preserve"> creating an infrastructure of systems-level supports for implementing high-quality inclusion</w:t>
      </w:r>
    </w:p>
    <w:p w14:paraId="28444648" w14:textId="77777777" w:rsidR="00A17779" w:rsidRPr="00A17779" w:rsidRDefault="00A17779" w:rsidP="00276B84">
      <w:pPr>
        <w:ind w:left="720"/>
        <w:rPr>
          <w:lang w:val="en-US"/>
        </w:rPr>
      </w:pPr>
      <w:r w:rsidRPr="00A17779">
        <w:rPr>
          <w:lang w:val="en-US"/>
        </w:rPr>
        <w:t xml:space="preserve">In the United States, evidence continues to accumulate that children with developmental delays or disabilities do at least as well developmentally and socially in inclusive programs as they do in specialised programs (Guralnick &amp; Bruder, 2016). According to Kemp (2016), there is little comparable research on inclusion in Australia. This does not mean that young children with developmental delays or disabilities do not benefit from inclusion in early childhood settings, only that we have not yet tested this proposition thoroughly. Australians have relied heavily on research from the United States to guide the delivery of early childhood intervention programs, including services provided in inclusive ECEC settings. </w:t>
      </w:r>
    </w:p>
    <w:p w14:paraId="5E48F8AB" w14:textId="77777777" w:rsidR="00A17779" w:rsidRPr="00A17779" w:rsidRDefault="00A17779" w:rsidP="00276B84">
      <w:pPr>
        <w:ind w:left="720"/>
        <w:rPr>
          <w:lang w:val="en-US"/>
        </w:rPr>
      </w:pPr>
      <w:r w:rsidRPr="00A17779">
        <w:rPr>
          <w:lang w:val="en-US"/>
        </w:rPr>
        <w:t xml:space="preserve">In a summary of inclusive education practices for school-age students with disabilities in Australia, Forlin and colleagues (2013) note that Australia, like most countries, views inclusion as a disability issue, with almost all regions maintaining some form of separate special education. All Australian jurisdictions have inclusive policies and firmly established structures for supporting students with disability, with detailed and quite complex procedures for identifying eligibility of students and the provision of support required. All use a needs-based approach and offer support at different levels through elaborately articulated frameworks. Despite the rhetoric supporting inclusion, however, as a concept and in practice there are many challenges in implementing fully inclusive education practices in Australia (Forlin et al., 2013). </w:t>
      </w:r>
    </w:p>
    <w:p w14:paraId="3078A106" w14:textId="6FB772C5" w:rsidR="00A17779" w:rsidRPr="00276B84" w:rsidRDefault="00A17779" w:rsidP="003B0B17">
      <w:pPr>
        <w:pStyle w:val="ListParagraph"/>
        <w:numPr>
          <w:ilvl w:val="0"/>
          <w:numId w:val="54"/>
        </w:numPr>
        <w:ind w:left="714" w:hanging="357"/>
        <w:contextualSpacing w:val="0"/>
        <w:rPr>
          <w:lang w:val="en-US"/>
        </w:rPr>
      </w:pPr>
      <w:r w:rsidRPr="00276B84">
        <w:rPr>
          <w:b/>
          <w:bCs/>
          <w:i/>
          <w:iCs/>
          <w:lang w:val="en-US"/>
        </w:rPr>
        <w:t>Engaging children in natural environments</w:t>
      </w:r>
      <w:r w:rsidRPr="00276B84">
        <w:rPr>
          <w:lang w:val="en-US"/>
        </w:rPr>
        <w:t>. A key principle underpinning ECI services is that they should be delivered in natural environments such as the home, and should seek to embed opportunities for children to practice functional skills into daily family routines (Raver &amp; Childress, 2015; Dunst &amp; Espe-Sherwindt, 2017; Hughes-Scholes et al., 2015, 2019; Jackman et al., 2022: McConnell et al., 2015; McWilliam, 2010, 2011, 2015, 2016; Moore et al., 2012; Palisano et al., 2012; Raver &amp; Childress, 2016). In general, early childhood home visiting is a service delivery strategy that supports a range of positive outcomes, including improved child and maternal health, children’s development and school readiness, family economic self-sufficiency, and the reduction of child abuse and neglect (Kleinman et al., 2023). Moreover, the evidence shows that parents are more likely to implement therapeutic interventions when these are embedded in other daily activities and routines (McConnell et al., 2015).</w:t>
      </w:r>
    </w:p>
    <w:p w14:paraId="1EC6220C" w14:textId="6BBAE6C6" w:rsidR="00A17779" w:rsidRPr="00276B84" w:rsidRDefault="00A17779" w:rsidP="003B0B17">
      <w:pPr>
        <w:pStyle w:val="ListParagraph"/>
        <w:numPr>
          <w:ilvl w:val="0"/>
          <w:numId w:val="54"/>
        </w:numPr>
        <w:ind w:left="714" w:hanging="357"/>
        <w:contextualSpacing w:val="0"/>
        <w:rPr>
          <w:lang w:val="en-US"/>
        </w:rPr>
      </w:pPr>
      <w:r w:rsidRPr="00276B84">
        <w:rPr>
          <w:b/>
          <w:bCs/>
          <w:i/>
          <w:iCs/>
          <w:lang w:val="en-US"/>
        </w:rPr>
        <w:t>Collaborative teamwork.</w:t>
      </w:r>
      <w:r w:rsidRPr="00276B84">
        <w:rPr>
          <w:lang w:val="en-US"/>
        </w:rPr>
        <w:t xml:space="preserve"> Another key principle is that service delivery should involve collaborative teamwork among professionals as well as with parents. Transdisciplinary teamwork and keyworker models in which a primary service provider is backed by an interdisciplinary team are seen as best practice by most experts (Alexander &amp; Forster, 2012; Baldwin et al., 2013; Boyer &amp; Thompson, 2014; Division for Early childhood, 2014; Frankel et al., 2017; Hauser-Cram et al. 2017; Jackman et al., 2022; King et al., 2009; Luscombe, 2009; McWilliam, 2011; Potvin et al., 2018; Rausch et al., 2021; Raver &amp; Childress, 2015; Shelden &amp; Rush, 2022) and by parents (Novak, 2011). The need to integrate and coordinate services is one of the core principles that </w:t>
      </w:r>
      <w:r w:rsidRPr="00276B84">
        <w:rPr>
          <w:lang w:val="en-US"/>
        </w:rPr>
        <w:lastRenderedPageBreak/>
        <w:t xml:space="preserve">serve as the foundation for guiding practice in programs for young children with disabilities (Hauser-Cram et al., 2017). </w:t>
      </w:r>
    </w:p>
    <w:p w14:paraId="3214E90C" w14:textId="77777777" w:rsidR="00A17779" w:rsidRPr="00276B84" w:rsidRDefault="00A17779" w:rsidP="00276B84">
      <w:pPr>
        <w:pStyle w:val="ListParagraph"/>
        <w:ind w:left="714"/>
        <w:contextualSpacing w:val="0"/>
        <w:rPr>
          <w:lang w:val="en-US"/>
        </w:rPr>
      </w:pPr>
      <w:r w:rsidRPr="00276B84">
        <w:rPr>
          <w:lang w:val="en-US"/>
        </w:rPr>
        <w:t xml:space="preserve">Families of children with developmental delays or disabilities often need to make use of a variety of professional services, and this can be an added stress for mothers in particular. Providing a single point of contact has been found to improve families' abilities to navigate, organise and understand the service system, and also increase parental engagement (Myers et al., 2023). The psychological wellbeing of mothers is greatest when they have continuity of care from professionals, and steadily worsens as the number of professionals they were dealing with increased (Hodgetts et al., 2017) </w:t>
      </w:r>
    </w:p>
    <w:p w14:paraId="673D3E29" w14:textId="77777777" w:rsidR="00A17779" w:rsidRPr="00276B84" w:rsidRDefault="00A17779" w:rsidP="00276B84">
      <w:pPr>
        <w:pStyle w:val="ListParagraph"/>
        <w:ind w:left="714"/>
        <w:contextualSpacing w:val="0"/>
        <w:rPr>
          <w:lang w:val="en-US"/>
        </w:rPr>
      </w:pPr>
      <w:r w:rsidRPr="00276B84">
        <w:rPr>
          <w:lang w:val="en-US"/>
        </w:rPr>
        <w:t>A review of the research literature on the transdisciplinary approach in ECI services by King and colleagues (2009) concluded that, although the managerial and team resources required to successfully implement this model are high, the potential payoffs for children, families, and therapists’ development of expertise are considerable.</w:t>
      </w:r>
    </w:p>
    <w:p w14:paraId="33868BB4" w14:textId="725212C9" w:rsidR="00A17779" w:rsidRPr="00276B84" w:rsidRDefault="00A17779" w:rsidP="003B0B17">
      <w:pPr>
        <w:pStyle w:val="ListParagraph"/>
        <w:numPr>
          <w:ilvl w:val="0"/>
          <w:numId w:val="54"/>
        </w:numPr>
        <w:ind w:left="714" w:hanging="357"/>
        <w:contextualSpacing w:val="0"/>
        <w:rPr>
          <w:lang w:val="en-US"/>
        </w:rPr>
      </w:pPr>
      <w:r w:rsidRPr="00276B84">
        <w:rPr>
          <w:b/>
          <w:bCs/>
          <w:i/>
          <w:iCs/>
          <w:lang w:val="en-US"/>
        </w:rPr>
        <w:t>Evidence-informed</w:t>
      </w:r>
      <w:r w:rsidRPr="00276B84">
        <w:rPr>
          <w:lang w:val="en-US"/>
        </w:rPr>
        <w:t>. A key principle is that ECI services should be evidence-informed (ECIA, 2016; Whipple et al., 2014). This involves practitioners having appropriate expertise and qualifications and using intervention strategies that are grounded in research and sound clinical reasoning. The research base supporting ECI service delivery has grown considerably, with the publication of numerous systematic reviews of evidence regarding specific intervention strategies. However, the extent to which this new knowledge is being incorporated into practice is unclear. For instance, reviews suggest that many of the interventions used by paediatric therapists working with children with cerebral palsy in Australia do not typically seek research evidence when selecting interventions (Kerr et al., 2015) or use interventions that lack evidence of efficacy (Novak et al., 2013).</w:t>
      </w:r>
    </w:p>
    <w:p w14:paraId="4BAA45F1" w14:textId="51A799F0" w:rsidR="00A17779" w:rsidRPr="00276B84" w:rsidRDefault="00A17779" w:rsidP="003B0B17">
      <w:pPr>
        <w:pStyle w:val="ListParagraph"/>
        <w:numPr>
          <w:ilvl w:val="0"/>
          <w:numId w:val="54"/>
        </w:numPr>
        <w:ind w:left="714" w:hanging="357"/>
        <w:contextualSpacing w:val="0"/>
        <w:rPr>
          <w:lang w:val="en-US"/>
        </w:rPr>
      </w:pPr>
      <w:r w:rsidRPr="00276B84">
        <w:rPr>
          <w:b/>
          <w:bCs/>
          <w:i/>
          <w:iCs/>
          <w:lang w:val="en-US"/>
        </w:rPr>
        <w:t>Outcomes-based approach</w:t>
      </w:r>
      <w:r w:rsidRPr="00276B84">
        <w:rPr>
          <w:lang w:val="en-US"/>
        </w:rPr>
        <w:t>. Basing services on outcomes and specifying these in service plans remains a central feature of ECI practice. In keeping with the whole of family approach, these plans specify family outcomes as well as child outcomes (Bailey et al., 2011; Division for Early Childhood, 2014).</w:t>
      </w:r>
    </w:p>
    <w:p w14:paraId="592DD621" w14:textId="5E19923D" w:rsidR="00A17779" w:rsidRPr="00276B84" w:rsidRDefault="00A17779" w:rsidP="00276B84">
      <w:pPr>
        <w:pStyle w:val="ListParagraph"/>
        <w:ind w:left="714"/>
        <w:contextualSpacing w:val="0"/>
        <w:rPr>
          <w:lang w:val="en-US"/>
        </w:rPr>
      </w:pPr>
      <w:r w:rsidRPr="00276B84">
        <w:rPr>
          <w:lang w:val="en-US"/>
        </w:rPr>
        <w:t>In framing goals for children, the research and practice literature continues to emphasise the importance of focusing on building children’s functional skills (Darrah et al., 2011; Law &amp; Darrah, 2014; Law et al., 2011; McWilliam, 2011; Paithankar &amp; Jaywant, 2018; Rosenbaum &amp; Gorter, 2012). This is particularly so in the case of children with physical impairments. As reported by Law and Darrah (2014), over the past 15 years, functional, activity-focused therapy approaches based on new models have been developed and evaluated. These emerging therapy approaches have been labelled as context-focused therapy, ecological task analysis, functional therapy, goal-directed functional therapy, activity-focused and goal-directed therapy, or task-oriented therapy. What these approaches have in common is a focus on family-identified goals, analysis of factors within the child, task and environment that are influencing performance, and performance of functional tasks and activities (Law &amp; Darrah, 2014).</w:t>
      </w:r>
    </w:p>
    <w:p w14:paraId="4454F7C5" w14:textId="4E7C8D80" w:rsidR="00A17779" w:rsidRPr="00276B84" w:rsidRDefault="00A17779" w:rsidP="00276B84">
      <w:pPr>
        <w:pStyle w:val="ListParagraph"/>
        <w:ind w:left="714"/>
        <w:contextualSpacing w:val="0"/>
        <w:rPr>
          <w:lang w:val="en-US"/>
        </w:rPr>
      </w:pPr>
      <w:r w:rsidRPr="00276B84">
        <w:rPr>
          <w:lang w:val="en-US"/>
        </w:rPr>
        <w:lastRenderedPageBreak/>
        <w:t>McWilliam (2011) points out that the child’s acquisition of a skill is not an end in itself, but a means to ensuring participation in home, early childhood and community settings. Outcome statements should specify the increase in participation that will result from gaining the skill. Otherwise, they might teach the child the skill without applying it to a functional context, rendering the skill useless.</w:t>
      </w:r>
    </w:p>
    <w:p w14:paraId="7CA7F5BA" w14:textId="77777777" w:rsidR="00311529" w:rsidRPr="00311529" w:rsidRDefault="00311529" w:rsidP="00311529">
      <w:pPr>
        <w:pStyle w:val="Heading2"/>
      </w:pPr>
      <w:bookmarkStart w:id="51" w:name="_Toc177730836"/>
      <w:r w:rsidRPr="00311529">
        <w:t>ECI practices</w:t>
      </w:r>
      <w:bookmarkEnd w:id="51"/>
    </w:p>
    <w:p w14:paraId="528AD096" w14:textId="77777777" w:rsidR="00311529" w:rsidRPr="00311529" w:rsidRDefault="00311529" w:rsidP="00311529">
      <w:pPr>
        <w:rPr>
          <w:lang w:val="en-US"/>
        </w:rPr>
      </w:pPr>
      <w:r w:rsidRPr="00311529">
        <w:rPr>
          <w:lang w:val="en-US"/>
        </w:rPr>
        <w:t xml:space="preserve">As noted earlier, practices are the specific actions or practices that put these principles into effect. In this section, we look at specific practices that operationalise the principles identified in the previous section. This is not an exhaustive list but is indicative of the kind of practices that should be included in a best practice framework. </w:t>
      </w:r>
    </w:p>
    <w:p w14:paraId="3270F99D" w14:textId="77777777" w:rsidR="00311529" w:rsidRPr="00311529" w:rsidRDefault="00311529" w:rsidP="00311529">
      <w:pPr>
        <w:rPr>
          <w:lang w:val="en-US"/>
        </w:rPr>
      </w:pPr>
      <w:r w:rsidRPr="00311529">
        <w:rPr>
          <w:lang w:val="en-US"/>
        </w:rPr>
        <w:t>Practices are based on three sources of evidence: evidence-based research, practitioner practice knowledge and wisdom, and client values, priorities and circumstances (Moore, 2016; CCCH, 2017).</w:t>
      </w:r>
    </w:p>
    <w:p w14:paraId="4BE8DA46" w14:textId="77777777" w:rsidR="00311529" w:rsidRPr="00BB13EF" w:rsidRDefault="00311529" w:rsidP="00BB13EF">
      <w:pPr>
        <w:rPr>
          <w:b/>
          <w:bCs/>
          <w:i/>
          <w:iCs/>
          <w:lang w:val="en-US"/>
        </w:rPr>
      </w:pPr>
      <w:r w:rsidRPr="00BB13EF">
        <w:rPr>
          <w:b/>
          <w:bCs/>
          <w:i/>
          <w:iCs/>
          <w:lang w:val="en-US"/>
        </w:rPr>
        <w:t xml:space="preserve">Principle: Family-centred </w:t>
      </w:r>
    </w:p>
    <w:p w14:paraId="7934F22C" w14:textId="77777777" w:rsidR="00311529" w:rsidRPr="00BB13EF" w:rsidRDefault="00311529" w:rsidP="00BB13EF">
      <w:pPr>
        <w:rPr>
          <w:lang w:val="en-US"/>
        </w:rPr>
      </w:pPr>
      <w:r w:rsidRPr="00BB13EF">
        <w:rPr>
          <w:b/>
          <w:bCs/>
          <w:i/>
          <w:iCs/>
          <w:lang w:val="en-US"/>
        </w:rPr>
        <w:t>Related practices</w:t>
      </w:r>
      <w:r w:rsidRPr="00BB13EF">
        <w:rPr>
          <w:lang w:val="en-US"/>
        </w:rPr>
        <w:t xml:space="preserve">. In childhood disability research, the involvement of families has been repeatedly demonstrated to be essential for optimal outcomes for all participants. </w:t>
      </w:r>
    </w:p>
    <w:p w14:paraId="002691DA" w14:textId="0BA04B85" w:rsidR="00311529" w:rsidRPr="00BB13EF" w:rsidRDefault="00311529" w:rsidP="00BB13EF">
      <w:pPr>
        <w:rPr>
          <w:lang w:val="en-US"/>
        </w:rPr>
      </w:pPr>
      <w:r w:rsidRPr="00BB13EF">
        <w:rPr>
          <w:lang w:val="en-US"/>
        </w:rPr>
        <w:t>Parental choice is one of the key principles under-pinning being family</w:t>
      </w:r>
      <w:r w:rsidR="004C44AA">
        <w:rPr>
          <w:lang w:val="en-US"/>
        </w:rPr>
        <w:t xml:space="preserve"> </w:t>
      </w:r>
      <w:r w:rsidRPr="00BB13EF">
        <w:rPr>
          <w:lang w:val="en-US"/>
        </w:rPr>
        <w:t xml:space="preserve">centred. ECI services should be based on the goals parents wish to focus on and the strategies they wish to use. In helping parents make choices of goals and strategies, practitioners need to use an evidence-informed decision-making process (Moore, 2016; CCCH, 2017) that blends three sources of evidence: evidence-based research, practitioner practice knowledge and wisdom, and client values, priorities and circumstances. </w:t>
      </w:r>
    </w:p>
    <w:p w14:paraId="4D7CFF78" w14:textId="77777777" w:rsidR="00311529" w:rsidRPr="00BB13EF" w:rsidRDefault="00311529" w:rsidP="00BB13EF">
      <w:pPr>
        <w:rPr>
          <w:rFonts w:cs="Arial"/>
          <w:lang w:val="en-US"/>
        </w:rPr>
      </w:pPr>
      <w:r w:rsidRPr="00BB13EF">
        <w:rPr>
          <w:rFonts w:cs="Arial"/>
          <w:lang w:val="en-US"/>
        </w:rPr>
        <w:t xml:space="preserve">In choosing programs for local communities and services, the National Implementation Research Network (NIRM) in the US has developed the Hexagon Tool (Metz &amp; Louison, 2018) for guiding the selection and assessing the fit and feasibility of potential programs and practices for use. It includes three program indicators and three implementing site indicators. The program indicators assess the extent to which new or existing programs or practices that will be implemented demonstrate evidence, supports for implementation, and usability across a range of contexts. The implementing site indicators assess the extent to which a new or existing program or practice aligns with the implementing site along the following domains: population need, fit and capacity. </w:t>
      </w:r>
    </w:p>
    <w:p w14:paraId="2BD7590F" w14:textId="77777777" w:rsidR="00311529" w:rsidRPr="00BB13EF" w:rsidRDefault="00311529" w:rsidP="00BB13EF">
      <w:pPr>
        <w:rPr>
          <w:rFonts w:cs="Arial"/>
          <w:lang w:val="en-US"/>
        </w:rPr>
      </w:pPr>
      <w:r w:rsidRPr="00BB13EF">
        <w:rPr>
          <w:rFonts w:cs="Arial"/>
          <w:lang w:val="en-US"/>
        </w:rPr>
        <w:t>Building partnerships with parents is another key principle underpinning being family-centred (Fialka et al., 2012; Keyser, 2006; Keilty, 2016; Kielty et al., 2017; King &amp; Chiarello, 2014).</w:t>
      </w:r>
    </w:p>
    <w:p w14:paraId="1E80ED2A" w14:textId="77777777" w:rsidR="00311529" w:rsidRPr="00BB13EF" w:rsidRDefault="00311529" w:rsidP="00BB13EF">
      <w:pPr>
        <w:rPr>
          <w:lang w:val="en-US"/>
        </w:rPr>
      </w:pPr>
      <w:r w:rsidRPr="00BB13EF">
        <w:rPr>
          <w:rFonts w:cs="Arial"/>
          <w:lang w:val="en-US"/>
        </w:rPr>
        <w:t>Despite the strong consensus about the importance of being family-centred in ECI services, it has been challenging to operationalise (Bailey et al., 2011; Epley, 2010), and to implement consistently (Bruder, 2000; Darrah et al., 2012; Dempsey &amp; Keen, 2017; Dunst &amp; Espe-Sherwindt, 2016; Dunst et al., 2014; Epley et al., 2010; Fordham et al., 2012; García</w:t>
      </w:r>
      <w:r w:rsidRPr="00BB13EF">
        <w:rPr>
          <w:rFonts w:ascii="Cambria Math" w:hAnsi="Cambria Math" w:cs="Cambria Math"/>
          <w:lang w:val="en-US"/>
        </w:rPr>
        <w:t>‐</w:t>
      </w:r>
      <w:r w:rsidRPr="00BB13EF">
        <w:rPr>
          <w:rFonts w:cs="Arial"/>
          <w:lang w:val="en-US"/>
        </w:rPr>
        <w:t>Ventura et al., 2021; Hiebert-Murphy et al., 2017; Johnston et al., 2017; Lietz &amp; Geiger, 2017; Wright et al., 2010; Ziviani et al., 2011). Factors that may hinder or facilitate the delivery of truly family-centred services</w:t>
      </w:r>
      <w:r w:rsidRPr="00BB13EF">
        <w:rPr>
          <w:lang w:val="en-US"/>
        </w:rPr>
        <w:t xml:space="preserve"> </w:t>
      </w:r>
      <w:r w:rsidRPr="00BB13EF">
        <w:rPr>
          <w:lang w:val="en-US"/>
        </w:rPr>
        <w:lastRenderedPageBreak/>
        <w:t xml:space="preserve">include family/professional characteristics, lack of appropriate training, lack of managerial support, family/service resources, and parent attitudes, engagement and agency (McCarthy &amp; Guerin, 2022).  Although being family-centred encourages negotiation and collaborative goal setting, parents may not always be ready to take on highly collaborative roles (Forsingale et al., 2013), and there is a danger that too much will be expected of them (Cameron, 2018; Lord et al., 2018; McConnell et al., 2015). Being the parent of a child with a disability comprises multiple roles, and some parents express the desire to ‘just be parents’ and separate themselves from the duties of the professionals responsible for supporting their children (Cameron, 2018). This is a question of balance: an over-reliance on parents’ participation has the potential to undercut a sense of normalcy in families’ lives and emphasise the child’s disability (Cameron, 2018), and add to the stress on family resources (McConnell et al, 2015). </w:t>
      </w:r>
    </w:p>
    <w:p w14:paraId="1F1A5BE7" w14:textId="77777777" w:rsidR="00311529" w:rsidRPr="00BB13EF" w:rsidRDefault="00311529" w:rsidP="00BB13EF">
      <w:pPr>
        <w:rPr>
          <w:lang w:val="en-US"/>
        </w:rPr>
      </w:pPr>
      <w:r w:rsidRPr="00BB13EF">
        <w:rPr>
          <w:lang w:val="en-US"/>
        </w:rPr>
        <w:t>Several factors need to be in place for parent-delivered interventions to be successful. These include: developing positive, trusting and reciprocal relationships between the parent, child, and health care professionals; parents having strong support networks including support for their own needs to feel capable to deliver the intervention; and all involved parties need to see the intervention as a priority (Lord et al., 2018). Individual practitioners more likely to be consistently family-centred when they work within a whole-of-organisation framework that supports the use of evidence-based practices (Dempsey &amp; Keen, 2017; Summers et al., 2005).</w:t>
      </w:r>
    </w:p>
    <w:p w14:paraId="76812C6D" w14:textId="77777777" w:rsidR="00311529" w:rsidRPr="00BB13EF" w:rsidRDefault="00311529" w:rsidP="00BB13EF">
      <w:pPr>
        <w:rPr>
          <w:lang w:val="en-US"/>
        </w:rPr>
      </w:pPr>
      <w:r w:rsidRPr="00BB13EF">
        <w:rPr>
          <w:lang w:val="en-US"/>
        </w:rPr>
        <w:t>A particular challenge for parents is role negotiation, that is, determining the type and level of participation in their child's care and intervention, and the roles they wish to assume in caring for their child. They may be very unsure of their readiness and ability to be the kind of partner ECI professionals are hoping for. The development of effective partnerships with professionals depends upon the parents’ readiness to engage, their understanding of systems and services, and the establishment of good rapport with the professional (Hurtubise &amp; Carpenter, 2011) as well as on their personal circumstances.</w:t>
      </w:r>
    </w:p>
    <w:p w14:paraId="78834911" w14:textId="7A5A3341" w:rsidR="00BB13EF" w:rsidRPr="00BB13EF" w:rsidRDefault="00311529" w:rsidP="00311529">
      <w:pPr>
        <w:rPr>
          <w:b/>
          <w:bCs/>
          <w:i/>
          <w:iCs/>
          <w:lang w:val="en-US"/>
        </w:rPr>
      </w:pPr>
      <w:r w:rsidRPr="00BB13EF">
        <w:rPr>
          <w:lang w:val="en-US"/>
        </w:rPr>
        <w:t xml:space="preserve">Several programs have been developed to help parents become effective partners with professionals. Programs being used in Australia include the ENVISAGE (ENabling VISions And Growing Expectations)-Families program and the Now and Next program. ENVISAGE-Families is a group program consists of five online workshops for parents of children with neurodevelopmental disorders that aim to introduce parents to strengths-based perspectives on health and development (Miller et al., 2022a, 2022b; Pozniak et al., 2022; Rosembaum et al., 2024).  Now and Next is a peer-led group program that helps parents and carers develop skills to achieve positive outcomes for their child, family and themselves (Heyworth et al., 2017; Mahmic et al., 2018; Moore et al., 2018). It is family-centred, based on strengths, and takes account of how adults like to learn. </w:t>
      </w:r>
    </w:p>
    <w:p w14:paraId="20D94029" w14:textId="77777777" w:rsidR="00BB13EF" w:rsidRPr="00BB13EF" w:rsidRDefault="00311529" w:rsidP="00BB13EF">
      <w:pPr>
        <w:rPr>
          <w:lang w:val="en-US"/>
        </w:rPr>
      </w:pPr>
      <w:r w:rsidRPr="00BB13EF">
        <w:rPr>
          <w:b/>
          <w:bCs/>
          <w:i/>
          <w:iCs/>
          <w:lang w:val="en-US"/>
        </w:rPr>
        <w:t>Principle: Capacity-building and strengths-based approaches</w:t>
      </w:r>
    </w:p>
    <w:p w14:paraId="1EF0EC9F" w14:textId="77777777" w:rsidR="00BB13EF" w:rsidRPr="00BB13EF" w:rsidRDefault="00311529" w:rsidP="00BB13EF">
      <w:pPr>
        <w:rPr>
          <w:lang w:val="en-US"/>
        </w:rPr>
      </w:pPr>
      <w:r w:rsidRPr="00BB13EF">
        <w:rPr>
          <w:b/>
          <w:bCs/>
          <w:i/>
          <w:iCs/>
          <w:lang w:val="en-US"/>
        </w:rPr>
        <w:t>Related practices.</w:t>
      </w:r>
      <w:r w:rsidRPr="00BB13EF">
        <w:rPr>
          <w:lang w:val="en-US"/>
        </w:rPr>
        <w:t xml:space="preserve"> One of the most effective ways of building capacity – in anyone – is the use of coaching strategies. Coaching has strong evidence that it is an effective strategy to help caregivers acquire the skills to promote children’s functioning (Kemp &amp; Turnbull, 2014; McWilliam, 2015, 2016; Meadan et al., 2018; Novak, 2014; Rush &amp; Shelden, 2020; Simpson, 2015; Snyder et al., 2015; Vismara &amp; Rogers, 2018). Although reviews have found inconsistencies in how coaching is defined (Kemp &amp; Turnbull, 2014; Schwellnus et al., 2015), evidence of the effectiveness of this </w:t>
      </w:r>
      <w:r w:rsidRPr="00BB13EF">
        <w:rPr>
          <w:lang w:val="en-US"/>
        </w:rPr>
        <w:lastRenderedPageBreak/>
        <w:t xml:space="preserve">approach is accumulating (Novak, 2014; Rush &amp; Shelden, 2020; Simpson, 2015). A survey of ECI practitioners’ experiences of using coaching strategies (Meadan et al., 2018) found that they saw coaching as offering several benefits to both caregivers and children, including engaging and empowering caregivers and increased opportunities for children to practice and master skills. </w:t>
      </w:r>
    </w:p>
    <w:p w14:paraId="5FA2FC4F" w14:textId="77777777" w:rsidR="00BB13EF" w:rsidRPr="00BB13EF" w:rsidRDefault="00311529" w:rsidP="00BB13EF">
      <w:pPr>
        <w:rPr>
          <w:lang w:val="en-US"/>
        </w:rPr>
      </w:pPr>
      <w:r w:rsidRPr="00BB13EF">
        <w:rPr>
          <w:lang w:val="en-US"/>
        </w:rPr>
        <w:t xml:space="preserve">Guidance for practitioners on how to implement coaching practices are available in the form of handbooks for ECI practitioners (Rush &amp; Shelden, 2020; Snyder et al., 2022) and coaching strategies for use with families of children with autism (Vismara &amp; Rogers, 2018). Several studies seeking to understand the coaching process better have also been published (Jayaraman et al., 2015; Kemp &amp; Turnbull, 2014; Douglas et al., 2019). </w:t>
      </w:r>
    </w:p>
    <w:p w14:paraId="19A72C95" w14:textId="3EBFD033" w:rsidR="00311529" w:rsidRPr="00BB13EF" w:rsidRDefault="00311529" w:rsidP="00BB13EF">
      <w:pPr>
        <w:rPr>
          <w:lang w:val="en-US"/>
        </w:rPr>
      </w:pPr>
      <w:r w:rsidRPr="00BB13EF">
        <w:rPr>
          <w:lang w:val="en-US"/>
        </w:rPr>
        <w:t>Another key principle is the use of strength-based approaches. These involve focusing on child and family strengths – what they can do and what they can build on – rather than on deficits – what they cannot do or what they lack (Kielty et al., 2017). Learning how to look for and highlight strengths is a discipline that ECI providers need to practise intentionally so that it becomes a constant feature of their work with children and families. Guidance on the use of strength-based approaches is available (e.g., Kielty et al., 2017), and a case example of the application of the approach by Mahmic and colleagues (2021).</w:t>
      </w:r>
    </w:p>
    <w:p w14:paraId="0FCFEA06" w14:textId="1DA3E985" w:rsidR="00311529" w:rsidRPr="00BB13EF" w:rsidRDefault="00311529" w:rsidP="00311529">
      <w:pPr>
        <w:rPr>
          <w:b/>
          <w:bCs/>
          <w:i/>
          <w:iCs/>
          <w:lang w:val="en-US"/>
        </w:rPr>
      </w:pPr>
      <w:r w:rsidRPr="00BB13EF">
        <w:rPr>
          <w:b/>
          <w:bCs/>
          <w:i/>
          <w:iCs/>
          <w:lang w:val="en-US"/>
        </w:rPr>
        <w:t>Principle: Culturally responsive and culturally safe approaches</w:t>
      </w:r>
    </w:p>
    <w:p w14:paraId="3651A579" w14:textId="77777777" w:rsidR="00311529" w:rsidRPr="00311529" w:rsidRDefault="00311529" w:rsidP="00311529">
      <w:pPr>
        <w:rPr>
          <w:lang w:val="en-US"/>
        </w:rPr>
      </w:pPr>
      <w:r w:rsidRPr="00BB13EF">
        <w:rPr>
          <w:b/>
          <w:bCs/>
          <w:i/>
          <w:iCs/>
          <w:lang w:val="en-US"/>
        </w:rPr>
        <w:t>Related practices.</w:t>
      </w:r>
      <w:r w:rsidRPr="00311529">
        <w:rPr>
          <w:lang w:val="en-US"/>
        </w:rPr>
        <w:t xml:space="preserve"> Developing cultural competence is a process, not an endpoint (Hanson &amp; Lynch, 2010). It is not a set of skills that can be checked off a list and considered mastered but requires lifelong attention. Although cross-cultural competence may never be fully achievable, there are a number of steps that professional can take to increase and enhance their skills.</w:t>
      </w:r>
    </w:p>
    <w:p w14:paraId="7545DCC2" w14:textId="77777777" w:rsidR="00311529" w:rsidRPr="00311529" w:rsidRDefault="00311529" w:rsidP="00311529">
      <w:pPr>
        <w:rPr>
          <w:lang w:val="en-US"/>
        </w:rPr>
      </w:pPr>
      <w:r w:rsidRPr="00311529">
        <w:rPr>
          <w:lang w:val="en-US"/>
        </w:rPr>
        <w:t>The concept of cultural safety is derived from Indigenous thought leadership and reflects the experiences of Aboriginal and Torres Strait Islander peoples. It goes beyond the individual practitioner to encompass the impact of service and policy systems. The outcome is judged by whether Aboriginal and Torres Strait Islander peoples feel culturally safe rather than on non-Indigenous people judging if they are culturally competent. Embedding cultural safety at individual and institutional levels in practice and policy is aimed at achieving justice and equity for Aboriginal and Torres Strait Islander peoples across human services and preferably in all life contexts (Mohammed et al, 2024).</w:t>
      </w:r>
    </w:p>
    <w:p w14:paraId="1432FB76" w14:textId="77777777" w:rsidR="00311529" w:rsidRPr="00311529" w:rsidRDefault="00311529" w:rsidP="00311529">
      <w:pPr>
        <w:rPr>
          <w:lang w:val="en-US"/>
        </w:rPr>
      </w:pPr>
      <w:r w:rsidRPr="00311529">
        <w:rPr>
          <w:lang w:val="en-US"/>
        </w:rPr>
        <w:t>Related practices include authentic engagement with the cultural community (not just the family), using trauma-informed knowledge and skills in engagement, building staff cultural competency (which has training and employment practice implications); engaging actively with families in context; providing support early; shared decision making; shared resources; connecting children and families to their culture, Country and language; and using strength-based assessments and practices (see Part Two, Section 7).</w:t>
      </w:r>
    </w:p>
    <w:p w14:paraId="15BCAC49" w14:textId="3AC42F22" w:rsidR="00311529" w:rsidRPr="00956D46" w:rsidRDefault="00311529" w:rsidP="00311529">
      <w:pPr>
        <w:rPr>
          <w:b/>
          <w:bCs/>
          <w:i/>
          <w:iCs/>
          <w:lang w:val="en-US"/>
        </w:rPr>
      </w:pPr>
      <w:r w:rsidRPr="00956D46">
        <w:rPr>
          <w:b/>
          <w:bCs/>
          <w:i/>
          <w:iCs/>
          <w:lang w:val="en-US"/>
        </w:rPr>
        <w:t>Principle: Inclusive and participatory approaches</w:t>
      </w:r>
    </w:p>
    <w:p w14:paraId="022A26E5" w14:textId="77777777" w:rsidR="00311529" w:rsidRPr="00311529" w:rsidRDefault="00311529" w:rsidP="00311529">
      <w:pPr>
        <w:rPr>
          <w:lang w:val="en-US"/>
        </w:rPr>
      </w:pPr>
      <w:r w:rsidRPr="00956D46">
        <w:rPr>
          <w:b/>
          <w:bCs/>
          <w:i/>
          <w:iCs/>
          <w:lang w:val="en-US"/>
        </w:rPr>
        <w:t>Related practices.</w:t>
      </w:r>
      <w:r w:rsidRPr="00311529">
        <w:rPr>
          <w:lang w:val="en-US"/>
        </w:rPr>
        <w:t xml:space="preserve"> A key practice for promoting inclusion and participation in preschool programs involves the use of systematic tiered strategies for supporting children who are experiencing problems participating in and benefitting from the early childhood program. These strategies are known as Response to Intervention (Buysse &amp; Peisner-Feinberg, 2013; Hemmeter et al, 2016a) and, more recently, as </w:t>
      </w:r>
      <w:r w:rsidRPr="00311529">
        <w:rPr>
          <w:lang w:val="en-US"/>
        </w:rPr>
        <w:lastRenderedPageBreak/>
        <w:t>multi-tiered support systems (Carta, 2019; Carta &amp; Young, 2019; Carta, 2019; Division for Early Childhood, 2021; Hebbeler &amp; Spiker, 2016; Snyder et al., 2017). Tiered approaches are those that identify increasing levels of support where, for example, universal supports are tier 1, targeted supports are tier 2, and specialised and/or intensive supports are tier 3. A multi-tiered system of support can have more than three levels. There is evidence for the effectiveness of Response to Intervention applications, such as the Pyramid Model for Promoting Social-Emotional Competence (Hemmeter et al., 2016b, 2021; Swalwell &amp; McLean, 2021), although evidence for multi-tiered support systems is limited at this stage (Shepley &amp; Grisham-Brown, 2019).</w:t>
      </w:r>
    </w:p>
    <w:p w14:paraId="1E15FD09" w14:textId="49A98F35" w:rsidR="00311529" w:rsidRPr="00311529" w:rsidRDefault="00311529" w:rsidP="00311529">
      <w:pPr>
        <w:rPr>
          <w:lang w:val="en-US"/>
        </w:rPr>
      </w:pPr>
      <w:r w:rsidRPr="00311529">
        <w:rPr>
          <w:lang w:val="en-US"/>
        </w:rPr>
        <w:t xml:space="preserve">These tiered models of support are blurring the distinction between regular and special education (Hebbeler &amp; Spiker, 2016). As Guralnick and Bruder (2016) observe, this change involves a move </w:t>
      </w:r>
    </w:p>
    <w:p w14:paraId="2437E521" w14:textId="6DBED4C9" w:rsidR="00311529" w:rsidRPr="00311529" w:rsidRDefault="00311529" w:rsidP="00BB13EF">
      <w:pPr>
        <w:ind w:left="720"/>
        <w:rPr>
          <w:lang w:val="en-US"/>
        </w:rPr>
      </w:pPr>
      <w:r w:rsidRPr="00311529">
        <w:rPr>
          <w:lang w:val="en-US"/>
        </w:rPr>
        <w:t>…to programs that are less focused on one population versus another (e.g., disability vs. non-disability) and, instead, offer a continuum of service intensity to meet the individual needs and developmental status of each child. This EC service model requires a shift in paradigm from the historical concept of inclusion focused on the placement of children with disabilities into EC programs and classrooms to the implementation of comprehensive EC programs and classrooms that promote the goals of access, accommodation, developmental progress, and social integration for all children, regardless of disability status.</w:t>
      </w:r>
    </w:p>
    <w:p w14:paraId="1F63949C" w14:textId="12E427E5" w:rsidR="00311529" w:rsidRPr="00311529" w:rsidRDefault="00311529" w:rsidP="00311529">
      <w:pPr>
        <w:rPr>
          <w:lang w:val="en-US"/>
        </w:rPr>
      </w:pPr>
      <w:r w:rsidRPr="00311529">
        <w:rPr>
          <w:lang w:val="en-US"/>
        </w:rPr>
        <w:t>If this is the path we are to follow in Australia, it will mean that ECI inclusion support practices will need to become much more aligned with the national Early Years Learning Framework (EYLF) (COAG, 2009), as noted by Fordham and Johnston (2014). The EYLF is based on the belief that children’s lives are characterised by belonging, being and becoming:</w:t>
      </w:r>
    </w:p>
    <w:p w14:paraId="6A33DD78" w14:textId="41423B6C" w:rsidR="00311529" w:rsidRPr="00311529" w:rsidRDefault="00311529" w:rsidP="00311529">
      <w:pPr>
        <w:rPr>
          <w:lang w:val="en-US"/>
        </w:rPr>
      </w:pPr>
      <w:r w:rsidRPr="00311529">
        <w:rPr>
          <w:lang w:val="en-US"/>
        </w:rPr>
        <w:t>From before birth children are connected to family, community, culture and place. Their earliest development and learning takes place through these relationships, particularly within families, who are children’s first and most influential educators. As children participate in everyday life, they develop interests and construct their own identities and understandings of the world (COAG, 2009).</w:t>
      </w:r>
    </w:p>
    <w:p w14:paraId="1EF1D363" w14:textId="72390127" w:rsidR="00311529" w:rsidRPr="00311529" w:rsidRDefault="00311529" w:rsidP="00311529">
      <w:pPr>
        <w:rPr>
          <w:lang w:val="en-US"/>
        </w:rPr>
      </w:pPr>
      <w:r w:rsidRPr="00311529">
        <w:rPr>
          <w:lang w:val="en-US"/>
        </w:rPr>
        <w:t xml:space="preserve">These principles apply to all children, including those with developmental delays and disabilities. The desirability of moving to a universal systems approach based on universal design for learning principles was foreshadowed in an earlier report (CCCH, 2011). </w:t>
      </w:r>
    </w:p>
    <w:p w14:paraId="3E473D54" w14:textId="53192D44" w:rsidR="00311529" w:rsidRPr="00311529" w:rsidRDefault="00311529" w:rsidP="00311529">
      <w:pPr>
        <w:rPr>
          <w:lang w:val="en-US"/>
        </w:rPr>
      </w:pPr>
      <w:r w:rsidRPr="00311529">
        <w:rPr>
          <w:lang w:val="en-US"/>
        </w:rPr>
        <w:t>Reliable tools to measure the quality of inclusive practices have been developed, such as the Inclusive Classroom Profile (Soukakou, 2012; Soukakou et al., 2012, 2015, 2018). Recommended practices and innovative strategies in preschool inclusion have been described (Buysse, 2011; Cate et al., 2017; Hemmeter &amp; Grisham-Brown, 2017; Marshall et al., 2017). In Australia, ECIA (NSW) has published resources help ECI practitioners promote and support inclusion in their work with families</w:t>
      </w:r>
      <w:r w:rsidR="00633F8E">
        <w:rPr>
          <w:lang w:val="en-US"/>
        </w:rPr>
        <w:t>.</w:t>
      </w:r>
      <w:r w:rsidR="00633F8E">
        <w:rPr>
          <w:rStyle w:val="FootnoteReference"/>
          <w:lang w:val="en-US"/>
        </w:rPr>
        <w:footnoteReference w:id="37"/>
      </w:r>
      <w:r w:rsidRPr="00311529">
        <w:rPr>
          <w:lang w:val="en-US"/>
        </w:rPr>
        <w:t xml:space="preserve"> In these resources, inclusion relates to meaningful participation in home, community and ECEC settings (Moore et al., 2013, 2014; Early Childhood Intervention Australia NSW, 2014a, 2014b).</w:t>
      </w:r>
    </w:p>
    <w:p w14:paraId="3B1B27CB" w14:textId="0FEE38F8" w:rsidR="00311529" w:rsidRPr="00BB13EF" w:rsidRDefault="00311529" w:rsidP="00311529">
      <w:pPr>
        <w:rPr>
          <w:b/>
          <w:bCs/>
          <w:i/>
          <w:iCs/>
          <w:lang w:val="en-US"/>
        </w:rPr>
      </w:pPr>
      <w:r w:rsidRPr="00BB13EF">
        <w:rPr>
          <w:b/>
          <w:bCs/>
          <w:i/>
          <w:iCs/>
          <w:lang w:val="en-US"/>
        </w:rPr>
        <w:lastRenderedPageBreak/>
        <w:t>Principle: Engaging children in natural environments</w:t>
      </w:r>
    </w:p>
    <w:p w14:paraId="1BD258AF" w14:textId="77777777" w:rsidR="00311529" w:rsidRPr="00311529" w:rsidRDefault="00311529" w:rsidP="00311529">
      <w:pPr>
        <w:rPr>
          <w:lang w:val="en-US"/>
        </w:rPr>
      </w:pPr>
      <w:r w:rsidRPr="00BB13EF">
        <w:rPr>
          <w:b/>
          <w:bCs/>
          <w:i/>
          <w:iCs/>
          <w:lang w:val="en-US"/>
        </w:rPr>
        <w:t xml:space="preserve">Related practices. </w:t>
      </w:r>
      <w:r w:rsidRPr="00311529">
        <w:rPr>
          <w:lang w:val="en-US"/>
        </w:rPr>
        <w:t xml:space="preserve">Engaging children in natural environments is best achieved by working with them in those environments. Hence, home visits are regarded as the central mode of service delivery by many experts (McWilliam, 2011, 2012, 2015, 2016; Novak, 2011; Novak &amp; Honan, 2019) as well as by parents (Novak, 2011). As noted by Novak and Berry (2014), home programs are not actually an intervention in their own right, but rather a mode of delivering services. The question of whether or not a home program will work depends both on what is done and how it is done. If the aim is to ensure that parents and caregivers learn how to promote their children’s functional skills, then they need to be involved in the sessions. However, simply delivering services in the home is no guarantee of this happening. For instance, a study by Sawyer and Campbell (2017) found that, even when services are home-based, practitioners still tend to work directly with the child rather than with the caregivers. While caregivers are frequently exposed to incidental learning opportunities (by watching what the professionals did), they are much less likely to be given direct help or coaching in how to best support the child (Sawyer &amp; Campbell, 2017). This finding was confirmed by another study of home visits (Dunst et al., 2014) that found that more than half of the parents were not involved in their children’s early intervention in a manner that would build their parental capacities. However, the same study found that parental involvement became minimal when the services were provided outside the home. Rosen and colleagues (2023) have developed a conceptual framework that can be used to guide efforts to strengthen family engagement in early childhood home visiting. A recent literature research synthesis by Kleinman and colleagues (2023) provides guidance on how to promote family engagement in home visiting sessions. </w:t>
      </w:r>
    </w:p>
    <w:p w14:paraId="6FA1056B" w14:textId="77777777" w:rsidR="00311529" w:rsidRPr="00311529" w:rsidRDefault="00311529" w:rsidP="00311529">
      <w:pPr>
        <w:rPr>
          <w:lang w:val="en-US"/>
        </w:rPr>
      </w:pPr>
      <w:r w:rsidRPr="00311529">
        <w:rPr>
          <w:lang w:val="en-US"/>
        </w:rPr>
        <w:t xml:space="preserve">A commonly used tool for engaging children in natural environments is the Routines-based Interview (RBI) (McWilliam, 2010c). This is a semi-structured interview designed to help families decide on outcomes/goals for their individualised plans, based upon an understanding of family routines and circumstances. Studies have demonstrated the benefits of the routines-based approach over traditional home visiting approaches (Hwang et al., 2013). Australian studies (Hughes-Scholes et al., 2015, 2019) have shown that the RBI is positively received by ECI professionals and demonstrates that tools that carefully assess all aspects and intensity of families’ concerns and priorities, such as the RBI, can assist ECI professionals to plan targeted interventions. However, it is important to embed intervention within daily routines and for the intervention to be aligned with the existing beliefs, values, hopes, aspirations, activities, and practices that the family already has in place. This will increase the likelihood that the family will adopt the intervention and sustain it over time. Situating interventions within a family’s daily routines can only occur if ECI professionals fully understand what it takes for a family to sustain a routine, that daily routines do not exist in isolation and may not be easily altered (Hughes-Scholes et al., 2019). There is also the danger of overloading parents with tasks and thereby undermining family well-being. As McConnell and colleagues (2015) have noted, </w:t>
      </w:r>
    </w:p>
    <w:p w14:paraId="0F59BD87" w14:textId="77777777" w:rsidR="00311529" w:rsidRPr="00311529" w:rsidRDefault="00311529" w:rsidP="00956D46">
      <w:pPr>
        <w:ind w:left="720"/>
        <w:rPr>
          <w:lang w:val="en-US"/>
        </w:rPr>
      </w:pPr>
      <w:r w:rsidRPr="00311529">
        <w:rPr>
          <w:lang w:val="en-US"/>
        </w:rPr>
        <w:t>As a general rule, children do well when their families do well, and families do well when they have the resources that they need to juggle work and family and care demands. Recruiting parents as interventionists can tax family resources. Rehabilitation professionals must weigh up the pros and cons of parent-mediated intervention and look to enfolding therapy into the everyday family routine.</w:t>
      </w:r>
    </w:p>
    <w:p w14:paraId="00C8ADDA" w14:textId="77777777" w:rsidR="00311529" w:rsidRPr="00311529" w:rsidRDefault="00311529" w:rsidP="00311529">
      <w:pPr>
        <w:rPr>
          <w:lang w:val="en-US"/>
        </w:rPr>
      </w:pPr>
      <w:r w:rsidRPr="00311529">
        <w:rPr>
          <w:lang w:val="en-US"/>
        </w:rPr>
        <w:lastRenderedPageBreak/>
        <w:t xml:space="preserve">Other strategies for increasing children’s participation in everyday learning activities include the use of activity schedules and lists (Trivette et al., 2013), activity-based intervention (Johnson et al., 2015), naturalistic instructional techniques (Meadan et al., 2016; Snyder et al., 2015), and the Coaching in Context approach that aims to enhances functioning in everyday activities of children with autism and their families (Potvin et al., 2018).  </w:t>
      </w:r>
    </w:p>
    <w:p w14:paraId="2DC23473" w14:textId="1E1F6C92" w:rsidR="00311529" w:rsidRPr="00DB6DE8" w:rsidRDefault="00311529" w:rsidP="00311529">
      <w:pPr>
        <w:rPr>
          <w:b/>
          <w:bCs/>
          <w:i/>
          <w:iCs/>
          <w:lang w:val="en-US"/>
        </w:rPr>
      </w:pPr>
      <w:r w:rsidRPr="00DB6DE8">
        <w:rPr>
          <w:b/>
          <w:bCs/>
          <w:i/>
          <w:iCs/>
          <w:lang w:val="en-US"/>
        </w:rPr>
        <w:t>Principle: Collaborative teamwork practice</w:t>
      </w:r>
    </w:p>
    <w:p w14:paraId="0E62F8B9" w14:textId="77777777" w:rsidR="00311529" w:rsidRPr="00311529" w:rsidRDefault="00311529" w:rsidP="00311529">
      <w:pPr>
        <w:rPr>
          <w:lang w:val="en-US"/>
        </w:rPr>
      </w:pPr>
      <w:r w:rsidRPr="00DB6DE8">
        <w:rPr>
          <w:b/>
          <w:bCs/>
          <w:i/>
          <w:iCs/>
          <w:lang w:val="en-US"/>
        </w:rPr>
        <w:t>Related practices</w:t>
      </w:r>
      <w:r w:rsidRPr="00311529">
        <w:rPr>
          <w:lang w:val="en-US"/>
        </w:rPr>
        <w:t xml:space="preserve">. Common practices for promoting collaborative teamwork include transdisciplinary models of service delivery where roles are shared across disciplinary boundaries (Bell et al., 2010; Boyer &amp; Thompson, 2014; King et al., 2009; Rausch et al., 2021), key worker models, and Team around the Child approaches.   </w:t>
      </w:r>
    </w:p>
    <w:p w14:paraId="5D227563" w14:textId="140D4FC7" w:rsidR="00311529" w:rsidRPr="00311529" w:rsidRDefault="00311529" w:rsidP="00311529">
      <w:pPr>
        <w:rPr>
          <w:lang w:val="en-US"/>
        </w:rPr>
      </w:pPr>
      <w:r w:rsidRPr="00311529">
        <w:rPr>
          <w:lang w:val="en-US"/>
        </w:rPr>
        <w:t>Alexander and Forster (2012) provide a guide to using a key worker approach for ECI professionals and other professionals providing family support. This identifies five key areas of support offered to families: emotional support; information and advice; identifying and addressing needs; advocacy; and service coordination. Online training in the key worker approach to ECI service delivery is available through Noah’s Ark (</w:t>
      </w:r>
      <w:hyperlink r:id="rId14" w:history="1">
        <w:r w:rsidRPr="00DB6DE8">
          <w:rPr>
            <w:rStyle w:val="Hyperlink"/>
            <w:lang w:val="en-US"/>
          </w:rPr>
          <w:t>www.noahsarkinc.org.au/training</w:t>
        </w:r>
      </w:hyperlink>
      <w:r w:rsidRPr="00311529">
        <w:rPr>
          <w:lang w:val="en-US"/>
        </w:rPr>
        <w:t>).</w:t>
      </w:r>
    </w:p>
    <w:p w14:paraId="0DFE4779" w14:textId="77777777" w:rsidR="00311529" w:rsidRPr="00311529" w:rsidRDefault="00311529" w:rsidP="00311529">
      <w:pPr>
        <w:rPr>
          <w:lang w:val="en-US"/>
        </w:rPr>
      </w:pPr>
      <w:r w:rsidRPr="00311529">
        <w:rPr>
          <w:lang w:val="en-US"/>
        </w:rPr>
        <w:t xml:space="preserve">For children with complex medical and developmental needs, a Team around the Child approach is recommended (Limbrick, 2009, 2017). The Team around the Child approach aims to facilitate the highest degree of joint/collaborative working among the various professionals involved in supporting children and families.  The aim is to provide “effective, seamless, timely support…and to provide each child [and family] with their own individual, collaborative team of practitioners” (Limbrick, 2007; p. 2). </w:t>
      </w:r>
    </w:p>
    <w:p w14:paraId="6F08A96C" w14:textId="5DBA4DAC" w:rsidR="00311529" w:rsidRPr="00DB6DE8" w:rsidRDefault="00311529" w:rsidP="00311529">
      <w:pPr>
        <w:rPr>
          <w:b/>
          <w:bCs/>
          <w:i/>
          <w:iCs/>
          <w:lang w:val="en-US"/>
        </w:rPr>
      </w:pPr>
      <w:r w:rsidRPr="00DB6DE8">
        <w:rPr>
          <w:b/>
          <w:bCs/>
          <w:i/>
          <w:iCs/>
          <w:lang w:val="en-US"/>
        </w:rPr>
        <w:t>Principle: Evidence-informed</w:t>
      </w:r>
    </w:p>
    <w:p w14:paraId="70DF19E7" w14:textId="45B4A805" w:rsidR="00311529" w:rsidRPr="00311529" w:rsidRDefault="00311529" w:rsidP="00311529">
      <w:pPr>
        <w:rPr>
          <w:lang w:val="en-US"/>
        </w:rPr>
      </w:pPr>
      <w:r w:rsidRPr="00DB6DE8">
        <w:rPr>
          <w:b/>
          <w:bCs/>
          <w:i/>
          <w:iCs/>
          <w:lang w:val="en-US"/>
        </w:rPr>
        <w:t>Related practices.</w:t>
      </w:r>
      <w:r w:rsidRPr="00311529">
        <w:rPr>
          <w:lang w:val="en-US"/>
        </w:rPr>
        <w:t xml:space="preserve"> Another aspect of best practice involves the need for practitioners to use sound clinical reasoning. As discussed already (section 5.8), this involves evidence-informed decision-making, a decision-making process that blends three sources of information: evidence-based programs, evidence-based processes, and client and professional values and beliefs. It is unclear how practitioners are meeting this challenge, or what procedures they are using. To address this gap, an evidence-informed decision-making framework has been developed to help practitioners and families make decisions that balance evidence with practitioner experiences and family values (Moore, 2018). </w:t>
      </w:r>
    </w:p>
    <w:p w14:paraId="07B0E69A" w14:textId="258DAAD3" w:rsidR="00311529" w:rsidRPr="00311529" w:rsidRDefault="00311529" w:rsidP="00311529">
      <w:pPr>
        <w:rPr>
          <w:lang w:val="en-US"/>
        </w:rPr>
      </w:pPr>
      <w:r w:rsidRPr="00311529">
        <w:rPr>
          <w:lang w:val="en-US"/>
        </w:rPr>
        <w:t>To promote the adoption of evidence-based strategies, performance checklists have been developed (ECTA Centre</w:t>
      </w:r>
      <w:r w:rsidR="00E24E4C">
        <w:rPr>
          <w:rStyle w:val="FootnoteReference"/>
          <w:lang w:val="en-US"/>
        </w:rPr>
        <w:footnoteReference w:id="38"/>
      </w:r>
      <w:r w:rsidRPr="00311529">
        <w:rPr>
          <w:lang w:val="en-US"/>
        </w:rPr>
        <w:t>), along with family and practitioner practice guides that include descriptions and examples of how to use evidence-informed interventions as part of everyday practice (Dunst, 2017b, 2017c, 2018). However, neither performance checklists nor training are sufficient to ensure the implementation of evidence-based practices with fidelity (Artman-Meeker et al., 2015; Bransford et al., 2000), and practice-based coaching is now being explored as a way of bridging the research-practice gap (Fox, 2017; Snyder et al., 2015).</w:t>
      </w:r>
    </w:p>
    <w:p w14:paraId="0569F5A0" w14:textId="3124E414" w:rsidR="00311529" w:rsidRPr="00311529" w:rsidRDefault="00311529" w:rsidP="00311529">
      <w:pPr>
        <w:rPr>
          <w:lang w:val="en-US"/>
        </w:rPr>
      </w:pPr>
      <w:r w:rsidRPr="00311529">
        <w:rPr>
          <w:lang w:val="en-US"/>
        </w:rPr>
        <w:t xml:space="preserve">The ECI sector also needs to make better use of quality indicators. The effectiveness of early intervention services depends in part on the quality of </w:t>
      </w:r>
      <w:r w:rsidR="00DE7ABC">
        <w:rPr>
          <w:lang w:val="en-US"/>
        </w:rPr>
        <w:t xml:space="preserve">the </w:t>
      </w:r>
      <w:r w:rsidRPr="00311529">
        <w:rPr>
          <w:lang w:val="en-US"/>
        </w:rPr>
        <w:t>service</w:t>
      </w:r>
      <w:r w:rsidR="00DE7ABC">
        <w:rPr>
          <w:lang w:val="en-US"/>
        </w:rPr>
        <w:t>s</w:t>
      </w:r>
      <w:r w:rsidRPr="00311529">
        <w:rPr>
          <w:lang w:val="en-US"/>
        </w:rPr>
        <w:t xml:space="preserve"> deliver</w:t>
      </w:r>
      <w:r w:rsidR="00DE7ABC">
        <w:rPr>
          <w:lang w:val="en-US"/>
        </w:rPr>
        <w:t>ed</w:t>
      </w:r>
      <w:r w:rsidRPr="00311529">
        <w:rPr>
          <w:lang w:val="en-US"/>
        </w:rPr>
        <w:t>, including the competencies of professionals and the use of family</w:t>
      </w:r>
      <w:r w:rsidRPr="00311529">
        <w:rPr>
          <w:rFonts w:ascii="Cambria Math" w:hAnsi="Cambria Math" w:cs="Cambria Math"/>
          <w:lang w:val="en-US"/>
        </w:rPr>
        <w:t>‐</w:t>
      </w:r>
      <w:r w:rsidRPr="00311529">
        <w:rPr>
          <w:lang w:val="en-US"/>
        </w:rPr>
        <w:t xml:space="preserve">centered practices </w:t>
      </w:r>
      <w:r w:rsidRPr="00311529">
        <w:rPr>
          <w:lang w:val="en-US"/>
        </w:rPr>
        <w:lastRenderedPageBreak/>
        <w:t xml:space="preserve">(Hauser-Cram et al., 2017; Trivette et al., 2010). Although researchers have developed scales to assess service quality, quality measurement has been problematic for many reasons, including the individualised nature of services. </w:t>
      </w:r>
    </w:p>
    <w:p w14:paraId="4D00A649" w14:textId="52D5935A" w:rsidR="00311529" w:rsidRPr="00DB6DE8" w:rsidRDefault="00311529" w:rsidP="00311529">
      <w:pPr>
        <w:rPr>
          <w:b/>
          <w:bCs/>
          <w:i/>
          <w:iCs/>
          <w:lang w:val="en-US"/>
        </w:rPr>
      </w:pPr>
      <w:r w:rsidRPr="00DB6DE8">
        <w:rPr>
          <w:b/>
          <w:bCs/>
          <w:i/>
          <w:iCs/>
          <w:lang w:val="en-US"/>
        </w:rPr>
        <w:t>Principle: Outcomes-based</w:t>
      </w:r>
    </w:p>
    <w:p w14:paraId="2CF809F9" w14:textId="1E2ECD24" w:rsidR="00311529" w:rsidRPr="00311529" w:rsidRDefault="00311529" w:rsidP="00311529">
      <w:pPr>
        <w:rPr>
          <w:lang w:val="en-US"/>
        </w:rPr>
      </w:pPr>
      <w:r w:rsidRPr="00DB6DE8">
        <w:rPr>
          <w:b/>
          <w:bCs/>
          <w:i/>
          <w:iCs/>
          <w:lang w:val="en-US"/>
        </w:rPr>
        <w:t>Related practices.</w:t>
      </w:r>
      <w:r w:rsidRPr="00311529">
        <w:rPr>
          <w:lang w:val="en-US"/>
        </w:rPr>
        <w:t xml:space="preserve"> In the United States, the federally funded ECTA centre has developed various resources to support best practice in ECI services delivery, including outcomes (http://ectacenter.org/outcomes.asp). Both child-focused and family-focused outcomes are described.</w:t>
      </w:r>
    </w:p>
    <w:p w14:paraId="42A36BED" w14:textId="77777777" w:rsidR="00311529" w:rsidRPr="00311529" w:rsidRDefault="00311529" w:rsidP="00311529">
      <w:pPr>
        <w:rPr>
          <w:lang w:val="en-US"/>
        </w:rPr>
      </w:pPr>
      <w:r w:rsidRPr="00311529">
        <w:rPr>
          <w:lang w:val="en-US"/>
        </w:rPr>
        <w:t xml:space="preserve">Calder and colleagues (2018) have reviewed the use of outcome measures within multidisciplinary early childhood intervention services, and McConachie and colleagues (2015) have reviewed tools to measure outcomes for young children with autism spectrum disorder. The selection of an appropriate outcome measure depends on the age of the child, individual goals of the family, and the type of intervention. This requires the combination of measures as no one measure alone will capture all outcomes. Outcomes tools in common use in Australian ECI services include the Canadian Occupational Performance Measure (COPM) (http://www.thecopm.ca/), the Family Outcomes Survey – Revised (https://ectacenter.org/eco/pages/familysurveys.asp), and the Family Quality of Life Scale (http://www.midss.org/content/family-quality-life-scale-fqol). The Routines-based Interview (McWilliam, 2012) can also function as a useful tool in helping for identifying outcomes. </w:t>
      </w:r>
    </w:p>
    <w:p w14:paraId="12702E1B" w14:textId="77777777" w:rsidR="00311529" w:rsidRPr="00DB6DE8" w:rsidRDefault="00311529" w:rsidP="00311529">
      <w:pPr>
        <w:rPr>
          <w:b/>
          <w:bCs/>
          <w:lang w:val="en-US"/>
        </w:rPr>
      </w:pPr>
      <w:r w:rsidRPr="00DB6DE8">
        <w:rPr>
          <w:b/>
          <w:bCs/>
          <w:lang w:val="en-US"/>
        </w:rPr>
        <w:t>Comprehensive service models</w:t>
      </w:r>
    </w:p>
    <w:p w14:paraId="74A56E77" w14:textId="77777777" w:rsidR="00311529" w:rsidRPr="00311529" w:rsidRDefault="00311529" w:rsidP="00311529">
      <w:pPr>
        <w:rPr>
          <w:lang w:val="en-US"/>
        </w:rPr>
      </w:pPr>
      <w:r w:rsidRPr="00311529">
        <w:rPr>
          <w:lang w:val="en-US"/>
        </w:rPr>
        <w:t xml:space="preserve">Various service models incorporating many of the above strategies have been developed. </w:t>
      </w:r>
    </w:p>
    <w:p w14:paraId="098BAEF7" w14:textId="0EFA62FF" w:rsidR="00311529" w:rsidRPr="00DB6DE8" w:rsidRDefault="00311529" w:rsidP="003B0B17">
      <w:pPr>
        <w:pStyle w:val="ListParagraph"/>
        <w:numPr>
          <w:ilvl w:val="0"/>
          <w:numId w:val="55"/>
        </w:numPr>
        <w:contextualSpacing w:val="0"/>
        <w:rPr>
          <w:lang w:val="en-US"/>
        </w:rPr>
      </w:pPr>
      <w:r w:rsidRPr="00DB6DE8">
        <w:rPr>
          <w:i/>
          <w:iCs/>
          <w:lang w:val="en-US"/>
        </w:rPr>
        <w:t>The family systems early childhood intervention model</w:t>
      </w:r>
      <w:r w:rsidRPr="00DB6DE8">
        <w:rPr>
          <w:lang w:val="en-US"/>
        </w:rPr>
        <w:t xml:space="preserve"> (Dunst, 2017; Dunst &amp; Trivette, 2009) uses capacity-building help-giving practices to help parents identify family concerns and priorities, the supports and resources that can be used to address concerns and priorities, and the family member strengths, abilities, and interests used as the skills to obtain supports and resources. This model differs from most others by its inclusion of informal supports as a focus of intervention and capacity-building as a primary consequence of the provision or mobilisation of supports and resources. </w:t>
      </w:r>
    </w:p>
    <w:p w14:paraId="4C16EB72" w14:textId="27FFDA0F" w:rsidR="00311529" w:rsidRPr="00DB6DE8" w:rsidRDefault="00311529" w:rsidP="003B0B17">
      <w:pPr>
        <w:pStyle w:val="ListParagraph"/>
        <w:numPr>
          <w:ilvl w:val="0"/>
          <w:numId w:val="55"/>
        </w:numPr>
        <w:contextualSpacing w:val="0"/>
        <w:rPr>
          <w:lang w:val="en-US"/>
        </w:rPr>
      </w:pPr>
      <w:r w:rsidRPr="00DB6DE8">
        <w:rPr>
          <w:i/>
          <w:iCs/>
          <w:lang w:val="en-US"/>
        </w:rPr>
        <w:t>The Developmental Systems Approach</w:t>
      </w:r>
      <w:r w:rsidRPr="00DB6DE8">
        <w:rPr>
          <w:lang w:val="en-US"/>
        </w:rPr>
        <w:t xml:space="preserve"> (Guralnick, 2005, 2017, 2019, 2023) is a relationship-oriented, family-centred framework that seeks to strengthen the quality of key family patterns of interaction that influence a child's development. This approach focuses on family patterns of interaction that are affected by the presence of a child at biological risk or one with an established disability, how those alterations in family patterns affect the provision of an optimal developmental environment for the child, and the role of early intervention in bringing about or restoring as optimal an environment as possible. The framework also takes account </w:t>
      </w:r>
      <w:r w:rsidR="00BF2357">
        <w:rPr>
          <w:lang w:val="en-US"/>
        </w:rPr>
        <w:t xml:space="preserve">of </w:t>
      </w:r>
      <w:r w:rsidRPr="00DB6DE8">
        <w:rPr>
          <w:lang w:val="en-US"/>
        </w:rPr>
        <w:t xml:space="preserve">environmental risk factors in the form of limited family resources, which can increase child vulnerability operating through non-optimal family patterns of interaction. This integrated system is compatible with and incorporates principles and practices from a human rights perspective, all designed to support family and child goals (Guralnick, 2023). </w:t>
      </w:r>
    </w:p>
    <w:p w14:paraId="2653499C" w14:textId="77777777" w:rsidR="00311529" w:rsidRPr="00311529" w:rsidRDefault="00311529" w:rsidP="00DB6DE8">
      <w:pPr>
        <w:rPr>
          <w:lang w:val="en-US"/>
        </w:rPr>
      </w:pPr>
    </w:p>
    <w:p w14:paraId="643BAD4D" w14:textId="5AF1FA9E" w:rsidR="00311529" w:rsidRPr="00DB6DE8" w:rsidRDefault="00311529" w:rsidP="003B0B17">
      <w:pPr>
        <w:pStyle w:val="ListParagraph"/>
        <w:numPr>
          <w:ilvl w:val="0"/>
          <w:numId w:val="55"/>
        </w:numPr>
        <w:contextualSpacing w:val="0"/>
        <w:rPr>
          <w:lang w:val="en-US"/>
        </w:rPr>
      </w:pPr>
      <w:r w:rsidRPr="00DB6DE8">
        <w:rPr>
          <w:i/>
          <w:iCs/>
          <w:lang w:val="en-US"/>
        </w:rPr>
        <w:t>The Early Intervention Guidebook for Families and Professionals</w:t>
      </w:r>
      <w:r w:rsidRPr="00DB6DE8">
        <w:rPr>
          <w:lang w:val="en-US"/>
        </w:rPr>
        <w:t xml:space="preserve"> (Keilty, 2016) focuses on how families and professionals can collaborate effectively so that infants and toddlers learn, grow, and thrive. It addresses family functioning and priorities, and stresses that early intervention is a support and not a substitute. It also provides guidance on specific components of early intervention such as evaluation and assessment, program planning, intervention implementation, service coordination, and transition. </w:t>
      </w:r>
    </w:p>
    <w:p w14:paraId="6A081E4C" w14:textId="1D5D44B2" w:rsidR="00311529" w:rsidRPr="00DB6DE8" w:rsidRDefault="00311529" w:rsidP="003B0B17">
      <w:pPr>
        <w:pStyle w:val="ListParagraph"/>
        <w:numPr>
          <w:ilvl w:val="0"/>
          <w:numId w:val="55"/>
        </w:numPr>
        <w:contextualSpacing w:val="0"/>
        <w:rPr>
          <w:lang w:val="en-US"/>
        </w:rPr>
      </w:pPr>
      <w:r w:rsidRPr="00DB6DE8">
        <w:rPr>
          <w:i/>
          <w:iCs/>
          <w:lang w:val="en-US"/>
        </w:rPr>
        <w:t>The Relational Goal-Oriented Model of Service Delivery to Children with physical or mental health difficulties and their families</w:t>
      </w:r>
      <w:r w:rsidRPr="00DB6DE8">
        <w:rPr>
          <w:lang w:val="en-US"/>
        </w:rPr>
        <w:t xml:space="preserve"> (King, 2009) provides a broad understanding of what effective service provision entails and requires from practitioners and services and offers a framework by which to improve the design and delivery of services. It highlights the importance of six major elements of quality care and management: overarching goals; desired outcomes; fundamental needs; relational processes; approaches, worldviews, and priorities; and strategies by which to bring about desired outcomes. The model emphasises the fundamental role of client–practitioner and practitioner–organisation relationships and goal-related aspects of practice. </w:t>
      </w:r>
    </w:p>
    <w:p w14:paraId="2E5CEEFC" w14:textId="6D966EC9" w:rsidR="00311529" w:rsidRPr="00DB6DE8" w:rsidRDefault="00311529" w:rsidP="003B0B17">
      <w:pPr>
        <w:pStyle w:val="ListParagraph"/>
        <w:numPr>
          <w:ilvl w:val="0"/>
          <w:numId w:val="55"/>
        </w:numPr>
        <w:contextualSpacing w:val="0"/>
        <w:rPr>
          <w:lang w:val="en-US"/>
        </w:rPr>
      </w:pPr>
      <w:r w:rsidRPr="00DB6DE8">
        <w:rPr>
          <w:lang w:val="en-US"/>
        </w:rPr>
        <w:t xml:space="preserve">Baldwin and colleagues (2013) describe a </w:t>
      </w:r>
      <w:r w:rsidRPr="003719F0">
        <w:rPr>
          <w:i/>
          <w:iCs/>
          <w:lang w:val="en-US"/>
        </w:rPr>
        <w:t>transdisciplinary model for solution-focused coaching in paediatric rehabilitation services</w:t>
      </w:r>
      <w:r w:rsidRPr="00DB6DE8">
        <w:rPr>
          <w:lang w:val="en-US"/>
        </w:rPr>
        <w:t xml:space="preserve">. The model exemplifies a strengths-based, relational, and goal-oriented approach to clinical practice. It provides a distinct shift from a problem-oriented, therapist-directed approach to a possibilities-oriented approach where client empowerment takes precedence. The model facilitates client change through a method of working with client strengths and resources that involves the use of strategic questions to co-construct therapy intervention. Through client–therapist collaboration, therapy goals and plans are developed that align with client hopes, priorities, and readiness for change. This model supports client self-determination and capacity for change through customized therapy goals and plans that are meaningful for the child and family. </w:t>
      </w:r>
    </w:p>
    <w:p w14:paraId="471A2D8C" w14:textId="14FF972A" w:rsidR="00E351FA" w:rsidRPr="00E351FA" w:rsidRDefault="00311529" w:rsidP="003B0B17">
      <w:pPr>
        <w:pStyle w:val="ListParagraph"/>
        <w:numPr>
          <w:ilvl w:val="0"/>
          <w:numId w:val="55"/>
        </w:numPr>
        <w:contextualSpacing w:val="0"/>
        <w:rPr>
          <w:lang w:val="en-US"/>
        </w:rPr>
      </w:pPr>
      <w:r w:rsidRPr="00DB6DE8">
        <w:rPr>
          <w:lang w:val="en-US"/>
        </w:rPr>
        <w:t>McColgan &amp; McMullin (2017) focus on the importance of relationships and communication as the foundation of good social work practice. The model is built around four stages: engagement, negotiation, enabling change and valuing endings. The model is underpinned by motivational interviewing techniques, strengths-focused practice, emotional intelligence and empowerment.</w:t>
      </w:r>
    </w:p>
    <w:p w14:paraId="5C184B41" w14:textId="77777777" w:rsidR="00E351FA" w:rsidRPr="00E351FA" w:rsidRDefault="00E351FA" w:rsidP="00E351FA">
      <w:pPr>
        <w:pStyle w:val="Heading2"/>
        <w:rPr>
          <w:lang w:val="en-US"/>
        </w:rPr>
      </w:pPr>
      <w:bookmarkStart w:id="52" w:name="_Toc177730837"/>
      <w:r w:rsidRPr="00E351FA">
        <w:rPr>
          <w:lang w:val="en-US"/>
        </w:rPr>
        <w:t>ECI practice frameworks</w:t>
      </w:r>
      <w:bookmarkEnd w:id="52"/>
    </w:p>
    <w:p w14:paraId="2B0BD435" w14:textId="77777777" w:rsidR="00E351FA" w:rsidRPr="00E351FA" w:rsidRDefault="00E351FA" w:rsidP="00E351FA">
      <w:pPr>
        <w:rPr>
          <w:lang w:val="en-US"/>
        </w:rPr>
      </w:pPr>
      <w:r w:rsidRPr="00E351FA">
        <w:rPr>
          <w:lang w:val="en-US"/>
        </w:rPr>
        <w:t>What should a practice framework look like? What form should it take and what content should it cover?</w:t>
      </w:r>
    </w:p>
    <w:p w14:paraId="7FD8B5B0" w14:textId="77777777" w:rsidR="00E351FA" w:rsidRPr="00E351FA" w:rsidRDefault="00E351FA" w:rsidP="00E351FA">
      <w:pPr>
        <w:rPr>
          <w:lang w:val="en-US"/>
        </w:rPr>
      </w:pPr>
      <w:r w:rsidRPr="00E351FA">
        <w:rPr>
          <w:lang w:val="en-US"/>
        </w:rPr>
        <w:t xml:space="preserve">Definitions of what a practice framework is has been provided by Connolly and Healy (2017), Stanley et al. (2021) and the UK Department of Health and Social Care (2019). According to Connolly and Healy (2017), a practice framework integrates empirical research, practice theories, ethical principles and experiential knowledge in a compact and convenient format that helps practitioners to use the knowledge and principles to inform their everyday work. For the UK Department of Health and Social Care (2019) and Stanley and colleagues (2021), a practice framework is a schematic </w:t>
      </w:r>
      <w:r w:rsidRPr="00E351FA">
        <w:rPr>
          <w:lang w:val="en-US"/>
        </w:rPr>
        <w:lastRenderedPageBreak/>
        <w:t xml:space="preserve">template designed through and informed by value-based practice, research and evidence. A practice framework offers a mapping out of what we do and why, offering a rationale for practice, while promoting a range of practice tools for assessments and interventions.  </w:t>
      </w:r>
    </w:p>
    <w:p w14:paraId="37BF293C" w14:textId="77777777" w:rsidR="00E351FA" w:rsidRPr="00E351FA" w:rsidRDefault="00E351FA" w:rsidP="00E351FA">
      <w:pPr>
        <w:rPr>
          <w:lang w:val="en-US"/>
        </w:rPr>
      </w:pPr>
      <w:r w:rsidRPr="00E351FA">
        <w:rPr>
          <w:lang w:val="en-US"/>
        </w:rPr>
        <w:t xml:space="preserve">A review of practice frameworks by Stanley and colleagues (2021) identified five interconnected domains for a rigorous practice framework: </w:t>
      </w:r>
    </w:p>
    <w:p w14:paraId="3B9DA5DC" w14:textId="2241F88E" w:rsidR="00E351FA" w:rsidRPr="00E351FA" w:rsidRDefault="00E351FA" w:rsidP="003B0B17">
      <w:pPr>
        <w:pStyle w:val="ListParagraph"/>
        <w:numPr>
          <w:ilvl w:val="0"/>
          <w:numId w:val="56"/>
        </w:numPr>
        <w:ind w:left="714" w:hanging="357"/>
        <w:contextualSpacing w:val="0"/>
        <w:rPr>
          <w:lang w:val="en-US"/>
        </w:rPr>
      </w:pPr>
      <w:r w:rsidRPr="00E351FA">
        <w:rPr>
          <w:lang w:val="en-US"/>
        </w:rPr>
        <w:t xml:space="preserve">An espoused value, principles and ethical basis for the work drawing on local and international codes of practice, conventions and rights-based treaties </w:t>
      </w:r>
    </w:p>
    <w:p w14:paraId="29F0B234" w14:textId="57E9318E" w:rsidR="00E351FA" w:rsidRPr="00E351FA" w:rsidRDefault="00E351FA" w:rsidP="003B0B17">
      <w:pPr>
        <w:pStyle w:val="ListParagraph"/>
        <w:numPr>
          <w:ilvl w:val="0"/>
          <w:numId w:val="56"/>
        </w:numPr>
        <w:ind w:left="714" w:hanging="357"/>
        <w:contextualSpacing w:val="0"/>
        <w:rPr>
          <w:lang w:val="en-US"/>
        </w:rPr>
      </w:pPr>
      <w:r w:rsidRPr="00E351FA">
        <w:rPr>
          <w:lang w:val="en-US"/>
        </w:rPr>
        <w:t xml:space="preserve">An evidenced informed knowledge base, supported by co-creation principles </w:t>
      </w:r>
    </w:p>
    <w:p w14:paraId="11F14119" w14:textId="281F09DA" w:rsidR="00E351FA" w:rsidRPr="00E351FA" w:rsidRDefault="00E351FA" w:rsidP="003B0B17">
      <w:pPr>
        <w:pStyle w:val="ListParagraph"/>
        <w:numPr>
          <w:ilvl w:val="0"/>
          <w:numId w:val="56"/>
        </w:numPr>
        <w:ind w:left="714" w:hanging="357"/>
        <w:contextualSpacing w:val="0"/>
        <w:rPr>
          <w:lang w:val="en-US"/>
        </w:rPr>
      </w:pPr>
      <w:r w:rsidRPr="00E351FA">
        <w:rPr>
          <w:lang w:val="en-US"/>
        </w:rPr>
        <w:t xml:space="preserve">An agreed set of theoretical and methodological approaches to be used </w:t>
      </w:r>
    </w:p>
    <w:p w14:paraId="6F5B0524" w14:textId="49C9ADF0" w:rsidR="00E351FA" w:rsidRPr="00E351FA" w:rsidRDefault="00E351FA" w:rsidP="003B0B17">
      <w:pPr>
        <w:pStyle w:val="ListParagraph"/>
        <w:numPr>
          <w:ilvl w:val="0"/>
          <w:numId w:val="56"/>
        </w:numPr>
        <w:ind w:left="714" w:hanging="357"/>
        <w:contextualSpacing w:val="0"/>
        <w:rPr>
          <w:lang w:val="en-US"/>
        </w:rPr>
      </w:pPr>
      <w:r w:rsidRPr="00E351FA">
        <w:rPr>
          <w:lang w:val="en-US"/>
        </w:rPr>
        <w:t xml:space="preserve">An agreed set of skills that are needed and supported by learning teams </w:t>
      </w:r>
    </w:p>
    <w:p w14:paraId="0545D86E" w14:textId="766063AB" w:rsidR="00E351FA" w:rsidRPr="00E351FA" w:rsidRDefault="00E351FA" w:rsidP="003B0B17">
      <w:pPr>
        <w:pStyle w:val="ListParagraph"/>
        <w:numPr>
          <w:ilvl w:val="0"/>
          <w:numId w:val="56"/>
        </w:numPr>
        <w:ind w:left="714" w:hanging="357"/>
        <w:contextualSpacing w:val="0"/>
        <w:rPr>
          <w:lang w:val="en-US"/>
        </w:rPr>
      </w:pPr>
      <w:r w:rsidRPr="00E351FA">
        <w:rPr>
          <w:lang w:val="en-US"/>
        </w:rPr>
        <w:t xml:space="preserve">Practitioner self-awareness, with experiential learning in focus, supported by attention to bias and patterns of practice then explored in supervision </w:t>
      </w:r>
    </w:p>
    <w:p w14:paraId="638C9514" w14:textId="77777777" w:rsidR="00E351FA" w:rsidRPr="00E351FA" w:rsidRDefault="00E351FA" w:rsidP="00E351FA">
      <w:pPr>
        <w:rPr>
          <w:lang w:val="en-US"/>
        </w:rPr>
      </w:pPr>
      <w:r w:rsidRPr="00E351FA">
        <w:rPr>
          <w:lang w:val="en-US"/>
        </w:rPr>
        <w:t xml:space="preserve">In an operational sense, practice frameworks can help to: </w:t>
      </w:r>
    </w:p>
    <w:p w14:paraId="2340050C" w14:textId="2C56F17D" w:rsidR="00E351FA" w:rsidRPr="00E351FA" w:rsidRDefault="00E351FA" w:rsidP="003B0B17">
      <w:pPr>
        <w:pStyle w:val="ListParagraph"/>
        <w:numPr>
          <w:ilvl w:val="0"/>
          <w:numId w:val="57"/>
        </w:numPr>
        <w:ind w:left="714" w:hanging="357"/>
        <w:contextualSpacing w:val="0"/>
        <w:rPr>
          <w:lang w:val="en-US"/>
        </w:rPr>
      </w:pPr>
      <w:r w:rsidRPr="00E351FA">
        <w:rPr>
          <w:lang w:val="en-US"/>
        </w:rPr>
        <w:t xml:space="preserve">Set out and explain the agency’s approach to practice </w:t>
      </w:r>
    </w:p>
    <w:p w14:paraId="6A0E5C99" w14:textId="1E7B09FA" w:rsidR="00E351FA" w:rsidRPr="00E351FA" w:rsidRDefault="00E351FA" w:rsidP="003B0B17">
      <w:pPr>
        <w:pStyle w:val="ListParagraph"/>
        <w:numPr>
          <w:ilvl w:val="0"/>
          <w:numId w:val="57"/>
        </w:numPr>
        <w:ind w:left="714" w:hanging="357"/>
        <w:contextualSpacing w:val="0"/>
        <w:rPr>
          <w:lang w:val="en-US"/>
        </w:rPr>
      </w:pPr>
      <w:r w:rsidRPr="00E351FA">
        <w:rPr>
          <w:lang w:val="en-US"/>
        </w:rPr>
        <w:t xml:space="preserve">Reinforce ethical and purposeful practice and rigor in decision making </w:t>
      </w:r>
    </w:p>
    <w:p w14:paraId="44033F1C" w14:textId="713A6CD2" w:rsidR="00E351FA" w:rsidRPr="00E351FA" w:rsidRDefault="00E351FA" w:rsidP="003B0B17">
      <w:pPr>
        <w:pStyle w:val="ListParagraph"/>
        <w:numPr>
          <w:ilvl w:val="0"/>
          <w:numId w:val="57"/>
        </w:numPr>
        <w:ind w:left="714" w:hanging="357"/>
        <w:contextualSpacing w:val="0"/>
        <w:rPr>
          <w:lang w:val="en-US"/>
        </w:rPr>
      </w:pPr>
      <w:r w:rsidRPr="00E351FA">
        <w:rPr>
          <w:lang w:val="en-US"/>
        </w:rPr>
        <w:t xml:space="preserve">Reinforce an agreed set of practice methods and approaches </w:t>
      </w:r>
    </w:p>
    <w:p w14:paraId="4B98F3BB" w14:textId="696DAC8C" w:rsidR="00E351FA" w:rsidRPr="00E351FA" w:rsidRDefault="00E351FA" w:rsidP="003B0B17">
      <w:pPr>
        <w:pStyle w:val="ListParagraph"/>
        <w:numPr>
          <w:ilvl w:val="0"/>
          <w:numId w:val="57"/>
        </w:numPr>
        <w:ind w:left="714" w:hanging="357"/>
        <w:contextualSpacing w:val="0"/>
        <w:rPr>
          <w:lang w:val="en-US"/>
        </w:rPr>
      </w:pPr>
      <w:r w:rsidRPr="00E351FA">
        <w:rPr>
          <w:lang w:val="en-US"/>
        </w:rPr>
        <w:t xml:space="preserve">Facilitate access to research, practice and discipline knowledge </w:t>
      </w:r>
    </w:p>
    <w:p w14:paraId="45CB2F9D" w14:textId="2F81653B" w:rsidR="00E351FA" w:rsidRPr="00E351FA" w:rsidRDefault="00E351FA" w:rsidP="003B0B17">
      <w:pPr>
        <w:pStyle w:val="ListParagraph"/>
        <w:numPr>
          <w:ilvl w:val="0"/>
          <w:numId w:val="57"/>
        </w:numPr>
        <w:ind w:left="714" w:hanging="357"/>
        <w:contextualSpacing w:val="0"/>
        <w:rPr>
          <w:lang w:val="en-US"/>
        </w:rPr>
      </w:pPr>
      <w:r w:rsidRPr="00E351FA">
        <w:rPr>
          <w:lang w:val="en-US"/>
        </w:rPr>
        <w:t xml:space="preserve">Invite reflection for and of practice </w:t>
      </w:r>
    </w:p>
    <w:p w14:paraId="1EEE7C58" w14:textId="12155144" w:rsidR="00E351FA" w:rsidRPr="00E351FA" w:rsidRDefault="00E351FA" w:rsidP="003B0B17">
      <w:pPr>
        <w:pStyle w:val="ListParagraph"/>
        <w:numPr>
          <w:ilvl w:val="0"/>
          <w:numId w:val="57"/>
        </w:numPr>
        <w:ind w:left="714" w:hanging="357"/>
        <w:contextualSpacing w:val="0"/>
        <w:rPr>
          <w:lang w:val="en-US"/>
        </w:rPr>
      </w:pPr>
      <w:r w:rsidRPr="00E351FA">
        <w:rPr>
          <w:lang w:val="en-US"/>
        </w:rPr>
        <w:t xml:space="preserve">Offer a supervision, quality assurance and practice leadership toolkit </w:t>
      </w:r>
    </w:p>
    <w:p w14:paraId="5F79F2D3" w14:textId="3E24FB6F" w:rsidR="00E351FA" w:rsidRDefault="00E351FA" w:rsidP="00E351FA">
      <w:pPr>
        <w:rPr>
          <w:lang w:val="en-US"/>
        </w:rPr>
      </w:pPr>
      <w:r w:rsidRPr="00E351FA">
        <w:rPr>
          <w:lang w:val="en-US"/>
        </w:rPr>
        <w:t>Much of the discussion of practice frameworks comes from the social work sector. In the ECI sector, Guralnick (2023) has argued that major practice and policy advances in the field of early childhood intervention can be achieved through the application of frameworks that systematically integrate developmental science, intervention science, and implementation science. Such frameworks can provide organisation and direction in any vital and complex field but must remain flexible, open to modification, and be able to adapt to and incorporate an ever-expanding knowledge base. Guralnick (2023) presents his own Developmental Systems Approach as an example of such a framework.</w:t>
      </w:r>
    </w:p>
    <w:p w14:paraId="1654A58B" w14:textId="77777777" w:rsidR="00E351FA" w:rsidRDefault="00E351FA" w:rsidP="00E351FA">
      <w:pPr>
        <w:rPr>
          <w:lang w:val="en-US"/>
        </w:rPr>
      </w:pPr>
    </w:p>
    <w:p w14:paraId="134BC7A3" w14:textId="77777777" w:rsidR="00E351FA" w:rsidRDefault="00E351FA" w:rsidP="00E351FA">
      <w:pPr>
        <w:rPr>
          <w:lang w:val="en-US"/>
        </w:rPr>
      </w:pPr>
    </w:p>
    <w:p w14:paraId="0F68ED76" w14:textId="77777777" w:rsidR="00E351FA" w:rsidRDefault="00E351FA" w:rsidP="00E351FA">
      <w:pPr>
        <w:rPr>
          <w:lang w:val="en-US"/>
        </w:rPr>
      </w:pPr>
    </w:p>
    <w:p w14:paraId="5DF32F25" w14:textId="77777777" w:rsidR="00E351FA" w:rsidRDefault="00E351FA" w:rsidP="00E351FA">
      <w:pPr>
        <w:rPr>
          <w:lang w:val="en-US"/>
        </w:rPr>
      </w:pPr>
    </w:p>
    <w:p w14:paraId="0B5B88D7" w14:textId="77777777" w:rsidR="00E351FA" w:rsidRDefault="00E351FA" w:rsidP="00E351FA">
      <w:pPr>
        <w:rPr>
          <w:lang w:val="en-US"/>
        </w:rPr>
      </w:pPr>
    </w:p>
    <w:p w14:paraId="1ACA763E" w14:textId="77777777" w:rsidR="00E351FA" w:rsidRDefault="00E351FA" w:rsidP="00E351FA">
      <w:pPr>
        <w:rPr>
          <w:lang w:val="en-US"/>
        </w:rPr>
      </w:pPr>
    </w:p>
    <w:p w14:paraId="469866B5" w14:textId="77777777" w:rsidR="00E351FA" w:rsidRDefault="00E351FA" w:rsidP="00E351FA">
      <w:pPr>
        <w:rPr>
          <w:lang w:val="en-US"/>
        </w:rPr>
      </w:pPr>
    </w:p>
    <w:p w14:paraId="7480ADC6" w14:textId="77777777" w:rsidR="00E351FA" w:rsidRDefault="00E351FA" w:rsidP="00E351FA">
      <w:pPr>
        <w:rPr>
          <w:lang w:val="en-US"/>
        </w:rPr>
      </w:pPr>
    </w:p>
    <w:p w14:paraId="58AAB43E" w14:textId="77777777" w:rsidR="00E351FA" w:rsidRDefault="00E351FA" w:rsidP="00E351FA">
      <w:pPr>
        <w:rPr>
          <w:lang w:val="en-US"/>
        </w:rPr>
      </w:pPr>
    </w:p>
    <w:p w14:paraId="2C0A4DBA" w14:textId="77777777" w:rsidR="00E351FA" w:rsidRDefault="00E351FA" w:rsidP="00E351FA">
      <w:pPr>
        <w:rPr>
          <w:lang w:val="en-US"/>
        </w:rPr>
      </w:pPr>
    </w:p>
    <w:p w14:paraId="53EF4650" w14:textId="623C18E4" w:rsidR="008D6FC9" w:rsidRPr="00833F24" w:rsidRDefault="008D6FC9" w:rsidP="008D6FC9">
      <w:pPr>
        <w:rPr>
          <w:b/>
          <w:bCs/>
          <w:color w:val="0C2C74"/>
          <w:lang w:val="en-US"/>
        </w:rPr>
      </w:pPr>
      <w:r w:rsidRPr="00833F24">
        <w:rPr>
          <w:b/>
          <w:bCs/>
          <w:color w:val="0C2C74"/>
          <w:lang w:val="en-US"/>
        </w:rPr>
        <w:lastRenderedPageBreak/>
        <w:t xml:space="preserve">Implications for ECI services </w:t>
      </w:r>
      <w:r w:rsidR="000616C3">
        <w:rPr>
          <w:noProof/>
        </w:rPr>
        <mc:AlternateContent>
          <mc:Choice Requires="wps">
            <w:drawing>
              <wp:anchor distT="0" distB="0" distL="114300" distR="114300" simplePos="0" relativeHeight="251660288" behindDoc="1" locked="1" layoutInCell="1" allowOverlap="1" wp14:anchorId="3693BB3F" wp14:editId="3A8A8A88">
                <wp:simplePos x="0" y="0"/>
                <wp:positionH relativeFrom="column">
                  <wp:posOffset>-478790</wp:posOffset>
                </wp:positionH>
                <wp:positionV relativeFrom="page">
                  <wp:posOffset>787400</wp:posOffset>
                </wp:positionV>
                <wp:extent cx="6695440" cy="4191635"/>
                <wp:effectExtent l="0" t="0" r="0" b="0"/>
                <wp:wrapNone/>
                <wp:docPr id="64652442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419163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B9D04" id="Rectangle 2" o:spid="_x0000_s1026" alt="&quot;&quot;" style="position:absolute;margin-left:-37.7pt;margin-top:62pt;width:527.2pt;height:33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" fillcolor="#8087a3" stroked="f" strokeweight="1pt">
                <v:fill opacity="16448f"/>
                <w10:wrap anchory="page"/>
                <w10:anchorlock/>
              </v:rect>
            </w:pict>
          </mc:Fallback>
        </mc:AlternateContent>
      </w:r>
      <w:r w:rsidR="000616C3">
        <w:rPr>
          <w:noProof/>
        </w:rPr>
        <mc:AlternateContent>
          <mc:Choice Requires="wps">
            <w:drawing>
              <wp:anchor distT="0" distB="0" distL="114300" distR="114300" simplePos="0" relativeHeight="251661312" behindDoc="1" locked="1" layoutInCell="1" allowOverlap="1" wp14:anchorId="2D791237" wp14:editId="39E9569C">
                <wp:simplePos x="0" y="0"/>
                <wp:positionH relativeFrom="column">
                  <wp:posOffset>-480060</wp:posOffset>
                </wp:positionH>
                <wp:positionV relativeFrom="page">
                  <wp:posOffset>5161280</wp:posOffset>
                </wp:positionV>
                <wp:extent cx="6695440" cy="1942465"/>
                <wp:effectExtent l="12700" t="12700" r="10160" b="13335"/>
                <wp:wrapNone/>
                <wp:docPr id="175974078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1942465"/>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3AE76" id="Rectangle 2" o:spid="_x0000_s1026" alt="&quot;&quot;" style="position:absolute;margin-left:-37.8pt;margin-top:406.4pt;width:527.2pt;height:15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" fillcolor="#f2f2f2 [3052]" strokecolor="#8087a3" strokeweight="2.25pt">
                <w10:wrap anchory="page"/>
                <w10:anchorlock/>
              </v:rect>
            </w:pict>
          </mc:Fallback>
        </mc:AlternateContent>
      </w:r>
    </w:p>
    <w:p w14:paraId="1D694B0C" w14:textId="77777777" w:rsidR="008D6FC9" w:rsidRPr="008D6FC9" w:rsidRDefault="008D6FC9" w:rsidP="008D6FC9">
      <w:pPr>
        <w:rPr>
          <w:lang w:val="en-US"/>
        </w:rPr>
      </w:pPr>
      <w:r w:rsidRPr="008D6FC9">
        <w:rPr>
          <w:lang w:val="en-US"/>
        </w:rPr>
        <w:t xml:space="preserve">As we have seen, Australia has a set of best practice guidelines for ECI services but lacks a practice framework that provides the clear guidance as to how to implement these principles in practice, or what outcomes they are designed to produce. Such guidance is urgently needed. This project seeks to fill that gap by developing a framework that provides guidance to the ECI field (and to parents and other service provider) as to what best practice in ECI looks like, how it is delivered and what it seeks to achieve. This will a guide for ECI practitioners and will also provide guidance as to how ECI services should be organised, and what conditions are needed to support best practice. </w:t>
      </w:r>
    </w:p>
    <w:p w14:paraId="6B70D8FC" w14:textId="77777777" w:rsidR="008D6FC9" w:rsidRPr="008D6FC9" w:rsidRDefault="008D6FC9" w:rsidP="008D6FC9">
      <w:pPr>
        <w:rPr>
          <w:lang w:val="en-US"/>
        </w:rPr>
      </w:pPr>
      <w:r w:rsidRPr="008D6FC9">
        <w:rPr>
          <w:lang w:val="en-US"/>
        </w:rPr>
        <w:t xml:space="preserve">The exact form of the framework will be based on consultations with parents, practitioners, Aboriginal and Torres Strait Islander groups, and national and international experts. However, the evidence reviewed suggest that it should include the following features: </w:t>
      </w:r>
    </w:p>
    <w:p w14:paraId="63411C47" w14:textId="39F8D3D9" w:rsidR="008D6FC9" w:rsidRPr="00833F24" w:rsidRDefault="008D6FC9" w:rsidP="003B0B17">
      <w:pPr>
        <w:pStyle w:val="ListParagraph"/>
        <w:numPr>
          <w:ilvl w:val="0"/>
          <w:numId w:val="59"/>
        </w:numPr>
        <w:ind w:left="714" w:hanging="357"/>
        <w:contextualSpacing w:val="0"/>
        <w:rPr>
          <w:lang w:val="en-US"/>
        </w:rPr>
      </w:pPr>
      <w:r w:rsidRPr="00833F24">
        <w:rPr>
          <w:lang w:val="en-US"/>
        </w:rPr>
        <w:t>Statement of aims and intended outcomes</w:t>
      </w:r>
    </w:p>
    <w:p w14:paraId="53E6BCD0" w14:textId="19E3FC3C" w:rsidR="008D6FC9" w:rsidRPr="00833F24" w:rsidRDefault="008D6FC9" w:rsidP="003B0B17">
      <w:pPr>
        <w:pStyle w:val="ListParagraph"/>
        <w:numPr>
          <w:ilvl w:val="0"/>
          <w:numId w:val="59"/>
        </w:numPr>
        <w:ind w:left="714" w:hanging="357"/>
        <w:contextualSpacing w:val="0"/>
        <w:rPr>
          <w:lang w:val="en-US"/>
        </w:rPr>
      </w:pPr>
      <w:r w:rsidRPr="00833F24">
        <w:rPr>
          <w:lang w:val="en-US"/>
        </w:rPr>
        <w:t xml:space="preserve">Statement of theory of change – how ECI achieves its intended outcomes </w:t>
      </w:r>
    </w:p>
    <w:p w14:paraId="55E65C6A" w14:textId="5A503973" w:rsidR="008D6FC9" w:rsidRPr="00833F24" w:rsidRDefault="008D6FC9" w:rsidP="003B0B17">
      <w:pPr>
        <w:pStyle w:val="ListParagraph"/>
        <w:numPr>
          <w:ilvl w:val="0"/>
          <w:numId w:val="59"/>
        </w:numPr>
        <w:ind w:left="714" w:hanging="357"/>
        <w:contextualSpacing w:val="0"/>
        <w:rPr>
          <w:lang w:val="en-US"/>
        </w:rPr>
      </w:pPr>
      <w:r w:rsidRPr="00833F24">
        <w:rPr>
          <w:lang w:val="en-US"/>
        </w:rPr>
        <w:t>Statement of key principles underpinning service delivery</w:t>
      </w:r>
    </w:p>
    <w:p w14:paraId="01743B15" w14:textId="36A75483" w:rsidR="008D6FC9" w:rsidRPr="00833F24" w:rsidRDefault="008D6FC9" w:rsidP="003B0B17">
      <w:pPr>
        <w:pStyle w:val="ListParagraph"/>
        <w:numPr>
          <w:ilvl w:val="0"/>
          <w:numId w:val="59"/>
        </w:numPr>
        <w:ind w:left="714" w:hanging="357"/>
        <w:contextualSpacing w:val="0"/>
        <w:rPr>
          <w:lang w:val="en-US"/>
        </w:rPr>
      </w:pPr>
      <w:r w:rsidRPr="00833F24">
        <w:rPr>
          <w:lang w:val="en-US"/>
        </w:rPr>
        <w:t>Description of key practices showing what the principles look like in practice</w:t>
      </w:r>
    </w:p>
    <w:p w14:paraId="322D0849" w14:textId="19443E6A" w:rsidR="00833F24" w:rsidRPr="00833F24" w:rsidRDefault="008D6FC9" w:rsidP="003B0B17">
      <w:pPr>
        <w:pStyle w:val="ListParagraph"/>
        <w:numPr>
          <w:ilvl w:val="0"/>
          <w:numId w:val="59"/>
        </w:numPr>
        <w:ind w:left="714" w:hanging="357"/>
        <w:contextualSpacing w:val="0"/>
        <w:rPr>
          <w:lang w:val="en-US"/>
        </w:rPr>
      </w:pPr>
      <w:r w:rsidRPr="00833F24">
        <w:rPr>
          <w:lang w:val="en-US"/>
        </w:rPr>
        <w:t>Description of evidence-based strategies</w:t>
      </w:r>
    </w:p>
    <w:p w14:paraId="578B1473" w14:textId="77777777" w:rsidR="00833F24" w:rsidRDefault="00833F24" w:rsidP="008D6FC9">
      <w:pPr>
        <w:rPr>
          <w:lang w:val="en-US"/>
        </w:rPr>
      </w:pPr>
    </w:p>
    <w:p w14:paraId="41FBB603" w14:textId="77777777" w:rsidR="00833F24" w:rsidRDefault="00833F24" w:rsidP="008D6FC9">
      <w:pPr>
        <w:rPr>
          <w:lang w:val="en-US"/>
        </w:rPr>
      </w:pPr>
    </w:p>
    <w:p w14:paraId="16441D48" w14:textId="77777777" w:rsidR="00833F24" w:rsidRPr="00833F24" w:rsidRDefault="00833F24" w:rsidP="00833F24">
      <w:pPr>
        <w:rPr>
          <w:b/>
          <w:bCs/>
          <w:color w:val="0C2C74"/>
          <w:lang w:val="en-US"/>
        </w:rPr>
      </w:pPr>
      <w:r w:rsidRPr="00833F24">
        <w:rPr>
          <w:b/>
          <w:bCs/>
          <w:color w:val="0C2C74"/>
          <w:lang w:val="en-US"/>
        </w:rPr>
        <w:t>Implications for the ECI best practice framework</w:t>
      </w:r>
    </w:p>
    <w:p w14:paraId="4E241E16" w14:textId="77777777" w:rsidR="00833F24" w:rsidRPr="00833F24" w:rsidRDefault="00833F24" w:rsidP="00833F24">
      <w:pPr>
        <w:rPr>
          <w:lang w:val="en-US"/>
        </w:rPr>
      </w:pPr>
      <w:r w:rsidRPr="00833F24">
        <w:rPr>
          <w:lang w:val="en-US"/>
        </w:rPr>
        <w:t>It is recommended that the ECI Best Practice Framework:</w:t>
      </w:r>
    </w:p>
    <w:p w14:paraId="53FFB8A5" w14:textId="6A1B23A0" w:rsidR="00833F24" w:rsidRDefault="00833F24" w:rsidP="003B0B17">
      <w:pPr>
        <w:pStyle w:val="ListParagraph"/>
        <w:numPr>
          <w:ilvl w:val="0"/>
          <w:numId w:val="58"/>
        </w:numPr>
        <w:rPr>
          <w:lang w:val="en-US"/>
        </w:rPr>
      </w:pPr>
      <w:r w:rsidRPr="00833F24">
        <w:rPr>
          <w:lang w:val="en-US"/>
        </w:rPr>
        <w:t>Includes the following features: a statement of aims and intended outcomes; a statement of theory of change – how ECI achieves its intended outcomes; a statement of key principles underpinning service delivery; a description of key practices showing what the principles look like in practice; and a description of evidence-based strategies</w:t>
      </w:r>
    </w:p>
    <w:p w14:paraId="169C2DB4" w14:textId="77777777" w:rsidR="000616C3" w:rsidRDefault="000616C3" w:rsidP="000616C3">
      <w:pPr>
        <w:rPr>
          <w:lang w:val="en-US"/>
        </w:rPr>
      </w:pPr>
    </w:p>
    <w:p w14:paraId="0BBD77C9" w14:textId="77777777" w:rsidR="000616C3" w:rsidRDefault="000616C3" w:rsidP="000616C3">
      <w:pPr>
        <w:rPr>
          <w:lang w:val="en-US"/>
        </w:rPr>
      </w:pPr>
    </w:p>
    <w:p w14:paraId="353B6109" w14:textId="77777777" w:rsidR="000616C3" w:rsidRDefault="000616C3" w:rsidP="000616C3">
      <w:pPr>
        <w:rPr>
          <w:lang w:val="en-US"/>
        </w:rPr>
      </w:pPr>
    </w:p>
    <w:p w14:paraId="651C11C0" w14:textId="77777777" w:rsidR="00DD5526" w:rsidRDefault="00DD5526" w:rsidP="000616C3">
      <w:pPr>
        <w:rPr>
          <w:lang w:val="en-US"/>
        </w:rPr>
      </w:pPr>
    </w:p>
    <w:p w14:paraId="73D9B2D9" w14:textId="77777777" w:rsidR="00DD5526" w:rsidRDefault="00DD5526" w:rsidP="000616C3">
      <w:pPr>
        <w:rPr>
          <w:lang w:val="en-US"/>
        </w:rPr>
      </w:pPr>
    </w:p>
    <w:p w14:paraId="38AC4968" w14:textId="77777777" w:rsidR="00DD5526" w:rsidRDefault="00DD5526" w:rsidP="000616C3">
      <w:pPr>
        <w:rPr>
          <w:lang w:val="en-US"/>
        </w:rPr>
      </w:pPr>
    </w:p>
    <w:p w14:paraId="53D88F0D" w14:textId="77777777" w:rsidR="00DD5526" w:rsidRDefault="00DD5526" w:rsidP="000616C3">
      <w:pPr>
        <w:rPr>
          <w:lang w:val="en-US"/>
        </w:rPr>
      </w:pPr>
    </w:p>
    <w:p w14:paraId="08C4D03B" w14:textId="77777777" w:rsidR="00DD5526" w:rsidRDefault="00DD5526" w:rsidP="000616C3">
      <w:pPr>
        <w:rPr>
          <w:lang w:val="en-US"/>
        </w:rPr>
      </w:pPr>
    </w:p>
    <w:p w14:paraId="049BEE10" w14:textId="77777777" w:rsidR="00DD5526" w:rsidRDefault="00DD5526" w:rsidP="000616C3">
      <w:pPr>
        <w:rPr>
          <w:lang w:val="en-US"/>
        </w:rPr>
      </w:pPr>
    </w:p>
    <w:p w14:paraId="7B20760E" w14:textId="77777777" w:rsidR="00DD5526" w:rsidRDefault="00DD5526" w:rsidP="000616C3">
      <w:pPr>
        <w:rPr>
          <w:lang w:val="en-US"/>
        </w:rPr>
      </w:pPr>
    </w:p>
    <w:p w14:paraId="59ED6EC0" w14:textId="77777777" w:rsidR="00DD5526" w:rsidRDefault="00DD5526" w:rsidP="000616C3">
      <w:pPr>
        <w:rPr>
          <w:lang w:val="en-US"/>
        </w:rPr>
      </w:pPr>
    </w:p>
    <w:p w14:paraId="638699ED" w14:textId="14217446" w:rsidR="00DD5526" w:rsidRDefault="00D973D5" w:rsidP="00D973D5">
      <w:pPr>
        <w:pStyle w:val="Heading1"/>
      </w:pPr>
      <w:bookmarkStart w:id="53" w:name="_Toc177730838"/>
      <w:r>
        <w:lastRenderedPageBreak/>
        <w:t>Review of ECI Practice Frameworks</w:t>
      </w:r>
      <w:bookmarkEnd w:id="53"/>
    </w:p>
    <w:p w14:paraId="3C9B139A" w14:textId="0DE9B7C8" w:rsidR="00725D9C" w:rsidRDefault="00725D9C" w:rsidP="00725D9C">
      <w:pPr>
        <w:pStyle w:val="Heading2"/>
        <w:rPr>
          <w:lang w:val="en-US"/>
        </w:rPr>
      </w:pPr>
      <w:bookmarkStart w:id="54" w:name="_Toc177730839"/>
      <w:r>
        <w:rPr>
          <w:lang w:val="en-US"/>
        </w:rPr>
        <w:t>Introduction</w:t>
      </w:r>
      <w:bookmarkEnd w:id="54"/>
    </w:p>
    <w:p w14:paraId="74C3A625" w14:textId="02742423" w:rsidR="00755A77" w:rsidRPr="00755A77" w:rsidRDefault="00755A77" w:rsidP="00755A77">
      <w:pPr>
        <w:rPr>
          <w:lang w:val="en-US"/>
        </w:rPr>
      </w:pPr>
      <w:r w:rsidRPr="00755A77">
        <w:rPr>
          <w:lang w:val="en-US"/>
        </w:rPr>
        <w:t xml:space="preserve">This section addresses the first of two research questions posed by DSS:  What can be learned from a comparison between the frameworks/guidelines developed in Australia, including for Aboriginal and/or Torres Strait Islander contexts, NZ, the USA, Europe and UK. </w:t>
      </w:r>
    </w:p>
    <w:p w14:paraId="10C9C02C" w14:textId="77777777" w:rsidR="00755A77" w:rsidRPr="00755A77" w:rsidRDefault="00755A77" w:rsidP="00755A77">
      <w:pPr>
        <w:rPr>
          <w:lang w:val="en-US"/>
        </w:rPr>
      </w:pPr>
      <w:r w:rsidRPr="00755A77">
        <w:rPr>
          <w:lang w:val="en-US"/>
        </w:rPr>
        <w:t xml:space="preserve">To answer this question, six key best practice frameworks or guidelines were compared. The jurisdictions chosen were those where ECI frameworks were known to be used to support practice. This was complemented by a scoping review of the ECI literature focusing on the frameworks of interest. </w:t>
      </w:r>
    </w:p>
    <w:p w14:paraId="26DE0CA9" w14:textId="77777777" w:rsidR="00755A77" w:rsidRPr="00755A77" w:rsidRDefault="00755A77" w:rsidP="00755A77">
      <w:pPr>
        <w:rPr>
          <w:lang w:val="en-US"/>
        </w:rPr>
      </w:pPr>
      <w:r w:rsidRPr="00755A77">
        <w:rPr>
          <w:lang w:val="en-US"/>
        </w:rPr>
        <w:t xml:space="preserve">The six key frameworks were: </w:t>
      </w:r>
    </w:p>
    <w:p w14:paraId="2F987D79" w14:textId="6D4533E9"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Australia: </w:t>
      </w:r>
      <w:r w:rsidRPr="0036466C">
        <w:rPr>
          <w:i/>
          <w:iCs/>
          <w:lang w:val="en-US"/>
        </w:rPr>
        <w:t>Framework to inform the development of a national Aboriginal and Torres Strait Islander early childhood strategy and National Aboriginal and Torres Strait Early Childhood Strategy</w:t>
      </w:r>
      <w:r w:rsidRPr="00755A77">
        <w:rPr>
          <w:lang w:val="en-US"/>
        </w:rPr>
        <w:t xml:space="preserve"> </w:t>
      </w:r>
    </w:p>
    <w:p w14:paraId="081248C7" w14:textId="12E56F87"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Australia: </w:t>
      </w:r>
      <w:r w:rsidRPr="0036466C">
        <w:rPr>
          <w:i/>
          <w:iCs/>
          <w:lang w:val="en-US"/>
        </w:rPr>
        <w:t>National Guidelines: Best Practice in Early Childhood Intervention</w:t>
      </w:r>
    </w:p>
    <w:p w14:paraId="407EA826" w14:textId="06F44784" w:rsidR="00755A77" w:rsidRPr="0036466C" w:rsidRDefault="00755A77" w:rsidP="003B0B17">
      <w:pPr>
        <w:pStyle w:val="ListParagraph"/>
        <w:numPr>
          <w:ilvl w:val="0"/>
          <w:numId w:val="58"/>
        </w:numPr>
        <w:ind w:left="714" w:hanging="357"/>
        <w:contextualSpacing w:val="0"/>
        <w:rPr>
          <w:i/>
          <w:iCs/>
          <w:lang w:val="en-US"/>
        </w:rPr>
      </w:pPr>
      <w:r w:rsidRPr="00755A77">
        <w:rPr>
          <w:lang w:val="en-US"/>
        </w:rPr>
        <w:t xml:space="preserve">Europe: </w:t>
      </w:r>
      <w:r w:rsidRPr="0036466C">
        <w:rPr>
          <w:i/>
          <w:iCs/>
          <w:lang w:val="en-US"/>
        </w:rPr>
        <w:t>European Association on Early Childhood Intervention (Eurlyaid) Recommended Practices in Early Childhood Intervention</w:t>
      </w:r>
    </w:p>
    <w:p w14:paraId="560599F0" w14:textId="646852A4"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New Zealand: </w:t>
      </w:r>
      <w:r w:rsidRPr="0036466C">
        <w:rPr>
          <w:i/>
          <w:iCs/>
          <w:lang w:val="en-US"/>
        </w:rPr>
        <w:t>He Pikorua Practice framework</w:t>
      </w:r>
    </w:p>
    <w:p w14:paraId="2FEF67C0" w14:textId="1137468E"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UK-England: </w:t>
      </w:r>
      <w:r w:rsidRPr="0036466C">
        <w:rPr>
          <w:i/>
          <w:iCs/>
          <w:lang w:val="en-US"/>
        </w:rPr>
        <w:t>Special Educational Needs and Disabilities (SEND) and Alternative Provision (AP) Improvement Plan ‘Right Support, Right Place, Right Time’</w:t>
      </w:r>
    </w:p>
    <w:p w14:paraId="0E6C093E" w14:textId="162C63D7" w:rsidR="00755A77" w:rsidRPr="00755A77" w:rsidRDefault="00755A77" w:rsidP="003B0B17">
      <w:pPr>
        <w:pStyle w:val="ListParagraph"/>
        <w:numPr>
          <w:ilvl w:val="0"/>
          <w:numId w:val="58"/>
        </w:numPr>
        <w:ind w:left="714" w:hanging="357"/>
        <w:contextualSpacing w:val="0"/>
        <w:rPr>
          <w:lang w:val="en-US"/>
        </w:rPr>
      </w:pPr>
      <w:r w:rsidRPr="00755A77">
        <w:rPr>
          <w:lang w:val="en-US"/>
        </w:rPr>
        <w:t>UK</w:t>
      </w:r>
      <w:r w:rsidR="001420DD">
        <w:rPr>
          <w:lang w:val="en-US"/>
        </w:rPr>
        <w:t>-England</w:t>
      </w:r>
      <w:r w:rsidRPr="00755A77">
        <w:rPr>
          <w:lang w:val="en-US"/>
        </w:rPr>
        <w:t xml:space="preserve">: </w:t>
      </w:r>
      <w:r w:rsidRPr="0036466C">
        <w:rPr>
          <w:i/>
          <w:iCs/>
          <w:lang w:val="en-US"/>
        </w:rPr>
        <w:t>Early years Foundation Stage Statutory Framework for Group and School-based providers: Setting the standards for learning, development and care for children from birth to five</w:t>
      </w:r>
    </w:p>
    <w:p w14:paraId="61AB56DA" w14:textId="117D9CCD"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USA: </w:t>
      </w:r>
      <w:r w:rsidRPr="0036466C">
        <w:rPr>
          <w:i/>
          <w:iCs/>
          <w:lang w:val="en-US"/>
        </w:rPr>
        <w:t>Division for Early Childhood Recommended Practices in Early Intervention and Early Childhood Special Education</w:t>
      </w:r>
    </w:p>
    <w:p w14:paraId="052FE668" w14:textId="77777777" w:rsidR="00755A77" w:rsidRPr="00755A77" w:rsidRDefault="00755A77" w:rsidP="00755A77">
      <w:pPr>
        <w:rPr>
          <w:lang w:val="en-US"/>
        </w:rPr>
      </w:pPr>
      <w:r w:rsidRPr="00755A77">
        <w:rPr>
          <w:lang w:val="en-US"/>
        </w:rPr>
        <w:t xml:space="preserve">Each of these frameworks was examined with the following questions in mind: </w:t>
      </w:r>
    </w:p>
    <w:p w14:paraId="19A6C4E7" w14:textId="1AF531A7"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How is best practice defined? </w:t>
      </w:r>
    </w:p>
    <w:p w14:paraId="2DDC9056" w14:textId="4B7E8A97"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To whom does the framework apply? </w:t>
      </w:r>
    </w:p>
    <w:p w14:paraId="0199F27C" w14:textId="643500E5"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To what extent are universal principles identified? </w:t>
      </w:r>
    </w:p>
    <w:p w14:paraId="09F83E37" w14:textId="607030A6"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What processes, indicators and tools to gather evidence of implementation are applied? </w:t>
      </w:r>
    </w:p>
    <w:p w14:paraId="13777C2E" w14:textId="4B0739E1"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How is new evidence integrated into the identified framework? </w:t>
      </w:r>
    </w:p>
    <w:p w14:paraId="69E3B887" w14:textId="6F4443F4" w:rsidR="00755A77" w:rsidRPr="00755A77" w:rsidRDefault="00755A77" w:rsidP="003B0B17">
      <w:pPr>
        <w:pStyle w:val="ListParagraph"/>
        <w:numPr>
          <w:ilvl w:val="0"/>
          <w:numId w:val="58"/>
        </w:numPr>
        <w:ind w:left="714" w:hanging="357"/>
        <w:contextualSpacing w:val="0"/>
        <w:rPr>
          <w:lang w:val="en-US"/>
        </w:rPr>
      </w:pPr>
      <w:r w:rsidRPr="00755A77">
        <w:rPr>
          <w:lang w:val="en-US"/>
        </w:rPr>
        <w:t xml:space="preserve">What are the perceived strengths, weaknesses and challenges of the approaches? </w:t>
      </w:r>
    </w:p>
    <w:p w14:paraId="19859D31" w14:textId="2ED25681" w:rsidR="00D973D5" w:rsidRDefault="00755A77" w:rsidP="6A439164">
      <w:pPr>
        <w:rPr>
          <w:i/>
          <w:iCs/>
          <w:lang w:val="en-US"/>
        </w:rPr>
      </w:pPr>
      <w:r w:rsidRPr="6A439164">
        <w:rPr>
          <w:lang w:val="en-US"/>
        </w:rPr>
        <w:t xml:space="preserve">One key issue not addressed by these questions concerns the overall aim of early childhood intervention. This is a fundamentally important issue since best practice should be directly related to what ECI services are seeking to achieve. Accordingly, a seventh question was added to the list of questions: </w:t>
      </w:r>
    </w:p>
    <w:p w14:paraId="0E962B0D" w14:textId="7728EA3D" w:rsidR="00D973D5" w:rsidRDefault="00755A77" w:rsidP="0083234F">
      <w:pPr>
        <w:pStyle w:val="ListParagraph"/>
        <w:numPr>
          <w:ilvl w:val="0"/>
          <w:numId w:val="1"/>
        </w:numPr>
        <w:rPr>
          <w:i/>
          <w:iCs/>
          <w:lang w:val="en-US"/>
        </w:rPr>
      </w:pPr>
      <w:r w:rsidRPr="0083234F">
        <w:rPr>
          <w:lang w:val="en-US"/>
        </w:rPr>
        <w:lastRenderedPageBreak/>
        <w:t>What is the aim of ECI?</w:t>
      </w:r>
    </w:p>
    <w:p w14:paraId="43B197D9" w14:textId="77777777" w:rsidR="00725D9C" w:rsidRDefault="00725D9C" w:rsidP="00725D9C">
      <w:pPr>
        <w:rPr>
          <w:lang w:val="en-US"/>
        </w:rPr>
      </w:pPr>
    </w:p>
    <w:p w14:paraId="42B0AD94" w14:textId="0F1B3268" w:rsidR="00725D9C" w:rsidRPr="00725D9C" w:rsidRDefault="00725D9C" w:rsidP="00725D9C">
      <w:pPr>
        <w:pStyle w:val="Heading2"/>
      </w:pPr>
      <w:bookmarkStart w:id="55" w:name="_Toc177730840"/>
      <w:r w:rsidRPr="00725D9C">
        <w:t>Team members</w:t>
      </w:r>
      <w:bookmarkEnd w:id="55"/>
      <w:r w:rsidRPr="00725D9C">
        <w:t xml:space="preserve"> </w:t>
      </w:r>
    </w:p>
    <w:p w14:paraId="0EFFE720" w14:textId="147439A1" w:rsidR="00725D9C" w:rsidRPr="00725D9C" w:rsidRDefault="00725D9C" w:rsidP="003B0B17">
      <w:pPr>
        <w:pStyle w:val="ListParagraph"/>
        <w:numPr>
          <w:ilvl w:val="0"/>
          <w:numId w:val="60"/>
        </w:numPr>
        <w:ind w:left="714" w:hanging="357"/>
        <w:contextualSpacing w:val="0"/>
        <w:rPr>
          <w:lang w:val="en-US"/>
        </w:rPr>
      </w:pPr>
      <w:r w:rsidRPr="00725D9C">
        <w:rPr>
          <w:lang w:val="en-US"/>
        </w:rPr>
        <w:t>The framework summaries were prepared by Susana Gavidia-Payne, Kerry Bull and Lyn Allen.</w:t>
      </w:r>
    </w:p>
    <w:p w14:paraId="0A5280BC" w14:textId="1EF128D3" w:rsidR="00725D9C" w:rsidRPr="00725D9C" w:rsidRDefault="00725D9C" w:rsidP="003B0B17">
      <w:pPr>
        <w:pStyle w:val="ListParagraph"/>
        <w:numPr>
          <w:ilvl w:val="0"/>
          <w:numId w:val="60"/>
        </w:numPr>
        <w:ind w:left="714" w:hanging="357"/>
        <w:contextualSpacing w:val="0"/>
        <w:rPr>
          <w:lang w:val="en-US"/>
        </w:rPr>
      </w:pPr>
      <w:r w:rsidRPr="00725D9C">
        <w:rPr>
          <w:lang w:val="en-US"/>
        </w:rPr>
        <w:t>The literature searches were conducted by Meg</w:t>
      </w:r>
      <w:r w:rsidR="00D64880">
        <w:rPr>
          <w:lang w:val="en-US"/>
        </w:rPr>
        <w:t>han</w:t>
      </w:r>
      <w:r w:rsidRPr="00725D9C">
        <w:rPr>
          <w:lang w:val="en-US"/>
        </w:rPr>
        <w:t xml:space="preserve"> Wilson and Francesca Lami.</w:t>
      </w:r>
    </w:p>
    <w:p w14:paraId="1A215210" w14:textId="56733849" w:rsidR="00725D9C" w:rsidRPr="00725D9C" w:rsidRDefault="00725D9C" w:rsidP="003B0B17">
      <w:pPr>
        <w:pStyle w:val="ListParagraph"/>
        <w:numPr>
          <w:ilvl w:val="0"/>
          <w:numId w:val="60"/>
        </w:numPr>
        <w:ind w:left="714" w:hanging="357"/>
        <w:contextualSpacing w:val="0"/>
        <w:rPr>
          <w:lang w:val="en-US"/>
        </w:rPr>
      </w:pPr>
      <w:r w:rsidRPr="00725D9C">
        <w:rPr>
          <w:lang w:val="en-US"/>
        </w:rPr>
        <w:t>The data screening was conducted by Anne Truong, Susana Gavidia-Payne and Kerry Bull</w:t>
      </w:r>
    </w:p>
    <w:p w14:paraId="0B55F846" w14:textId="1D43286E" w:rsidR="00725D9C" w:rsidRPr="00725D9C" w:rsidRDefault="00725D9C" w:rsidP="003B0B17">
      <w:pPr>
        <w:pStyle w:val="ListParagraph"/>
        <w:numPr>
          <w:ilvl w:val="0"/>
          <w:numId w:val="60"/>
        </w:numPr>
        <w:ind w:left="714" w:hanging="357"/>
        <w:contextualSpacing w:val="0"/>
        <w:rPr>
          <w:lang w:val="en-US"/>
        </w:rPr>
      </w:pPr>
      <w:r w:rsidRPr="00725D9C">
        <w:rPr>
          <w:lang w:val="en-US"/>
        </w:rPr>
        <w:t>The comparison tables were prepared by Kerry Bull and Susana Gavidia-Payne.</w:t>
      </w:r>
    </w:p>
    <w:p w14:paraId="7C223B57" w14:textId="3472CA9F" w:rsidR="00725D9C" w:rsidRPr="00725D9C" w:rsidRDefault="00725D9C" w:rsidP="003B0B17">
      <w:pPr>
        <w:pStyle w:val="ListParagraph"/>
        <w:numPr>
          <w:ilvl w:val="0"/>
          <w:numId w:val="60"/>
        </w:numPr>
        <w:ind w:left="714" w:hanging="357"/>
        <w:contextualSpacing w:val="0"/>
        <w:rPr>
          <w:lang w:val="en-US"/>
        </w:rPr>
      </w:pPr>
      <w:r w:rsidRPr="00725D9C">
        <w:rPr>
          <w:lang w:val="en-US"/>
        </w:rPr>
        <w:t>The synthesis and discussion of results were carried out by Susana Gavidia-Payne, Kerry Bull and Tim Moore.</w:t>
      </w:r>
    </w:p>
    <w:p w14:paraId="484B755C" w14:textId="32D3F441" w:rsidR="00725D9C" w:rsidRPr="00725D9C" w:rsidRDefault="00725D9C" w:rsidP="003B0B17">
      <w:pPr>
        <w:pStyle w:val="ListParagraph"/>
        <w:numPr>
          <w:ilvl w:val="0"/>
          <w:numId w:val="60"/>
        </w:numPr>
        <w:ind w:left="714" w:hanging="357"/>
        <w:contextualSpacing w:val="0"/>
        <w:rPr>
          <w:lang w:val="en-US"/>
        </w:rPr>
      </w:pPr>
      <w:r w:rsidRPr="00725D9C">
        <w:rPr>
          <w:lang w:val="en-US"/>
        </w:rPr>
        <w:t xml:space="preserve">Draft versions of the paper were reviewed by PRECI Directors, Project Partners, Leadership team, and members of the National Advisory group and International Advisors. </w:t>
      </w:r>
    </w:p>
    <w:p w14:paraId="11E234E6" w14:textId="22A4C9C8" w:rsidR="00725D9C" w:rsidRPr="00725D9C" w:rsidRDefault="00725D9C" w:rsidP="00725D9C">
      <w:pPr>
        <w:pStyle w:val="Heading2"/>
      </w:pPr>
      <w:bookmarkStart w:id="56" w:name="_Toc177730841"/>
      <w:r w:rsidRPr="00725D9C">
        <w:t>Methodology</w:t>
      </w:r>
      <w:bookmarkEnd w:id="56"/>
    </w:p>
    <w:p w14:paraId="2E14134E" w14:textId="77777777" w:rsidR="00725D9C" w:rsidRPr="00725D9C" w:rsidRDefault="00725D9C" w:rsidP="00725D9C">
      <w:pPr>
        <w:rPr>
          <w:lang w:val="en-US"/>
        </w:rPr>
      </w:pPr>
      <w:r w:rsidRPr="00725D9C">
        <w:rPr>
          <w:lang w:val="en-US"/>
        </w:rPr>
        <w:t>This part of the review comprised two key components.</w:t>
      </w:r>
    </w:p>
    <w:p w14:paraId="53355035" w14:textId="0FD5EAAE" w:rsidR="00725D9C" w:rsidRPr="00725D9C" w:rsidRDefault="00725D9C" w:rsidP="003B0B17">
      <w:pPr>
        <w:pStyle w:val="ListParagraph"/>
        <w:numPr>
          <w:ilvl w:val="0"/>
          <w:numId w:val="62"/>
        </w:numPr>
        <w:rPr>
          <w:b/>
          <w:bCs/>
          <w:lang w:val="en-US"/>
        </w:rPr>
      </w:pPr>
      <w:r w:rsidRPr="00725D9C">
        <w:rPr>
          <w:b/>
          <w:bCs/>
          <w:lang w:val="en-US"/>
        </w:rPr>
        <w:t>Jurisdictional comparison</w:t>
      </w:r>
    </w:p>
    <w:p w14:paraId="3F52D5EC" w14:textId="77777777" w:rsidR="00725D9C" w:rsidRPr="00725D9C" w:rsidRDefault="00725D9C" w:rsidP="00725D9C">
      <w:pPr>
        <w:rPr>
          <w:lang w:val="en-US"/>
        </w:rPr>
      </w:pPr>
      <w:r w:rsidRPr="00725D9C">
        <w:rPr>
          <w:lang w:val="en-US"/>
        </w:rPr>
        <w:t xml:space="preserve">First, we conducted a search of the literature across six jurisdictions to determine what could be learned from a comparison among the frameworks/guidelines developed in Australia, including for Aboriginal and/or Torres Strait Islander contexts, Europe, NZ, the USA, and the UK-England. The specific questions were: </w:t>
      </w:r>
    </w:p>
    <w:p w14:paraId="67E5A250" w14:textId="361D83E3" w:rsidR="00725D9C" w:rsidRPr="00725D9C" w:rsidRDefault="00725D9C" w:rsidP="003B0B17">
      <w:pPr>
        <w:pStyle w:val="ListParagraph"/>
        <w:numPr>
          <w:ilvl w:val="0"/>
          <w:numId w:val="61"/>
        </w:numPr>
        <w:ind w:left="714" w:hanging="357"/>
        <w:contextualSpacing w:val="0"/>
        <w:rPr>
          <w:lang w:val="en-US"/>
        </w:rPr>
      </w:pPr>
      <w:r w:rsidRPr="00725D9C">
        <w:rPr>
          <w:lang w:val="en-US"/>
        </w:rPr>
        <w:t>What is the aim of ECI?</w:t>
      </w:r>
    </w:p>
    <w:p w14:paraId="6F90C042" w14:textId="25595BAE" w:rsidR="00725D9C" w:rsidRPr="00725D9C" w:rsidRDefault="00725D9C" w:rsidP="003B0B17">
      <w:pPr>
        <w:pStyle w:val="ListParagraph"/>
        <w:numPr>
          <w:ilvl w:val="0"/>
          <w:numId w:val="61"/>
        </w:numPr>
        <w:ind w:left="714" w:hanging="357"/>
        <w:contextualSpacing w:val="0"/>
        <w:rPr>
          <w:lang w:val="en-US"/>
        </w:rPr>
      </w:pPr>
      <w:r w:rsidRPr="00725D9C">
        <w:rPr>
          <w:lang w:val="en-US"/>
        </w:rPr>
        <w:t xml:space="preserve">How is best practice defined? </w:t>
      </w:r>
    </w:p>
    <w:p w14:paraId="1F2CA515" w14:textId="701EEF3C" w:rsidR="00725D9C" w:rsidRPr="00725D9C" w:rsidRDefault="00725D9C" w:rsidP="003B0B17">
      <w:pPr>
        <w:pStyle w:val="ListParagraph"/>
        <w:numPr>
          <w:ilvl w:val="0"/>
          <w:numId w:val="61"/>
        </w:numPr>
        <w:ind w:left="714" w:hanging="357"/>
        <w:contextualSpacing w:val="0"/>
        <w:rPr>
          <w:lang w:val="en-US"/>
        </w:rPr>
      </w:pPr>
      <w:r w:rsidRPr="00725D9C">
        <w:rPr>
          <w:lang w:val="en-US"/>
        </w:rPr>
        <w:t xml:space="preserve">To whom does the framework apply? </w:t>
      </w:r>
    </w:p>
    <w:p w14:paraId="0EC5C8E9" w14:textId="6DCCC682" w:rsidR="00725D9C" w:rsidRPr="00725D9C" w:rsidRDefault="00725D9C" w:rsidP="003B0B17">
      <w:pPr>
        <w:pStyle w:val="ListParagraph"/>
        <w:numPr>
          <w:ilvl w:val="0"/>
          <w:numId w:val="61"/>
        </w:numPr>
        <w:ind w:left="714" w:hanging="357"/>
        <w:contextualSpacing w:val="0"/>
        <w:rPr>
          <w:lang w:val="en-US"/>
        </w:rPr>
      </w:pPr>
      <w:r w:rsidRPr="00725D9C">
        <w:rPr>
          <w:lang w:val="en-US"/>
        </w:rPr>
        <w:t xml:space="preserve">To what extent are universal principles identified? </w:t>
      </w:r>
    </w:p>
    <w:p w14:paraId="54B9418C" w14:textId="63E850DA" w:rsidR="00725D9C" w:rsidRPr="00725D9C" w:rsidRDefault="00725D9C" w:rsidP="003B0B17">
      <w:pPr>
        <w:pStyle w:val="ListParagraph"/>
        <w:numPr>
          <w:ilvl w:val="0"/>
          <w:numId w:val="61"/>
        </w:numPr>
        <w:ind w:left="714" w:hanging="357"/>
        <w:contextualSpacing w:val="0"/>
        <w:rPr>
          <w:lang w:val="en-US"/>
        </w:rPr>
      </w:pPr>
      <w:r w:rsidRPr="00725D9C">
        <w:rPr>
          <w:lang w:val="en-US"/>
        </w:rPr>
        <w:t xml:space="preserve">What processes, indicators and tools to gather evidence of implementation are applied? </w:t>
      </w:r>
    </w:p>
    <w:p w14:paraId="62148CD2" w14:textId="62729D20" w:rsidR="00725D9C" w:rsidRPr="00725D9C" w:rsidRDefault="00725D9C" w:rsidP="003B0B17">
      <w:pPr>
        <w:pStyle w:val="ListParagraph"/>
        <w:numPr>
          <w:ilvl w:val="0"/>
          <w:numId w:val="61"/>
        </w:numPr>
        <w:ind w:left="714" w:hanging="357"/>
        <w:contextualSpacing w:val="0"/>
        <w:rPr>
          <w:lang w:val="en-US"/>
        </w:rPr>
      </w:pPr>
      <w:r w:rsidRPr="00725D9C">
        <w:rPr>
          <w:lang w:val="en-US"/>
        </w:rPr>
        <w:t xml:space="preserve">How is new evidence integrated into the identified framework? </w:t>
      </w:r>
    </w:p>
    <w:p w14:paraId="496B42E2" w14:textId="6202BDF9" w:rsidR="00725D9C" w:rsidRPr="00725D9C" w:rsidRDefault="00725D9C" w:rsidP="003B0B17">
      <w:pPr>
        <w:pStyle w:val="ListParagraph"/>
        <w:numPr>
          <w:ilvl w:val="0"/>
          <w:numId w:val="61"/>
        </w:numPr>
        <w:ind w:left="714" w:hanging="357"/>
        <w:contextualSpacing w:val="0"/>
        <w:rPr>
          <w:lang w:val="en-US"/>
        </w:rPr>
      </w:pPr>
      <w:r w:rsidRPr="00725D9C">
        <w:rPr>
          <w:lang w:val="en-US"/>
        </w:rPr>
        <w:t>What are the perceived strengths, weaknesses and challenges of the approaches?</w:t>
      </w:r>
    </w:p>
    <w:p w14:paraId="32F1B5D7" w14:textId="77777777" w:rsidR="00725D9C" w:rsidRPr="00725D9C" w:rsidRDefault="00725D9C" w:rsidP="00725D9C">
      <w:pPr>
        <w:rPr>
          <w:lang w:val="en-US"/>
        </w:rPr>
      </w:pPr>
      <w:r w:rsidRPr="00725D9C">
        <w:rPr>
          <w:lang w:val="en-US"/>
        </w:rPr>
        <w:t xml:space="preserve">We conducted a targeted search of material from key organisations, as identified by project partners. Targeted searches were also complemented by forward citation searching for references to the primary documents describing the ECI approach for each jurisdiction. </w:t>
      </w:r>
    </w:p>
    <w:p w14:paraId="7DD9B57F" w14:textId="77777777" w:rsidR="00725D9C" w:rsidRDefault="00725D9C" w:rsidP="00725D9C">
      <w:pPr>
        <w:rPr>
          <w:lang w:val="en-US"/>
        </w:rPr>
      </w:pPr>
      <w:r w:rsidRPr="00725D9C">
        <w:rPr>
          <w:lang w:val="en-US"/>
        </w:rPr>
        <w:t xml:space="preserve">Draft papers for each jurisdiction were produced, reviewed by the project team and discussed with members of the International Advisors from the respective jurisdiction to ensure accuracy. </w:t>
      </w:r>
    </w:p>
    <w:p w14:paraId="2414B26A" w14:textId="65440133" w:rsidR="00725D9C" w:rsidRPr="00725D9C" w:rsidRDefault="00725D9C" w:rsidP="003B0B17">
      <w:pPr>
        <w:pStyle w:val="ListParagraph"/>
        <w:numPr>
          <w:ilvl w:val="0"/>
          <w:numId w:val="62"/>
        </w:numPr>
        <w:rPr>
          <w:b/>
          <w:bCs/>
          <w:lang w:val="en-US"/>
        </w:rPr>
      </w:pPr>
      <w:r w:rsidRPr="00725D9C">
        <w:rPr>
          <w:b/>
          <w:bCs/>
          <w:lang w:val="en-US"/>
        </w:rPr>
        <w:lastRenderedPageBreak/>
        <w:t>Scoping review</w:t>
      </w:r>
    </w:p>
    <w:p w14:paraId="490D47ED" w14:textId="77777777" w:rsidR="00725D9C" w:rsidRPr="00725D9C" w:rsidRDefault="00725D9C" w:rsidP="00725D9C">
      <w:pPr>
        <w:rPr>
          <w:lang w:val="en-US"/>
        </w:rPr>
      </w:pPr>
      <w:r w:rsidRPr="00725D9C">
        <w:rPr>
          <w:lang w:val="en-US"/>
        </w:rPr>
        <w:t xml:space="preserve">A scoping study methodology was chosen for this part of the review in order to gather and synthesise evidence specific to the identified frameworks. Scoping reviews are appropriate to identify the range of evidence in a field and knowledge gaps, and for clarifying concepts and their key characteristics (Peters et al., 2021). We followed the Joanna Briggs Institute’s methods, which uses the PRISMA-Scoping Reviews approach. </w:t>
      </w:r>
    </w:p>
    <w:p w14:paraId="1D8D2A83" w14:textId="77777777" w:rsidR="00725D9C" w:rsidRPr="00725D9C" w:rsidRDefault="00725D9C" w:rsidP="00725D9C">
      <w:pPr>
        <w:rPr>
          <w:b/>
          <w:bCs/>
          <w:lang w:val="en-US"/>
        </w:rPr>
      </w:pPr>
      <w:r w:rsidRPr="00725D9C">
        <w:rPr>
          <w:b/>
          <w:bCs/>
          <w:lang w:val="en-US"/>
        </w:rPr>
        <w:t>Search strategy</w:t>
      </w:r>
    </w:p>
    <w:p w14:paraId="4BA4AE25" w14:textId="77777777" w:rsidR="00725D9C" w:rsidRPr="00725D9C" w:rsidRDefault="00725D9C" w:rsidP="00725D9C">
      <w:pPr>
        <w:rPr>
          <w:lang w:val="en-US"/>
        </w:rPr>
      </w:pPr>
      <w:r w:rsidRPr="00725D9C">
        <w:rPr>
          <w:lang w:val="en-US"/>
        </w:rPr>
        <w:t xml:space="preserve">Six targeted searches (one for each jurisdiction) were conducted in electronic databases including Web of Science, PubMed, ERIC, CINAHL and PsychINFO for peer reviewed research evidence, as well as a search of grey literature using Google Scholar. Consistent with scoping review methods we used a Population, Concept, Context (PCC) approach to structure the search, and determine inclusion/exclusion criteria. </w:t>
      </w:r>
    </w:p>
    <w:p w14:paraId="07B99105" w14:textId="77777777" w:rsidR="00725D9C" w:rsidRPr="00725D9C" w:rsidRDefault="00725D9C" w:rsidP="00725D9C">
      <w:pPr>
        <w:rPr>
          <w:b/>
          <w:bCs/>
          <w:lang w:val="en-US"/>
        </w:rPr>
      </w:pPr>
      <w:r w:rsidRPr="00725D9C">
        <w:rPr>
          <w:b/>
          <w:bCs/>
          <w:lang w:val="en-US"/>
        </w:rPr>
        <w:t>Inclusion/exclusion criteria</w:t>
      </w:r>
    </w:p>
    <w:p w14:paraId="74FD1C8B" w14:textId="77777777" w:rsidR="00725D9C" w:rsidRPr="00725D9C" w:rsidRDefault="00725D9C" w:rsidP="00725D9C">
      <w:pPr>
        <w:rPr>
          <w:lang w:val="en-US"/>
        </w:rPr>
      </w:pPr>
      <w:r w:rsidRPr="00725D9C">
        <w:rPr>
          <w:lang w:val="en-US"/>
        </w:rPr>
        <w:t xml:space="preserve">Documents reporting the ECI frameworks principles, processes for implementation, indicators and tools, along with research evaluating implementation experiences were eligible for inclusion. The population of interest is children aged 0 to 9 years of age with developmental concerns, delays and/or disability. Excluded was research focused on specific interventions or single-discipline approaches or guidelines for ECI. We limited document selection to those published from 2010 and beyond. We excluded reports not written in English as time prohibited language translation. We excluded books, dissertations, chapters and comments. </w:t>
      </w:r>
    </w:p>
    <w:p w14:paraId="2D3CF563" w14:textId="77777777" w:rsidR="00725D9C" w:rsidRPr="00725D9C" w:rsidRDefault="00725D9C" w:rsidP="00725D9C">
      <w:pPr>
        <w:rPr>
          <w:b/>
          <w:bCs/>
          <w:lang w:val="en-US"/>
        </w:rPr>
      </w:pPr>
      <w:r w:rsidRPr="00725D9C">
        <w:rPr>
          <w:b/>
          <w:bCs/>
          <w:lang w:val="en-US"/>
        </w:rPr>
        <w:t>Document selection and extraction</w:t>
      </w:r>
    </w:p>
    <w:p w14:paraId="169E983B" w14:textId="68566E2E" w:rsidR="00725D9C" w:rsidRPr="00725D9C" w:rsidRDefault="00725D9C" w:rsidP="00725D9C">
      <w:r w:rsidRPr="31CCD05E">
        <w:t>Following inclusion/exclusion criteria, a research assistant screened documents using Covidence software to determine eligibility using title/abstract information.  Full text documents were then retrieved and independently screened by two senior researchers. A justification code was documented for excluded articles. Consensus processes were utilised to manage conflicts (see Figure 1</w:t>
      </w:r>
      <w:r w:rsidR="002C4DF5" w:rsidRPr="31CCD05E">
        <w:t>)</w:t>
      </w:r>
      <w:r w:rsidRPr="31CCD05E">
        <w:t xml:space="preserve">.  </w:t>
      </w:r>
    </w:p>
    <w:p w14:paraId="5D42CAED" w14:textId="77777777" w:rsidR="00725D9C" w:rsidRPr="00725D9C" w:rsidRDefault="00725D9C" w:rsidP="00725D9C">
      <w:pPr>
        <w:rPr>
          <w:b/>
          <w:bCs/>
          <w:lang w:val="en-US"/>
        </w:rPr>
      </w:pPr>
      <w:r w:rsidRPr="00725D9C">
        <w:rPr>
          <w:b/>
          <w:bCs/>
          <w:lang w:val="en-US"/>
        </w:rPr>
        <w:t>Data synthesis</w:t>
      </w:r>
    </w:p>
    <w:p w14:paraId="3A8F3633" w14:textId="666FC87A" w:rsidR="00725D9C" w:rsidRDefault="00725D9C" w:rsidP="00725D9C">
      <w:pPr>
        <w:rPr>
          <w:lang w:val="en-US"/>
        </w:rPr>
      </w:pPr>
      <w:r w:rsidRPr="00725D9C">
        <w:rPr>
          <w:lang w:val="en-US"/>
        </w:rPr>
        <w:t>Core information has been tabulated to characterise the knowledge base. A synthesis and discussion follow, drawing in other ECI related papers known to the researchers based on their ECI expertise. These papers complement the scoping review findings and strengthen the concepts pertinent to the development of an ECI best practice framework.</w:t>
      </w:r>
    </w:p>
    <w:p w14:paraId="3090C8FC" w14:textId="77777777" w:rsidR="002C4DF5" w:rsidRDefault="002C4DF5" w:rsidP="00725D9C">
      <w:pPr>
        <w:rPr>
          <w:lang w:val="en-US"/>
        </w:rPr>
      </w:pPr>
    </w:p>
    <w:p w14:paraId="3C4A2256" w14:textId="77777777" w:rsidR="002C4DF5" w:rsidRDefault="002C4DF5" w:rsidP="00725D9C">
      <w:pPr>
        <w:rPr>
          <w:lang w:val="en-US"/>
        </w:rPr>
      </w:pPr>
    </w:p>
    <w:p w14:paraId="35086F54" w14:textId="77777777" w:rsidR="002C4DF5" w:rsidRDefault="002C4DF5" w:rsidP="00725D9C">
      <w:pPr>
        <w:rPr>
          <w:lang w:val="en-US"/>
        </w:rPr>
      </w:pPr>
    </w:p>
    <w:p w14:paraId="65C462AD" w14:textId="77777777" w:rsidR="002C4DF5" w:rsidRDefault="002C4DF5" w:rsidP="00725D9C">
      <w:pPr>
        <w:rPr>
          <w:lang w:val="en-US"/>
        </w:rPr>
      </w:pPr>
    </w:p>
    <w:p w14:paraId="3CCFBEBA" w14:textId="77777777" w:rsidR="002C4DF5" w:rsidRDefault="002C4DF5" w:rsidP="00725D9C">
      <w:pPr>
        <w:rPr>
          <w:lang w:val="en-US"/>
        </w:rPr>
      </w:pPr>
    </w:p>
    <w:p w14:paraId="66805CA4" w14:textId="77777777" w:rsidR="002C4DF5" w:rsidRDefault="002C4DF5" w:rsidP="00725D9C">
      <w:pPr>
        <w:rPr>
          <w:lang w:val="en-US"/>
        </w:rPr>
      </w:pPr>
    </w:p>
    <w:p w14:paraId="69EAE048" w14:textId="77777777" w:rsidR="002C4DF5" w:rsidRDefault="002C4DF5" w:rsidP="00725D9C">
      <w:pPr>
        <w:rPr>
          <w:lang w:val="en-US"/>
        </w:rPr>
      </w:pPr>
    </w:p>
    <w:p w14:paraId="27910A9E" w14:textId="77777777" w:rsidR="002C4DF5" w:rsidRDefault="002C4DF5" w:rsidP="00725D9C">
      <w:pPr>
        <w:rPr>
          <w:lang w:val="en-US"/>
        </w:rPr>
      </w:pPr>
    </w:p>
    <w:p w14:paraId="52D9D41D" w14:textId="0DA95B04" w:rsidR="002C4DF5" w:rsidRDefault="00F257D7" w:rsidP="00725D9C">
      <w:pPr>
        <w:rPr>
          <w:lang w:val="en-US"/>
        </w:rPr>
      </w:pPr>
      <w:r w:rsidRPr="001A7D55">
        <w:rPr>
          <w:rFonts w:asciiTheme="minorHAnsi" w:hAnsiTheme="minorHAnsi" w:cstheme="minorHAnsi"/>
          <w:noProof/>
          <w:color w:val="2B579A"/>
          <w:shd w:val="clear" w:color="auto" w:fill="E6E6E6"/>
        </w:rPr>
        <w:lastRenderedPageBreak/>
        <w:drawing>
          <wp:inline distT="0" distB="0" distL="0" distR="0" wp14:anchorId="35156CB7" wp14:editId="11F86E2B">
            <wp:extent cx="5187950" cy="5984869"/>
            <wp:effectExtent l="0" t="0" r="0" b="0"/>
            <wp:docPr id="678064420" name="Picture 1" descr="A screenshot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81178" name="Picture 1" descr="A screenshot of a flowchart&#10;&#10;Description automatically generated"/>
                    <pic:cNvPicPr/>
                  </pic:nvPicPr>
                  <pic:blipFill>
                    <a:blip r:embed="rId15"/>
                    <a:stretch>
                      <a:fillRect/>
                    </a:stretch>
                  </pic:blipFill>
                  <pic:spPr>
                    <a:xfrm>
                      <a:off x="0" y="0"/>
                      <a:ext cx="5202730" cy="6001920"/>
                    </a:xfrm>
                    <a:prstGeom prst="rect">
                      <a:avLst/>
                    </a:prstGeom>
                  </pic:spPr>
                </pic:pic>
              </a:graphicData>
            </a:graphic>
          </wp:inline>
        </w:drawing>
      </w:r>
    </w:p>
    <w:p w14:paraId="3531959D" w14:textId="545DE5BB" w:rsidR="00FD49D8" w:rsidRDefault="00B0155C" w:rsidP="00B0155C">
      <w:pPr>
        <w:pStyle w:val="Caption"/>
      </w:pPr>
      <w:bookmarkStart w:id="57" w:name="_Toc177730755"/>
      <w:r w:rsidRPr="00B14CD8">
        <w:rPr>
          <w:b/>
          <w:bCs/>
        </w:rPr>
        <w:t xml:space="preserve">Figure </w:t>
      </w:r>
      <w:r w:rsidR="0097294A" w:rsidRPr="00B14CD8">
        <w:rPr>
          <w:b/>
          <w:bCs/>
        </w:rPr>
        <w:fldChar w:fldCharType="begin"/>
      </w:r>
      <w:r w:rsidR="0097294A" w:rsidRPr="00B14CD8">
        <w:rPr>
          <w:b/>
          <w:bCs/>
        </w:rPr>
        <w:instrText xml:space="preserve"> SEQ Figure \* ARABIC </w:instrText>
      </w:r>
      <w:r w:rsidR="0097294A" w:rsidRPr="00B14CD8">
        <w:rPr>
          <w:b/>
          <w:bCs/>
        </w:rPr>
        <w:fldChar w:fldCharType="separate"/>
      </w:r>
      <w:r w:rsidR="00303407">
        <w:rPr>
          <w:b/>
          <w:bCs/>
          <w:noProof/>
        </w:rPr>
        <w:t>1</w:t>
      </w:r>
      <w:r w:rsidR="0097294A" w:rsidRPr="00B14CD8">
        <w:rPr>
          <w:b/>
          <w:bCs/>
          <w:noProof/>
        </w:rPr>
        <w:fldChar w:fldCharType="end"/>
      </w:r>
      <w:r w:rsidRPr="00B14CD8">
        <w:rPr>
          <w:b/>
          <w:bCs/>
        </w:rPr>
        <w:t>:</w:t>
      </w:r>
      <w:r>
        <w:t xml:space="preserve"> </w:t>
      </w:r>
      <w:r w:rsidRPr="00C268A8">
        <w:t>PRISMA Flow Diagram for scoping review</w:t>
      </w:r>
      <w:bookmarkEnd w:id="57"/>
    </w:p>
    <w:p w14:paraId="5DB50791" w14:textId="77777777" w:rsidR="00503EB9" w:rsidRPr="00503EB9" w:rsidRDefault="00503EB9" w:rsidP="00503EB9"/>
    <w:p w14:paraId="528BB518" w14:textId="77777777" w:rsidR="00FD49D8" w:rsidRPr="00FD49D8" w:rsidRDefault="00FD49D8" w:rsidP="00FD49D8">
      <w:pPr>
        <w:pStyle w:val="Heading2"/>
        <w:rPr>
          <w:lang w:val="en-US"/>
        </w:rPr>
      </w:pPr>
      <w:bookmarkStart w:id="58" w:name="_Toc177730842"/>
      <w:r w:rsidRPr="00FD49D8">
        <w:rPr>
          <w:lang w:val="en-US"/>
        </w:rPr>
        <w:t>Summaries of ECI practice frameworks</w:t>
      </w:r>
      <w:bookmarkEnd w:id="58"/>
    </w:p>
    <w:p w14:paraId="54AF43D1" w14:textId="77777777" w:rsidR="00FD49D8" w:rsidRDefault="00FD49D8" w:rsidP="00FD49D8">
      <w:pPr>
        <w:rPr>
          <w:lang w:val="en-US"/>
        </w:rPr>
      </w:pPr>
      <w:r w:rsidRPr="00FD49D8">
        <w:rPr>
          <w:lang w:val="en-US"/>
        </w:rPr>
        <w:t>This section focusses on the review and comparison of frameworks across six jurisdictions in response to the research question posed by DSS:  What can be learned from a comparison between the frameworks/guidelines developed in Australia, including for Aboriginal and/or Torres Strait Islander contexts, NZ, the USA, Europe and UK? Although not the aim of the present review, it is important to note that other frameworks may offer elements relevant to the development of the ECI practice framework. Professionals that typically work in the field of ECI have guides to good practice, standards, and clinical guidelines that are relevant to their discipline. Further to this, three specific frameworks deserve attention:</w:t>
      </w:r>
    </w:p>
    <w:p w14:paraId="1503FA97" w14:textId="77777777" w:rsidR="00C15F5B" w:rsidRPr="00C15F5B" w:rsidRDefault="00C15F5B" w:rsidP="003B0B17">
      <w:pPr>
        <w:pStyle w:val="ListParagraph"/>
        <w:numPr>
          <w:ilvl w:val="0"/>
          <w:numId w:val="63"/>
        </w:numPr>
        <w:ind w:left="714" w:hanging="357"/>
        <w:contextualSpacing w:val="0"/>
        <w:rPr>
          <w:lang w:val="en-US"/>
        </w:rPr>
      </w:pPr>
      <w:r w:rsidRPr="00C15F5B">
        <w:rPr>
          <w:i/>
          <w:iCs/>
          <w:lang w:val="en-US"/>
        </w:rPr>
        <w:lastRenderedPageBreak/>
        <w:t>Belonging, Being and Becoming: The Early Years Learning Framework for Australia</w:t>
      </w:r>
      <w:r w:rsidRPr="00C15F5B">
        <w:rPr>
          <w:lang w:val="en-US"/>
        </w:rPr>
        <w:t xml:space="preserve"> (V2.0) (2022)</w:t>
      </w:r>
    </w:p>
    <w:p w14:paraId="54B135EA" w14:textId="0E8F6A30" w:rsidR="00C15F5B" w:rsidRPr="00C15F5B" w:rsidRDefault="00C15F5B" w:rsidP="003B0B17">
      <w:pPr>
        <w:pStyle w:val="ListParagraph"/>
        <w:numPr>
          <w:ilvl w:val="0"/>
          <w:numId w:val="63"/>
        </w:numPr>
        <w:ind w:left="714" w:hanging="357"/>
        <w:contextualSpacing w:val="0"/>
        <w:rPr>
          <w:lang w:val="en-US"/>
        </w:rPr>
      </w:pPr>
      <w:r w:rsidRPr="00C15F5B">
        <w:rPr>
          <w:lang w:val="en-US"/>
        </w:rPr>
        <w:t>Australia’s National Guideline for supporting the learning, participation, and wellbeing of autistic children and their families in Australia, which focuses on practitioners delivering supports in community and clinical settings (</w:t>
      </w:r>
      <w:hyperlink r:id="rId16" w:history="1">
        <w:r w:rsidRPr="00C15F5B">
          <w:rPr>
            <w:rStyle w:val="Hyperlink"/>
            <w:lang w:val="en-US"/>
          </w:rPr>
          <w:t>https://www.autismcrc.com.au/best-practice/supporting-children</w:t>
        </w:r>
      </w:hyperlink>
      <w:r w:rsidRPr="00C15F5B">
        <w:rPr>
          <w:lang w:val="en-US"/>
        </w:rPr>
        <w:t>)</w:t>
      </w:r>
    </w:p>
    <w:p w14:paraId="354CEB7C" w14:textId="597C4C07" w:rsidR="00C15F5B" w:rsidRDefault="00C15F5B" w:rsidP="003B0B17">
      <w:pPr>
        <w:pStyle w:val="ListParagraph"/>
        <w:numPr>
          <w:ilvl w:val="0"/>
          <w:numId w:val="63"/>
        </w:numPr>
        <w:ind w:left="714" w:hanging="357"/>
        <w:contextualSpacing w:val="0"/>
        <w:rPr>
          <w:lang w:val="en-US"/>
        </w:rPr>
      </w:pPr>
      <w:r w:rsidRPr="00C15F5B">
        <w:rPr>
          <w:lang w:val="en-US"/>
        </w:rPr>
        <w:t xml:space="preserve">Ireland’s Access and Inclusion Model (AIM; </w:t>
      </w:r>
      <w:hyperlink r:id="rId17" w:history="1">
        <w:r w:rsidRPr="00C15F5B">
          <w:rPr>
            <w:rStyle w:val="Hyperlink"/>
            <w:lang w:val="en-US"/>
          </w:rPr>
          <w:t>https://aim.gov.ie</w:t>
        </w:r>
      </w:hyperlink>
      <w:r w:rsidRPr="00C15F5B">
        <w:rPr>
          <w:lang w:val="en-US"/>
        </w:rPr>
        <w:t>/), that aims to create a more inclusive environment in pre-schools, so all children, regardless of ability, can benefit from quality early learning and care</w:t>
      </w:r>
    </w:p>
    <w:p w14:paraId="16583BB7" w14:textId="2014AB9C" w:rsidR="009440FE" w:rsidRDefault="009440FE" w:rsidP="009440FE">
      <w:pPr>
        <w:rPr>
          <w:lang w:val="en-US"/>
        </w:rPr>
      </w:pPr>
      <w:r>
        <w:rPr>
          <w:noProof/>
          <w:lang w:val="en-US"/>
        </w:rPr>
        <mc:AlternateContent>
          <mc:Choice Requires="wps">
            <w:drawing>
              <wp:anchor distT="0" distB="0" distL="114300" distR="114300" simplePos="0" relativeHeight="251662336" behindDoc="1" locked="1" layoutInCell="1" allowOverlap="1" wp14:anchorId="54084F2B" wp14:editId="1BD790EC">
                <wp:simplePos x="0" y="0"/>
                <wp:positionH relativeFrom="column">
                  <wp:posOffset>-200660</wp:posOffset>
                </wp:positionH>
                <wp:positionV relativeFrom="page">
                  <wp:posOffset>2824480</wp:posOffset>
                </wp:positionV>
                <wp:extent cx="6134100" cy="773430"/>
                <wp:effectExtent l="0" t="0" r="0" b="1270"/>
                <wp:wrapNone/>
                <wp:docPr id="1235892828" name="Rectangle 3"/>
                <wp:cNvGraphicFramePr/>
                <a:graphic xmlns:a="http://schemas.openxmlformats.org/drawingml/2006/main">
                  <a:graphicData uri="http://schemas.microsoft.com/office/word/2010/wordprocessingShape">
                    <wps:wsp>
                      <wps:cNvSpPr/>
                      <wps:spPr>
                        <a:xfrm>
                          <a:off x="0" y="0"/>
                          <a:ext cx="6134100" cy="773430"/>
                        </a:xfrm>
                        <a:prstGeom prst="rect">
                          <a:avLst/>
                        </a:prstGeom>
                        <a:solidFill>
                          <a:srgbClr val="8087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696D8" id="Rectangle 3" o:spid="_x0000_s1026" style="position:absolute;margin-left:-15.8pt;margin-top:222.4pt;width:483pt;height:6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" fillcolor="#8087a3" stroked="f" strokeweight="1pt">
                <w10:wrap anchory="page"/>
                <w10:anchorlock/>
              </v:rect>
            </w:pict>
          </mc:Fallback>
        </mc:AlternateContent>
      </w:r>
    </w:p>
    <w:p w14:paraId="4EACA7FA" w14:textId="7DF0B4E2" w:rsidR="009440FE" w:rsidRDefault="009440FE" w:rsidP="009440FE">
      <w:pPr>
        <w:rPr>
          <w:color w:val="FFFFFF" w:themeColor="background1"/>
          <w:lang w:val="en-US"/>
        </w:rPr>
      </w:pPr>
      <w:r w:rsidRPr="009440FE">
        <w:rPr>
          <w:b/>
          <w:bCs/>
          <w:color w:val="FFFFFF" w:themeColor="background1"/>
          <w:lang w:val="en-US"/>
        </w:rPr>
        <w:t xml:space="preserve">Australia: </w:t>
      </w:r>
      <w:r w:rsidRPr="009440FE">
        <w:rPr>
          <w:color w:val="FFFFFF" w:themeColor="background1"/>
          <w:lang w:val="en-US"/>
        </w:rPr>
        <w:t>Framework to inform the development of a national Aboriginal and Torres Strait Islander Early Childhood Strategy; National Aboriginal and Torres Strait Islander Early Childhood Strategy</w:t>
      </w:r>
    </w:p>
    <w:p w14:paraId="1AC31DF3" w14:textId="77777777" w:rsidR="009440FE" w:rsidRDefault="009440FE" w:rsidP="009440FE">
      <w:pPr>
        <w:rPr>
          <w:color w:val="FFFFFF" w:themeColor="background1"/>
          <w:lang w:val="en-US"/>
        </w:rPr>
      </w:pPr>
    </w:p>
    <w:p w14:paraId="633CC740" w14:textId="77777777" w:rsidR="00DE0B96" w:rsidRPr="00DE0B96" w:rsidRDefault="00DE0B96" w:rsidP="00DE0B96">
      <w:pPr>
        <w:rPr>
          <w:rFonts w:cs="Arial"/>
          <w:b/>
          <w:bCs/>
          <w:color w:val="000000" w:themeColor="text1"/>
          <w:lang w:val="en-US"/>
        </w:rPr>
      </w:pPr>
      <w:r w:rsidRPr="00DE0B96">
        <w:rPr>
          <w:rFonts w:cs="Arial"/>
          <w:b/>
          <w:bCs/>
          <w:color w:val="000000" w:themeColor="text1"/>
          <w:lang w:val="en-US"/>
        </w:rPr>
        <w:t>Background/Context</w:t>
      </w:r>
    </w:p>
    <w:p w14:paraId="2DB4C6F4" w14:textId="77777777" w:rsidR="00DE0B96" w:rsidRPr="00DE0B96" w:rsidRDefault="00DE0B96" w:rsidP="00DE0B96">
      <w:pPr>
        <w:ind w:left="720"/>
        <w:rPr>
          <w:rFonts w:cs="Arial"/>
          <w:i/>
          <w:iCs/>
          <w:color w:val="000000" w:themeColor="text1"/>
          <w:lang w:val="en-US"/>
        </w:rPr>
      </w:pPr>
      <w:r w:rsidRPr="00DE0B96">
        <w:rPr>
          <w:rFonts w:cs="Arial"/>
          <w:i/>
          <w:iCs/>
          <w:color w:val="000000" w:themeColor="text1"/>
          <w:lang w:val="en-US"/>
        </w:rPr>
        <w:t>“Increasing Aboriginal and Torres Strait Islander children’s opportunities to thrive in their early years is foundational to improving outcomes across their life course. Evidence is clear that pathways to healthy development, educational success, wellbeing and economic security are set in the first years from conception to when a child begins formal schooling. For Aboriginal and Torres Strait Islander families and communities, these early years are vitally important years for sharing and passing on the richness and strengths of the world’s oldest continuing cultures. Grounding children in the pride and strength of their Aboriginal and Torres Strait Islander identities, languages and cultural law and traditions forms the bedrock for success throughout their lives” (NIAA &amp; SNAICC, 2021 p4).</w:t>
      </w:r>
    </w:p>
    <w:p w14:paraId="0B415D47" w14:textId="77777777" w:rsidR="00DE0B96" w:rsidRPr="00DE0B96" w:rsidRDefault="00DE0B96" w:rsidP="00DE0B96">
      <w:pPr>
        <w:rPr>
          <w:rFonts w:cs="Arial"/>
          <w:color w:val="000000" w:themeColor="text1"/>
          <w:lang w:val="en-US"/>
        </w:rPr>
      </w:pPr>
      <w:r w:rsidRPr="00DE0B96">
        <w:rPr>
          <w:rFonts w:cs="Arial"/>
          <w:color w:val="000000" w:themeColor="text1"/>
          <w:lang w:val="en-US"/>
        </w:rPr>
        <w:t>Developmental delay and/or disability has a significant impact on Aboriginal and Torres Strait Islander children. Aboriginal and Torres Strait Islander children aged 0-14 years were more than twice as likely as non-Indigenous children to have a disability (ABS 2012 cited in NIAA, 2021). Addressing the physical, cognitive, social and psychological impacts of childhood developmental delay and disability can have life-long consequences including better health, ability to learn, pro-social behaviour, engagement with the education system and more productive and fulfilling participation in society (NIAA, 2021).</w:t>
      </w:r>
    </w:p>
    <w:p w14:paraId="65A43014" w14:textId="77777777" w:rsidR="00DE0B96" w:rsidRPr="00DE0B96" w:rsidRDefault="00DE0B96" w:rsidP="00DE0B96">
      <w:pPr>
        <w:rPr>
          <w:rFonts w:cs="Arial"/>
          <w:color w:val="000000" w:themeColor="text1"/>
          <w:lang w:val="en-US"/>
        </w:rPr>
      </w:pPr>
      <w:r w:rsidRPr="00DE0B96">
        <w:rPr>
          <w:rFonts w:cs="Arial"/>
          <w:color w:val="000000" w:themeColor="text1"/>
          <w:lang w:val="en-US"/>
        </w:rPr>
        <w:t>In Australia, any ECI framework should be informed and influenced by Aboriginal and Torres Strait Islander ways of knowing, being and doing (SNAICC 2024, consortium proposal).</w:t>
      </w:r>
    </w:p>
    <w:p w14:paraId="66D54D73" w14:textId="256DEE80" w:rsidR="00DE0B96" w:rsidRPr="00DE0B96" w:rsidRDefault="00DE0B96" w:rsidP="00DE0B96">
      <w:pPr>
        <w:rPr>
          <w:rFonts w:cs="Arial"/>
          <w:color w:val="000000" w:themeColor="text1"/>
          <w:lang w:val="en-US"/>
        </w:rPr>
      </w:pPr>
      <w:r w:rsidRPr="00DE0B96">
        <w:rPr>
          <w:rFonts w:cs="Arial"/>
          <w:color w:val="000000" w:themeColor="text1"/>
          <w:lang w:val="en-US"/>
        </w:rPr>
        <w:t xml:space="preserve">There is no standalone framework (or strategy) focused on ‘early childhood interventions’ for Aboriginal and Torres Strait Islander children with developmental concerns, delays or disability. </w:t>
      </w:r>
      <w:hyperlink r:id="rId18" w:history="1">
        <w:r w:rsidRPr="00B35017">
          <w:rPr>
            <w:rStyle w:val="Hyperlink"/>
            <w:rFonts w:cs="Arial"/>
            <w:lang w:val="en-US"/>
          </w:rPr>
          <w:t>The National Aboriginal and Torres Strait Islander Early Childhood Strategy</w:t>
        </w:r>
      </w:hyperlink>
      <w:r w:rsidRPr="00DE0B96">
        <w:rPr>
          <w:rFonts w:cs="Arial"/>
          <w:color w:val="000000" w:themeColor="text1"/>
          <w:lang w:val="en-US"/>
        </w:rPr>
        <w:t xml:space="preserve"> (the Strategy) (NIAA, 2021) identifies goals and opportunities for Aboriginal and Torres Strait Islander children (0-5 years) so that they are born healthy and remain strong, nurtured by strong families and thrive in their early years.  </w:t>
      </w:r>
    </w:p>
    <w:p w14:paraId="20091AFB" w14:textId="77777777" w:rsidR="00DE0B96" w:rsidRPr="00DE0B96" w:rsidRDefault="00DE0B96" w:rsidP="00DE0B96">
      <w:pPr>
        <w:rPr>
          <w:rFonts w:cs="Arial"/>
          <w:color w:val="000000" w:themeColor="text1"/>
          <w:lang w:val="en-US"/>
        </w:rPr>
      </w:pPr>
      <w:r w:rsidRPr="00DE0B96">
        <w:rPr>
          <w:rFonts w:cs="Arial"/>
          <w:color w:val="000000" w:themeColor="text1"/>
          <w:lang w:val="en-US"/>
        </w:rPr>
        <w:t xml:space="preserve">The Framework to inform the development of a national Aboriginal and Torres Strait Islander Early Childhood Strategy (the Framework) (NIAA &amp; SNAICC, 2021) is a </w:t>
      </w:r>
      <w:r w:rsidRPr="00DE0B96">
        <w:rPr>
          <w:rFonts w:cs="Arial"/>
          <w:color w:val="000000" w:themeColor="text1"/>
          <w:lang w:val="en-US"/>
        </w:rPr>
        <w:lastRenderedPageBreak/>
        <w:t xml:space="preserve">useful starting point for informing the development of a new national best practice framework for early childhood intervention. </w:t>
      </w:r>
    </w:p>
    <w:p w14:paraId="185CDFBC" w14:textId="77777777" w:rsidR="00DE0B96" w:rsidRPr="00DE0B96" w:rsidRDefault="00DE0B96" w:rsidP="00DE0B96">
      <w:pPr>
        <w:rPr>
          <w:rFonts w:cs="Arial"/>
          <w:color w:val="000000" w:themeColor="text1"/>
          <w:lang w:val="en-US"/>
        </w:rPr>
      </w:pPr>
      <w:r w:rsidRPr="00DE0B96">
        <w:rPr>
          <w:rFonts w:cs="Arial"/>
          <w:color w:val="000000" w:themeColor="text1"/>
          <w:lang w:val="en-US"/>
        </w:rPr>
        <w:t xml:space="preserve">The Framework identified principles, goals and outcomes as the basis for subsequent codesign of the Strategy. The principles embedded in the Framework are consistent with the National Agreement on Closing the Gap priority reforms (2020), and with evidence-based models such as those underpinning frameworks for Aboriginal and Torres Strait Islander healing, social and emotional wellbeing, health and community safety.  </w:t>
      </w:r>
    </w:p>
    <w:p w14:paraId="3DFFECE3" w14:textId="7846F301" w:rsidR="00DE0B96" w:rsidRPr="00112F4A" w:rsidRDefault="00DE0B96" w:rsidP="003B0B17">
      <w:pPr>
        <w:pStyle w:val="ListParagraph"/>
        <w:numPr>
          <w:ilvl w:val="0"/>
          <w:numId w:val="64"/>
        </w:numPr>
        <w:rPr>
          <w:rFonts w:cs="Arial"/>
          <w:b/>
          <w:bCs/>
          <w:color w:val="000000" w:themeColor="text1"/>
          <w:lang w:val="en-US"/>
        </w:rPr>
      </w:pPr>
      <w:r w:rsidRPr="00112F4A">
        <w:rPr>
          <w:rFonts w:cs="Arial"/>
          <w:b/>
          <w:bCs/>
          <w:color w:val="000000" w:themeColor="text1"/>
          <w:lang w:val="en-US"/>
        </w:rPr>
        <w:t xml:space="preserve">How is the aim of ECI defined? </w:t>
      </w:r>
    </w:p>
    <w:p w14:paraId="1E2FA625" w14:textId="77777777" w:rsidR="00DE0B96" w:rsidRPr="00DE0B96" w:rsidRDefault="00DE0B96" w:rsidP="00DE0B96">
      <w:pPr>
        <w:rPr>
          <w:rFonts w:cs="Arial"/>
          <w:color w:val="000000" w:themeColor="text1"/>
          <w:lang w:val="en-US"/>
        </w:rPr>
      </w:pPr>
      <w:r w:rsidRPr="00DE0B96">
        <w:rPr>
          <w:rFonts w:cs="Arial"/>
          <w:color w:val="000000" w:themeColor="text1"/>
          <w:lang w:val="en-US"/>
        </w:rPr>
        <w:t xml:space="preserve">There are no definitions of early childhood interventions in the Framework or Strategy. </w:t>
      </w:r>
    </w:p>
    <w:p w14:paraId="25059F94" w14:textId="77777777" w:rsidR="00DE0B96" w:rsidRPr="00DE0B96" w:rsidRDefault="00DE0B96" w:rsidP="00DE0B96">
      <w:pPr>
        <w:rPr>
          <w:rFonts w:cs="Arial"/>
          <w:color w:val="000000" w:themeColor="text1"/>
          <w:lang w:val="en-US"/>
        </w:rPr>
      </w:pPr>
      <w:r w:rsidRPr="00DE0B96">
        <w:rPr>
          <w:rFonts w:cs="Arial"/>
          <w:color w:val="000000" w:themeColor="text1"/>
          <w:lang w:val="en-US"/>
        </w:rPr>
        <w:t xml:space="preserve">The Strategy aims to positively impact all aspects of Aboriginal and Torres Strait Islander children’s lives. It seeks to heal and respond to trauma – and to empower families and communities to bring children up strong and healthy in their cultures.   </w:t>
      </w:r>
    </w:p>
    <w:p w14:paraId="63C7A4D7" w14:textId="77777777" w:rsidR="00DE0B96" w:rsidRPr="00DE0B96" w:rsidRDefault="00DE0B96" w:rsidP="00DE0B96">
      <w:pPr>
        <w:rPr>
          <w:rFonts w:cs="Arial"/>
          <w:color w:val="000000" w:themeColor="text1"/>
          <w:lang w:val="en-US"/>
        </w:rPr>
      </w:pPr>
      <w:r w:rsidRPr="00DE0B96">
        <w:rPr>
          <w:rFonts w:cs="Arial"/>
          <w:color w:val="000000" w:themeColor="text1"/>
          <w:lang w:val="en-US"/>
        </w:rPr>
        <w:t>The Strategy recognises that “when children and young people with disability experience inclusive early childhood and school education they experience stronger school, post-school and employment outcomes. The early years are therefore a key period where full inclusion in culturally safe and appropriate early childhood education should be prioritised for children with disability or developmental concern, with children being supported for a strong transition to inclusive education provided in mainstream schools.” (NIAA 2021, p16).</w:t>
      </w:r>
    </w:p>
    <w:p w14:paraId="7D0BAF28" w14:textId="77777777" w:rsidR="00DE0B96" w:rsidRPr="00DE0B96" w:rsidRDefault="00DE0B96" w:rsidP="00DE0B96">
      <w:pPr>
        <w:rPr>
          <w:rFonts w:cs="Arial"/>
          <w:color w:val="000000" w:themeColor="text1"/>
          <w:lang w:val="en-US"/>
        </w:rPr>
      </w:pPr>
      <w:r w:rsidRPr="00DE0B96">
        <w:rPr>
          <w:rFonts w:cs="Arial"/>
          <w:color w:val="000000" w:themeColor="text1"/>
          <w:lang w:val="en-US"/>
        </w:rPr>
        <w:t xml:space="preserve">The Strategy identifies several opportunities specifically related to children experiencing developmental concerns, delay or disability: </w:t>
      </w:r>
    </w:p>
    <w:p w14:paraId="444B96AE" w14:textId="649635E6" w:rsidR="00DE0B96" w:rsidRPr="00112F4A" w:rsidRDefault="00DE0B96" w:rsidP="003B0B17">
      <w:pPr>
        <w:pStyle w:val="ListParagraph"/>
        <w:numPr>
          <w:ilvl w:val="0"/>
          <w:numId w:val="65"/>
        </w:numPr>
        <w:ind w:left="714" w:hanging="357"/>
        <w:contextualSpacing w:val="0"/>
        <w:rPr>
          <w:rFonts w:cs="Arial"/>
          <w:color w:val="000000" w:themeColor="text1"/>
          <w:lang w:val="en-US"/>
        </w:rPr>
      </w:pPr>
      <w:r w:rsidRPr="00112F4A">
        <w:rPr>
          <w:rFonts w:cs="Arial"/>
          <w:color w:val="000000" w:themeColor="text1"/>
          <w:lang w:val="en-US"/>
        </w:rPr>
        <w:t xml:space="preserve">“Gaps in early childhood disability assessments, supports and service responses persist, with a lack of culturally appropriate information and support services, and challenges for families to navigate complex service systems identified as key barriers. Assessment and diagnosis are further hampered by the limited availability of culturally appropriate assessment tools. Lack of assessment and effective responses are linked to the overrepresentation of Aboriginal and Torres Strait Islander children with disability in tertiary systems, including child protection and juvenile justice.” (NIAA 2021, p11). More recent developments such as the ASQ-TRAK (Fisher, 2021) tool and Fetal Alcohol Spectrum Disorder screening assessment (Fitzpatrick et al., 2017) are seeking to provide more culturally appropriate assessment and diagnosis. </w:t>
      </w:r>
    </w:p>
    <w:p w14:paraId="22E06283" w14:textId="200C54C0" w:rsidR="00DE0B96" w:rsidRPr="00112F4A" w:rsidRDefault="00DE0B96" w:rsidP="003B0B17">
      <w:pPr>
        <w:pStyle w:val="ListParagraph"/>
        <w:numPr>
          <w:ilvl w:val="0"/>
          <w:numId w:val="65"/>
        </w:numPr>
        <w:ind w:left="714" w:hanging="357"/>
        <w:contextualSpacing w:val="0"/>
        <w:rPr>
          <w:rFonts w:cs="Arial"/>
          <w:color w:val="000000" w:themeColor="text1"/>
          <w:lang w:val="en-US"/>
        </w:rPr>
      </w:pPr>
      <w:r w:rsidRPr="00112F4A">
        <w:rPr>
          <w:rFonts w:cs="Arial"/>
          <w:color w:val="000000" w:themeColor="text1"/>
          <w:lang w:val="en-US"/>
        </w:rPr>
        <w:t>“Improve the availability of culturally safe and appropriate information on early childhood development and disability, and formative, culturally sensitive and relevant assessment tools to improve knowledge and data required for effective policy and service responses for Aboriginal and Torres Strait Islander children with developmental delay and disability” (NIAA 2021, p14).</w:t>
      </w:r>
    </w:p>
    <w:p w14:paraId="152FF224" w14:textId="6353012E" w:rsidR="00DE0B96" w:rsidRDefault="00DE0B96" w:rsidP="003B0B17">
      <w:pPr>
        <w:pStyle w:val="ListParagraph"/>
        <w:numPr>
          <w:ilvl w:val="0"/>
          <w:numId w:val="65"/>
        </w:numPr>
        <w:ind w:left="714" w:hanging="357"/>
        <w:contextualSpacing w:val="0"/>
        <w:rPr>
          <w:rFonts w:cs="Arial"/>
          <w:color w:val="000000" w:themeColor="text1"/>
          <w:lang w:val="en-US"/>
        </w:rPr>
      </w:pPr>
      <w:r w:rsidRPr="00112F4A">
        <w:rPr>
          <w:rFonts w:cs="Arial"/>
          <w:color w:val="000000" w:themeColor="text1"/>
          <w:lang w:val="en-US"/>
        </w:rPr>
        <w:t>“Strengthen partnerships with the National Disability Insurance Scheme (NDIS), including through Early Childhood Partners, Local Area Coordinators, National Disability Insurance Agency staff and Remote Community Connectors, to support improved access to, and utilisation of, culturally safe disability supports and services to Aboriginal and Torres Strait Islander children with developmental delay and disability and their families” (NIAA, 2021, p14).</w:t>
      </w:r>
    </w:p>
    <w:p w14:paraId="37ECC3BD" w14:textId="29358E6C" w:rsidR="00DE0B96" w:rsidRPr="00112F4A" w:rsidRDefault="00DE0B96" w:rsidP="003B0B17">
      <w:pPr>
        <w:pStyle w:val="ListParagraph"/>
        <w:numPr>
          <w:ilvl w:val="0"/>
          <w:numId w:val="64"/>
        </w:numPr>
        <w:rPr>
          <w:rFonts w:cs="Arial"/>
          <w:b/>
          <w:bCs/>
          <w:color w:val="000000" w:themeColor="text1"/>
          <w:lang w:val="en-US"/>
        </w:rPr>
      </w:pPr>
      <w:r w:rsidRPr="00112F4A">
        <w:rPr>
          <w:rFonts w:cs="Arial"/>
          <w:b/>
          <w:bCs/>
          <w:color w:val="000000" w:themeColor="text1"/>
          <w:lang w:val="en-US"/>
        </w:rPr>
        <w:lastRenderedPageBreak/>
        <w:t xml:space="preserve">How is best practice defined? </w:t>
      </w:r>
    </w:p>
    <w:p w14:paraId="111E0740" w14:textId="77777777" w:rsidR="00DE0B96" w:rsidRPr="00DE0B96" w:rsidRDefault="00DE0B96" w:rsidP="00DE0B96">
      <w:pPr>
        <w:rPr>
          <w:rFonts w:cs="Arial"/>
          <w:color w:val="000000" w:themeColor="text1"/>
          <w:lang w:val="en-US"/>
        </w:rPr>
      </w:pPr>
      <w:r w:rsidRPr="00DE0B96">
        <w:rPr>
          <w:rFonts w:cs="Arial"/>
          <w:color w:val="000000" w:themeColor="text1"/>
          <w:lang w:val="en-US"/>
        </w:rPr>
        <w:t xml:space="preserve">For Aboriginal and Torres Strait Islander children living with developmental concerns, delays or disability, best practice requires applying the following principles: </w:t>
      </w:r>
    </w:p>
    <w:p w14:paraId="4808D0B5" w14:textId="5DAC9357" w:rsidR="00DE0B96" w:rsidRPr="00112F4A" w:rsidRDefault="00DE0B96" w:rsidP="003B0B17">
      <w:pPr>
        <w:pStyle w:val="ListParagraph"/>
        <w:numPr>
          <w:ilvl w:val="0"/>
          <w:numId w:val="66"/>
        </w:numPr>
        <w:ind w:left="714" w:hanging="357"/>
        <w:contextualSpacing w:val="0"/>
        <w:rPr>
          <w:rFonts w:cs="Arial"/>
          <w:color w:val="000000" w:themeColor="text1"/>
          <w:lang w:val="en-US"/>
        </w:rPr>
      </w:pPr>
      <w:r w:rsidRPr="00112F4A">
        <w:rPr>
          <w:rFonts w:cs="Arial"/>
          <w:color w:val="000000" w:themeColor="text1"/>
          <w:lang w:val="en-US"/>
        </w:rPr>
        <w:t>Adopting a holistic view of early development (and health/wellbeing) that place children at the centre and which encompasses physical, mental, cultural and spiritual health and addresses social, historical and political determinants including maternal and child health, housing, early education and care, disability, family, and parenting supports, ensuring child and family safety, and promoting cultural identity development.</w:t>
      </w:r>
    </w:p>
    <w:p w14:paraId="153B7AE9" w14:textId="42A8B821" w:rsidR="00DE0B96" w:rsidRPr="00112F4A" w:rsidRDefault="00DE0B96" w:rsidP="003B0B17">
      <w:pPr>
        <w:pStyle w:val="ListParagraph"/>
        <w:numPr>
          <w:ilvl w:val="0"/>
          <w:numId w:val="66"/>
        </w:numPr>
        <w:ind w:left="714" w:hanging="357"/>
        <w:contextualSpacing w:val="0"/>
        <w:rPr>
          <w:rFonts w:cs="Arial"/>
          <w:color w:val="000000" w:themeColor="text1"/>
          <w:lang w:val="en-US"/>
        </w:rPr>
      </w:pPr>
      <w:r w:rsidRPr="00112F4A">
        <w:rPr>
          <w:rFonts w:cs="Arial"/>
          <w:color w:val="000000" w:themeColor="text1"/>
          <w:lang w:val="en-US"/>
        </w:rPr>
        <w:t>Self-determination at all levels. This means empowering parents and kin as first teachers and primary carers for their children, and empowering Aboriginal and Torres Strait Islander communities and their community-controlled services to lead responses to children’s needs.</w:t>
      </w:r>
    </w:p>
    <w:p w14:paraId="25E6F73E" w14:textId="71C23644" w:rsidR="00DE0B96" w:rsidRPr="00112F4A" w:rsidRDefault="00DE0B96" w:rsidP="003B0B17">
      <w:pPr>
        <w:pStyle w:val="ListParagraph"/>
        <w:numPr>
          <w:ilvl w:val="0"/>
          <w:numId w:val="66"/>
        </w:numPr>
        <w:ind w:left="714" w:hanging="357"/>
        <w:contextualSpacing w:val="0"/>
        <w:rPr>
          <w:rFonts w:cs="Arial"/>
          <w:color w:val="000000" w:themeColor="text1"/>
          <w:lang w:val="en-US"/>
        </w:rPr>
      </w:pPr>
      <w:r w:rsidRPr="00112F4A">
        <w:rPr>
          <w:rFonts w:cs="Arial"/>
          <w:color w:val="000000" w:themeColor="text1"/>
          <w:lang w:val="en-US"/>
        </w:rPr>
        <w:t xml:space="preserve">Recognising the centrality of Aboriginal and Torres Strait Islander family and kinship as well as the broader concepts of family and the bonds of reciprocal affection, responsibility and sharing. </w:t>
      </w:r>
    </w:p>
    <w:p w14:paraId="28A7BAA6" w14:textId="2A17E53E" w:rsidR="00DE0B96" w:rsidRPr="00112F4A" w:rsidRDefault="00DE0B96" w:rsidP="003B0B17">
      <w:pPr>
        <w:pStyle w:val="ListParagraph"/>
        <w:numPr>
          <w:ilvl w:val="0"/>
          <w:numId w:val="66"/>
        </w:numPr>
        <w:ind w:left="714" w:hanging="357"/>
        <w:contextualSpacing w:val="0"/>
        <w:rPr>
          <w:rFonts w:cs="Arial"/>
          <w:color w:val="000000" w:themeColor="text1"/>
          <w:lang w:val="en-US"/>
        </w:rPr>
      </w:pPr>
      <w:r w:rsidRPr="00112F4A">
        <w:rPr>
          <w:rFonts w:cs="Arial"/>
          <w:color w:val="000000" w:themeColor="text1"/>
          <w:lang w:val="en-US"/>
        </w:rPr>
        <w:t xml:space="preserve">Respecting the human rights of Aboriginal and Torres Strait Islander people. The full scope of children’s rights recognised in the UN Convention on the Rights of the Child must be upheld and promoted to ensure the best interests of the child are the primary consideration. Human rights articulated in the Convention on the Rights of Persons with Disabilities and the Declaration on the Rights of Indigenous Peoples must also be embedded into practice. </w:t>
      </w:r>
    </w:p>
    <w:p w14:paraId="45B043D4" w14:textId="50CED6EB" w:rsidR="00DE0B96" w:rsidRPr="00112F4A" w:rsidRDefault="00DE0B96" w:rsidP="003B0B17">
      <w:pPr>
        <w:pStyle w:val="ListParagraph"/>
        <w:numPr>
          <w:ilvl w:val="0"/>
          <w:numId w:val="66"/>
        </w:numPr>
        <w:ind w:left="714" w:hanging="357"/>
        <w:contextualSpacing w:val="0"/>
        <w:rPr>
          <w:rFonts w:cs="Arial"/>
          <w:color w:val="000000" w:themeColor="text1"/>
          <w:lang w:val="en-US"/>
        </w:rPr>
      </w:pPr>
      <w:r w:rsidRPr="00112F4A">
        <w:rPr>
          <w:rFonts w:cs="Arial"/>
          <w:color w:val="000000" w:themeColor="text1"/>
          <w:lang w:val="en-US"/>
        </w:rPr>
        <w:t xml:space="preserve">Supporting strength-based, locally led trauma-aware and healing-informed approaches that recognise (a) the strengths, knowledge, creativity and endurance of Aboriginal and Torres Strait Islander peoples as well as (b) the ongoing impact of colonisation including intergenerational experiences of trauma, structural racism and poverty so that children grow up loved and cared for within their families, communities and cultures.  Healing informed approaches are by definition locally led and determined and have cultural connection at their heart. </w:t>
      </w:r>
    </w:p>
    <w:p w14:paraId="6D8ABD0F" w14:textId="2A9AB042" w:rsidR="00DE0B96" w:rsidRPr="00112F4A" w:rsidRDefault="00DE0B96" w:rsidP="003B0B17">
      <w:pPr>
        <w:pStyle w:val="ListParagraph"/>
        <w:numPr>
          <w:ilvl w:val="0"/>
          <w:numId w:val="66"/>
        </w:numPr>
        <w:ind w:left="714" w:hanging="357"/>
        <w:contextualSpacing w:val="0"/>
        <w:rPr>
          <w:rFonts w:cs="Arial"/>
          <w:color w:val="000000" w:themeColor="text1"/>
          <w:lang w:val="en-US"/>
        </w:rPr>
      </w:pPr>
      <w:r w:rsidRPr="00112F4A">
        <w:rPr>
          <w:rFonts w:cs="Arial"/>
          <w:color w:val="000000" w:themeColor="text1"/>
          <w:lang w:val="en-US"/>
        </w:rPr>
        <w:t>Culturally valid understandings and evidence-based approaches must shape program design and service delivery. Consistent with the intent of the National Agreement on Closing the Gap, this requires partnering with Aboriginal and Torres Strait Islander communities and organisations to establish coordinated, cross portfolio, whole of governments, and whole of community response and investments to address children’s needs. Programs and practices must be flexible in order to recognise and accommodate the diversity of Aboriginal and Torres Strait Islander cultures.</w:t>
      </w:r>
    </w:p>
    <w:p w14:paraId="7E83D9D0" w14:textId="4247AAA2" w:rsidR="00DE0B96" w:rsidRPr="00112F4A" w:rsidRDefault="00DE0B96" w:rsidP="003B0B17">
      <w:pPr>
        <w:pStyle w:val="ListParagraph"/>
        <w:numPr>
          <w:ilvl w:val="0"/>
          <w:numId w:val="64"/>
        </w:numPr>
        <w:rPr>
          <w:rFonts w:cs="Arial"/>
          <w:b/>
          <w:bCs/>
          <w:color w:val="000000" w:themeColor="text1"/>
          <w:lang w:val="en-US"/>
        </w:rPr>
      </w:pPr>
      <w:r w:rsidRPr="00112F4A">
        <w:rPr>
          <w:rFonts w:cs="Arial"/>
          <w:b/>
          <w:bCs/>
          <w:color w:val="000000" w:themeColor="text1"/>
          <w:lang w:val="en-US"/>
        </w:rPr>
        <w:t xml:space="preserve">To whom does the framework apply? </w:t>
      </w:r>
    </w:p>
    <w:p w14:paraId="1B4F7C97" w14:textId="0880281D" w:rsidR="00DE0B96" w:rsidRPr="00DE0B96" w:rsidRDefault="00DE0B96" w:rsidP="00DE0B96">
      <w:pPr>
        <w:rPr>
          <w:rFonts w:cs="Arial"/>
          <w:color w:val="000000" w:themeColor="text1"/>
          <w:lang w:val="en-US"/>
        </w:rPr>
      </w:pPr>
      <w:r w:rsidRPr="00DE0B96">
        <w:rPr>
          <w:rFonts w:cs="Arial"/>
          <w:color w:val="000000" w:themeColor="text1"/>
          <w:lang w:val="en-US"/>
        </w:rPr>
        <w:t xml:space="preserve">The Framework and Strategy aim to benefit Aboriginal and Torres Strait Islander peoples – in particular children, families and communities. They are predicated on human rights conventions and on recognising intersectionality which mean that they can be more broadly applied. </w:t>
      </w:r>
    </w:p>
    <w:p w14:paraId="536B8079" w14:textId="178E0B93" w:rsidR="00DE0B96" w:rsidRPr="00232B2B" w:rsidRDefault="00DE0B96" w:rsidP="003B0B17">
      <w:pPr>
        <w:pStyle w:val="ListParagraph"/>
        <w:numPr>
          <w:ilvl w:val="0"/>
          <w:numId w:val="64"/>
        </w:numPr>
        <w:rPr>
          <w:rFonts w:cs="Arial"/>
          <w:b/>
          <w:bCs/>
          <w:color w:val="000000" w:themeColor="text1"/>
          <w:lang w:val="en-US"/>
        </w:rPr>
      </w:pPr>
      <w:r w:rsidRPr="00232B2B">
        <w:rPr>
          <w:rFonts w:cs="Arial"/>
          <w:b/>
          <w:bCs/>
          <w:color w:val="000000" w:themeColor="text1"/>
          <w:lang w:val="en-US"/>
        </w:rPr>
        <w:t xml:space="preserve">To what extent are universal principles identified? </w:t>
      </w:r>
    </w:p>
    <w:p w14:paraId="5E2C9712" w14:textId="77777777" w:rsidR="00DE0B96" w:rsidRPr="00DE0B96" w:rsidRDefault="00DE0B96" w:rsidP="00232B2B">
      <w:pPr>
        <w:rPr>
          <w:rFonts w:cs="Arial"/>
          <w:color w:val="000000" w:themeColor="text1"/>
          <w:lang w:val="en-US"/>
        </w:rPr>
      </w:pPr>
      <w:r w:rsidRPr="00DE0B96">
        <w:rPr>
          <w:rFonts w:cs="Arial"/>
          <w:color w:val="000000" w:themeColor="text1"/>
          <w:lang w:val="en-US"/>
        </w:rPr>
        <w:t>The guiding principles set out in the Framework are:</w:t>
      </w:r>
    </w:p>
    <w:p w14:paraId="6FAC63B4" w14:textId="5EDC1747" w:rsidR="00DE0B96" w:rsidRPr="00232B2B" w:rsidRDefault="00DE0B96" w:rsidP="003B0B17">
      <w:pPr>
        <w:pStyle w:val="ListParagraph"/>
        <w:numPr>
          <w:ilvl w:val="0"/>
          <w:numId w:val="67"/>
        </w:numPr>
        <w:ind w:left="714" w:hanging="357"/>
        <w:contextualSpacing w:val="0"/>
        <w:rPr>
          <w:rFonts w:cs="Arial"/>
          <w:color w:val="000000" w:themeColor="text1"/>
          <w:lang w:val="en-US"/>
        </w:rPr>
      </w:pPr>
      <w:r w:rsidRPr="00232B2B">
        <w:rPr>
          <w:rFonts w:cs="Arial"/>
          <w:color w:val="000000" w:themeColor="text1"/>
          <w:lang w:val="en-US"/>
        </w:rPr>
        <w:lastRenderedPageBreak/>
        <w:t>Applying a child-centred approach to the design of policies, programs and service systems</w:t>
      </w:r>
    </w:p>
    <w:p w14:paraId="4379EC3F" w14:textId="3C75F448" w:rsidR="00DE0B96" w:rsidRPr="00232B2B" w:rsidRDefault="00DE0B96" w:rsidP="003B0B17">
      <w:pPr>
        <w:pStyle w:val="ListParagraph"/>
        <w:numPr>
          <w:ilvl w:val="0"/>
          <w:numId w:val="67"/>
        </w:numPr>
        <w:ind w:left="714" w:hanging="357"/>
        <w:contextualSpacing w:val="0"/>
        <w:rPr>
          <w:rFonts w:cs="Arial"/>
          <w:color w:val="000000" w:themeColor="text1"/>
          <w:lang w:val="en-US"/>
        </w:rPr>
      </w:pPr>
      <w:r w:rsidRPr="00232B2B">
        <w:rPr>
          <w:rFonts w:cs="Arial"/>
          <w:color w:val="000000" w:themeColor="text1"/>
          <w:lang w:val="en-US"/>
        </w:rPr>
        <w:t>Protecting Aboriginal and Torres Strait Islander children’s right to thrive in culture</w:t>
      </w:r>
    </w:p>
    <w:p w14:paraId="37691078" w14:textId="142940CE" w:rsidR="00DE0B96" w:rsidRPr="00232B2B" w:rsidRDefault="00DE0B96" w:rsidP="003B0B17">
      <w:pPr>
        <w:pStyle w:val="ListParagraph"/>
        <w:numPr>
          <w:ilvl w:val="0"/>
          <w:numId w:val="67"/>
        </w:numPr>
        <w:ind w:left="714" w:hanging="357"/>
        <w:contextualSpacing w:val="0"/>
        <w:rPr>
          <w:rFonts w:cs="Arial"/>
          <w:color w:val="000000" w:themeColor="text1"/>
          <w:lang w:val="en-US"/>
        </w:rPr>
      </w:pPr>
      <w:r w:rsidRPr="00232B2B">
        <w:rPr>
          <w:rFonts w:cs="Arial"/>
          <w:color w:val="000000" w:themeColor="text1"/>
          <w:lang w:val="en-US"/>
        </w:rPr>
        <w:t>Building strong Aboriginal and Torres Strait Islander families</w:t>
      </w:r>
    </w:p>
    <w:p w14:paraId="54A98E6E" w14:textId="0DA7DFBA" w:rsidR="00DE0B96" w:rsidRPr="00232B2B" w:rsidRDefault="00DE0B96" w:rsidP="003B0B17">
      <w:pPr>
        <w:pStyle w:val="ListParagraph"/>
        <w:numPr>
          <w:ilvl w:val="0"/>
          <w:numId w:val="67"/>
        </w:numPr>
        <w:ind w:left="714" w:hanging="357"/>
        <w:contextualSpacing w:val="0"/>
        <w:rPr>
          <w:rFonts w:cs="Arial"/>
          <w:color w:val="000000" w:themeColor="text1"/>
          <w:lang w:val="en-US"/>
        </w:rPr>
      </w:pPr>
      <w:r w:rsidRPr="00232B2B">
        <w:rPr>
          <w:rFonts w:cs="Arial"/>
          <w:color w:val="000000" w:themeColor="text1"/>
          <w:lang w:val="en-US"/>
        </w:rPr>
        <w:t>Ensuring Aboriginal and Torres Strait Islander people are partners in shared decision making</w:t>
      </w:r>
    </w:p>
    <w:p w14:paraId="07C9ECB4" w14:textId="7C3EA195" w:rsidR="00DE0B96" w:rsidRPr="00232B2B" w:rsidRDefault="00DE0B96" w:rsidP="003B0B17">
      <w:pPr>
        <w:pStyle w:val="ListParagraph"/>
        <w:numPr>
          <w:ilvl w:val="0"/>
          <w:numId w:val="67"/>
        </w:numPr>
        <w:ind w:left="714" w:hanging="357"/>
        <w:contextualSpacing w:val="0"/>
        <w:rPr>
          <w:rFonts w:cs="Arial"/>
          <w:color w:val="000000" w:themeColor="text1"/>
          <w:lang w:val="en-US"/>
        </w:rPr>
      </w:pPr>
      <w:r w:rsidRPr="00232B2B">
        <w:rPr>
          <w:rFonts w:cs="Arial"/>
          <w:color w:val="000000" w:themeColor="text1"/>
          <w:lang w:val="en-US"/>
        </w:rPr>
        <w:t>Eliminating systemic racism</w:t>
      </w:r>
    </w:p>
    <w:p w14:paraId="688A6797" w14:textId="09C9C81E" w:rsidR="00DE0B96" w:rsidRPr="00232B2B" w:rsidRDefault="00DE0B96" w:rsidP="003B0B17">
      <w:pPr>
        <w:pStyle w:val="ListParagraph"/>
        <w:numPr>
          <w:ilvl w:val="0"/>
          <w:numId w:val="67"/>
        </w:numPr>
        <w:ind w:left="714" w:hanging="357"/>
        <w:contextualSpacing w:val="0"/>
        <w:rPr>
          <w:rFonts w:cs="Arial"/>
          <w:color w:val="000000" w:themeColor="text1"/>
          <w:lang w:val="en-US"/>
        </w:rPr>
      </w:pPr>
      <w:r w:rsidRPr="00232B2B">
        <w:rPr>
          <w:rFonts w:cs="Arial"/>
          <w:color w:val="000000" w:themeColor="text1"/>
          <w:lang w:val="en-US"/>
        </w:rPr>
        <w:t>Focusing on evidence-based design</w:t>
      </w:r>
    </w:p>
    <w:p w14:paraId="5AE1C109" w14:textId="6F29EDB4" w:rsidR="00DE0B96" w:rsidRPr="00232B2B" w:rsidRDefault="00DE0B96" w:rsidP="003B0B17">
      <w:pPr>
        <w:pStyle w:val="ListParagraph"/>
        <w:numPr>
          <w:ilvl w:val="0"/>
          <w:numId w:val="67"/>
        </w:numPr>
        <w:ind w:left="714" w:hanging="357"/>
        <w:contextualSpacing w:val="0"/>
        <w:rPr>
          <w:rFonts w:cs="Arial"/>
          <w:color w:val="000000" w:themeColor="text1"/>
          <w:lang w:val="en-US"/>
        </w:rPr>
      </w:pPr>
      <w:r w:rsidRPr="00232B2B">
        <w:rPr>
          <w:rFonts w:cs="Arial"/>
          <w:color w:val="000000" w:themeColor="text1"/>
          <w:lang w:val="en-US"/>
        </w:rPr>
        <w:t>With some changes to language, these principles can be applied universally</w:t>
      </w:r>
    </w:p>
    <w:p w14:paraId="21B7647E" w14:textId="10B24F8B" w:rsidR="00DE0B96" w:rsidRPr="00232B2B" w:rsidRDefault="00DE0B96" w:rsidP="003B0B17">
      <w:pPr>
        <w:pStyle w:val="ListParagraph"/>
        <w:numPr>
          <w:ilvl w:val="0"/>
          <w:numId w:val="64"/>
        </w:numPr>
        <w:rPr>
          <w:rFonts w:cs="Arial"/>
          <w:b/>
          <w:bCs/>
          <w:color w:val="000000" w:themeColor="text1"/>
          <w:lang w:val="en-US"/>
        </w:rPr>
      </w:pPr>
      <w:r w:rsidRPr="00232B2B">
        <w:rPr>
          <w:rFonts w:cs="Arial"/>
          <w:b/>
          <w:bCs/>
          <w:color w:val="000000" w:themeColor="text1"/>
          <w:lang w:val="en-US"/>
        </w:rPr>
        <w:t xml:space="preserve">What processes, indicators and tools to gather evidence of implementation are applied? </w:t>
      </w:r>
    </w:p>
    <w:p w14:paraId="1396F0AC" w14:textId="77777777" w:rsidR="00DE0B96" w:rsidRPr="00DE0B96" w:rsidRDefault="00DE0B96" w:rsidP="00DE0B96">
      <w:pPr>
        <w:rPr>
          <w:rFonts w:cs="Arial"/>
          <w:color w:val="000000" w:themeColor="text1"/>
          <w:lang w:val="en-US"/>
        </w:rPr>
      </w:pPr>
      <w:r w:rsidRPr="00DE0B96">
        <w:rPr>
          <w:rFonts w:cs="Arial"/>
          <w:color w:val="000000" w:themeColor="text1"/>
          <w:lang w:val="en-US"/>
        </w:rPr>
        <w:t>Any frameworks that are developed (or reviewed) to inform government programs and investments in Aboriginal and Torres Strait Islander wellbeing must be consistent with the 2020 National Agreement on Closing the Gap. The National Agreement sets out four priority reforms aimed at changing the way governments work with Aboriginal and Torres Strait Islander peoples and their organisations; specific targets for improving life outcomes for Aboriginal and Torres Strait Islander peoples across a range of socio-economic areas; and mechanisms for independent oversight and accountability, including annual data compilation and reporting via a Productivity Commission-hosted dashboard (Coalition of Peaks 2023).</w:t>
      </w:r>
    </w:p>
    <w:p w14:paraId="209BA11F" w14:textId="77777777" w:rsidR="00DE0B96" w:rsidRPr="00DE0B96" w:rsidRDefault="00DE0B96" w:rsidP="00DE0B96">
      <w:pPr>
        <w:rPr>
          <w:rFonts w:cs="Arial"/>
          <w:color w:val="000000" w:themeColor="text1"/>
          <w:lang w:val="en-US"/>
        </w:rPr>
      </w:pPr>
      <w:r w:rsidRPr="00DE0B96">
        <w:rPr>
          <w:rFonts w:cs="Arial"/>
          <w:color w:val="000000" w:themeColor="text1"/>
          <w:lang w:val="en-US"/>
        </w:rPr>
        <w:t>Closing the Gap Target 4 seeks to increase the proportion of Aboriginal and Torres Strait Islander children assessed as developmentally on track in all five domains of the Australian Early Development Census (AEDC) to 55% by 2031 compared to the 2018 baseline of 35%. Data is presented by jurisdiction, by remoteness, by disability status, and by socio-economic status, based on data from the AEDC (Productivity Commission, 2023).</w:t>
      </w:r>
    </w:p>
    <w:p w14:paraId="0D80E34E" w14:textId="77777777" w:rsidR="00DE0B96" w:rsidRPr="00DE0B96" w:rsidRDefault="00DE0B96" w:rsidP="00DE0B96">
      <w:pPr>
        <w:rPr>
          <w:rFonts w:cs="Arial"/>
          <w:color w:val="000000" w:themeColor="text1"/>
          <w:lang w:val="en-US"/>
        </w:rPr>
      </w:pPr>
      <w:r w:rsidRPr="00DE0B96">
        <w:rPr>
          <w:rFonts w:cs="Arial"/>
          <w:color w:val="000000" w:themeColor="text1"/>
          <w:lang w:val="en-US"/>
        </w:rPr>
        <w:t xml:space="preserve">Closing the Gap Priority Reform Four aims to have data available at the local level, consistent with the principles and practices of Indigenous Data Sovereignty in order to inform local decision-making. There is some progress towards establishing local data systems for early childhood outcomes, for example by Connected Beginnings program and associated backbone organisations, and Early Years Support Program pilot sites in conjunction with First Nations’ peaks bodies (such as SNAICC and the National Aboriginal Community Controlled Health Organisation (NACCHO)) and local participating Aboriginal community-controlled health organisations (ACHOS) and Aboriginal and Torres Strait Islander community controlled organisations (ACCOs). </w:t>
      </w:r>
    </w:p>
    <w:p w14:paraId="249CCDED" w14:textId="1ADD60E0" w:rsidR="00DE0B96" w:rsidRPr="00DE0B96" w:rsidRDefault="00DE0B96" w:rsidP="00DE0B96">
      <w:pPr>
        <w:rPr>
          <w:rFonts w:cs="Arial"/>
          <w:color w:val="000000" w:themeColor="text1"/>
          <w:lang w:val="en-US"/>
        </w:rPr>
      </w:pPr>
      <w:r w:rsidRPr="00DE0B96">
        <w:rPr>
          <w:rFonts w:cs="Arial"/>
          <w:color w:val="000000" w:themeColor="text1"/>
          <w:lang w:val="en-US"/>
        </w:rPr>
        <w:t xml:space="preserve">The Aboriginal community-controlled sector has significant experience in measuring and reporting on indicators of change. </w:t>
      </w:r>
    </w:p>
    <w:p w14:paraId="2E94C57B" w14:textId="0C76D2D2" w:rsidR="00DE0B96" w:rsidRPr="00511686" w:rsidRDefault="00DE0B96" w:rsidP="003B0B17">
      <w:pPr>
        <w:pStyle w:val="ListParagraph"/>
        <w:numPr>
          <w:ilvl w:val="0"/>
          <w:numId w:val="64"/>
        </w:numPr>
        <w:rPr>
          <w:rFonts w:cs="Arial"/>
          <w:b/>
          <w:bCs/>
          <w:color w:val="000000" w:themeColor="text1"/>
          <w:lang w:val="en-US"/>
        </w:rPr>
      </w:pPr>
      <w:r w:rsidRPr="00511686">
        <w:rPr>
          <w:rFonts w:cs="Arial"/>
          <w:b/>
          <w:bCs/>
          <w:color w:val="000000" w:themeColor="text1"/>
          <w:lang w:val="en-US"/>
        </w:rPr>
        <w:t xml:space="preserve">How is new evidence integrated into the identified framework? </w:t>
      </w:r>
    </w:p>
    <w:p w14:paraId="1C68C4FF" w14:textId="77777777" w:rsidR="00DE0B96" w:rsidRPr="00DE0B96" w:rsidRDefault="00DE0B96" w:rsidP="00DE0B96">
      <w:pPr>
        <w:rPr>
          <w:rFonts w:cs="Arial"/>
          <w:color w:val="000000" w:themeColor="text1"/>
          <w:lang w:val="en-US"/>
        </w:rPr>
      </w:pPr>
      <w:r w:rsidRPr="00DE0B96">
        <w:rPr>
          <w:rFonts w:cs="Arial"/>
          <w:color w:val="000000" w:themeColor="text1"/>
          <w:lang w:val="en-US"/>
        </w:rPr>
        <w:t xml:space="preserve">Frameworks are generally long-duration, overarching documents. Associated strategies and action/implementation plans are more regularly reviewed to accommodate changing circumstances and emerging evidence/issues/priorities. The Strategy rather than the Framework will be subject to review, with investment occurring through commitments made in annual implementation plans. </w:t>
      </w:r>
    </w:p>
    <w:p w14:paraId="7A5A1EC9" w14:textId="77777777" w:rsidR="00DE0B96" w:rsidRPr="00DE0B96" w:rsidRDefault="00DE0B96" w:rsidP="00DE0B96">
      <w:pPr>
        <w:rPr>
          <w:rFonts w:cs="Arial"/>
          <w:color w:val="000000" w:themeColor="text1"/>
          <w:lang w:val="en-US"/>
        </w:rPr>
      </w:pPr>
      <w:r w:rsidRPr="00DE0B96">
        <w:rPr>
          <w:rFonts w:cs="Arial"/>
          <w:color w:val="000000" w:themeColor="text1"/>
          <w:lang w:val="en-US"/>
        </w:rPr>
        <w:lastRenderedPageBreak/>
        <w:t>Local Aboriginal and Torres Strait Islander community-controlled health organisations have continuous quality improvement systems that enable local responses to emerging trends. Regional, state/territory and national peak organisations have a critical role as conduits of effective practice within and across sectors.</w:t>
      </w:r>
    </w:p>
    <w:p w14:paraId="6E5BEF0A" w14:textId="3B8A9B2B" w:rsidR="00DE0B96" w:rsidRPr="00511686" w:rsidRDefault="00DE0B96" w:rsidP="003B0B17">
      <w:pPr>
        <w:pStyle w:val="ListParagraph"/>
        <w:numPr>
          <w:ilvl w:val="0"/>
          <w:numId w:val="64"/>
        </w:numPr>
        <w:rPr>
          <w:rFonts w:cs="Arial"/>
          <w:b/>
          <w:bCs/>
          <w:color w:val="000000" w:themeColor="text1"/>
          <w:lang w:val="en-US"/>
        </w:rPr>
      </w:pPr>
      <w:r w:rsidRPr="00511686">
        <w:rPr>
          <w:rFonts w:cs="Arial"/>
          <w:b/>
          <w:bCs/>
          <w:color w:val="000000" w:themeColor="text1"/>
          <w:lang w:val="en-US"/>
        </w:rPr>
        <w:t>What are the perceived strengths, weaknesses and challenges of the framework?</w:t>
      </w:r>
    </w:p>
    <w:p w14:paraId="57EE53BC" w14:textId="77777777" w:rsidR="00DE0B96" w:rsidRPr="00511686" w:rsidRDefault="00DE0B96" w:rsidP="00DE0B96">
      <w:pPr>
        <w:rPr>
          <w:rFonts w:cs="Arial"/>
          <w:i/>
          <w:iCs/>
          <w:color w:val="000000" w:themeColor="text1"/>
          <w:lang w:val="en-US"/>
        </w:rPr>
      </w:pPr>
      <w:r w:rsidRPr="00511686">
        <w:rPr>
          <w:rFonts w:cs="Arial"/>
          <w:i/>
          <w:iCs/>
          <w:color w:val="000000" w:themeColor="text1"/>
          <w:lang w:val="en-US"/>
        </w:rPr>
        <w:t>Strengths</w:t>
      </w:r>
    </w:p>
    <w:p w14:paraId="6D0F2BEF" w14:textId="6998211D" w:rsidR="00DE0B96" w:rsidRPr="00511686" w:rsidRDefault="00DE0B96" w:rsidP="003B0B17">
      <w:pPr>
        <w:pStyle w:val="ListParagraph"/>
        <w:numPr>
          <w:ilvl w:val="0"/>
          <w:numId w:val="68"/>
        </w:numPr>
        <w:ind w:left="714" w:hanging="357"/>
        <w:contextualSpacing w:val="0"/>
        <w:rPr>
          <w:rFonts w:cs="Arial"/>
          <w:color w:val="000000" w:themeColor="text1"/>
          <w:lang w:val="en-US"/>
        </w:rPr>
      </w:pPr>
      <w:r w:rsidRPr="00511686">
        <w:rPr>
          <w:rFonts w:cs="Arial"/>
          <w:color w:val="000000" w:themeColor="text1"/>
          <w:lang w:val="en-US"/>
        </w:rPr>
        <w:t>The Framework and Strategy take holistic perspectives that recognise social, historical and political determinants and which foster self-determination, service integration and collaboration, tailored and intersectional approaches, and are strength-based and healing-focused. At all times children, families and community and connection to culture are at the heart</w:t>
      </w:r>
    </w:p>
    <w:p w14:paraId="7A156B74" w14:textId="0C3B47F4" w:rsidR="00DE0B96" w:rsidRPr="00511686" w:rsidRDefault="00DE0B96" w:rsidP="003B0B17">
      <w:pPr>
        <w:pStyle w:val="ListParagraph"/>
        <w:numPr>
          <w:ilvl w:val="0"/>
          <w:numId w:val="68"/>
        </w:numPr>
        <w:ind w:left="714" w:hanging="357"/>
        <w:contextualSpacing w:val="0"/>
        <w:rPr>
          <w:rFonts w:cs="Arial"/>
          <w:color w:val="000000" w:themeColor="text1"/>
          <w:lang w:val="en-US"/>
        </w:rPr>
      </w:pPr>
      <w:r w:rsidRPr="00511686">
        <w:rPr>
          <w:rFonts w:cs="Arial"/>
          <w:color w:val="000000" w:themeColor="text1"/>
          <w:lang w:val="en-US"/>
        </w:rPr>
        <w:t>Aboriginal and Torres Strait Islander ways of knowing, being and doing inform the Framework and Strategy</w:t>
      </w:r>
    </w:p>
    <w:p w14:paraId="22C8361B" w14:textId="59441D20" w:rsidR="00DE0B96" w:rsidRPr="00511686" w:rsidRDefault="00DE0B96" w:rsidP="003B0B17">
      <w:pPr>
        <w:pStyle w:val="ListParagraph"/>
        <w:numPr>
          <w:ilvl w:val="0"/>
          <w:numId w:val="68"/>
        </w:numPr>
        <w:ind w:left="714" w:hanging="357"/>
        <w:contextualSpacing w:val="0"/>
        <w:rPr>
          <w:rFonts w:cs="Arial"/>
          <w:color w:val="000000" w:themeColor="text1"/>
          <w:lang w:val="en-US"/>
        </w:rPr>
      </w:pPr>
      <w:r w:rsidRPr="00511686">
        <w:rPr>
          <w:rFonts w:cs="Arial"/>
          <w:color w:val="000000" w:themeColor="text1"/>
          <w:lang w:val="en-US"/>
        </w:rPr>
        <w:t>The Framework and Strategy are consistent with other frameworks that guide decision-making and service delivery for Aboriginal and Torres Strait Islander peoples. Frameworks such as the SEWB model are long-lived and remain fundamental and influential (Department of the Prime Minister and Cabinet, 2017; Gee et al., 2014; Social Health Reference Group, 2004)</w:t>
      </w:r>
    </w:p>
    <w:p w14:paraId="75D0721D" w14:textId="251E4B63" w:rsidR="00DE0B96" w:rsidRPr="00511686" w:rsidRDefault="00DE0B96" w:rsidP="003B0B17">
      <w:pPr>
        <w:pStyle w:val="ListParagraph"/>
        <w:numPr>
          <w:ilvl w:val="0"/>
          <w:numId w:val="68"/>
        </w:numPr>
        <w:ind w:left="714" w:hanging="357"/>
        <w:contextualSpacing w:val="0"/>
        <w:rPr>
          <w:rFonts w:cs="Arial"/>
          <w:color w:val="000000" w:themeColor="text1"/>
          <w:lang w:val="en-US"/>
        </w:rPr>
      </w:pPr>
      <w:r w:rsidRPr="00511686">
        <w:rPr>
          <w:rFonts w:cs="Arial"/>
          <w:color w:val="000000" w:themeColor="text1"/>
          <w:lang w:val="en-US"/>
        </w:rPr>
        <w:t>Implementation is evolving over time, but the model (which is founded in a ministerial/inter-jurisdictional agreement) has survived</w:t>
      </w:r>
    </w:p>
    <w:p w14:paraId="58B6A73D" w14:textId="163EEAFC" w:rsidR="00DE0B96" w:rsidRPr="00511686" w:rsidRDefault="00DE0B96" w:rsidP="003B0B17">
      <w:pPr>
        <w:pStyle w:val="ListParagraph"/>
        <w:numPr>
          <w:ilvl w:val="0"/>
          <w:numId w:val="68"/>
        </w:numPr>
        <w:ind w:left="714" w:hanging="357"/>
        <w:contextualSpacing w:val="0"/>
        <w:rPr>
          <w:rFonts w:cs="Arial"/>
          <w:color w:val="000000" w:themeColor="text1"/>
          <w:lang w:val="en-US"/>
        </w:rPr>
      </w:pPr>
      <w:r w:rsidRPr="00511686">
        <w:rPr>
          <w:rFonts w:cs="Arial"/>
          <w:color w:val="000000" w:themeColor="text1"/>
          <w:lang w:val="en-US"/>
        </w:rPr>
        <w:t>There are existing indicators and systems for measuring and reporting progress against nationally established targets</w:t>
      </w:r>
    </w:p>
    <w:p w14:paraId="723AADCB" w14:textId="77777777" w:rsidR="00DE0B96" w:rsidRPr="00511686" w:rsidRDefault="00DE0B96" w:rsidP="00DE0B96">
      <w:pPr>
        <w:rPr>
          <w:rFonts w:cs="Arial"/>
          <w:i/>
          <w:iCs/>
          <w:color w:val="000000" w:themeColor="text1"/>
          <w:lang w:val="en-US"/>
        </w:rPr>
      </w:pPr>
      <w:r w:rsidRPr="00511686">
        <w:rPr>
          <w:rFonts w:cs="Arial"/>
          <w:i/>
          <w:iCs/>
          <w:color w:val="000000" w:themeColor="text1"/>
          <w:lang w:val="en-US"/>
        </w:rPr>
        <w:t>Weaknesses / challenges</w:t>
      </w:r>
    </w:p>
    <w:p w14:paraId="502A2E65" w14:textId="06C98D1B" w:rsidR="00DE0B96" w:rsidRPr="00511686" w:rsidRDefault="00DE0B96" w:rsidP="003B0B17">
      <w:pPr>
        <w:pStyle w:val="ListParagraph"/>
        <w:numPr>
          <w:ilvl w:val="0"/>
          <w:numId w:val="69"/>
        </w:numPr>
        <w:ind w:left="714" w:hanging="357"/>
        <w:contextualSpacing w:val="0"/>
        <w:rPr>
          <w:rFonts w:cs="Arial"/>
          <w:color w:val="000000" w:themeColor="text1"/>
          <w:lang w:val="en-US"/>
        </w:rPr>
      </w:pPr>
      <w:r w:rsidRPr="00511686">
        <w:rPr>
          <w:rFonts w:cs="Arial"/>
          <w:color w:val="000000" w:themeColor="text1"/>
          <w:lang w:val="en-US"/>
        </w:rPr>
        <w:t>Moving from principles and evidence to practice requires additional investment in locally led codesign and in adapting implementation to local circumstances</w:t>
      </w:r>
    </w:p>
    <w:p w14:paraId="7D42B6DF" w14:textId="7D370A30" w:rsidR="00DE0B96" w:rsidRPr="00511686" w:rsidRDefault="00DE0B96" w:rsidP="003B0B17">
      <w:pPr>
        <w:pStyle w:val="ListParagraph"/>
        <w:numPr>
          <w:ilvl w:val="0"/>
          <w:numId w:val="69"/>
        </w:numPr>
        <w:ind w:left="714" w:hanging="357"/>
        <w:contextualSpacing w:val="0"/>
        <w:rPr>
          <w:rFonts w:cs="Arial"/>
          <w:color w:val="000000" w:themeColor="text1"/>
          <w:lang w:val="en-US"/>
        </w:rPr>
      </w:pPr>
      <w:r w:rsidRPr="00511686">
        <w:rPr>
          <w:rFonts w:cs="Arial"/>
          <w:color w:val="000000" w:themeColor="text1"/>
          <w:lang w:val="en-US"/>
        </w:rPr>
        <w:t>Systems transformation is slow and inevitably patchy and needs action at all levels</w:t>
      </w:r>
    </w:p>
    <w:p w14:paraId="427B33B6" w14:textId="438EDB48" w:rsidR="009440FE" w:rsidRPr="00511686" w:rsidRDefault="00DE0B96" w:rsidP="003B0B17">
      <w:pPr>
        <w:pStyle w:val="ListParagraph"/>
        <w:numPr>
          <w:ilvl w:val="0"/>
          <w:numId w:val="69"/>
        </w:numPr>
        <w:ind w:left="714" w:hanging="357"/>
        <w:contextualSpacing w:val="0"/>
        <w:rPr>
          <w:rFonts w:cs="Arial"/>
          <w:color w:val="000000" w:themeColor="text1"/>
          <w:lang w:val="en-US"/>
        </w:rPr>
      </w:pPr>
      <w:r w:rsidRPr="00511686">
        <w:rPr>
          <w:rFonts w:cs="Arial"/>
          <w:color w:val="000000" w:themeColor="text1"/>
          <w:lang w:val="en-US"/>
        </w:rPr>
        <w:t>Trauma-aware, healing-informed approaches require non-Indigenous services to address the historical and contemporary injustice inherent in post-colonial Australia. This is uncomfortable, and seemingly unpopular</w:t>
      </w:r>
    </w:p>
    <w:p w14:paraId="5E0EAACA" w14:textId="77777777" w:rsidR="00DE0B96" w:rsidRDefault="00DE0B96">
      <w:pPr>
        <w:rPr>
          <w:rFonts w:cs="Arial"/>
          <w:color w:val="000000" w:themeColor="text1"/>
          <w:lang w:val="en-US"/>
        </w:rPr>
      </w:pPr>
    </w:p>
    <w:p w14:paraId="73D5B6BE" w14:textId="77777777" w:rsidR="00420F2A" w:rsidRDefault="00420F2A">
      <w:pPr>
        <w:rPr>
          <w:rFonts w:cs="Arial"/>
          <w:color w:val="000000" w:themeColor="text1"/>
          <w:lang w:val="en-US"/>
        </w:rPr>
      </w:pPr>
    </w:p>
    <w:p w14:paraId="6D9D30F7" w14:textId="77777777" w:rsidR="00882F41" w:rsidRDefault="00882F41">
      <w:pPr>
        <w:rPr>
          <w:rFonts w:cs="Arial"/>
          <w:color w:val="000000" w:themeColor="text1"/>
          <w:lang w:val="en-US"/>
        </w:rPr>
      </w:pPr>
    </w:p>
    <w:p w14:paraId="32FB1C96" w14:textId="77777777" w:rsidR="00882F41" w:rsidRDefault="00882F41">
      <w:pPr>
        <w:rPr>
          <w:rFonts w:cs="Arial"/>
          <w:color w:val="000000" w:themeColor="text1"/>
          <w:lang w:val="en-US"/>
        </w:rPr>
      </w:pPr>
    </w:p>
    <w:p w14:paraId="14B66D5E" w14:textId="77777777" w:rsidR="00882F41" w:rsidRDefault="00882F41">
      <w:pPr>
        <w:rPr>
          <w:rFonts w:cs="Arial"/>
          <w:color w:val="000000" w:themeColor="text1"/>
          <w:lang w:val="en-US"/>
        </w:rPr>
      </w:pPr>
    </w:p>
    <w:p w14:paraId="26B1BEE7" w14:textId="77777777" w:rsidR="00882F41" w:rsidRDefault="00882F41">
      <w:pPr>
        <w:rPr>
          <w:rFonts w:cs="Arial"/>
          <w:color w:val="000000" w:themeColor="text1"/>
          <w:lang w:val="en-US"/>
        </w:rPr>
      </w:pPr>
    </w:p>
    <w:p w14:paraId="5F5461C8" w14:textId="77777777" w:rsidR="00882F41" w:rsidRDefault="00882F41">
      <w:pPr>
        <w:rPr>
          <w:rFonts w:cs="Arial"/>
          <w:color w:val="000000" w:themeColor="text1"/>
          <w:lang w:val="en-US"/>
        </w:rPr>
      </w:pPr>
    </w:p>
    <w:p w14:paraId="5CCABDDD" w14:textId="77777777" w:rsidR="00882F41" w:rsidRDefault="00882F41">
      <w:pPr>
        <w:rPr>
          <w:rFonts w:cs="Arial"/>
          <w:color w:val="000000" w:themeColor="text1"/>
          <w:lang w:val="en-US"/>
        </w:rPr>
      </w:pPr>
    </w:p>
    <w:p w14:paraId="23B3EFED" w14:textId="77777777" w:rsidR="00420F2A" w:rsidRDefault="00420F2A">
      <w:pPr>
        <w:rPr>
          <w:rFonts w:cs="Arial"/>
          <w:color w:val="000000" w:themeColor="text1"/>
          <w:lang w:val="en-US"/>
        </w:rPr>
      </w:pPr>
    </w:p>
    <w:p w14:paraId="55BE0D3C" w14:textId="104B33B8" w:rsidR="00420F2A" w:rsidRDefault="00420F2A">
      <w:pPr>
        <w:rPr>
          <w:rFonts w:cs="Arial"/>
          <w:color w:val="000000" w:themeColor="text1"/>
          <w:lang w:val="en-US"/>
        </w:rPr>
      </w:pPr>
    </w:p>
    <w:p w14:paraId="07A6CE2C" w14:textId="51F670B2" w:rsidR="00420F2A" w:rsidRDefault="00420F2A">
      <w:pPr>
        <w:rPr>
          <w:rFonts w:cs="Arial"/>
          <w:color w:val="FFFFFF" w:themeColor="background1"/>
          <w:lang w:val="en-US"/>
        </w:rPr>
      </w:pPr>
      <w:r w:rsidRPr="00420F2A">
        <w:rPr>
          <w:rFonts w:cs="Arial"/>
          <w:b/>
          <w:bCs/>
          <w:color w:val="FFFFFF" w:themeColor="background1"/>
          <w:lang w:val="en-US"/>
        </w:rPr>
        <w:t>Australia</w:t>
      </w:r>
      <w:r w:rsidRPr="00420F2A">
        <w:rPr>
          <w:rFonts w:cs="Arial"/>
          <w:color w:val="FFFFFF" w:themeColor="background1"/>
          <w:lang w:val="en-US"/>
        </w:rPr>
        <w:t>: National Guidelines for Best Practice in Early Childhood Intervention</w:t>
      </w:r>
    </w:p>
    <w:p w14:paraId="0B522B90" w14:textId="300BD6E9" w:rsidR="00420F2A" w:rsidRDefault="00882F41">
      <w:pPr>
        <w:rPr>
          <w:rFonts w:cs="Arial"/>
          <w:color w:val="FFFFFF" w:themeColor="background1"/>
          <w:lang w:val="en-US"/>
        </w:rPr>
      </w:pPr>
      <w:r w:rsidRPr="00420F2A">
        <w:rPr>
          <w:b/>
          <w:bCs/>
          <w:noProof/>
          <w:color w:val="FFFFFF" w:themeColor="background1"/>
          <w:lang w:val="en-US"/>
        </w:rPr>
        <mc:AlternateContent>
          <mc:Choice Requires="wps">
            <w:drawing>
              <wp:anchor distT="0" distB="0" distL="114300" distR="114300" simplePos="0" relativeHeight="251667456" behindDoc="1" locked="1" layoutInCell="1" allowOverlap="1" wp14:anchorId="514083E8" wp14:editId="033F19EF">
                <wp:simplePos x="0" y="0"/>
                <wp:positionH relativeFrom="column">
                  <wp:posOffset>-201295</wp:posOffset>
                </wp:positionH>
                <wp:positionV relativeFrom="page">
                  <wp:posOffset>914400</wp:posOffset>
                </wp:positionV>
                <wp:extent cx="6134100" cy="773430"/>
                <wp:effectExtent l="0" t="0" r="0" b="1270"/>
                <wp:wrapNone/>
                <wp:docPr id="55818558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4100" cy="773430"/>
                        </a:xfrm>
                        <a:prstGeom prst="rect">
                          <a:avLst/>
                        </a:prstGeom>
                        <a:solidFill>
                          <a:srgbClr val="8087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38140" id="Rectangle 3" o:spid="_x0000_s1026" alt="&quot;&quot;" style="position:absolute;margin-left:-15.85pt;margin-top:1in;width:483pt;height:60.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" fillcolor="#8087a3" stroked="f" strokeweight="1pt">
                <w10:wrap anchory="page"/>
                <w10:anchorlock/>
              </v:rect>
            </w:pict>
          </mc:Fallback>
        </mc:AlternateContent>
      </w:r>
    </w:p>
    <w:p w14:paraId="31938C3A" w14:textId="77777777" w:rsidR="00420F2A" w:rsidRDefault="00420F2A">
      <w:pPr>
        <w:rPr>
          <w:rFonts w:cs="Arial"/>
          <w:color w:val="FFFFFF" w:themeColor="background1"/>
          <w:lang w:val="en-US"/>
        </w:rPr>
      </w:pPr>
    </w:p>
    <w:p w14:paraId="5706F0B5" w14:textId="77777777" w:rsidR="00CB7DB3" w:rsidRPr="00CB7DB3" w:rsidRDefault="00CB7DB3" w:rsidP="00CB7DB3">
      <w:pPr>
        <w:rPr>
          <w:rFonts w:cs="Arial"/>
          <w:b/>
          <w:bCs/>
          <w:color w:val="000000" w:themeColor="text1"/>
          <w:lang w:val="en-US"/>
        </w:rPr>
      </w:pPr>
      <w:r w:rsidRPr="00CB7DB3">
        <w:rPr>
          <w:rFonts w:cs="Arial"/>
          <w:b/>
          <w:bCs/>
          <w:color w:val="000000" w:themeColor="text1"/>
          <w:lang w:val="en-US"/>
        </w:rPr>
        <w:t>Background/Context</w:t>
      </w:r>
    </w:p>
    <w:p w14:paraId="404D2D6A" w14:textId="3ACEDFFD" w:rsidR="00CB7DB3" w:rsidRPr="00CB7DB3" w:rsidRDefault="00CB7DB3" w:rsidP="00CB7DB3">
      <w:pPr>
        <w:rPr>
          <w:rFonts w:cs="Arial"/>
          <w:color w:val="000000" w:themeColor="text1"/>
          <w:lang w:val="en-US"/>
        </w:rPr>
      </w:pPr>
      <w:r w:rsidRPr="00CB7DB3">
        <w:rPr>
          <w:rFonts w:cs="Arial"/>
          <w:color w:val="000000" w:themeColor="text1"/>
          <w:lang w:val="en-US"/>
        </w:rPr>
        <w:t xml:space="preserve">The National Disability Insurance Scheme (NDIS) commissioned the development of the </w:t>
      </w:r>
      <w:hyperlink r:id="rId19" w:history="1">
        <w:r w:rsidRPr="009A76F1">
          <w:rPr>
            <w:rStyle w:val="Hyperlink"/>
            <w:rFonts w:cs="Arial"/>
            <w:lang w:val="en-US"/>
          </w:rPr>
          <w:t>National Guidelines for Best Practice in Early Childhood Intervention</w:t>
        </w:r>
      </w:hyperlink>
      <w:r w:rsidRPr="00CB7DB3">
        <w:rPr>
          <w:rFonts w:cs="Arial"/>
          <w:color w:val="000000" w:themeColor="text1"/>
          <w:lang w:val="en-US"/>
        </w:rPr>
        <w:t xml:space="preserve"> (2016) with the knowledge that practices at that time varied across and within states and territories. As a national scheme, the NDIS required national guidelines in order to provide support for universal and equitable high quality Early Childhood Intervention (ECI) based on best practice for children with disability and/or developmental delay whether they attend government, non-government, large, small, sole not-for-profit service providers or private providers, anywhere in Australia (ECIA, 2016).</w:t>
      </w:r>
    </w:p>
    <w:p w14:paraId="6BD4174B" w14:textId="77777777" w:rsidR="00CB7DB3" w:rsidRPr="00CB7DB3" w:rsidRDefault="00CB7DB3" w:rsidP="00CB7DB3">
      <w:pPr>
        <w:rPr>
          <w:rFonts w:cs="Arial"/>
          <w:color w:val="000000" w:themeColor="text1"/>
          <w:lang w:val="en-US"/>
        </w:rPr>
      </w:pPr>
      <w:r w:rsidRPr="00CB7DB3">
        <w:rPr>
          <w:rFonts w:cs="Arial"/>
          <w:color w:val="000000" w:themeColor="text1"/>
          <w:lang w:val="en-US"/>
        </w:rPr>
        <w:t xml:space="preserve">Since publication of the National Guidelines, the ECI, Early Childhood Education and Care (ECEC), health and disability service sectors have developed national frameworks, and conducted government reviews and national strategies. The wealth of information that is encompassed in the reviews and guidelines provides contemporary evidence, along with an opportunity and a challenge. Integration of commonalities across publications is important (but challenging due to the volume) as is identification of tailored or specific guidance where relevant. The volume of publications also reinforces the importance placed on the wellbeing of all children and families across Australia, including those with developmental concerns, delay or disability. </w:t>
      </w:r>
    </w:p>
    <w:p w14:paraId="428E85A4" w14:textId="77777777" w:rsidR="00CB7DB3" w:rsidRPr="00CB7DB3" w:rsidRDefault="00CB7DB3" w:rsidP="00CB7DB3">
      <w:pPr>
        <w:rPr>
          <w:rFonts w:cs="Arial"/>
          <w:color w:val="000000" w:themeColor="text1"/>
          <w:lang w:val="en-US"/>
        </w:rPr>
      </w:pPr>
      <w:r w:rsidRPr="00CB7DB3">
        <w:rPr>
          <w:rFonts w:cs="Arial"/>
          <w:color w:val="000000" w:themeColor="text1"/>
          <w:lang w:val="en-US"/>
        </w:rPr>
        <w:t xml:space="preserve">Relevant national guidelines or frameworks include: </w:t>
      </w:r>
    </w:p>
    <w:p w14:paraId="70A9C5E8" w14:textId="1CF0B544" w:rsidR="00CB7DB3" w:rsidRPr="009A76F1" w:rsidRDefault="00000000" w:rsidP="003B0B17">
      <w:pPr>
        <w:pStyle w:val="ListParagraph"/>
        <w:numPr>
          <w:ilvl w:val="0"/>
          <w:numId w:val="71"/>
        </w:numPr>
        <w:ind w:left="714" w:hanging="357"/>
        <w:contextualSpacing w:val="0"/>
        <w:rPr>
          <w:rFonts w:cs="Arial"/>
          <w:color w:val="000000" w:themeColor="text1"/>
          <w:lang w:val="en-US"/>
        </w:rPr>
      </w:pPr>
      <w:hyperlink r:id="rId20" w:history="1">
        <w:r w:rsidR="00CB7DB3" w:rsidRPr="0053662F">
          <w:rPr>
            <w:rStyle w:val="Hyperlink"/>
            <w:rFonts w:cs="Arial"/>
            <w:lang w:val="en-US"/>
          </w:rPr>
          <w:t>National Guideline for Supporting the Learning, Participation, and Wellbeing of autistic children and their families in Australia</w:t>
        </w:r>
      </w:hyperlink>
    </w:p>
    <w:p w14:paraId="3C1A539C" w14:textId="133EA30E" w:rsidR="00CB7DB3" w:rsidRPr="009A76F1" w:rsidRDefault="00000000" w:rsidP="003B0B17">
      <w:pPr>
        <w:pStyle w:val="ListParagraph"/>
        <w:numPr>
          <w:ilvl w:val="0"/>
          <w:numId w:val="71"/>
        </w:numPr>
        <w:ind w:left="714" w:hanging="357"/>
        <w:contextualSpacing w:val="0"/>
        <w:rPr>
          <w:rFonts w:cs="Arial"/>
          <w:color w:val="000000" w:themeColor="text1"/>
          <w:lang w:val="en-US"/>
        </w:rPr>
      </w:pPr>
      <w:hyperlink r:id="rId21" w:history="1">
        <w:r w:rsidR="00CB7DB3" w:rsidRPr="00677DBA">
          <w:rPr>
            <w:rStyle w:val="Hyperlink"/>
            <w:rFonts w:cs="Arial"/>
            <w:lang w:val="en-US"/>
          </w:rPr>
          <w:t>The Early Years Learning Framework</w:t>
        </w:r>
      </w:hyperlink>
    </w:p>
    <w:p w14:paraId="59066AF3" w14:textId="790F73A3" w:rsidR="00CB7DB3" w:rsidRPr="009A76F1" w:rsidRDefault="00000000" w:rsidP="003B0B17">
      <w:pPr>
        <w:pStyle w:val="ListParagraph"/>
        <w:numPr>
          <w:ilvl w:val="0"/>
          <w:numId w:val="71"/>
        </w:numPr>
        <w:ind w:left="714" w:hanging="357"/>
        <w:contextualSpacing w:val="0"/>
        <w:rPr>
          <w:rFonts w:cs="Arial"/>
          <w:color w:val="000000" w:themeColor="text1"/>
          <w:lang w:val="en-US"/>
        </w:rPr>
      </w:pPr>
      <w:hyperlink r:id="rId22" w:history="1">
        <w:r w:rsidR="00CB7DB3" w:rsidRPr="0014404C">
          <w:rPr>
            <w:rStyle w:val="Hyperlink"/>
            <w:rFonts w:cs="Arial"/>
            <w:lang w:val="en-US"/>
          </w:rPr>
          <w:t>The National Children’s Mental Health &amp; Wellbeing Strategy</w:t>
        </w:r>
      </w:hyperlink>
    </w:p>
    <w:p w14:paraId="0839F1F5" w14:textId="033FB01A" w:rsidR="00CB7DB3" w:rsidRPr="009A76F1" w:rsidRDefault="00000000" w:rsidP="003B0B17">
      <w:pPr>
        <w:pStyle w:val="ListParagraph"/>
        <w:numPr>
          <w:ilvl w:val="0"/>
          <w:numId w:val="71"/>
        </w:numPr>
        <w:ind w:left="714" w:hanging="357"/>
        <w:contextualSpacing w:val="0"/>
        <w:rPr>
          <w:rFonts w:cs="Arial"/>
          <w:color w:val="000000" w:themeColor="text1"/>
          <w:lang w:val="en-US"/>
        </w:rPr>
      </w:pPr>
      <w:hyperlink r:id="rId23" w:history="1">
        <w:r w:rsidR="00CB7DB3" w:rsidRPr="00EC564D">
          <w:rPr>
            <w:rStyle w:val="Hyperlink"/>
            <w:rFonts w:cs="Arial"/>
            <w:lang w:val="en-US"/>
          </w:rPr>
          <w:t>The Nest Wellbeing Framework for Children &amp; Young People</w:t>
        </w:r>
      </w:hyperlink>
    </w:p>
    <w:p w14:paraId="3203F4B5" w14:textId="77777777" w:rsidR="00CB7DB3" w:rsidRPr="00CB7DB3" w:rsidRDefault="00CB7DB3" w:rsidP="00CB7DB3">
      <w:pPr>
        <w:rPr>
          <w:rFonts w:cs="Arial"/>
          <w:color w:val="000000" w:themeColor="text1"/>
          <w:lang w:val="en-US"/>
        </w:rPr>
      </w:pPr>
      <w:r w:rsidRPr="00CB7DB3">
        <w:rPr>
          <w:rFonts w:cs="Arial"/>
          <w:color w:val="000000" w:themeColor="text1"/>
          <w:lang w:val="en-US"/>
        </w:rPr>
        <w:t xml:space="preserve">Relevant reviews include: </w:t>
      </w:r>
    </w:p>
    <w:p w14:paraId="5CCFA024" w14:textId="500B3441" w:rsidR="00CB7DB3" w:rsidRPr="009A76F1" w:rsidRDefault="00CB7DB3" w:rsidP="003B0B17">
      <w:pPr>
        <w:pStyle w:val="ListParagraph"/>
        <w:numPr>
          <w:ilvl w:val="0"/>
          <w:numId w:val="70"/>
        </w:numPr>
        <w:ind w:left="714" w:hanging="357"/>
        <w:contextualSpacing w:val="0"/>
        <w:rPr>
          <w:rFonts w:cs="Arial"/>
          <w:color w:val="000000" w:themeColor="text1"/>
          <w:lang w:val="en-US"/>
        </w:rPr>
      </w:pPr>
      <w:r w:rsidRPr="009A76F1">
        <w:rPr>
          <w:rFonts w:cs="Arial"/>
          <w:color w:val="000000" w:themeColor="text1"/>
          <w:lang w:val="en-US"/>
        </w:rPr>
        <w:t xml:space="preserve">Australian Consumer and Competition Commission Report (2023) </w:t>
      </w:r>
    </w:p>
    <w:p w14:paraId="243F5D7F" w14:textId="1A612875" w:rsidR="00CB7DB3" w:rsidRPr="009A76F1" w:rsidRDefault="00CB7DB3" w:rsidP="003B0B17">
      <w:pPr>
        <w:pStyle w:val="ListParagraph"/>
        <w:numPr>
          <w:ilvl w:val="0"/>
          <w:numId w:val="70"/>
        </w:numPr>
        <w:ind w:left="714" w:hanging="357"/>
        <w:contextualSpacing w:val="0"/>
        <w:rPr>
          <w:rFonts w:cs="Arial"/>
          <w:color w:val="000000" w:themeColor="text1"/>
          <w:lang w:val="en-US"/>
        </w:rPr>
      </w:pPr>
      <w:r w:rsidRPr="009A76F1">
        <w:rPr>
          <w:rFonts w:cs="Arial"/>
          <w:color w:val="000000" w:themeColor="text1"/>
          <w:lang w:val="en-US"/>
        </w:rPr>
        <w:t>Improving Outcomes for All: The Report of the Independent Expert Panel’s Review to Inform a Better and Fairer Education System (Department of Education, 2023)</w:t>
      </w:r>
    </w:p>
    <w:p w14:paraId="2DF29180" w14:textId="35B0B10A" w:rsidR="00CB7DB3" w:rsidRPr="009A76F1" w:rsidRDefault="00CB7DB3" w:rsidP="003B0B17">
      <w:pPr>
        <w:pStyle w:val="ListParagraph"/>
        <w:numPr>
          <w:ilvl w:val="0"/>
          <w:numId w:val="70"/>
        </w:numPr>
        <w:ind w:left="714" w:hanging="357"/>
        <w:contextualSpacing w:val="0"/>
        <w:rPr>
          <w:rFonts w:cs="Arial"/>
          <w:color w:val="000000" w:themeColor="text1"/>
          <w:lang w:val="en-US"/>
        </w:rPr>
      </w:pPr>
      <w:r w:rsidRPr="009A76F1">
        <w:rPr>
          <w:rFonts w:cs="Arial"/>
          <w:color w:val="000000" w:themeColor="text1"/>
          <w:lang w:val="en-US"/>
        </w:rPr>
        <w:t>Independent Review of the NDIS (Department of Prime Minister &amp; Cabinet, 2023)</w:t>
      </w:r>
    </w:p>
    <w:p w14:paraId="4DC4B676" w14:textId="56849EFA" w:rsidR="00CB7DB3" w:rsidRPr="009A76F1" w:rsidRDefault="00CB7DB3" w:rsidP="003B0B17">
      <w:pPr>
        <w:pStyle w:val="ListParagraph"/>
        <w:numPr>
          <w:ilvl w:val="0"/>
          <w:numId w:val="70"/>
        </w:numPr>
        <w:ind w:left="714" w:hanging="357"/>
        <w:contextualSpacing w:val="0"/>
        <w:rPr>
          <w:rFonts w:cs="Arial"/>
          <w:color w:val="000000" w:themeColor="text1"/>
          <w:lang w:val="en-US"/>
        </w:rPr>
      </w:pPr>
      <w:r w:rsidRPr="009A76F1">
        <w:rPr>
          <w:rFonts w:cs="Arial"/>
          <w:color w:val="000000" w:themeColor="text1"/>
          <w:lang w:val="en-US"/>
        </w:rPr>
        <w:t>Productivity Commission Inquiry into the Early Childhood Education and Care Sector (2023-24)</w:t>
      </w:r>
    </w:p>
    <w:p w14:paraId="0E98BA57" w14:textId="38D3CE90" w:rsidR="00CB7DB3" w:rsidRPr="009A76F1" w:rsidRDefault="00CB7DB3" w:rsidP="003B0B17">
      <w:pPr>
        <w:pStyle w:val="ListParagraph"/>
        <w:numPr>
          <w:ilvl w:val="0"/>
          <w:numId w:val="70"/>
        </w:numPr>
        <w:ind w:left="714" w:hanging="357"/>
        <w:contextualSpacing w:val="0"/>
        <w:rPr>
          <w:rFonts w:cs="Arial"/>
          <w:color w:val="000000" w:themeColor="text1"/>
          <w:lang w:val="en-US"/>
        </w:rPr>
      </w:pPr>
      <w:r w:rsidRPr="009A76F1">
        <w:rPr>
          <w:rFonts w:cs="Arial"/>
          <w:color w:val="000000" w:themeColor="text1"/>
          <w:lang w:val="en-US"/>
        </w:rPr>
        <w:t>Review of Inclusion Support Program (Department of Education, 2023)</w:t>
      </w:r>
    </w:p>
    <w:p w14:paraId="14315D8C" w14:textId="30A839D0" w:rsidR="00CB7DB3" w:rsidRPr="009A76F1" w:rsidRDefault="00CB7DB3" w:rsidP="003B0B17">
      <w:pPr>
        <w:pStyle w:val="ListParagraph"/>
        <w:numPr>
          <w:ilvl w:val="0"/>
          <w:numId w:val="70"/>
        </w:numPr>
        <w:ind w:left="714" w:hanging="357"/>
        <w:contextualSpacing w:val="0"/>
        <w:rPr>
          <w:rFonts w:cs="Arial"/>
          <w:color w:val="000000" w:themeColor="text1"/>
          <w:lang w:val="en-US"/>
        </w:rPr>
      </w:pPr>
      <w:r w:rsidRPr="009A76F1">
        <w:rPr>
          <w:rFonts w:cs="Arial"/>
          <w:color w:val="000000" w:themeColor="text1"/>
          <w:lang w:val="en-US"/>
        </w:rPr>
        <w:t>Royal Commission into Violence, Abuse, Neglect and Exploitation of People with Disability (2023)</w:t>
      </w:r>
    </w:p>
    <w:p w14:paraId="44DE7157" w14:textId="40BEAFB0" w:rsidR="00CB7DB3" w:rsidRPr="009A76F1" w:rsidRDefault="00CB7DB3" w:rsidP="003B0B17">
      <w:pPr>
        <w:pStyle w:val="ListParagraph"/>
        <w:numPr>
          <w:ilvl w:val="0"/>
          <w:numId w:val="70"/>
        </w:numPr>
        <w:ind w:left="714" w:hanging="357"/>
        <w:contextualSpacing w:val="0"/>
        <w:rPr>
          <w:rFonts w:cs="Arial"/>
          <w:color w:val="000000" w:themeColor="text1"/>
          <w:lang w:val="en-US"/>
        </w:rPr>
      </w:pPr>
      <w:r w:rsidRPr="009A76F1">
        <w:rPr>
          <w:rFonts w:cs="Arial"/>
          <w:color w:val="000000" w:themeColor="text1"/>
          <w:lang w:val="en-US"/>
        </w:rPr>
        <w:lastRenderedPageBreak/>
        <w:t>Safe and Supported: The National Framework for Protecting Australia’s Children 2021 – 2031</w:t>
      </w:r>
    </w:p>
    <w:p w14:paraId="24AEFA43" w14:textId="77777777" w:rsidR="00CB7DB3" w:rsidRPr="00CB7DB3" w:rsidRDefault="00CB7DB3" w:rsidP="00CB7DB3">
      <w:pPr>
        <w:rPr>
          <w:rFonts w:cs="Arial"/>
          <w:color w:val="000000" w:themeColor="text1"/>
          <w:lang w:val="en-US"/>
        </w:rPr>
      </w:pPr>
      <w:r w:rsidRPr="00CB7DB3">
        <w:rPr>
          <w:rFonts w:cs="Arial"/>
          <w:color w:val="000000" w:themeColor="text1"/>
          <w:lang w:val="en-US"/>
        </w:rPr>
        <w:t>Policy strategies include:</w:t>
      </w:r>
    </w:p>
    <w:p w14:paraId="67C3A624" w14:textId="038A0F78" w:rsidR="00CB7DB3" w:rsidRPr="0014404C" w:rsidRDefault="00000000" w:rsidP="003B0B17">
      <w:pPr>
        <w:pStyle w:val="ListParagraph"/>
        <w:numPr>
          <w:ilvl w:val="0"/>
          <w:numId w:val="72"/>
        </w:numPr>
        <w:ind w:left="714" w:hanging="357"/>
        <w:contextualSpacing w:val="0"/>
        <w:rPr>
          <w:rFonts w:cs="Arial"/>
          <w:color w:val="000000" w:themeColor="text1"/>
          <w:lang w:val="en-US"/>
        </w:rPr>
      </w:pPr>
      <w:hyperlink r:id="rId24" w:history="1">
        <w:r w:rsidR="00CB7DB3" w:rsidRPr="00293860">
          <w:rPr>
            <w:rStyle w:val="Hyperlink"/>
            <w:rFonts w:cs="Arial"/>
            <w:lang w:val="en-US"/>
          </w:rPr>
          <w:t>Alice Springs (Mparntwe) Education Declaration (2019)</w:t>
        </w:r>
      </w:hyperlink>
    </w:p>
    <w:p w14:paraId="57C9B00F" w14:textId="39556CCE" w:rsidR="00CB7DB3" w:rsidRPr="0014404C" w:rsidRDefault="00000000" w:rsidP="003B0B17">
      <w:pPr>
        <w:pStyle w:val="ListParagraph"/>
        <w:numPr>
          <w:ilvl w:val="0"/>
          <w:numId w:val="72"/>
        </w:numPr>
        <w:ind w:left="714" w:hanging="357"/>
        <w:contextualSpacing w:val="0"/>
        <w:rPr>
          <w:rFonts w:cs="Arial"/>
          <w:color w:val="000000" w:themeColor="text1"/>
          <w:lang w:val="en-US"/>
        </w:rPr>
      </w:pPr>
      <w:hyperlink r:id="rId25" w:history="1">
        <w:r w:rsidR="00CB7DB3" w:rsidRPr="00031D9D">
          <w:rPr>
            <w:rStyle w:val="Hyperlink"/>
            <w:rFonts w:cs="Arial"/>
            <w:lang w:val="en-US"/>
          </w:rPr>
          <w:t xml:space="preserve">Australia’s Disability Strategy 2021-2031 </w:t>
        </w:r>
      </w:hyperlink>
      <w:r w:rsidR="00CB7DB3" w:rsidRPr="0014404C">
        <w:rPr>
          <w:rFonts w:cs="Arial"/>
          <w:color w:val="000000" w:themeColor="text1"/>
          <w:lang w:val="en-US"/>
        </w:rPr>
        <w:t xml:space="preserve"> </w:t>
      </w:r>
    </w:p>
    <w:p w14:paraId="6F740863" w14:textId="58DDC717" w:rsidR="00CB7DB3" w:rsidRPr="0014404C" w:rsidRDefault="00000000" w:rsidP="003B0B17">
      <w:pPr>
        <w:pStyle w:val="ListParagraph"/>
        <w:numPr>
          <w:ilvl w:val="0"/>
          <w:numId w:val="72"/>
        </w:numPr>
        <w:ind w:left="714" w:hanging="357"/>
        <w:contextualSpacing w:val="0"/>
        <w:rPr>
          <w:rFonts w:cs="Arial"/>
          <w:color w:val="000000" w:themeColor="text1"/>
          <w:lang w:val="en-US"/>
        </w:rPr>
      </w:pPr>
      <w:hyperlink r:id="rId26" w:history="1">
        <w:r w:rsidR="00CB7DB3" w:rsidRPr="00D53F2F">
          <w:rPr>
            <w:rStyle w:val="Hyperlink"/>
            <w:rFonts w:cs="Arial"/>
            <w:lang w:val="en-US"/>
          </w:rPr>
          <w:t>National Aboriginal and Torres Strait Islander Early Childhood Strategy</w:t>
        </w:r>
      </w:hyperlink>
    </w:p>
    <w:p w14:paraId="5172AF1B" w14:textId="155103F6" w:rsidR="00CB7DB3" w:rsidRPr="0014404C" w:rsidRDefault="00000000" w:rsidP="003B0B17">
      <w:pPr>
        <w:pStyle w:val="ListParagraph"/>
        <w:numPr>
          <w:ilvl w:val="0"/>
          <w:numId w:val="72"/>
        </w:numPr>
        <w:ind w:left="714" w:hanging="357"/>
        <w:contextualSpacing w:val="0"/>
        <w:rPr>
          <w:rFonts w:cs="Arial"/>
          <w:color w:val="000000" w:themeColor="text1"/>
          <w:lang w:val="en-US"/>
        </w:rPr>
      </w:pPr>
      <w:hyperlink r:id="rId27" w:history="1">
        <w:r w:rsidR="00CB7DB3" w:rsidRPr="002F0BE1">
          <w:rPr>
            <w:rStyle w:val="Hyperlink"/>
            <w:rFonts w:cs="Arial"/>
            <w:lang w:val="en-US"/>
          </w:rPr>
          <w:t>National Agreement on Closing the Gap</w:t>
        </w:r>
      </w:hyperlink>
    </w:p>
    <w:p w14:paraId="37B4834A" w14:textId="0A56BD46" w:rsidR="00CB7DB3" w:rsidRPr="0014404C" w:rsidRDefault="00000000" w:rsidP="003B0B17">
      <w:pPr>
        <w:pStyle w:val="ListParagraph"/>
        <w:numPr>
          <w:ilvl w:val="0"/>
          <w:numId w:val="72"/>
        </w:numPr>
        <w:ind w:left="714" w:hanging="357"/>
        <w:contextualSpacing w:val="0"/>
        <w:rPr>
          <w:rFonts w:cs="Arial"/>
          <w:color w:val="000000" w:themeColor="text1"/>
          <w:lang w:val="en-US"/>
        </w:rPr>
      </w:pPr>
      <w:hyperlink r:id="rId28" w:history="1">
        <w:r w:rsidR="00CB7DB3" w:rsidRPr="00E2429C">
          <w:rPr>
            <w:rStyle w:val="Hyperlink"/>
            <w:rFonts w:cs="Arial"/>
            <w:lang w:val="en-US"/>
          </w:rPr>
          <w:t>National Autism Strategy</w:t>
        </w:r>
      </w:hyperlink>
      <w:r w:rsidR="00CB7DB3" w:rsidRPr="0014404C">
        <w:rPr>
          <w:rFonts w:cs="Arial"/>
          <w:color w:val="000000" w:themeColor="text1"/>
          <w:lang w:val="en-US"/>
        </w:rPr>
        <w:t xml:space="preserve"> (In development)</w:t>
      </w:r>
    </w:p>
    <w:p w14:paraId="231D779D" w14:textId="0A9105BE" w:rsidR="00CB7DB3" w:rsidRPr="0014404C" w:rsidRDefault="00000000" w:rsidP="003B0B17">
      <w:pPr>
        <w:pStyle w:val="ListParagraph"/>
        <w:numPr>
          <w:ilvl w:val="0"/>
          <w:numId w:val="72"/>
        </w:numPr>
        <w:ind w:left="714" w:hanging="357"/>
        <w:contextualSpacing w:val="0"/>
        <w:rPr>
          <w:rFonts w:cs="Arial"/>
          <w:color w:val="000000" w:themeColor="text1"/>
          <w:lang w:val="en-US"/>
        </w:rPr>
      </w:pPr>
      <w:hyperlink r:id="rId29" w:history="1">
        <w:r w:rsidR="00CB7DB3" w:rsidRPr="00F4456C">
          <w:rPr>
            <w:rStyle w:val="Hyperlink"/>
            <w:rFonts w:cs="Arial"/>
            <w:lang w:val="en-US"/>
          </w:rPr>
          <w:t>National Early Years Strategy (2024-2034)</w:t>
        </w:r>
      </w:hyperlink>
    </w:p>
    <w:p w14:paraId="3C8291AF" w14:textId="052FB3A9" w:rsidR="00CB7DB3" w:rsidRPr="0014404C" w:rsidRDefault="00000000" w:rsidP="003B0B17">
      <w:pPr>
        <w:pStyle w:val="ListParagraph"/>
        <w:numPr>
          <w:ilvl w:val="0"/>
          <w:numId w:val="72"/>
        </w:numPr>
        <w:ind w:left="714" w:hanging="357"/>
        <w:contextualSpacing w:val="0"/>
        <w:rPr>
          <w:rFonts w:cs="Arial"/>
          <w:color w:val="000000" w:themeColor="text1"/>
          <w:lang w:val="en-US"/>
        </w:rPr>
      </w:pPr>
      <w:hyperlink r:id="rId30" w:history="1">
        <w:r w:rsidR="00CB7DB3" w:rsidRPr="0029023C">
          <w:rPr>
            <w:rStyle w:val="Hyperlink"/>
            <w:rFonts w:cs="Arial"/>
            <w:lang w:val="en-US"/>
          </w:rPr>
          <w:t>Safe and Supported The National Framework for Protecting Australia’s Children 2021-2031</w:t>
        </w:r>
      </w:hyperlink>
    </w:p>
    <w:p w14:paraId="781BC3A2" w14:textId="77777777" w:rsidR="00CB7DB3" w:rsidRPr="00CB7DB3" w:rsidRDefault="00CB7DB3" w:rsidP="00CB7DB3">
      <w:pPr>
        <w:rPr>
          <w:rFonts w:cs="Arial"/>
          <w:color w:val="000000" w:themeColor="text1"/>
          <w:lang w:val="en-US"/>
        </w:rPr>
      </w:pPr>
      <w:r w:rsidRPr="00CB7DB3">
        <w:rPr>
          <w:rFonts w:cs="Arial"/>
          <w:color w:val="000000" w:themeColor="text1"/>
          <w:lang w:val="en-US"/>
        </w:rPr>
        <w:t xml:space="preserve">Under Australia’s Disability Strategy 2021-2031, governments have established Targeted Action Plans (TAPs) to make headway in achieving outcomes in specific areas of the Strategy. The Early Childhood TAP focuses on children from infancy to school age with disability or developmental concerns, their families and carers. The TAP sets out key actions including Action 2.4: To review guidance for best practice ECI. </w:t>
      </w:r>
    </w:p>
    <w:p w14:paraId="5C2D0E9E" w14:textId="7FC0EF5A" w:rsidR="00CB7DB3" w:rsidRPr="00CB7DB3" w:rsidRDefault="00CB7DB3" w:rsidP="00CB7DB3">
      <w:pPr>
        <w:rPr>
          <w:rFonts w:cs="Arial"/>
          <w:color w:val="000000" w:themeColor="text1"/>
          <w:lang w:val="en-US"/>
        </w:rPr>
      </w:pPr>
      <w:r w:rsidRPr="00CB7DB3">
        <w:rPr>
          <w:rFonts w:cs="Arial"/>
          <w:color w:val="000000" w:themeColor="text1"/>
          <w:lang w:val="en-US"/>
        </w:rPr>
        <w:t xml:space="preserve">In 2024, the University of Sydney and Reimagine Australia published a whitepaper </w:t>
      </w:r>
      <w:hyperlink r:id="rId31" w:history="1">
        <w:r w:rsidRPr="000076B2">
          <w:rPr>
            <w:rStyle w:val="Hyperlink"/>
            <w:rFonts w:cs="Arial"/>
            <w:lang w:val="en-US"/>
          </w:rPr>
          <w:t>Best Practice for Who? The role of national guidelines in best practice guidance in early childhood intervention</w:t>
        </w:r>
      </w:hyperlink>
      <w:r w:rsidRPr="00CB7DB3">
        <w:rPr>
          <w:rFonts w:cs="Arial"/>
          <w:color w:val="000000" w:themeColor="text1"/>
          <w:lang w:val="en-US"/>
        </w:rPr>
        <w:t xml:space="preserve"> in order to provide: </w:t>
      </w:r>
    </w:p>
    <w:p w14:paraId="4796AB79" w14:textId="62802A89" w:rsidR="00CB7DB3" w:rsidRPr="00293860" w:rsidRDefault="00CB7DB3" w:rsidP="003B0B17">
      <w:pPr>
        <w:pStyle w:val="ListParagraph"/>
        <w:numPr>
          <w:ilvl w:val="0"/>
          <w:numId w:val="73"/>
        </w:numPr>
        <w:ind w:left="714" w:hanging="357"/>
        <w:contextualSpacing w:val="0"/>
        <w:rPr>
          <w:rFonts w:cs="Arial"/>
          <w:color w:val="000000" w:themeColor="text1"/>
          <w:lang w:val="en-US"/>
        </w:rPr>
      </w:pPr>
      <w:r w:rsidRPr="00293860">
        <w:rPr>
          <w:rFonts w:cs="Arial"/>
          <w:color w:val="000000" w:themeColor="text1"/>
          <w:lang w:val="en-US"/>
        </w:rPr>
        <w:t>a prompt for reflection on the purpose of practice guidelines following their best practice research project, and</w:t>
      </w:r>
    </w:p>
    <w:p w14:paraId="7A3D2642" w14:textId="69ECAF98" w:rsidR="00CB7DB3" w:rsidRPr="00293860" w:rsidRDefault="00CB7DB3" w:rsidP="003B0B17">
      <w:pPr>
        <w:pStyle w:val="ListParagraph"/>
        <w:numPr>
          <w:ilvl w:val="0"/>
          <w:numId w:val="73"/>
        </w:numPr>
        <w:ind w:left="714" w:hanging="357"/>
        <w:contextualSpacing w:val="0"/>
        <w:rPr>
          <w:rFonts w:cs="Arial"/>
          <w:color w:val="000000" w:themeColor="text1"/>
          <w:lang w:val="en-US"/>
        </w:rPr>
      </w:pPr>
      <w:r w:rsidRPr="00293860">
        <w:rPr>
          <w:rFonts w:cs="Arial"/>
          <w:color w:val="000000" w:themeColor="text1"/>
          <w:lang w:val="en-US"/>
        </w:rPr>
        <w:t>a checklist of consultation findings that could inform the review of best practice guidance that was identified as needed in the Early Childhood Targeted Action Plan 2.4.</w:t>
      </w:r>
    </w:p>
    <w:p w14:paraId="16F1A1FF" w14:textId="77777777" w:rsidR="00CB7DB3" w:rsidRPr="00CB7DB3" w:rsidRDefault="00CB7DB3" w:rsidP="00CB7DB3">
      <w:pPr>
        <w:rPr>
          <w:rFonts w:cs="Arial"/>
          <w:color w:val="000000" w:themeColor="text1"/>
          <w:lang w:val="en-US"/>
        </w:rPr>
      </w:pPr>
      <w:r w:rsidRPr="00CB7DB3">
        <w:rPr>
          <w:rFonts w:cs="Arial"/>
          <w:color w:val="000000" w:themeColor="text1"/>
          <w:lang w:val="en-US"/>
        </w:rPr>
        <w:t xml:space="preserve">The Department of Social Services has now funded an independent review of current best practice in ECI to inform nationally consistent guidance. This Desktop Review report is the first of seven deliverables of that review, which is led by the University of Melbourne in collaboration with a consortium that includes the Murdoch Children’s Research Institute (MCRI), Professionals and Researchers in Early Childhood Intervention (PRECI), The National Voice for Aboriginal and Torres Strait Islander Children (SNAICC), and Children and Young People with Disability Australia (CYDA). </w:t>
      </w:r>
    </w:p>
    <w:p w14:paraId="4EE07C64" w14:textId="6E76DAE2" w:rsidR="00CB7DB3" w:rsidRPr="000076B2" w:rsidRDefault="00CB7DB3" w:rsidP="003B0B17">
      <w:pPr>
        <w:pStyle w:val="ListParagraph"/>
        <w:numPr>
          <w:ilvl w:val="0"/>
          <w:numId w:val="74"/>
        </w:numPr>
        <w:rPr>
          <w:rFonts w:cs="Arial"/>
          <w:b/>
          <w:bCs/>
          <w:color w:val="000000" w:themeColor="text1"/>
          <w:lang w:val="en-US"/>
        </w:rPr>
      </w:pPr>
      <w:r w:rsidRPr="000076B2">
        <w:rPr>
          <w:rFonts w:cs="Arial"/>
          <w:b/>
          <w:bCs/>
          <w:color w:val="000000" w:themeColor="text1"/>
          <w:lang w:val="en-US"/>
        </w:rPr>
        <w:t xml:space="preserve">How is the aim of ECI defined? </w:t>
      </w:r>
    </w:p>
    <w:p w14:paraId="1510F07B" w14:textId="77777777" w:rsidR="00CB7DB3" w:rsidRPr="00CB7DB3" w:rsidRDefault="00CB7DB3" w:rsidP="00CB7DB3">
      <w:pPr>
        <w:rPr>
          <w:rFonts w:cs="Arial"/>
          <w:color w:val="000000" w:themeColor="text1"/>
          <w:lang w:val="en-US"/>
        </w:rPr>
      </w:pPr>
      <w:r w:rsidRPr="00CB7DB3">
        <w:rPr>
          <w:rFonts w:cs="Arial"/>
          <w:color w:val="000000" w:themeColor="text1"/>
          <w:lang w:val="en-US"/>
        </w:rPr>
        <w:t>ECI is defined in the current National Guidelines as:</w:t>
      </w:r>
    </w:p>
    <w:p w14:paraId="45E66497" w14:textId="77777777" w:rsidR="00CB7DB3" w:rsidRPr="00CB7DB3" w:rsidRDefault="00CB7DB3" w:rsidP="00CB7DB3">
      <w:pPr>
        <w:rPr>
          <w:rFonts w:cs="Arial"/>
          <w:color w:val="000000" w:themeColor="text1"/>
          <w:lang w:val="en-US"/>
        </w:rPr>
      </w:pPr>
      <w:r w:rsidRPr="00CB7DB3">
        <w:rPr>
          <w:rFonts w:cs="Arial"/>
          <w:color w:val="000000" w:themeColor="text1"/>
          <w:lang w:val="en-US"/>
        </w:rPr>
        <w:t>“The process of providing specialised support and services for infants and young children with disability and/or developmental delay, and their families, in order to promote development, well-being and community participation” (ECIA, 2016).</w:t>
      </w:r>
    </w:p>
    <w:p w14:paraId="32ADE0C1" w14:textId="77777777" w:rsidR="00CB7DB3" w:rsidRPr="00CB7DB3" w:rsidRDefault="00CB7DB3" w:rsidP="000076B2">
      <w:pPr>
        <w:rPr>
          <w:rFonts w:cs="Arial"/>
          <w:color w:val="000000" w:themeColor="text1"/>
          <w:lang w:val="en-US"/>
        </w:rPr>
      </w:pPr>
      <w:r w:rsidRPr="00CB7DB3">
        <w:rPr>
          <w:rFonts w:cs="Arial"/>
          <w:color w:val="000000" w:themeColor="text1"/>
          <w:lang w:val="en-US"/>
        </w:rPr>
        <w:t>The guidelines also reference other key aims of ECI:</w:t>
      </w:r>
    </w:p>
    <w:p w14:paraId="5394152B" w14:textId="01A48812" w:rsidR="00CB7DB3" w:rsidRPr="000076B2" w:rsidRDefault="00CB7DB3" w:rsidP="003B0B17">
      <w:pPr>
        <w:pStyle w:val="ListParagraph"/>
        <w:numPr>
          <w:ilvl w:val="0"/>
          <w:numId w:val="75"/>
        </w:numPr>
        <w:contextualSpacing w:val="0"/>
        <w:rPr>
          <w:rFonts w:cs="Arial"/>
          <w:color w:val="000000" w:themeColor="text1"/>
          <w:lang w:val="en-US"/>
        </w:rPr>
      </w:pPr>
      <w:r w:rsidRPr="000076B2">
        <w:rPr>
          <w:rFonts w:cs="Arial"/>
          <w:color w:val="000000" w:themeColor="text1"/>
          <w:lang w:val="en-US"/>
        </w:rPr>
        <w:t xml:space="preserve">“The overall aim of ECI is to ensure that the parents or other key caregivers are able to provide young children who have disability and/or developmental delay with experiences and opportunities that promote the children’s </w:t>
      </w:r>
      <w:r w:rsidRPr="000076B2">
        <w:rPr>
          <w:rFonts w:cs="Arial"/>
          <w:color w:val="000000" w:themeColor="text1"/>
          <w:lang w:val="en-US"/>
        </w:rPr>
        <w:lastRenderedPageBreak/>
        <w:t>acquisition and use of competencies which enable the children to participate meaningfully in the key environments in their lives” (Moore, 2012).</w:t>
      </w:r>
    </w:p>
    <w:p w14:paraId="6C9AD5F1" w14:textId="17EB69B4" w:rsidR="00CB7DB3" w:rsidRPr="000076B2" w:rsidRDefault="00CB7DB3" w:rsidP="003B0B17">
      <w:pPr>
        <w:pStyle w:val="ListParagraph"/>
        <w:numPr>
          <w:ilvl w:val="0"/>
          <w:numId w:val="75"/>
        </w:numPr>
        <w:contextualSpacing w:val="0"/>
        <w:rPr>
          <w:rFonts w:cs="Arial"/>
          <w:color w:val="000000" w:themeColor="text1"/>
          <w:lang w:val="en-US"/>
        </w:rPr>
      </w:pPr>
      <w:r w:rsidRPr="000076B2">
        <w:rPr>
          <w:rFonts w:cs="Arial"/>
          <w:color w:val="000000" w:themeColor="text1"/>
          <w:lang w:val="en-US"/>
        </w:rPr>
        <w:t>“ECI practitioners work in partnership with parents/caregivers, families and other significant stakeholders to enhance their knowledge, skills and supports to meet the needs of the child, optimise the child’s learning and development, and the child’s ability to participate in family and community life” (Bruder, 2010; Dunst, 2007).</w:t>
      </w:r>
    </w:p>
    <w:p w14:paraId="0B0E6C06" w14:textId="24B6FB2E" w:rsidR="00CB7DB3" w:rsidRPr="000076B2" w:rsidRDefault="00CB7DB3" w:rsidP="003B0B17">
      <w:pPr>
        <w:pStyle w:val="ListParagraph"/>
        <w:numPr>
          <w:ilvl w:val="0"/>
          <w:numId w:val="74"/>
        </w:numPr>
        <w:contextualSpacing w:val="0"/>
        <w:rPr>
          <w:rFonts w:cs="Arial"/>
          <w:b/>
          <w:bCs/>
          <w:color w:val="000000" w:themeColor="text1"/>
          <w:lang w:val="en-US"/>
        </w:rPr>
      </w:pPr>
      <w:r w:rsidRPr="000076B2">
        <w:rPr>
          <w:rFonts w:cs="Arial"/>
          <w:b/>
          <w:bCs/>
          <w:color w:val="000000" w:themeColor="text1"/>
          <w:lang w:val="en-US"/>
        </w:rPr>
        <w:t xml:space="preserve">How is best practice defined? </w:t>
      </w:r>
    </w:p>
    <w:p w14:paraId="4352E431" w14:textId="77777777" w:rsidR="00CB7DB3" w:rsidRPr="00CB7DB3" w:rsidRDefault="00CB7DB3" w:rsidP="00CB7DB3">
      <w:pPr>
        <w:rPr>
          <w:rFonts w:cs="Arial"/>
          <w:color w:val="000000" w:themeColor="text1"/>
          <w:lang w:val="en-US"/>
        </w:rPr>
      </w:pPr>
      <w:r w:rsidRPr="00CB7DB3">
        <w:rPr>
          <w:rFonts w:cs="Arial"/>
          <w:color w:val="000000" w:themeColor="text1"/>
          <w:lang w:val="en-US"/>
        </w:rPr>
        <w:t>The National Guidelines (2016) refer to Buysse and Wesley’s definition that, ‘Evidence-based practice is a decision-making process that integrates the best available research evidence with family and professional wisdom’ (Buysse &amp; Wesley, 2006, p12).</w:t>
      </w:r>
    </w:p>
    <w:p w14:paraId="5E09069D" w14:textId="77777777" w:rsidR="00CB7DB3" w:rsidRPr="00CB7DB3" w:rsidRDefault="00CB7DB3" w:rsidP="00CB7DB3">
      <w:pPr>
        <w:rPr>
          <w:rFonts w:cs="Arial"/>
          <w:color w:val="000000" w:themeColor="text1"/>
          <w:lang w:val="en-US"/>
        </w:rPr>
      </w:pPr>
      <w:r w:rsidRPr="00CB7DB3">
        <w:rPr>
          <w:rFonts w:cs="Arial"/>
          <w:color w:val="000000" w:themeColor="text1"/>
          <w:lang w:val="en-US"/>
        </w:rPr>
        <w:t>Furthermore, the guidelines indicate that to ensure that they are working from a base of evidence informed by the latest research and practice, ECI practitioners should maintain knowledge and skills through ongoing self-reflection, self-assessment and monitoring of practices (ECIA, 2016).</w:t>
      </w:r>
    </w:p>
    <w:p w14:paraId="1B4F9492" w14:textId="7AB319DB" w:rsidR="00CB7DB3" w:rsidRPr="003E2ABD" w:rsidRDefault="00CB7DB3" w:rsidP="003B0B17">
      <w:pPr>
        <w:pStyle w:val="ListParagraph"/>
        <w:numPr>
          <w:ilvl w:val="0"/>
          <w:numId w:val="74"/>
        </w:numPr>
        <w:rPr>
          <w:rFonts w:cs="Arial"/>
          <w:b/>
          <w:bCs/>
          <w:color w:val="000000" w:themeColor="text1"/>
          <w:lang w:val="en-US"/>
        </w:rPr>
      </w:pPr>
      <w:r w:rsidRPr="003E2ABD">
        <w:rPr>
          <w:rFonts w:cs="Arial"/>
          <w:b/>
          <w:bCs/>
          <w:color w:val="000000" w:themeColor="text1"/>
          <w:lang w:val="en-US"/>
        </w:rPr>
        <w:t xml:space="preserve">To whom does the framework apply? </w:t>
      </w:r>
    </w:p>
    <w:p w14:paraId="57036F38" w14:textId="77777777" w:rsidR="00CB7DB3" w:rsidRPr="00CB7DB3" w:rsidRDefault="00CB7DB3" w:rsidP="00CB7DB3">
      <w:pPr>
        <w:rPr>
          <w:rFonts w:cs="Arial"/>
          <w:color w:val="000000" w:themeColor="text1"/>
          <w:lang w:val="en-US"/>
        </w:rPr>
      </w:pPr>
      <w:r w:rsidRPr="00CB7DB3">
        <w:rPr>
          <w:rFonts w:cs="Arial"/>
          <w:color w:val="000000" w:themeColor="text1"/>
          <w:lang w:val="en-US"/>
        </w:rPr>
        <w:t>The guidelines have been developed for the Australian ECI service sector.</w:t>
      </w:r>
    </w:p>
    <w:p w14:paraId="39CE8A71" w14:textId="48121236" w:rsidR="00CB7DB3" w:rsidRPr="003E2ABD" w:rsidRDefault="00CB7DB3" w:rsidP="003B0B17">
      <w:pPr>
        <w:pStyle w:val="ListParagraph"/>
        <w:numPr>
          <w:ilvl w:val="0"/>
          <w:numId w:val="74"/>
        </w:numPr>
        <w:rPr>
          <w:rFonts w:cs="Arial"/>
          <w:b/>
          <w:bCs/>
          <w:color w:val="000000" w:themeColor="text1"/>
          <w:lang w:val="en-US"/>
        </w:rPr>
      </w:pPr>
      <w:r w:rsidRPr="003E2ABD">
        <w:rPr>
          <w:rFonts w:cs="Arial"/>
          <w:b/>
          <w:bCs/>
          <w:color w:val="000000" w:themeColor="text1"/>
          <w:lang w:val="en-US"/>
        </w:rPr>
        <w:t xml:space="preserve">To what extent are universal principles identified? </w:t>
      </w:r>
    </w:p>
    <w:p w14:paraId="43A1D563" w14:textId="77777777" w:rsidR="00CB7DB3" w:rsidRPr="00CB7DB3" w:rsidRDefault="00CB7DB3" w:rsidP="00CB7DB3">
      <w:pPr>
        <w:rPr>
          <w:rFonts w:cs="Arial"/>
          <w:color w:val="000000" w:themeColor="text1"/>
          <w:lang w:val="en-US"/>
        </w:rPr>
      </w:pPr>
      <w:r w:rsidRPr="00CB7DB3">
        <w:rPr>
          <w:rFonts w:cs="Arial"/>
          <w:color w:val="000000" w:themeColor="text1"/>
          <w:lang w:val="en-US"/>
        </w:rPr>
        <w:t>The guidelines provide eight principles under 4 quality areas.</w:t>
      </w:r>
    </w:p>
    <w:p w14:paraId="3284039E" w14:textId="30C03E75" w:rsidR="00CB7DB3" w:rsidRPr="003E2ABD" w:rsidRDefault="00CB7DB3" w:rsidP="003B0B17">
      <w:pPr>
        <w:pStyle w:val="ListParagraph"/>
        <w:numPr>
          <w:ilvl w:val="0"/>
          <w:numId w:val="76"/>
        </w:numPr>
        <w:ind w:left="714" w:hanging="357"/>
        <w:contextualSpacing w:val="0"/>
        <w:rPr>
          <w:rFonts w:cs="Arial"/>
          <w:color w:val="000000" w:themeColor="text1"/>
          <w:lang w:val="en-US"/>
        </w:rPr>
      </w:pPr>
      <w:r w:rsidRPr="003E2ABD">
        <w:rPr>
          <w:rFonts w:cs="Arial"/>
          <w:color w:val="000000" w:themeColor="text1"/>
          <w:lang w:val="en-US"/>
        </w:rPr>
        <w:t>Quality Area 1: Family</w:t>
      </w:r>
    </w:p>
    <w:p w14:paraId="0D8B9746" w14:textId="5A28D383" w:rsidR="00CB7DB3" w:rsidRPr="003E2ABD" w:rsidRDefault="00CB7DB3" w:rsidP="003B0B17">
      <w:pPr>
        <w:pStyle w:val="ListParagraph"/>
        <w:numPr>
          <w:ilvl w:val="1"/>
          <w:numId w:val="76"/>
        </w:numPr>
        <w:contextualSpacing w:val="0"/>
        <w:rPr>
          <w:rFonts w:cs="Arial"/>
          <w:color w:val="000000" w:themeColor="text1"/>
          <w:lang w:val="en-US"/>
        </w:rPr>
      </w:pPr>
      <w:r w:rsidRPr="003E2ABD">
        <w:rPr>
          <w:rFonts w:cs="Arial"/>
          <w:color w:val="000000" w:themeColor="text1"/>
          <w:lang w:val="en-US"/>
        </w:rPr>
        <w:t xml:space="preserve">Family-Centred and Strengths-Based Practice </w:t>
      </w:r>
    </w:p>
    <w:p w14:paraId="3F3707DC" w14:textId="6B472D97" w:rsidR="00CB7DB3" w:rsidRPr="003E2ABD" w:rsidRDefault="00CB7DB3" w:rsidP="003B0B17">
      <w:pPr>
        <w:pStyle w:val="ListParagraph"/>
        <w:numPr>
          <w:ilvl w:val="1"/>
          <w:numId w:val="76"/>
        </w:numPr>
        <w:contextualSpacing w:val="0"/>
        <w:rPr>
          <w:rFonts w:cs="Arial"/>
          <w:color w:val="000000" w:themeColor="text1"/>
          <w:lang w:val="en-US"/>
        </w:rPr>
      </w:pPr>
      <w:r w:rsidRPr="003E2ABD">
        <w:rPr>
          <w:rFonts w:cs="Arial"/>
          <w:color w:val="000000" w:themeColor="text1"/>
          <w:lang w:val="en-US"/>
        </w:rPr>
        <w:t xml:space="preserve">Culturally Responsive Practice </w:t>
      </w:r>
    </w:p>
    <w:p w14:paraId="3D355BF0" w14:textId="24ACF45D" w:rsidR="00CB7DB3" w:rsidRPr="003E2ABD" w:rsidRDefault="00CB7DB3" w:rsidP="003B0B17">
      <w:pPr>
        <w:pStyle w:val="ListParagraph"/>
        <w:numPr>
          <w:ilvl w:val="0"/>
          <w:numId w:val="76"/>
        </w:numPr>
        <w:ind w:left="714" w:hanging="357"/>
        <w:contextualSpacing w:val="0"/>
        <w:rPr>
          <w:rFonts w:cs="Arial"/>
          <w:color w:val="000000" w:themeColor="text1"/>
          <w:lang w:val="en-US"/>
        </w:rPr>
      </w:pPr>
      <w:r w:rsidRPr="003E2ABD">
        <w:rPr>
          <w:rFonts w:cs="Arial"/>
          <w:color w:val="000000" w:themeColor="text1"/>
          <w:lang w:val="en-US"/>
        </w:rPr>
        <w:t>Quality Area 2: Inclusion</w:t>
      </w:r>
    </w:p>
    <w:p w14:paraId="4314D7EF" w14:textId="1A276D07" w:rsidR="00CB7DB3" w:rsidRPr="003E2ABD" w:rsidRDefault="00CB7DB3" w:rsidP="003B0B17">
      <w:pPr>
        <w:pStyle w:val="ListParagraph"/>
        <w:numPr>
          <w:ilvl w:val="1"/>
          <w:numId w:val="76"/>
        </w:numPr>
        <w:contextualSpacing w:val="0"/>
        <w:rPr>
          <w:rFonts w:cs="Arial"/>
          <w:color w:val="000000" w:themeColor="text1"/>
          <w:lang w:val="en-US"/>
        </w:rPr>
      </w:pPr>
      <w:r w:rsidRPr="003E2ABD">
        <w:rPr>
          <w:rFonts w:cs="Arial"/>
          <w:color w:val="000000" w:themeColor="text1"/>
          <w:lang w:val="en-US"/>
        </w:rPr>
        <w:t>Inclusive and Participatory Practice</w:t>
      </w:r>
    </w:p>
    <w:p w14:paraId="11ACCC2F" w14:textId="758E65D4" w:rsidR="00CB7DB3" w:rsidRPr="003E2ABD" w:rsidRDefault="00CB7DB3" w:rsidP="003B0B17">
      <w:pPr>
        <w:pStyle w:val="ListParagraph"/>
        <w:numPr>
          <w:ilvl w:val="1"/>
          <w:numId w:val="76"/>
        </w:numPr>
        <w:contextualSpacing w:val="0"/>
        <w:rPr>
          <w:rFonts w:cs="Arial"/>
          <w:color w:val="000000" w:themeColor="text1"/>
          <w:lang w:val="en-US"/>
        </w:rPr>
      </w:pPr>
      <w:r w:rsidRPr="003E2ABD">
        <w:rPr>
          <w:rFonts w:cs="Arial"/>
          <w:color w:val="000000" w:themeColor="text1"/>
          <w:lang w:val="en-US"/>
        </w:rPr>
        <w:t>Engaging the Child in Natural Environments</w:t>
      </w:r>
    </w:p>
    <w:p w14:paraId="2D21F12E" w14:textId="72E5705F" w:rsidR="00CB7DB3" w:rsidRPr="003E2ABD" w:rsidRDefault="00CB7DB3" w:rsidP="003B0B17">
      <w:pPr>
        <w:pStyle w:val="ListParagraph"/>
        <w:numPr>
          <w:ilvl w:val="0"/>
          <w:numId w:val="76"/>
        </w:numPr>
        <w:ind w:left="714" w:hanging="357"/>
        <w:contextualSpacing w:val="0"/>
        <w:rPr>
          <w:rFonts w:cs="Arial"/>
          <w:color w:val="000000" w:themeColor="text1"/>
          <w:lang w:val="en-US"/>
        </w:rPr>
      </w:pPr>
      <w:r w:rsidRPr="003E2ABD">
        <w:rPr>
          <w:rFonts w:cs="Arial"/>
          <w:color w:val="000000" w:themeColor="text1"/>
          <w:lang w:val="en-US"/>
        </w:rPr>
        <w:t>Quality Area 3: Teamwork</w:t>
      </w:r>
    </w:p>
    <w:p w14:paraId="0A2E3DD7" w14:textId="6714DE2D" w:rsidR="00CB7DB3" w:rsidRPr="003E2ABD" w:rsidRDefault="00CB7DB3" w:rsidP="003B0B17">
      <w:pPr>
        <w:pStyle w:val="ListParagraph"/>
        <w:numPr>
          <w:ilvl w:val="1"/>
          <w:numId w:val="76"/>
        </w:numPr>
        <w:contextualSpacing w:val="0"/>
        <w:rPr>
          <w:rFonts w:cs="Arial"/>
          <w:color w:val="000000" w:themeColor="text1"/>
          <w:lang w:val="en-US"/>
        </w:rPr>
      </w:pPr>
      <w:r w:rsidRPr="003E2ABD">
        <w:rPr>
          <w:rFonts w:cs="Arial"/>
          <w:color w:val="000000" w:themeColor="text1"/>
          <w:lang w:val="en-US"/>
        </w:rPr>
        <w:t xml:space="preserve">Collaborative Teamwork Practice </w:t>
      </w:r>
    </w:p>
    <w:p w14:paraId="2B072990" w14:textId="269C5351" w:rsidR="00CB7DB3" w:rsidRPr="003E2ABD" w:rsidRDefault="00CB7DB3" w:rsidP="003B0B17">
      <w:pPr>
        <w:pStyle w:val="ListParagraph"/>
        <w:numPr>
          <w:ilvl w:val="1"/>
          <w:numId w:val="76"/>
        </w:numPr>
        <w:contextualSpacing w:val="0"/>
        <w:rPr>
          <w:rFonts w:cs="Arial"/>
          <w:color w:val="000000" w:themeColor="text1"/>
          <w:lang w:val="en-US"/>
        </w:rPr>
      </w:pPr>
      <w:r w:rsidRPr="003E2ABD">
        <w:rPr>
          <w:rFonts w:cs="Arial"/>
          <w:color w:val="000000" w:themeColor="text1"/>
          <w:lang w:val="en-US"/>
        </w:rPr>
        <w:t xml:space="preserve">Capacity-Building Practice </w:t>
      </w:r>
    </w:p>
    <w:p w14:paraId="4CD24597" w14:textId="563524A3" w:rsidR="00CB7DB3" w:rsidRPr="003E2ABD" w:rsidRDefault="00CB7DB3" w:rsidP="003B0B17">
      <w:pPr>
        <w:pStyle w:val="ListParagraph"/>
        <w:numPr>
          <w:ilvl w:val="0"/>
          <w:numId w:val="76"/>
        </w:numPr>
        <w:ind w:left="714" w:hanging="357"/>
        <w:contextualSpacing w:val="0"/>
        <w:rPr>
          <w:rFonts w:cs="Arial"/>
          <w:color w:val="000000" w:themeColor="text1"/>
          <w:lang w:val="en-US"/>
        </w:rPr>
      </w:pPr>
      <w:r w:rsidRPr="003E2ABD">
        <w:rPr>
          <w:rFonts w:cs="Arial"/>
          <w:color w:val="000000" w:themeColor="text1"/>
          <w:lang w:val="en-US"/>
        </w:rPr>
        <w:t>Quality Area 4: Universal Principles</w:t>
      </w:r>
    </w:p>
    <w:p w14:paraId="39C48840" w14:textId="4FCB75BA" w:rsidR="00CB7DB3" w:rsidRPr="003E2ABD" w:rsidRDefault="00CB7DB3" w:rsidP="003B0B17">
      <w:pPr>
        <w:pStyle w:val="ListParagraph"/>
        <w:numPr>
          <w:ilvl w:val="1"/>
          <w:numId w:val="76"/>
        </w:numPr>
        <w:contextualSpacing w:val="0"/>
        <w:rPr>
          <w:rFonts w:cs="Arial"/>
          <w:color w:val="000000" w:themeColor="text1"/>
          <w:lang w:val="en-US"/>
        </w:rPr>
      </w:pPr>
      <w:r w:rsidRPr="003E2ABD">
        <w:rPr>
          <w:rFonts w:cs="Arial"/>
          <w:color w:val="000000" w:themeColor="text1"/>
          <w:lang w:val="en-US"/>
        </w:rPr>
        <w:t xml:space="preserve">Evidence Base, Standards, Accountability and Practice </w:t>
      </w:r>
    </w:p>
    <w:p w14:paraId="43ABC349" w14:textId="4B704BB8" w:rsidR="00CB7DB3" w:rsidRPr="003E2ABD" w:rsidRDefault="00CB7DB3" w:rsidP="003B0B17">
      <w:pPr>
        <w:pStyle w:val="ListParagraph"/>
        <w:numPr>
          <w:ilvl w:val="1"/>
          <w:numId w:val="76"/>
        </w:numPr>
        <w:contextualSpacing w:val="0"/>
        <w:rPr>
          <w:rFonts w:cs="Arial"/>
          <w:color w:val="000000" w:themeColor="text1"/>
          <w:lang w:val="en-US"/>
        </w:rPr>
      </w:pPr>
      <w:r w:rsidRPr="003E2ABD">
        <w:rPr>
          <w:rFonts w:cs="Arial"/>
          <w:color w:val="000000" w:themeColor="text1"/>
          <w:lang w:val="en-US"/>
        </w:rPr>
        <w:t>Outcome Based Approach</w:t>
      </w:r>
    </w:p>
    <w:p w14:paraId="2F6F9EAA" w14:textId="12287597" w:rsidR="00CB7DB3" w:rsidRPr="00CA46E3" w:rsidRDefault="00CB7DB3" w:rsidP="003B0B17">
      <w:pPr>
        <w:pStyle w:val="ListParagraph"/>
        <w:numPr>
          <w:ilvl w:val="0"/>
          <w:numId w:val="74"/>
        </w:numPr>
        <w:rPr>
          <w:rFonts w:cs="Arial"/>
          <w:b/>
          <w:bCs/>
          <w:color w:val="000000" w:themeColor="text1"/>
          <w:lang w:val="en-US"/>
        </w:rPr>
      </w:pPr>
      <w:r w:rsidRPr="00CA46E3">
        <w:rPr>
          <w:rFonts w:cs="Arial"/>
          <w:b/>
          <w:bCs/>
          <w:color w:val="000000" w:themeColor="text1"/>
          <w:lang w:val="en-US"/>
        </w:rPr>
        <w:t xml:space="preserve">What processes, indicators and tools to gather evidence of implementation are applied? </w:t>
      </w:r>
    </w:p>
    <w:p w14:paraId="68269CBF" w14:textId="77777777" w:rsidR="00CB7DB3" w:rsidRPr="00CB7DB3" w:rsidRDefault="00CB7DB3" w:rsidP="00CB7DB3">
      <w:pPr>
        <w:rPr>
          <w:rFonts w:cs="Arial"/>
          <w:color w:val="000000" w:themeColor="text1"/>
          <w:lang w:val="en-US"/>
        </w:rPr>
      </w:pPr>
      <w:r w:rsidRPr="00CB7DB3">
        <w:rPr>
          <w:rFonts w:cs="Arial"/>
          <w:color w:val="000000" w:themeColor="text1"/>
          <w:lang w:val="en-US"/>
        </w:rPr>
        <w:t xml:space="preserve">The current guidelines do not provide resources to gather evidence of implementation. </w:t>
      </w:r>
    </w:p>
    <w:p w14:paraId="2C58460C" w14:textId="77675E25" w:rsidR="00CB7DB3" w:rsidRPr="00CA46E3" w:rsidRDefault="00CB7DB3" w:rsidP="003B0B17">
      <w:pPr>
        <w:pStyle w:val="ListParagraph"/>
        <w:numPr>
          <w:ilvl w:val="0"/>
          <w:numId w:val="74"/>
        </w:numPr>
        <w:rPr>
          <w:rFonts w:cs="Arial"/>
          <w:b/>
          <w:bCs/>
          <w:color w:val="000000" w:themeColor="text1"/>
          <w:lang w:val="en-US"/>
        </w:rPr>
      </w:pPr>
      <w:r w:rsidRPr="00CA46E3">
        <w:rPr>
          <w:rFonts w:cs="Arial"/>
          <w:b/>
          <w:bCs/>
          <w:color w:val="000000" w:themeColor="text1"/>
          <w:lang w:val="en-US"/>
        </w:rPr>
        <w:t xml:space="preserve">How is new evidence integrated into the identified framework? </w:t>
      </w:r>
    </w:p>
    <w:p w14:paraId="4F44C586" w14:textId="7373305B" w:rsidR="00CB7DB3" w:rsidRPr="00CB7DB3" w:rsidRDefault="00CB7DB3" w:rsidP="00CB7DB3">
      <w:pPr>
        <w:rPr>
          <w:rFonts w:cs="Arial"/>
          <w:color w:val="000000" w:themeColor="text1"/>
          <w:lang w:val="en-US"/>
        </w:rPr>
      </w:pPr>
      <w:r w:rsidRPr="00CB7DB3">
        <w:rPr>
          <w:rFonts w:cs="Arial"/>
          <w:color w:val="000000" w:themeColor="text1"/>
          <w:lang w:val="en-US"/>
        </w:rPr>
        <w:t xml:space="preserve">The framework integrates extensive research with information sought from the sector through national consultations and submissions. The Department of Social Services </w:t>
      </w:r>
      <w:r w:rsidRPr="00CB7DB3">
        <w:rPr>
          <w:rFonts w:cs="Arial"/>
          <w:color w:val="000000" w:themeColor="text1"/>
          <w:lang w:val="en-US"/>
        </w:rPr>
        <w:lastRenderedPageBreak/>
        <w:t>has funded an independent review of current best practice in ECI to inform nationally consistent guidance.</w:t>
      </w:r>
    </w:p>
    <w:p w14:paraId="1C5A7E8C" w14:textId="69DFCEB6" w:rsidR="00CB7DB3" w:rsidRPr="00CA46E3" w:rsidRDefault="00CB7DB3" w:rsidP="003B0B17">
      <w:pPr>
        <w:pStyle w:val="ListParagraph"/>
        <w:numPr>
          <w:ilvl w:val="0"/>
          <w:numId w:val="74"/>
        </w:numPr>
        <w:rPr>
          <w:rFonts w:cs="Arial"/>
          <w:b/>
          <w:bCs/>
          <w:color w:val="000000" w:themeColor="text1"/>
          <w:lang w:val="en-US"/>
        </w:rPr>
      </w:pPr>
      <w:r w:rsidRPr="00CA46E3">
        <w:rPr>
          <w:rFonts w:cs="Arial"/>
          <w:b/>
          <w:bCs/>
          <w:color w:val="000000" w:themeColor="text1"/>
          <w:lang w:val="en-US"/>
        </w:rPr>
        <w:t>What are the perceived strengths, weaknesses and challenges of the approaches?</w:t>
      </w:r>
    </w:p>
    <w:p w14:paraId="56B584AB" w14:textId="77777777" w:rsidR="00CB7DB3" w:rsidRPr="00CA46E3" w:rsidRDefault="00CB7DB3" w:rsidP="00CB7DB3">
      <w:pPr>
        <w:rPr>
          <w:rFonts w:cs="Arial"/>
          <w:i/>
          <w:iCs/>
          <w:color w:val="000000" w:themeColor="text1"/>
          <w:lang w:val="en-US"/>
        </w:rPr>
      </w:pPr>
      <w:r w:rsidRPr="00CA46E3">
        <w:rPr>
          <w:rFonts w:cs="Arial"/>
          <w:i/>
          <w:iCs/>
          <w:color w:val="000000" w:themeColor="text1"/>
          <w:lang w:val="en-US"/>
        </w:rPr>
        <w:t>Strengths</w:t>
      </w:r>
    </w:p>
    <w:p w14:paraId="0CAF7CB9" w14:textId="5E8827C5" w:rsidR="00CB7DB3" w:rsidRPr="00CA46E3" w:rsidRDefault="00CB7DB3" w:rsidP="003B0B17">
      <w:pPr>
        <w:pStyle w:val="ListParagraph"/>
        <w:numPr>
          <w:ilvl w:val="0"/>
          <w:numId w:val="78"/>
        </w:numPr>
        <w:ind w:left="714" w:hanging="357"/>
        <w:contextualSpacing w:val="0"/>
        <w:rPr>
          <w:rFonts w:cs="Arial"/>
          <w:color w:val="000000" w:themeColor="text1"/>
          <w:lang w:val="en-US"/>
        </w:rPr>
      </w:pPr>
      <w:r w:rsidRPr="00CA46E3">
        <w:rPr>
          <w:rFonts w:cs="Arial"/>
          <w:color w:val="000000" w:themeColor="text1"/>
          <w:lang w:val="en-US"/>
        </w:rPr>
        <w:t>Clear key best practices and rationale for each one</w:t>
      </w:r>
    </w:p>
    <w:p w14:paraId="43508E90" w14:textId="286AA6E1" w:rsidR="00CB7DB3" w:rsidRPr="00CA46E3" w:rsidRDefault="00CB7DB3" w:rsidP="003B0B17">
      <w:pPr>
        <w:pStyle w:val="ListParagraph"/>
        <w:numPr>
          <w:ilvl w:val="0"/>
          <w:numId w:val="78"/>
        </w:numPr>
        <w:ind w:left="714" w:hanging="357"/>
        <w:contextualSpacing w:val="0"/>
        <w:rPr>
          <w:rFonts w:cs="Arial"/>
          <w:color w:val="000000" w:themeColor="text1"/>
          <w:lang w:val="en-US"/>
        </w:rPr>
      </w:pPr>
      <w:r w:rsidRPr="00CA46E3">
        <w:rPr>
          <w:rFonts w:cs="Arial"/>
          <w:color w:val="000000" w:themeColor="text1"/>
          <w:lang w:val="en-US"/>
        </w:rPr>
        <w:t>Accessible for practitioners – free and online</w:t>
      </w:r>
    </w:p>
    <w:p w14:paraId="0479FD7D" w14:textId="1E90D850" w:rsidR="00CB7DB3" w:rsidRPr="00CA46E3" w:rsidRDefault="00CB7DB3" w:rsidP="003B0B17">
      <w:pPr>
        <w:pStyle w:val="ListParagraph"/>
        <w:numPr>
          <w:ilvl w:val="0"/>
          <w:numId w:val="78"/>
        </w:numPr>
        <w:ind w:left="714" w:hanging="357"/>
        <w:contextualSpacing w:val="0"/>
        <w:rPr>
          <w:rFonts w:cs="Arial"/>
          <w:color w:val="000000" w:themeColor="text1"/>
          <w:lang w:val="en-US"/>
        </w:rPr>
      </w:pPr>
      <w:r w:rsidRPr="00CA46E3">
        <w:rPr>
          <w:rFonts w:cs="Arial"/>
          <w:color w:val="000000" w:themeColor="text1"/>
          <w:lang w:val="en-US"/>
        </w:rPr>
        <w:t>Online training modules available</w:t>
      </w:r>
    </w:p>
    <w:p w14:paraId="56FE4959" w14:textId="77777777" w:rsidR="00CB7DB3" w:rsidRPr="00CA46E3" w:rsidRDefault="00CB7DB3" w:rsidP="00CB7DB3">
      <w:pPr>
        <w:rPr>
          <w:rFonts w:cs="Arial"/>
          <w:i/>
          <w:iCs/>
          <w:color w:val="000000" w:themeColor="text1"/>
          <w:lang w:val="en-US"/>
        </w:rPr>
      </w:pPr>
      <w:r w:rsidRPr="00CA46E3">
        <w:rPr>
          <w:rFonts w:cs="Arial"/>
          <w:i/>
          <w:iCs/>
          <w:color w:val="000000" w:themeColor="text1"/>
          <w:lang w:val="en-US"/>
        </w:rPr>
        <w:t>Weaknesses / challenges</w:t>
      </w:r>
    </w:p>
    <w:p w14:paraId="7450CA39" w14:textId="35C72EFC" w:rsidR="00CB7DB3" w:rsidRPr="00CA46E3" w:rsidRDefault="00CB7DB3" w:rsidP="003B0B17">
      <w:pPr>
        <w:pStyle w:val="ListParagraph"/>
        <w:numPr>
          <w:ilvl w:val="0"/>
          <w:numId w:val="77"/>
        </w:numPr>
        <w:ind w:left="714" w:hanging="357"/>
        <w:contextualSpacing w:val="0"/>
        <w:rPr>
          <w:rFonts w:cs="Arial"/>
          <w:color w:val="000000" w:themeColor="text1"/>
          <w:lang w:val="en-US"/>
        </w:rPr>
      </w:pPr>
      <w:r w:rsidRPr="00CA46E3">
        <w:rPr>
          <w:rFonts w:cs="Arial"/>
          <w:color w:val="000000" w:themeColor="text1"/>
          <w:lang w:val="en-US"/>
        </w:rPr>
        <w:t>Limited translation of resources for families</w:t>
      </w:r>
    </w:p>
    <w:p w14:paraId="5A6AE650" w14:textId="35623CAF" w:rsidR="00CB7DB3" w:rsidRPr="00CA46E3" w:rsidRDefault="00CB7DB3" w:rsidP="003B0B17">
      <w:pPr>
        <w:pStyle w:val="ListParagraph"/>
        <w:numPr>
          <w:ilvl w:val="0"/>
          <w:numId w:val="77"/>
        </w:numPr>
        <w:ind w:left="714" w:hanging="357"/>
        <w:contextualSpacing w:val="0"/>
        <w:rPr>
          <w:rFonts w:cs="Arial"/>
          <w:color w:val="000000" w:themeColor="text1"/>
          <w:lang w:val="en-US"/>
        </w:rPr>
      </w:pPr>
      <w:r w:rsidRPr="00CA46E3">
        <w:rPr>
          <w:rFonts w:cs="Arial"/>
          <w:color w:val="000000" w:themeColor="text1"/>
          <w:lang w:val="en-US"/>
        </w:rPr>
        <w:t>Lack of explicit links to the Early Years Learning Framework</w:t>
      </w:r>
    </w:p>
    <w:p w14:paraId="521283C5" w14:textId="14BED5D3" w:rsidR="00CB7DB3" w:rsidRPr="00CA46E3" w:rsidRDefault="00CB7DB3" w:rsidP="003B0B17">
      <w:pPr>
        <w:pStyle w:val="ListParagraph"/>
        <w:numPr>
          <w:ilvl w:val="0"/>
          <w:numId w:val="77"/>
        </w:numPr>
        <w:ind w:left="714" w:hanging="357"/>
        <w:contextualSpacing w:val="0"/>
        <w:rPr>
          <w:rFonts w:cs="Arial"/>
          <w:color w:val="000000" w:themeColor="text1"/>
          <w:lang w:val="en-US"/>
        </w:rPr>
      </w:pPr>
      <w:r w:rsidRPr="00CA46E3">
        <w:rPr>
          <w:rFonts w:cs="Arial"/>
          <w:color w:val="000000" w:themeColor="text1"/>
          <w:lang w:val="en-US"/>
        </w:rPr>
        <w:t>Implementation – lack of technical assistance and job embedded learning</w:t>
      </w:r>
    </w:p>
    <w:p w14:paraId="2B560E4F" w14:textId="781DC7BB" w:rsidR="00CB7DB3" w:rsidRPr="00CA46E3" w:rsidRDefault="00CB7DB3" w:rsidP="003B0B17">
      <w:pPr>
        <w:pStyle w:val="ListParagraph"/>
        <w:numPr>
          <w:ilvl w:val="0"/>
          <w:numId w:val="77"/>
        </w:numPr>
        <w:ind w:left="714" w:hanging="357"/>
        <w:contextualSpacing w:val="0"/>
        <w:rPr>
          <w:rFonts w:cs="Arial"/>
          <w:color w:val="000000" w:themeColor="text1"/>
          <w:lang w:val="en-US"/>
        </w:rPr>
      </w:pPr>
      <w:r w:rsidRPr="00CA46E3">
        <w:rPr>
          <w:rFonts w:cs="Arial"/>
          <w:color w:val="000000" w:themeColor="text1"/>
          <w:lang w:val="en-US"/>
        </w:rPr>
        <w:t>Risk of changes in policy that may not align with best practice</w:t>
      </w:r>
    </w:p>
    <w:p w14:paraId="1F6FBC33" w14:textId="29844719" w:rsidR="00CB7DB3" w:rsidRPr="00CA46E3" w:rsidRDefault="00CB7DB3" w:rsidP="003B0B17">
      <w:pPr>
        <w:pStyle w:val="ListParagraph"/>
        <w:numPr>
          <w:ilvl w:val="0"/>
          <w:numId w:val="77"/>
        </w:numPr>
        <w:ind w:left="714" w:hanging="357"/>
        <w:contextualSpacing w:val="0"/>
        <w:rPr>
          <w:rFonts w:cs="Arial"/>
          <w:color w:val="000000" w:themeColor="text1"/>
          <w:lang w:val="en-US"/>
        </w:rPr>
      </w:pPr>
      <w:r w:rsidRPr="00CA46E3">
        <w:rPr>
          <w:rFonts w:cs="Arial"/>
          <w:color w:val="000000" w:themeColor="text1"/>
          <w:lang w:val="en-US"/>
        </w:rPr>
        <w:t>Integration with current reviews</w:t>
      </w:r>
    </w:p>
    <w:p w14:paraId="1F264332" w14:textId="68BBDF60" w:rsidR="00CA46E3" w:rsidRDefault="00CB7DB3" w:rsidP="003B0B17">
      <w:pPr>
        <w:pStyle w:val="ListParagraph"/>
        <w:numPr>
          <w:ilvl w:val="0"/>
          <w:numId w:val="77"/>
        </w:numPr>
        <w:ind w:left="714" w:hanging="357"/>
        <w:contextualSpacing w:val="0"/>
        <w:rPr>
          <w:rFonts w:cs="Arial"/>
          <w:color w:val="000000" w:themeColor="text1"/>
          <w:lang w:val="en-US"/>
        </w:rPr>
      </w:pPr>
      <w:r w:rsidRPr="00CA46E3">
        <w:rPr>
          <w:rFonts w:cs="Arial"/>
          <w:color w:val="000000" w:themeColor="text1"/>
          <w:lang w:val="en-US"/>
        </w:rPr>
        <w:t>Specific guidance on how to implement the principles</w:t>
      </w:r>
    </w:p>
    <w:p w14:paraId="505C12AB" w14:textId="77777777" w:rsidR="00356402" w:rsidRDefault="00356402" w:rsidP="00356402">
      <w:pPr>
        <w:rPr>
          <w:rFonts w:cs="Arial"/>
          <w:color w:val="000000" w:themeColor="text1"/>
          <w:lang w:val="en-US"/>
        </w:rPr>
      </w:pPr>
    </w:p>
    <w:p w14:paraId="2B7A3206" w14:textId="1B80CCB8" w:rsidR="00356402" w:rsidRDefault="00862623" w:rsidP="00356402">
      <w:pPr>
        <w:rPr>
          <w:rFonts w:cs="Arial"/>
          <w:color w:val="000000" w:themeColor="text1"/>
          <w:lang w:val="en-US"/>
        </w:rPr>
      </w:pPr>
      <w:r w:rsidRPr="00420F2A">
        <w:rPr>
          <w:b/>
          <w:bCs/>
          <w:noProof/>
          <w:color w:val="FFFFFF" w:themeColor="background1"/>
          <w:lang w:val="en-US"/>
        </w:rPr>
        <mc:AlternateContent>
          <mc:Choice Requires="wps">
            <w:drawing>
              <wp:anchor distT="0" distB="0" distL="114300" distR="114300" simplePos="0" relativeHeight="251663360" behindDoc="1" locked="1" layoutInCell="1" allowOverlap="1" wp14:anchorId="373A72BB" wp14:editId="4E989CAC">
                <wp:simplePos x="0" y="0"/>
                <wp:positionH relativeFrom="column">
                  <wp:posOffset>-201295</wp:posOffset>
                </wp:positionH>
                <wp:positionV relativeFrom="page">
                  <wp:posOffset>4855845</wp:posOffset>
                </wp:positionV>
                <wp:extent cx="6134100" cy="773430"/>
                <wp:effectExtent l="0" t="0" r="0" b="1270"/>
                <wp:wrapNone/>
                <wp:docPr id="37851929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4100" cy="773430"/>
                        </a:xfrm>
                        <a:prstGeom prst="rect">
                          <a:avLst/>
                        </a:prstGeom>
                        <a:solidFill>
                          <a:srgbClr val="8087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E0E84" id="Rectangle 3" o:spid="_x0000_s1026" alt="&quot;&quot;" style="position:absolute;margin-left:-15.85pt;margin-top:382.35pt;width:483pt;height:6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" fillcolor="#8087a3" stroked="f" strokeweight="1pt">
                <w10:wrap anchory="page"/>
                <w10:anchorlock/>
              </v:rect>
            </w:pict>
          </mc:Fallback>
        </mc:AlternateContent>
      </w:r>
    </w:p>
    <w:p w14:paraId="5147F89E" w14:textId="2A22097C" w:rsidR="00356402" w:rsidRPr="00356402" w:rsidRDefault="00356402" w:rsidP="00356402">
      <w:pPr>
        <w:rPr>
          <w:rFonts w:cs="Arial"/>
          <w:color w:val="FFFFFF" w:themeColor="background1"/>
          <w:lang w:val="en-US"/>
        </w:rPr>
      </w:pPr>
      <w:r w:rsidRPr="00356402">
        <w:rPr>
          <w:rFonts w:cs="Arial"/>
          <w:b/>
          <w:bCs/>
          <w:color w:val="FFFFFF" w:themeColor="background1"/>
          <w:lang w:val="en-US"/>
        </w:rPr>
        <w:t>Europe:</w:t>
      </w:r>
      <w:r w:rsidRPr="00356402">
        <w:rPr>
          <w:rFonts w:cs="Arial"/>
          <w:color w:val="FFFFFF" w:themeColor="background1"/>
          <w:lang w:val="en-US"/>
        </w:rPr>
        <w:t xml:space="preserve"> Early Childhood Intervention</w:t>
      </w:r>
    </w:p>
    <w:p w14:paraId="650E3318" w14:textId="77777777" w:rsidR="00356402" w:rsidRDefault="00356402" w:rsidP="00356402">
      <w:pPr>
        <w:rPr>
          <w:rFonts w:cs="Arial"/>
          <w:color w:val="000000" w:themeColor="text1"/>
          <w:lang w:val="en-US"/>
        </w:rPr>
      </w:pPr>
    </w:p>
    <w:p w14:paraId="450ACFA2" w14:textId="77777777" w:rsidR="00356402" w:rsidRDefault="00356402" w:rsidP="00356402">
      <w:pPr>
        <w:rPr>
          <w:rFonts w:cs="Arial"/>
          <w:color w:val="000000" w:themeColor="text1"/>
          <w:lang w:val="en-US"/>
        </w:rPr>
      </w:pPr>
    </w:p>
    <w:p w14:paraId="48BDFF26" w14:textId="77777777" w:rsidR="00862623" w:rsidRPr="00862623" w:rsidRDefault="00862623" w:rsidP="00862623">
      <w:pPr>
        <w:rPr>
          <w:rFonts w:cs="Arial"/>
          <w:b/>
          <w:bCs/>
          <w:color w:val="000000" w:themeColor="text1"/>
          <w:lang w:val="en-US"/>
        </w:rPr>
      </w:pPr>
      <w:r w:rsidRPr="00862623">
        <w:rPr>
          <w:rFonts w:cs="Arial"/>
          <w:b/>
          <w:bCs/>
          <w:color w:val="000000" w:themeColor="text1"/>
          <w:lang w:val="en-US"/>
        </w:rPr>
        <w:t xml:space="preserve">Background/Context </w:t>
      </w:r>
    </w:p>
    <w:p w14:paraId="3BF236E3" w14:textId="77777777" w:rsidR="00862623" w:rsidRPr="00862623" w:rsidRDefault="00862623" w:rsidP="00862623">
      <w:pPr>
        <w:rPr>
          <w:rFonts w:cs="Arial"/>
          <w:color w:val="000000" w:themeColor="text1"/>
          <w:lang w:val="en-US"/>
        </w:rPr>
      </w:pPr>
      <w:r w:rsidRPr="00862623">
        <w:rPr>
          <w:rFonts w:cs="Arial"/>
          <w:color w:val="000000" w:themeColor="text1"/>
          <w:lang w:val="en-US"/>
        </w:rPr>
        <w:t xml:space="preserve">In 2021, the European Commission adopted the recommendation by the Council of the European Union towards the establishment of a European Child Guarantee. It aims to prevent and combat child poverty and social exclusion by supporting Member States efforts to guarantee access to quality key services (i.e., free early childhood education and care, free education and healthcare, healthy nutrition and adequate housing) for children in need. </w:t>
      </w:r>
    </w:p>
    <w:p w14:paraId="56307363" w14:textId="77777777" w:rsidR="00862623" w:rsidRPr="00862623" w:rsidRDefault="00862623" w:rsidP="00862623">
      <w:pPr>
        <w:rPr>
          <w:rFonts w:cs="Arial"/>
          <w:color w:val="000000" w:themeColor="text1"/>
          <w:lang w:val="en-US"/>
        </w:rPr>
      </w:pPr>
      <w:r w:rsidRPr="00862623">
        <w:rPr>
          <w:rFonts w:cs="Arial"/>
          <w:color w:val="000000" w:themeColor="text1"/>
          <w:lang w:val="en-US"/>
        </w:rPr>
        <w:t xml:space="preserve">Children with disability are one of the target groups identified within the scope of the European Child Guarantee, with Early Childhood Intervention being one specific area of focus. Since the introduction of the Child Guarantee, various European countries have prepared National Action Plans (NAPs) for its implementation, to tackle issues involved in the provision of ECI services. While some jurisdictions report NAPs involving policy efforts towards the provision of ECI supports, others experience challenges in terms of insufficient data and lack of clarity about definitions of disability, special needs, and mental health. </w:t>
      </w:r>
    </w:p>
    <w:p w14:paraId="1BC77D66" w14:textId="0C62BF0E" w:rsidR="00862623" w:rsidRPr="00862623" w:rsidRDefault="00862623" w:rsidP="00862623">
      <w:pPr>
        <w:rPr>
          <w:rFonts w:cs="Arial"/>
          <w:color w:val="000000" w:themeColor="text1"/>
          <w:lang w:val="en-US"/>
        </w:rPr>
      </w:pPr>
      <w:r w:rsidRPr="00862623">
        <w:rPr>
          <w:rFonts w:cs="Arial"/>
          <w:color w:val="000000" w:themeColor="text1"/>
          <w:lang w:val="en-US"/>
        </w:rPr>
        <w:t xml:space="preserve">The European Agency for Special Needs and Inclusive Education (EASNIE; </w:t>
      </w:r>
      <w:hyperlink r:id="rId32" w:history="1">
        <w:r w:rsidRPr="00862623">
          <w:rPr>
            <w:rStyle w:val="Hyperlink"/>
            <w:rFonts w:cs="Arial"/>
            <w:lang w:val="en-US"/>
          </w:rPr>
          <w:t>https://www.european-agency.org</w:t>
        </w:r>
      </w:hyperlink>
      <w:r w:rsidRPr="00862623">
        <w:rPr>
          <w:rFonts w:cs="Arial"/>
          <w:color w:val="000000" w:themeColor="text1"/>
          <w:lang w:val="en-US"/>
        </w:rPr>
        <w:t>/) has been developing a series of position papers on ECI policies, and more broadly on resources, practical tools in the implementation of inclusive education systems (</w:t>
      </w:r>
      <w:hyperlink r:id="rId33" w:history="1">
        <w:r w:rsidRPr="00862623">
          <w:rPr>
            <w:rStyle w:val="Hyperlink"/>
            <w:rFonts w:cs="Arial"/>
            <w:lang w:val="en-US"/>
          </w:rPr>
          <w:t>https://www.european-agency.org/resources/publications</w:t>
        </w:r>
      </w:hyperlink>
      <w:r w:rsidRPr="00862623">
        <w:rPr>
          <w:rFonts w:cs="Arial"/>
          <w:color w:val="000000" w:themeColor="text1"/>
          <w:lang w:val="en-US"/>
        </w:rPr>
        <w:t>). The EASNIE is an independent and self-</w:t>
      </w:r>
      <w:r w:rsidRPr="00862623">
        <w:rPr>
          <w:rFonts w:cs="Arial"/>
          <w:color w:val="000000" w:themeColor="text1"/>
          <w:lang w:val="en-US"/>
        </w:rPr>
        <w:lastRenderedPageBreak/>
        <w:t xml:space="preserve">governing organization, co-funded by the ministries of education in its member countries and by the European Commission and supported by the European Parliament.  </w:t>
      </w:r>
    </w:p>
    <w:p w14:paraId="4F228320" w14:textId="77777777" w:rsidR="00862623" w:rsidRPr="00862623" w:rsidRDefault="00862623" w:rsidP="00862623">
      <w:pPr>
        <w:rPr>
          <w:rFonts w:cs="Arial"/>
          <w:color w:val="000000" w:themeColor="text1"/>
          <w:lang w:val="en-US"/>
        </w:rPr>
      </w:pPr>
      <w:r w:rsidRPr="00862623">
        <w:rPr>
          <w:rFonts w:cs="Arial"/>
          <w:color w:val="000000" w:themeColor="text1"/>
          <w:lang w:val="en-US"/>
        </w:rPr>
        <w:t xml:space="preserve">The contribution of Eurlyaid (The European Association on Early Childhood Intervention) has been significant in the development of an ECI best practice framework. This organisation is a participative association of persons, interested in issues of early childhood intervention as well as a working party made up of representatives of parents’ associations, professionals and researchers, from various countries of the European Union. Eurlyaid has taken the lead in the last decade to develop an ECI framework with the publication of Recommended Practices in Early Childhood Intervention in 2016 and translated into various languages in 2019. </w:t>
      </w:r>
    </w:p>
    <w:p w14:paraId="7A0D50FE" w14:textId="7C7D81AD" w:rsidR="00862623" w:rsidRPr="00862623" w:rsidRDefault="00862623" w:rsidP="003B0B17">
      <w:pPr>
        <w:pStyle w:val="ListParagraph"/>
        <w:numPr>
          <w:ilvl w:val="0"/>
          <w:numId w:val="79"/>
        </w:numPr>
        <w:rPr>
          <w:rFonts w:cs="Arial"/>
          <w:b/>
          <w:bCs/>
          <w:color w:val="000000" w:themeColor="text1"/>
          <w:lang w:val="en-US"/>
        </w:rPr>
      </w:pPr>
      <w:r w:rsidRPr="00862623">
        <w:rPr>
          <w:rFonts w:cs="Arial"/>
          <w:b/>
          <w:bCs/>
          <w:color w:val="000000" w:themeColor="text1"/>
          <w:lang w:val="en-US"/>
        </w:rPr>
        <w:t xml:space="preserve">How is the aim of ECI defined? </w:t>
      </w:r>
    </w:p>
    <w:p w14:paraId="6BE90F77" w14:textId="77777777" w:rsidR="00862623" w:rsidRPr="00862623" w:rsidRDefault="00862623" w:rsidP="00862623">
      <w:pPr>
        <w:rPr>
          <w:rFonts w:cs="Arial"/>
          <w:color w:val="000000" w:themeColor="text1"/>
          <w:lang w:val="en-US"/>
        </w:rPr>
      </w:pPr>
      <w:r w:rsidRPr="00862623">
        <w:rPr>
          <w:rFonts w:cs="Arial"/>
          <w:color w:val="000000" w:themeColor="text1"/>
          <w:lang w:val="en-US"/>
        </w:rPr>
        <w:t xml:space="preserve">UNICEF and partners (2023) adopted the definition of ECI services as proposed in various other EASNIE and Eurlyaid documents. ECI is defined as “A composite of services for very young children and their families, provided at their request at a certain time in a child’s life, covering any action undertaken when a child needs special support to: a) ensure and enhance her/his personal development, b) strengthen the family’s own competences, and c) promote the social inclusion of the family and the child. These actions are to be provided in the child’s natural setting, preferably at a local level, with a family-oriented and multi- dimensional teamwork approach.” (p.2). </w:t>
      </w:r>
    </w:p>
    <w:p w14:paraId="67033759" w14:textId="77777777" w:rsidR="00862623" w:rsidRPr="00862623" w:rsidRDefault="00862623" w:rsidP="00862623">
      <w:pPr>
        <w:rPr>
          <w:rFonts w:cs="Arial"/>
          <w:color w:val="000000" w:themeColor="text1"/>
          <w:lang w:val="en-US"/>
        </w:rPr>
      </w:pPr>
      <w:r w:rsidRPr="00862623">
        <w:rPr>
          <w:rFonts w:cs="Arial"/>
          <w:color w:val="000000" w:themeColor="text1"/>
          <w:lang w:val="en-US"/>
        </w:rPr>
        <w:t xml:space="preserve">Key features of ECI service provision include: </w:t>
      </w:r>
    </w:p>
    <w:p w14:paraId="016F3990" w14:textId="7BF10DC2" w:rsidR="00862623" w:rsidRPr="00862623" w:rsidRDefault="00862623" w:rsidP="003B0B17">
      <w:pPr>
        <w:pStyle w:val="ListParagraph"/>
        <w:numPr>
          <w:ilvl w:val="0"/>
          <w:numId w:val="80"/>
        </w:numPr>
        <w:ind w:left="714" w:hanging="357"/>
        <w:contextualSpacing w:val="0"/>
        <w:rPr>
          <w:rFonts w:cs="Arial"/>
          <w:color w:val="000000" w:themeColor="text1"/>
          <w:lang w:val="en-US"/>
        </w:rPr>
      </w:pPr>
      <w:r w:rsidRPr="00862623">
        <w:rPr>
          <w:rFonts w:cs="Arial"/>
          <w:color w:val="000000" w:themeColor="text1"/>
          <w:lang w:val="en-US"/>
        </w:rPr>
        <w:t>ECI services are focused both on children and their caregivers.</w:t>
      </w:r>
    </w:p>
    <w:p w14:paraId="22FFEFD4" w14:textId="69A9CF6C" w:rsidR="00862623" w:rsidRPr="00862623" w:rsidRDefault="00862623" w:rsidP="003B0B17">
      <w:pPr>
        <w:pStyle w:val="ListParagraph"/>
        <w:numPr>
          <w:ilvl w:val="0"/>
          <w:numId w:val="80"/>
        </w:numPr>
        <w:ind w:left="714" w:hanging="357"/>
        <w:contextualSpacing w:val="0"/>
        <w:rPr>
          <w:rFonts w:cs="Arial"/>
          <w:color w:val="000000" w:themeColor="text1"/>
          <w:lang w:val="en-US"/>
        </w:rPr>
      </w:pPr>
      <w:r w:rsidRPr="00862623">
        <w:rPr>
          <w:rFonts w:cs="Arial"/>
          <w:color w:val="000000" w:themeColor="text1"/>
          <w:lang w:val="en-US"/>
        </w:rPr>
        <w:t>ECI services are individualized i.e., the support is tailored to the individual strengths and needs of every child and family.</w:t>
      </w:r>
    </w:p>
    <w:p w14:paraId="4FA0596E" w14:textId="32875D7E" w:rsidR="00862623" w:rsidRPr="00862623" w:rsidRDefault="00862623" w:rsidP="003B0B17">
      <w:pPr>
        <w:pStyle w:val="ListParagraph"/>
        <w:numPr>
          <w:ilvl w:val="0"/>
          <w:numId w:val="80"/>
        </w:numPr>
        <w:ind w:left="714" w:hanging="357"/>
        <w:contextualSpacing w:val="0"/>
        <w:rPr>
          <w:rFonts w:cs="Arial"/>
          <w:color w:val="000000" w:themeColor="text1"/>
          <w:lang w:val="en-US"/>
        </w:rPr>
      </w:pPr>
      <w:r w:rsidRPr="00862623">
        <w:rPr>
          <w:rFonts w:cs="Arial"/>
          <w:color w:val="000000" w:themeColor="text1"/>
          <w:lang w:val="en-US"/>
        </w:rPr>
        <w:t xml:space="preserve">ECI services are intensive: according to the needs of each child and family, the designated member of the ECI team provides scheduled visits to families in the natural environment of the child, which is usually the child’s home.  </w:t>
      </w:r>
    </w:p>
    <w:p w14:paraId="5593A5E4" w14:textId="1B97B698" w:rsidR="00862623" w:rsidRPr="00862623" w:rsidRDefault="00862623" w:rsidP="003B0B17">
      <w:pPr>
        <w:pStyle w:val="ListParagraph"/>
        <w:numPr>
          <w:ilvl w:val="0"/>
          <w:numId w:val="80"/>
        </w:numPr>
        <w:ind w:left="714" w:hanging="357"/>
        <w:contextualSpacing w:val="0"/>
        <w:rPr>
          <w:rFonts w:cs="Arial"/>
          <w:color w:val="000000" w:themeColor="text1"/>
          <w:lang w:val="en-US"/>
        </w:rPr>
      </w:pPr>
      <w:r w:rsidRPr="00862623">
        <w:rPr>
          <w:rFonts w:cs="Arial"/>
          <w:color w:val="000000" w:themeColor="text1"/>
          <w:lang w:val="en-US"/>
        </w:rPr>
        <w:t>ECI services are team-based and transdisciplinary: to address the diversity of family contexts and needs, services employ two or more specialists from different disciplines and sectors (medical doctors, physical therapists, speech therapists, psychologists, special educators, social workers, etc.) in a transdisciplinary team around the family and the child. The team members together with the parents conduct joint comprehensive assessment of the child and family needs and develop a plan for support. The work with the family is carried out by only one professional, supported and guided by the remaining members of the team.</w:t>
      </w:r>
    </w:p>
    <w:p w14:paraId="1C5004A8" w14:textId="29363A07" w:rsidR="00862623" w:rsidRPr="00862623" w:rsidRDefault="00862623" w:rsidP="003B0B17">
      <w:pPr>
        <w:pStyle w:val="ListParagraph"/>
        <w:numPr>
          <w:ilvl w:val="0"/>
          <w:numId w:val="80"/>
        </w:numPr>
        <w:ind w:left="714" w:hanging="357"/>
        <w:contextualSpacing w:val="0"/>
        <w:rPr>
          <w:rFonts w:cs="Arial"/>
          <w:color w:val="000000" w:themeColor="text1"/>
          <w:lang w:val="en-US"/>
        </w:rPr>
      </w:pPr>
      <w:r w:rsidRPr="00862623">
        <w:rPr>
          <w:rFonts w:cs="Arial"/>
          <w:color w:val="000000" w:themeColor="text1"/>
          <w:lang w:val="en-US"/>
        </w:rPr>
        <w:t xml:space="preserve">ECI services include the sectors of education, health, child protection and child welfare. For this reason, ECI systems and organizations are always integrated across sectors and disciplines to provide one united service to families and their children. </w:t>
      </w:r>
    </w:p>
    <w:p w14:paraId="61936944" w14:textId="205CFA68" w:rsidR="00862623" w:rsidRPr="00862623" w:rsidRDefault="00862623" w:rsidP="003B0B17">
      <w:pPr>
        <w:pStyle w:val="ListParagraph"/>
        <w:numPr>
          <w:ilvl w:val="0"/>
          <w:numId w:val="80"/>
        </w:numPr>
        <w:ind w:left="714" w:hanging="357"/>
        <w:contextualSpacing w:val="0"/>
        <w:rPr>
          <w:rFonts w:cs="Arial"/>
          <w:color w:val="000000" w:themeColor="text1"/>
          <w:lang w:val="en-US"/>
        </w:rPr>
      </w:pPr>
      <w:r w:rsidRPr="00862623">
        <w:rPr>
          <w:rFonts w:cs="Arial"/>
          <w:color w:val="000000" w:themeColor="text1"/>
          <w:lang w:val="en-US"/>
        </w:rPr>
        <w:t>ECI is family-centred and child-focused. Parents are key actors, deciding on the goals for their child, participating in the development of individualized plans and delivering ECI services in home settings in collaboration with the ECI professionals in responding to their child’s and their own needs.</w:t>
      </w:r>
    </w:p>
    <w:p w14:paraId="29FBEE1B" w14:textId="05A8C9F7" w:rsidR="00862623" w:rsidRPr="00862623" w:rsidRDefault="00862623" w:rsidP="003B0B17">
      <w:pPr>
        <w:pStyle w:val="ListParagraph"/>
        <w:numPr>
          <w:ilvl w:val="0"/>
          <w:numId w:val="79"/>
        </w:numPr>
        <w:rPr>
          <w:rFonts w:cs="Arial"/>
          <w:b/>
          <w:bCs/>
          <w:color w:val="000000" w:themeColor="text1"/>
          <w:lang w:val="en-US"/>
        </w:rPr>
      </w:pPr>
      <w:r w:rsidRPr="00862623">
        <w:rPr>
          <w:rFonts w:cs="Arial"/>
          <w:b/>
          <w:bCs/>
          <w:color w:val="000000" w:themeColor="text1"/>
          <w:lang w:val="en-US"/>
        </w:rPr>
        <w:lastRenderedPageBreak/>
        <w:t xml:space="preserve">How is best practice defined? </w:t>
      </w:r>
    </w:p>
    <w:p w14:paraId="40EA3DAD" w14:textId="278B96FD" w:rsidR="00862623" w:rsidRPr="00862623" w:rsidRDefault="00862623" w:rsidP="00862623">
      <w:pPr>
        <w:rPr>
          <w:rFonts w:cs="Arial"/>
          <w:color w:val="000000" w:themeColor="text1"/>
          <w:lang w:val="en-US"/>
        </w:rPr>
      </w:pPr>
      <w:r w:rsidRPr="00862623">
        <w:rPr>
          <w:rFonts w:cs="Arial"/>
          <w:color w:val="000000" w:themeColor="text1"/>
          <w:lang w:val="en-US"/>
        </w:rPr>
        <w:t>Based substantially on the early work conducted by Portugal on the establishment of a National System for ECI, Eurlyaid (2019) and partners in the project AGORA (</w:t>
      </w:r>
      <w:hyperlink r:id="rId34" w:history="1">
        <w:r w:rsidRPr="00862623">
          <w:rPr>
            <w:rStyle w:val="Hyperlink"/>
            <w:rFonts w:cs="Arial"/>
            <w:lang w:val="en-US"/>
          </w:rPr>
          <w:t>https://www.eurlyaid.eu/project/agora-project-developing-eci-services-through-participation-co-production/)</w:t>
        </w:r>
      </w:hyperlink>
      <w:r w:rsidRPr="00862623">
        <w:rPr>
          <w:rFonts w:cs="Arial"/>
          <w:color w:val="000000" w:themeColor="text1"/>
          <w:lang w:val="en-US"/>
        </w:rPr>
        <w:t xml:space="preserve"> defined best practice with the concept of family-centredeness as the main approach around which ECI recommended practices were developed. </w:t>
      </w:r>
    </w:p>
    <w:p w14:paraId="754CF4B4" w14:textId="77777777" w:rsidR="00862623" w:rsidRPr="00862623" w:rsidRDefault="00862623" w:rsidP="00862623">
      <w:pPr>
        <w:rPr>
          <w:rFonts w:cs="Arial"/>
          <w:color w:val="000000" w:themeColor="text1"/>
          <w:lang w:val="en-US"/>
        </w:rPr>
      </w:pPr>
      <w:r w:rsidRPr="00862623">
        <w:rPr>
          <w:rFonts w:cs="Arial"/>
          <w:color w:val="000000" w:themeColor="text1"/>
          <w:lang w:val="en-US"/>
        </w:rPr>
        <w:t xml:space="preserve">Evidence-based practice (EBP) is defined as the process in which professionals seek to identify and make decisions concerning the most adequate practices or strategies, in close collaboration with families and always taking into consideration the specificity of the intervention context in question. </w:t>
      </w:r>
    </w:p>
    <w:p w14:paraId="24549BF2" w14:textId="77777777" w:rsidR="00862623" w:rsidRPr="00862623" w:rsidRDefault="00862623" w:rsidP="00862623">
      <w:pPr>
        <w:rPr>
          <w:rFonts w:cs="Arial"/>
          <w:color w:val="000000" w:themeColor="text1"/>
          <w:lang w:val="en-US"/>
        </w:rPr>
      </w:pPr>
      <w:r w:rsidRPr="00862623">
        <w:rPr>
          <w:rFonts w:cs="Arial"/>
          <w:color w:val="000000" w:themeColor="text1"/>
          <w:lang w:val="en-US"/>
        </w:rPr>
        <w:t xml:space="preserve">Recommended practices are: </w:t>
      </w:r>
    </w:p>
    <w:p w14:paraId="5CEF64CF" w14:textId="312C3264" w:rsidR="00862623" w:rsidRPr="00862623" w:rsidRDefault="00862623" w:rsidP="003B0B17">
      <w:pPr>
        <w:pStyle w:val="ListParagraph"/>
        <w:numPr>
          <w:ilvl w:val="0"/>
          <w:numId w:val="81"/>
        </w:numPr>
        <w:ind w:left="714" w:hanging="357"/>
        <w:contextualSpacing w:val="0"/>
        <w:rPr>
          <w:rFonts w:cs="Arial"/>
          <w:color w:val="000000" w:themeColor="text1"/>
          <w:lang w:val="en-US"/>
        </w:rPr>
      </w:pPr>
      <w:r w:rsidRPr="00862623">
        <w:rPr>
          <w:rFonts w:cs="Arial"/>
          <w:color w:val="000000" w:themeColor="text1"/>
          <w:lang w:val="en-US"/>
        </w:rPr>
        <w:t>Intervention cycle and effective help-giving practices: Transdisciplinary practice</w:t>
      </w:r>
    </w:p>
    <w:p w14:paraId="66FB477E" w14:textId="0795EEF0" w:rsidR="00862623" w:rsidRPr="00862623" w:rsidRDefault="00862623" w:rsidP="003B0B17">
      <w:pPr>
        <w:pStyle w:val="ListParagraph"/>
        <w:numPr>
          <w:ilvl w:val="0"/>
          <w:numId w:val="81"/>
        </w:numPr>
        <w:ind w:left="714" w:hanging="357"/>
        <w:contextualSpacing w:val="0"/>
        <w:rPr>
          <w:rFonts w:cs="Arial"/>
          <w:color w:val="000000" w:themeColor="text1"/>
          <w:lang w:val="en-US"/>
        </w:rPr>
      </w:pPr>
      <w:r w:rsidRPr="00862623">
        <w:rPr>
          <w:rFonts w:cs="Arial"/>
          <w:color w:val="000000" w:themeColor="text1"/>
          <w:lang w:val="en-US"/>
        </w:rPr>
        <w:t>Referral</w:t>
      </w:r>
    </w:p>
    <w:p w14:paraId="50F294FF" w14:textId="1DFC210A" w:rsidR="00862623" w:rsidRPr="00862623" w:rsidRDefault="00862623" w:rsidP="003B0B17">
      <w:pPr>
        <w:pStyle w:val="ListParagraph"/>
        <w:numPr>
          <w:ilvl w:val="0"/>
          <w:numId w:val="81"/>
        </w:numPr>
        <w:ind w:left="714" w:hanging="357"/>
        <w:contextualSpacing w:val="0"/>
        <w:rPr>
          <w:rFonts w:cs="Arial"/>
          <w:color w:val="000000" w:themeColor="text1"/>
          <w:lang w:val="en-US"/>
        </w:rPr>
      </w:pPr>
      <w:r w:rsidRPr="00862623">
        <w:rPr>
          <w:rFonts w:cs="Arial"/>
          <w:color w:val="000000" w:themeColor="text1"/>
          <w:lang w:val="en-US"/>
        </w:rPr>
        <w:t>First contacts</w:t>
      </w:r>
    </w:p>
    <w:p w14:paraId="054AEDE1" w14:textId="6C8C4AC8" w:rsidR="00862623" w:rsidRPr="00862623" w:rsidRDefault="00862623" w:rsidP="003B0B17">
      <w:pPr>
        <w:pStyle w:val="ListParagraph"/>
        <w:numPr>
          <w:ilvl w:val="0"/>
          <w:numId w:val="81"/>
        </w:numPr>
        <w:ind w:left="714" w:hanging="357"/>
        <w:contextualSpacing w:val="0"/>
        <w:rPr>
          <w:rFonts w:cs="Arial"/>
          <w:color w:val="000000" w:themeColor="text1"/>
          <w:lang w:val="en-US"/>
        </w:rPr>
      </w:pPr>
      <w:r w:rsidRPr="00862623">
        <w:rPr>
          <w:rFonts w:cs="Arial"/>
          <w:color w:val="000000" w:themeColor="text1"/>
          <w:lang w:val="en-US"/>
        </w:rPr>
        <w:t>Assessment: identification of concerns/priorities/resources of families; identification of child’s characteristics</w:t>
      </w:r>
    </w:p>
    <w:p w14:paraId="26949227" w14:textId="5D1DC5CD" w:rsidR="00862623" w:rsidRPr="00862623" w:rsidRDefault="00862623" w:rsidP="003B0B17">
      <w:pPr>
        <w:pStyle w:val="ListParagraph"/>
        <w:numPr>
          <w:ilvl w:val="0"/>
          <w:numId w:val="81"/>
        </w:numPr>
        <w:ind w:left="714" w:hanging="357"/>
        <w:contextualSpacing w:val="0"/>
        <w:rPr>
          <w:rFonts w:cs="Arial"/>
          <w:color w:val="000000" w:themeColor="text1"/>
          <w:lang w:val="en-US"/>
        </w:rPr>
      </w:pPr>
      <w:r w:rsidRPr="00862623">
        <w:rPr>
          <w:rFonts w:cs="Arial"/>
          <w:color w:val="000000" w:themeColor="text1"/>
          <w:lang w:val="en-US"/>
        </w:rPr>
        <w:t>Development of individualised family service plan</w:t>
      </w:r>
    </w:p>
    <w:p w14:paraId="2CB7AB99" w14:textId="5A3A3FEF" w:rsidR="00862623" w:rsidRPr="00862623" w:rsidRDefault="00862623" w:rsidP="003B0B17">
      <w:pPr>
        <w:pStyle w:val="ListParagraph"/>
        <w:numPr>
          <w:ilvl w:val="0"/>
          <w:numId w:val="81"/>
        </w:numPr>
        <w:ind w:left="714" w:hanging="357"/>
        <w:contextualSpacing w:val="0"/>
        <w:rPr>
          <w:rFonts w:cs="Arial"/>
          <w:color w:val="000000" w:themeColor="text1"/>
          <w:lang w:val="en-US"/>
        </w:rPr>
      </w:pPr>
      <w:r w:rsidRPr="00862623">
        <w:rPr>
          <w:rFonts w:cs="Arial"/>
          <w:color w:val="000000" w:themeColor="text1"/>
          <w:lang w:val="en-US"/>
        </w:rPr>
        <w:t>Implementation and monitoring intervention in the natural contexts of children</w:t>
      </w:r>
    </w:p>
    <w:p w14:paraId="1D3EE6B9" w14:textId="07B39456" w:rsidR="00862623" w:rsidRPr="00862623" w:rsidRDefault="00862623" w:rsidP="003B0B17">
      <w:pPr>
        <w:pStyle w:val="ListParagraph"/>
        <w:numPr>
          <w:ilvl w:val="0"/>
          <w:numId w:val="81"/>
        </w:numPr>
        <w:ind w:left="714" w:hanging="357"/>
        <w:contextualSpacing w:val="0"/>
        <w:rPr>
          <w:rFonts w:cs="Arial"/>
          <w:color w:val="000000" w:themeColor="text1"/>
          <w:lang w:val="en-US"/>
        </w:rPr>
      </w:pPr>
      <w:r w:rsidRPr="00862623">
        <w:rPr>
          <w:rFonts w:cs="Arial"/>
          <w:color w:val="000000" w:themeColor="text1"/>
          <w:lang w:val="en-US"/>
        </w:rPr>
        <w:t>Evaluation of intervention outcomes and family satisfaction.</w:t>
      </w:r>
    </w:p>
    <w:p w14:paraId="7C02DB3B" w14:textId="534EDB73" w:rsidR="00862623" w:rsidRPr="00882F41" w:rsidRDefault="00862623" w:rsidP="003B0B17">
      <w:pPr>
        <w:pStyle w:val="ListParagraph"/>
        <w:numPr>
          <w:ilvl w:val="0"/>
          <w:numId w:val="81"/>
        </w:numPr>
        <w:ind w:left="714" w:hanging="357"/>
        <w:contextualSpacing w:val="0"/>
        <w:rPr>
          <w:rFonts w:cs="Arial"/>
          <w:color w:val="000000" w:themeColor="text1"/>
          <w:lang w:val="en-US"/>
        </w:rPr>
      </w:pPr>
      <w:r w:rsidRPr="00862623">
        <w:rPr>
          <w:rFonts w:cs="Arial"/>
          <w:color w:val="000000" w:themeColor="text1"/>
          <w:lang w:val="en-US"/>
        </w:rPr>
        <w:t>The transition process</w:t>
      </w:r>
    </w:p>
    <w:p w14:paraId="14A15C86" w14:textId="4C3EB9AD" w:rsidR="00862623" w:rsidRPr="00862623" w:rsidRDefault="00862623" w:rsidP="003B0B17">
      <w:pPr>
        <w:pStyle w:val="ListParagraph"/>
        <w:numPr>
          <w:ilvl w:val="0"/>
          <w:numId w:val="79"/>
        </w:numPr>
        <w:rPr>
          <w:rFonts w:cs="Arial"/>
          <w:b/>
          <w:bCs/>
          <w:color w:val="000000" w:themeColor="text1"/>
          <w:lang w:val="en-US"/>
        </w:rPr>
      </w:pPr>
      <w:r w:rsidRPr="00862623">
        <w:rPr>
          <w:rFonts w:cs="Arial"/>
          <w:b/>
          <w:bCs/>
          <w:color w:val="000000" w:themeColor="text1"/>
          <w:lang w:val="en-US"/>
        </w:rPr>
        <w:t xml:space="preserve">To whom does the framework apply? </w:t>
      </w:r>
    </w:p>
    <w:p w14:paraId="0D673E59" w14:textId="77777777" w:rsidR="00862623" w:rsidRPr="00862623" w:rsidRDefault="00862623" w:rsidP="00862623">
      <w:pPr>
        <w:rPr>
          <w:rFonts w:cs="Arial"/>
          <w:color w:val="000000" w:themeColor="text1"/>
          <w:lang w:val="en-US"/>
        </w:rPr>
      </w:pPr>
      <w:r w:rsidRPr="00862623">
        <w:rPr>
          <w:rFonts w:cs="Arial"/>
          <w:color w:val="000000" w:themeColor="text1"/>
          <w:lang w:val="en-US"/>
        </w:rPr>
        <w:t>ECI professionals and parents of young children (birth to 6 years of age) with special needs.</w:t>
      </w:r>
    </w:p>
    <w:p w14:paraId="4CCFA29D" w14:textId="78CD0D99" w:rsidR="00862623" w:rsidRPr="00862623" w:rsidRDefault="00862623" w:rsidP="003B0B17">
      <w:pPr>
        <w:pStyle w:val="ListParagraph"/>
        <w:numPr>
          <w:ilvl w:val="0"/>
          <w:numId w:val="79"/>
        </w:numPr>
        <w:rPr>
          <w:rFonts w:cs="Arial"/>
          <w:b/>
          <w:bCs/>
          <w:color w:val="000000" w:themeColor="text1"/>
          <w:lang w:val="en-US"/>
        </w:rPr>
      </w:pPr>
      <w:r w:rsidRPr="00862623">
        <w:rPr>
          <w:rFonts w:cs="Arial"/>
          <w:b/>
          <w:bCs/>
          <w:color w:val="000000" w:themeColor="text1"/>
          <w:lang w:val="en-US"/>
        </w:rPr>
        <w:t xml:space="preserve">To what extent are universal principles identified?  </w:t>
      </w:r>
    </w:p>
    <w:p w14:paraId="549E4969" w14:textId="77777777" w:rsidR="00862623" w:rsidRPr="00862623" w:rsidRDefault="00862623" w:rsidP="00862623">
      <w:pPr>
        <w:rPr>
          <w:rFonts w:cs="Arial"/>
          <w:color w:val="000000" w:themeColor="text1"/>
          <w:lang w:val="en-US"/>
        </w:rPr>
      </w:pPr>
      <w:r w:rsidRPr="00862623">
        <w:rPr>
          <w:rFonts w:cs="Arial"/>
          <w:color w:val="000000" w:themeColor="text1"/>
          <w:lang w:val="en-US"/>
        </w:rPr>
        <w:t xml:space="preserve">The adopted family-centred intervention approach utilized in the Eurlyaid framework, is underpinned by 10 guiding principles, which were first enunciated by Dunst (1997): </w:t>
      </w:r>
    </w:p>
    <w:p w14:paraId="0A96BE9C" w14:textId="1345B2DB" w:rsidR="00862623" w:rsidRPr="00862623" w:rsidRDefault="00862623" w:rsidP="003B0B17">
      <w:pPr>
        <w:pStyle w:val="ListParagraph"/>
        <w:numPr>
          <w:ilvl w:val="0"/>
          <w:numId w:val="82"/>
        </w:numPr>
        <w:ind w:left="714" w:hanging="357"/>
        <w:contextualSpacing w:val="0"/>
        <w:rPr>
          <w:rFonts w:cs="Arial"/>
          <w:color w:val="000000" w:themeColor="text1"/>
          <w:lang w:val="en-US"/>
        </w:rPr>
      </w:pPr>
      <w:r w:rsidRPr="00862623">
        <w:rPr>
          <w:rFonts w:cs="Arial"/>
          <w:color w:val="000000" w:themeColor="text1"/>
          <w:lang w:val="en-US"/>
        </w:rPr>
        <w:t xml:space="preserve">The family is considered the key element in the decision-making process in in the child’s care </w:t>
      </w:r>
    </w:p>
    <w:p w14:paraId="541B1234" w14:textId="77777777" w:rsidR="00862623" w:rsidRPr="00862623" w:rsidRDefault="00862623" w:rsidP="003B0B17">
      <w:pPr>
        <w:pStyle w:val="ListParagraph"/>
        <w:numPr>
          <w:ilvl w:val="0"/>
          <w:numId w:val="82"/>
        </w:numPr>
        <w:ind w:left="714" w:hanging="357"/>
        <w:contextualSpacing w:val="0"/>
        <w:rPr>
          <w:rFonts w:cs="Arial"/>
          <w:color w:val="000000" w:themeColor="text1"/>
          <w:lang w:val="en-US"/>
        </w:rPr>
      </w:pPr>
      <w:r w:rsidRPr="00862623">
        <w:rPr>
          <w:rFonts w:cs="Arial"/>
          <w:color w:val="000000" w:themeColor="text1"/>
          <w:lang w:val="en-US"/>
        </w:rPr>
        <w:t>The intervention is built on the strengths of the child and the family</w:t>
      </w:r>
    </w:p>
    <w:p w14:paraId="2D964330" w14:textId="77777777" w:rsidR="00862623" w:rsidRPr="00862623" w:rsidRDefault="00862623" w:rsidP="003B0B17">
      <w:pPr>
        <w:pStyle w:val="ListParagraph"/>
        <w:numPr>
          <w:ilvl w:val="0"/>
          <w:numId w:val="82"/>
        </w:numPr>
        <w:ind w:left="714" w:hanging="357"/>
        <w:contextualSpacing w:val="0"/>
        <w:rPr>
          <w:rFonts w:cs="Arial"/>
          <w:color w:val="000000" w:themeColor="text1"/>
          <w:lang w:val="en-US"/>
        </w:rPr>
      </w:pPr>
      <w:r w:rsidRPr="00862623">
        <w:rPr>
          <w:rFonts w:cs="Arial"/>
          <w:color w:val="000000" w:themeColor="text1"/>
          <w:lang w:val="en-US"/>
        </w:rPr>
        <w:t>The whole family constitutes the intervention unit</w:t>
      </w:r>
    </w:p>
    <w:p w14:paraId="789C4A4C" w14:textId="77777777" w:rsidR="00862623" w:rsidRPr="00862623" w:rsidRDefault="00862623" w:rsidP="003B0B17">
      <w:pPr>
        <w:pStyle w:val="ListParagraph"/>
        <w:numPr>
          <w:ilvl w:val="0"/>
          <w:numId w:val="82"/>
        </w:numPr>
        <w:ind w:left="714" w:hanging="357"/>
        <w:contextualSpacing w:val="0"/>
        <w:rPr>
          <w:rFonts w:cs="Arial"/>
          <w:color w:val="000000" w:themeColor="text1"/>
          <w:lang w:val="en-US"/>
        </w:rPr>
      </w:pPr>
      <w:r w:rsidRPr="00862623">
        <w:rPr>
          <w:rFonts w:cs="Arial"/>
          <w:color w:val="000000" w:themeColor="text1"/>
          <w:lang w:val="en-US"/>
        </w:rPr>
        <w:t>Professionals and families work in partnership and collaboration</w:t>
      </w:r>
    </w:p>
    <w:p w14:paraId="1EDB38DA" w14:textId="77777777" w:rsidR="00862623" w:rsidRPr="00862623" w:rsidRDefault="00862623" w:rsidP="003B0B17">
      <w:pPr>
        <w:pStyle w:val="ListParagraph"/>
        <w:numPr>
          <w:ilvl w:val="0"/>
          <w:numId w:val="82"/>
        </w:numPr>
        <w:ind w:left="714" w:hanging="357"/>
        <w:contextualSpacing w:val="0"/>
        <w:rPr>
          <w:rFonts w:cs="Arial"/>
          <w:color w:val="000000" w:themeColor="text1"/>
          <w:lang w:val="en-US"/>
        </w:rPr>
      </w:pPr>
      <w:r w:rsidRPr="00862623">
        <w:rPr>
          <w:rFonts w:cs="Arial"/>
          <w:color w:val="000000" w:themeColor="text1"/>
          <w:lang w:val="en-US"/>
        </w:rPr>
        <w:t>The intervention responds to the priorities and goals of the families – professionals are seen as agents supporting the family</w:t>
      </w:r>
    </w:p>
    <w:p w14:paraId="5B20C49B" w14:textId="77777777" w:rsidR="00862623" w:rsidRPr="00862623" w:rsidRDefault="00862623" w:rsidP="003B0B17">
      <w:pPr>
        <w:pStyle w:val="ListParagraph"/>
        <w:numPr>
          <w:ilvl w:val="0"/>
          <w:numId w:val="82"/>
        </w:numPr>
        <w:ind w:left="714" w:hanging="357"/>
        <w:contextualSpacing w:val="0"/>
        <w:rPr>
          <w:rFonts w:cs="Arial"/>
          <w:color w:val="000000" w:themeColor="text1"/>
          <w:lang w:val="en-US"/>
        </w:rPr>
      </w:pPr>
      <w:r w:rsidRPr="00862623">
        <w:rPr>
          <w:rFonts w:cs="Arial"/>
          <w:color w:val="000000" w:themeColor="text1"/>
          <w:lang w:val="en-US"/>
        </w:rPr>
        <w:t xml:space="preserve">The intervention is individualised for each family </w:t>
      </w:r>
    </w:p>
    <w:p w14:paraId="7575172B" w14:textId="77777777" w:rsidR="00862623" w:rsidRDefault="00862623" w:rsidP="003B0B17">
      <w:pPr>
        <w:pStyle w:val="ListParagraph"/>
        <w:numPr>
          <w:ilvl w:val="0"/>
          <w:numId w:val="82"/>
        </w:numPr>
        <w:ind w:left="714" w:hanging="357"/>
        <w:contextualSpacing w:val="0"/>
        <w:rPr>
          <w:rFonts w:cs="Arial"/>
          <w:color w:val="000000" w:themeColor="text1"/>
          <w:lang w:val="en-US"/>
        </w:rPr>
      </w:pPr>
      <w:r w:rsidRPr="00862623">
        <w:rPr>
          <w:rFonts w:cs="Arial"/>
          <w:color w:val="000000" w:themeColor="text1"/>
          <w:lang w:val="en-US"/>
        </w:rPr>
        <w:t>The intervention is conducted in the natural context and routines of the child and family as is based on the mobilization of the existing resources in the community network</w:t>
      </w:r>
    </w:p>
    <w:p w14:paraId="3580F014" w14:textId="457004CD" w:rsidR="00862623" w:rsidRPr="00862623" w:rsidRDefault="00862623" w:rsidP="003B0B17">
      <w:pPr>
        <w:pStyle w:val="ListParagraph"/>
        <w:numPr>
          <w:ilvl w:val="0"/>
          <w:numId w:val="82"/>
        </w:numPr>
        <w:ind w:left="714" w:hanging="357"/>
        <w:contextualSpacing w:val="0"/>
        <w:rPr>
          <w:rFonts w:cs="Arial"/>
          <w:color w:val="000000" w:themeColor="text1"/>
          <w:lang w:val="en-US"/>
        </w:rPr>
      </w:pPr>
      <w:r w:rsidRPr="00862623">
        <w:rPr>
          <w:rFonts w:cs="Arial"/>
          <w:color w:val="000000" w:themeColor="text1"/>
          <w:lang w:val="en-US"/>
        </w:rPr>
        <w:lastRenderedPageBreak/>
        <w:t xml:space="preserve">ECI system building: communication, coordination, partnerships, planning, monitoring  </w:t>
      </w:r>
    </w:p>
    <w:p w14:paraId="2E870848" w14:textId="4AE2AB38" w:rsidR="00862623" w:rsidRPr="00862623" w:rsidRDefault="00862623" w:rsidP="003B0B17">
      <w:pPr>
        <w:pStyle w:val="ListParagraph"/>
        <w:numPr>
          <w:ilvl w:val="0"/>
          <w:numId w:val="79"/>
        </w:numPr>
        <w:rPr>
          <w:rFonts w:cs="Arial"/>
          <w:b/>
          <w:bCs/>
          <w:color w:val="000000" w:themeColor="text1"/>
          <w:lang w:val="en-US"/>
        </w:rPr>
      </w:pPr>
      <w:r w:rsidRPr="00862623">
        <w:rPr>
          <w:rFonts w:cs="Arial"/>
          <w:b/>
          <w:bCs/>
          <w:color w:val="000000" w:themeColor="text1"/>
          <w:lang w:val="en-US"/>
        </w:rPr>
        <w:t xml:space="preserve">What processes, indicators and tools to gather evidence of implementation are applied?  </w:t>
      </w:r>
    </w:p>
    <w:p w14:paraId="0D5583E8" w14:textId="77777777" w:rsidR="00862623" w:rsidRPr="00862623" w:rsidRDefault="00862623" w:rsidP="00862623">
      <w:pPr>
        <w:rPr>
          <w:rFonts w:cs="Arial"/>
          <w:color w:val="000000" w:themeColor="text1"/>
          <w:lang w:val="en-US"/>
        </w:rPr>
      </w:pPr>
      <w:r w:rsidRPr="00862623">
        <w:rPr>
          <w:rFonts w:cs="Arial"/>
          <w:color w:val="000000" w:themeColor="text1"/>
          <w:lang w:val="en-US"/>
        </w:rPr>
        <w:t>Self-reflection exercises (Stop to think), narratives of child and family experiences, practical examples</w:t>
      </w:r>
    </w:p>
    <w:p w14:paraId="24B21547" w14:textId="15625C70" w:rsidR="00862623" w:rsidRPr="00862623" w:rsidRDefault="00862623" w:rsidP="003B0B17">
      <w:pPr>
        <w:pStyle w:val="ListParagraph"/>
        <w:numPr>
          <w:ilvl w:val="0"/>
          <w:numId w:val="79"/>
        </w:numPr>
        <w:rPr>
          <w:rFonts w:cs="Arial"/>
          <w:b/>
          <w:bCs/>
          <w:color w:val="000000" w:themeColor="text1"/>
          <w:lang w:val="en-US"/>
        </w:rPr>
      </w:pPr>
      <w:r w:rsidRPr="00862623">
        <w:rPr>
          <w:rFonts w:cs="Arial"/>
          <w:b/>
          <w:bCs/>
          <w:color w:val="000000" w:themeColor="text1"/>
          <w:lang w:val="en-US"/>
        </w:rPr>
        <w:t xml:space="preserve">How is new evidence integrated into the identified framework?  </w:t>
      </w:r>
    </w:p>
    <w:p w14:paraId="5EE70EE5" w14:textId="77777777" w:rsidR="00862623" w:rsidRPr="00862623" w:rsidRDefault="00862623" w:rsidP="00862623">
      <w:pPr>
        <w:rPr>
          <w:rFonts w:cs="Arial"/>
          <w:color w:val="000000" w:themeColor="text1"/>
          <w:lang w:val="en-US"/>
        </w:rPr>
      </w:pPr>
      <w:r w:rsidRPr="00862623">
        <w:rPr>
          <w:rFonts w:cs="Arial"/>
          <w:color w:val="000000" w:themeColor="text1"/>
          <w:lang w:val="en-US"/>
        </w:rPr>
        <w:t>The framework integrates extensive research knowledge on child learning and development, parenting, family supports, natural contexts, community resources, and implementation around the family-centred approach. Different key sources of evidence are considered, including research data on the effectiveness of specific practices and interventions, combined with the knowledge, experience and values of the professionals and families. The framework was translated into English in 2019.</w:t>
      </w:r>
    </w:p>
    <w:p w14:paraId="613359AE" w14:textId="202CE85E" w:rsidR="00862623" w:rsidRPr="00862623" w:rsidRDefault="00862623" w:rsidP="003B0B17">
      <w:pPr>
        <w:pStyle w:val="ListParagraph"/>
        <w:numPr>
          <w:ilvl w:val="0"/>
          <w:numId w:val="79"/>
        </w:numPr>
        <w:rPr>
          <w:rFonts w:cs="Arial"/>
          <w:b/>
          <w:bCs/>
          <w:color w:val="000000" w:themeColor="text1"/>
          <w:lang w:val="en-US"/>
        </w:rPr>
      </w:pPr>
      <w:r w:rsidRPr="00862623">
        <w:rPr>
          <w:rFonts w:cs="Arial"/>
          <w:b/>
          <w:bCs/>
          <w:color w:val="000000" w:themeColor="text1"/>
          <w:lang w:val="en-US"/>
        </w:rPr>
        <w:t xml:space="preserve">What are the perceived strengths, weaknesses and challenges of the framework? </w:t>
      </w:r>
    </w:p>
    <w:p w14:paraId="0A045709" w14:textId="77777777" w:rsidR="00862623" w:rsidRPr="00862623" w:rsidRDefault="00862623" w:rsidP="00862623">
      <w:pPr>
        <w:rPr>
          <w:rFonts w:cs="Arial"/>
          <w:i/>
          <w:iCs/>
          <w:color w:val="000000" w:themeColor="text1"/>
          <w:lang w:val="en-US"/>
        </w:rPr>
      </w:pPr>
      <w:r w:rsidRPr="00862623">
        <w:rPr>
          <w:rFonts w:cs="Arial"/>
          <w:i/>
          <w:iCs/>
          <w:color w:val="000000" w:themeColor="text1"/>
          <w:lang w:val="en-US"/>
        </w:rPr>
        <w:t xml:space="preserve">Strengths </w:t>
      </w:r>
    </w:p>
    <w:p w14:paraId="638B9A2E" w14:textId="057CB2F9" w:rsidR="00862623" w:rsidRPr="00862623" w:rsidRDefault="00862623" w:rsidP="003B0B17">
      <w:pPr>
        <w:pStyle w:val="ListParagraph"/>
        <w:numPr>
          <w:ilvl w:val="0"/>
          <w:numId w:val="84"/>
        </w:numPr>
        <w:ind w:left="714" w:hanging="357"/>
        <w:contextualSpacing w:val="0"/>
        <w:rPr>
          <w:rFonts w:cs="Arial"/>
          <w:color w:val="000000" w:themeColor="text1"/>
          <w:lang w:val="en-US"/>
        </w:rPr>
      </w:pPr>
      <w:r w:rsidRPr="00862623">
        <w:rPr>
          <w:rFonts w:cs="Arial"/>
          <w:color w:val="000000" w:themeColor="text1"/>
          <w:lang w:val="en-US"/>
        </w:rPr>
        <w:t xml:space="preserve">The existence of a set of recommended practices in ECI that integrates principles, research and values </w:t>
      </w:r>
    </w:p>
    <w:p w14:paraId="7DA6D377" w14:textId="6E8528D7" w:rsidR="00862623" w:rsidRPr="00862623" w:rsidRDefault="00862623" w:rsidP="003B0B17">
      <w:pPr>
        <w:pStyle w:val="ListParagraph"/>
        <w:numPr>
          <w:ilvl w:val="0"/>
          <w:numId w:val="84"/>
        </w:numPr>
        <w:ind w:left="714" w:hanging="357"/>
        <w:contextualSpacing w:val="0"/>
        <w:rPr>
          <w:rFonts w:cs="Arial"/>
          <w:color w:val="000000" w:themeColor="text1"/>
          <w:lang w:val="en-US"/>
        </w:rPr>
      </w:pPr>
      <w:r w:rsidRPr="00862623">
        <w:rPr>
          <w:rFonts w:cs="Arial"/>
          <w:color w:val="000000" w:themeColor="text1"/>
          <w:lang w:val="en-US"/>
        </w:rPr>
        <w:t xml:space="preserve">Translation of guidelines across various languages </w:t>
      </w:r>
    </w:p>
    <w:p w14:paraId="040B66A2" w14:textId="77777777" w:rsidR="00862623" w:rsidRPr="00862623" w:rsidRDefault="00862623" w:rsidP="00862623">
      <w:pPr>
        <w:rPr>
          <w:rFonts w:cs="Arial"/>
          <w:i/>
          <w:iCs/>
          <w:color w:val="000000" w:themeColor="text1"/>
          <w:lang w:val="en-US"/>
        </w:rPr>
      </w:pPr>
      <w:r w:rsidRPr="00862623">
        <w:rPr>
          <w:rFonts w:cs="Arial"/>
          <w:i/>
          <w:iCs/>
          <w:color w:val="000000" w:themeColor="text1"/>
          <w:lang w:val="en-US"/>
        </w:rPr>
        <w:t>Weaknesses/Challenges</w:t>
      </w:r>
    </w:p>
    <w:p w14:paraId="446D05A1" w14:textId="1BEABF78" w:rsidR="00862623" w:rsidRPr="00862623" w:rsidRDefault="00862623" w:rsidP="003B0B17">
      <w:pPr>
        <w:pStyle w:val="ListParagraph"/>
        <w:numPr>
          <w:ilvl w:val="0"/>
          <w:numId w:val="83"/>
        </w:numPr>
        <w:ind w:left="714" w:hanging="357"/>
        <w:contextualSpacing w:val="0"/>
        <w:rPr>
          <w:rFonts w:cs="Arial"/>
          <w:color w:val="000000" w:themeColor="text1"/>
          <w:lang w:val="en-US"/>
        </w:rPr>
      </w:pPr>
      <w:r w:rsidRPr="00862623">
        <w:rPr>
          <w:rFonts w:cs="Arial"/>
          <w:color w:val="000000" w:themeColor="text1"/>
          <w:lang w:val="en-US"/>
        </w:rPr>
        <w:t xml:space="preserve">Limited practical resources in the implementation of the framework </w:t>
      </w:r>
    </w:p>
    <w:p w14:paraId="257DD4D8" w14:textId="17C01D3D" w:rsidR="00862623" w:rsidRPr="00862623" w:rsidRDefault="00862623" w:rsidP="003B0B17">
      <w:pPr>
        <w:pStyle w:val="ListParagraph"/>
        <w:numPr>
          <w:ilvl w:val="0"/>
          <w:numId w:val="83"/>
        </w:numPr>
        <w:ind w:left="714" w:hanging="357"/>
        <w:contextualSpacing w:val="0"/>
        <w:rPr>
          <w:rFonts w:cs="Arial"/>
          <w:color w:val="000000" w:themeColor="text1"/>
          <w:lang w:val="en-US"/>
        </w:rPr>
      </w:pPr>
      <w:r w:rsidRPr="00862623">
        <w:rPr>
          <w:rFonts w:cs="Arial"/>
          <w:color w:val="000000" w:themeColor="text1"/>
          <w:lang w:val="en-US"/>
        </w:rPr>
        <w:t>Inconsistent application of ECI principles recommended practices across all European jurisdictions</w:t>
      </w:r>
    </w:p>
    <w:p w14:paraId="3119232E" w14:textId="43ED9575" w:rsidR="00356402" w:rsidRDefault="00862623" w:rsidP="003B0B17">
      <w:pPr>
        <w:pStyle w:val="ListParagraph"/>
        <w:numPr>
          <w:ilvl w:val="0"/>
          <w:numId w:val="83"/>
        </w:numPr>
        <w:ind w:left="714" w:hanging="357"/>
        <w:contextualSpacing w:val="0"/>
        <w:rPr>
          <w:rFonts w:cs="Arial"/>
          <w:color w:val="000000" w:themeColor="text1"/>
          <w:lang w:val="en-US"/>
        </w:rPr>
      </w:pPr>
      <w:r w:rsidRPr="00862623">
        <w:rPr>
          <w:rFonts w:cs="Arial"/>
          <w:color w:val="000000" w:themeColor="text1"/>
          <w:lang w:val="en-US"/>
        </w:rPr>
        <w:t>Incorporation of new research evidence into recommended practices is unclear</w:t>
      </w:r>
      <w:r w:rsidR="00503EB9">
        <w:rPr>
          <w:rFonts w:cs="Arial"/>
          <w:color w:val="000000" w:themeColor="text1"/>
          <w:lang w:val="en-US"/>
        </w:rPr>
        <w:t>.</w:t>
      </w:r>
    </w:p>
    <w:p w14:paraId="5B64C52F" w14:textId="77777777" w:rsidR="00503EB9" w:rsidRDefault="00503EB9" w:rsidP="00503EB9">
      <w:pPr>
        <w:pStyle w:val="ListParagraph"/>
        <w:ind w:left="714"/>
        <w:contextualSpacing w:val="0"/>
        <w:rPr>
          <w:rFonts w:cs="Arial"/>
          <w:color w:val="000000" w:themeColor="text1"/>
          <w:lang w:val="en-US"/>
        </w:rPr>
      </w:pPr>
    </w:p>
    <w:p w14:paraId="140CB888" w14:textId="77777777" w:rsidR="00E663E7" w:rsidRDefault="00E663E7" w:rsidP="00E663E7">
      <w:pPr>
        <w:rPr>
          <w:rFonts w:cs="Arial"/>
          <w:color w:val="000000" w:themeColor="text1"/>
          <w:lang w:val="en-US"/>
        </w:rPr>
      </w:pPr>
    </w:p>
    <w:p w14:paraId="5EA13CAE" w14:textId="5CFF1DEB" w:rsidR="00E663E7" w:rsidRDefault="00E663E7" w:rsidP="00E663E7">
      <w:pPr>
        <w:rPr>
          <w:rFonts w:cs="Arial"/>
          <w:color w:val="FFFFFF" w:themeColor="background1"/>
          <w:lang w:val="en-US"/>
        </w:rPr>
      </w:pPr>
      <w:r w:rsidRPr="00E663E7">
        <w:rPr>
          <w:rFonts w:cs="Arial"/>
          <w:b/>
          <w:bCs/>
          <w:color w:val="FFFFFF" w:themeColor="background1"/>
          <w:lang w:val="en-US"/>
        </w:rPr>
        <w:t>N</w:t>
      </w:r>
      <w:r w:rsidRPr="00E663E7">
        <w:rPr>
          <w:b/>
          <w:bCs/>
          <w:noProof/>
          <w:color w:val="FFFFFF" w:themeColor="background1"/>
          <w:lang w:val="en-US"/>
        </w:rPr>
        <mc:AlternateContent>
          <mc:Choice Requires="wps">
            <w:drawing>
              <wp:anchor distT="0" distB="0" distL="114300" distR="114300" simplePos="0" relativeHeight="251664384" behindDoc="1" locked="1" layoutInCell="1" allowOverlap="1" wp14:anchorId="6583D928" wp14:editId="72EDCA6F">
                <wp:simplePos x="0" y="0"/>
                <wp:positionH relativeFrom="column">
                  <wp:posOffset>-201295</wp:posOffset>
                </wp:positionH>
                <wp:positionV relativeFrom="page">
                  <wp:posOffset>6496685</wp:posOffset>
                </wp:positionV>
                <wp:extent cx="6134100" cy="773430"/>
                <wp:effectExtent l="0" t="0" r="0" b="1270"/>
                <wp:wrapNone/>
                <wp:docPr id="23119954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4100" cy="773430"/>
                        </a:xfrm>
                        <a:prstGeom prst="rect">
                          <a:avLst/>
                        </a:prstGeom>
                        <a:solidFill>
                          <a:srgbClr val="8087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2A64B" id="Rectangle 3" o:spid="_x0000_s1026" alt="&quot;&quot;" style="position:absolute;margin-left:-15.85pt;margin-top:511.55pt;width:483pt;height:6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" fillcolor="#8087a3" stroked="f" strokeweight="1pt">
                <w10:wrap anchory="page"/>
                <w10:anchorlock/>
              </v:rect>
            </w:pict>
          </mc:Fallback>
        </mc:AlternateContent>
      </w:r>
      <w:r w:rsidRPr="00E663E7">
        <w:rPr>
          <w:rFonts w:cs="Arial"/>
          <w:b/>
          <w:bCs/>
          <w:color w:val="FFFFFF" w:themeColor="background1"/>
          <w:lang w:val="en-US"/>
        </w:rPr>
        <w:t>ew Zealand:</w:t>
      </w:r>
      <w:r w:rsidRPr="00E663E7">
        <w:rPr>
          <w:rFonts w:cs="Arial"/>
          <w:color w:val="FFFFFF" w:themeColor="background1"/>
          <w:lang w:val="en-US"/>
        </w:rPr>
        <w:t xml:space="preserve"> He Pikorua Practice framework</w:t>
      </w:r>
    </w:p>
    <w:p w14:paraId="791B719E" w14:textId="77777777" w:rsidR="00E663E7" w:rsidRDefault="00E663E7" w:rsidP="00E663E7">
      <w:pPr>
        <w:rPr>
          <w:rFonts w:cs="Arial"/>
          <w:color w:val="000000" w:themeColor="text1"/>
          <w:lang w:val="en-US"/>
        </w:rPr>
      </w:pPr>
    </w:p>
    <w:p w14:paraId="0E5497C5" w14:textId="77777777" w:rsidR="00E663E7" w:rsidRDefault="00E663E7" w:rsidP="00E663E7">
      <w:pPr>
        <w:rPr>
          <w:rFonts w:cs="Arial"/>
          <w:color w:val="000000" w:themeColor="text1"/>
          <w:lang w:val="en-US"/>
        </w:rPr>
      </w:pPr>
    </w:p>
    <w:p w14:paraId="0571A9A5" w14:textId="77777777" w:rsidR="0055108F" w:rsidRPr="0055108F" w:rsidRDefault="0055108F" w:rsidP="00E619DB">
      <w:pPr>
        <w:rPr>
          <w:rFonts w:cs="Arial"/>
          <w:b/>
          <w:bCs/>
          <w:color w:val="000000" w:themeColor="text1"/>
          <w:lang w:val="en-US"/>
        </w:rPr>
      </w:pPr>
      <w:r w:rsidRPr="0055108F">
        <w:rPr>
          <w:rFonts w:cs="Arial"/>
          <w:b/>
          <w:bCs/>
          <w:color w:val="000000" w:themeColor="text1"/>
          <w:lang w:val="en-US"/>
        </w:rPr>
        <w:t>Background/Context</w:t>
      </w:r>
    </w:p>
    <w:p w14:paraId="1D521F0F" w14:textId="70DDE0CF" w:rsidR="00E619DB" w:rsidRPr="00E619DB" w:rsidRDefault="00000000" w:rsidP="00E619DB">
      <w:pPr>
        <w:rPr>
          <w:rFonts w:cs="Arial"/>
          <w:color w:val="000000" w:themeColor="text1"/>
          <w:lang w:val="en-US"/>
        </w:rPr>
      </w:pPr>
      <w:hyperlink r:id="rId35" w:history="1">
        <w:r w:rsidR="00E619DB" w:rsidRPr="003F056C">
          <w:rPr>
            <w:rStyle w:val="Hyperlink"/>
            <w:rFonts w:cs="Arial"/>
            <w:lang w:val="en-US"/>
          </w:rPr>
          <w:t>New Zealand’s Ministry of Education</w:t>
        </w:r>
      </w:hyperlink>
      <w:r w:rsidR="00E619DB" w:rsidRPr="00E619DB">
        <w:rPr>
          <w:rFonts w:cs="Arial"/>
          <w:color w:val="000000" w:themeColor="text1"/>
          <w:lang w:val="en-US"/>
        </w:rPr>
        <w:t xml:space="preserve"> provides universal, targeted and tailored support for children with disability through the Early Intervention Service (EIS). The EIS is designed to provide specialist support to help families and teachers gain the confidence, knowledge and skills to support their child’s learning and development.</w:t>
      </w:r>
    </w:p>
    <w:p w14:paraId="727E552B" w14:textId="77777777" w:rsidR="00E619DB" w:rsidRPr="00E619DB" w:rsidRDefault="00E619DB" w:rsidP="00E619DB">
      <w:pPr>
        <w:rPr>
          <w:rFonts w:cs="Arial"/>
          <w:color w:val="000000" w:themeColor="text1"/>
          <w:lang w:val="en-US"/>
        </w:rPr>
      </w:pPr>
      <w:r w:rsidRPr="00E619DB">
        <w:rPr>
          <w:rFonts w:cs="Arial"/>
          <w:color w:val="000000" w:themeColor="text1"/>
          <w:lang w:val="en-US"/>
        </w:rPr>
        <w:t xml:space="preserve">In response to the broad range of frameworks EIS practitioners were utilising, specific to their discipline or area of work, the Ministry of Education initiated the development of a common framework. In 2020 the He Pikorua was launched online as a practice framework for Ministry of Education practitioners, Resource Teachers: Learning and Behaviour and Learning Support Practitioners. The purpose of the </w:t>
      </w:r>
      <w:r w:rsidRPr="00E619DB">
        <w:rPr>
          <w:rFonts w:cs="Arial"/>
          <w:color w:val="000000" w:themeColor="text1"/>
          <w:lang w:val="en-US"/>
        </w:rPr>
        <w:lastRenderedPageBreak/>
        <w:t>online He Pikorua is to bring practitioners together alongside whānau (family) and educators to support the learning and well-being of mokopuna (children).</w:t>
      </w:r>
    </w:p>
    <w:p w14:paraId="739640D6" w14:textId="6A320D07" w:rsidR="00E619DB" w:rsidRPr="00E619DB" w:rsidRDefault="00E619DB" w:rsidP="00E619DB">
      <w:pPr>
        <w:rPr>
          <w:rFonts w:cs="Arial"/>
          <w:color w:val="000000" w:themeColor="text1"/>
          <w:lang w:val="en-US"/>
        </w:rPr>
      </w:pPr>
      <w:r w:rsidRPr="00E619DB">
        <w:rPr>
          <w:rFonts w:cs="Arial"/>
          <w:color w:val="000000" w:themeColor="text1"/>
          <w:lang w:val="en-US"/>
        </w:rPr>
        <w:t xml:space="preserve">He Pikorua aims to support practitioners to work effectively and collaboratively within a </w:t>
      </w:r>
      <w:hyperlink r:id="rId36" w:history="1">
        <w:r w:rsidRPr="008506B3">
          <w:rPr>
            <w:rStyle w:val="Hyperlink"/>
            <w:rFonts w:cs="Arial"/>
            <w:lang w:val="en-US"/>
          </w:rPr>
          <w:t>Learning Support Delivery Model</w:t>
        </w:r>
      </w:hyperlink>
      <w:r w:rsidRPr="00E619DB">
        <w:rPr>
          <w:rFonts w:cs="Arial"/>
          <w:color w:val="000000" w:themeColor="text1"/>
          <w:lang w:val="en-US"/>
        </w:rPr>
        <w:t xml:space="preserve">. The framework is flexible, so that support can be based on what best meets the needs of the mokopuna and their whānau in their local learning and community environments. </w:t>
      </w:r>
    </w:p>
    <w:p w14:paraId="6642596F" w14:textId="77777777" w:rsidR="00E619DB" w:rsidRPr="00E619DB" w:rsidRDefault="00E619DB" w:rsidP="00E619DB">
      <w:pPr>
        <w:rPr>
          <w:rFonts w:cs="Arial"/>
          <w:color w:val="000000" w:themeColor="text1"/>
          <w:lang w:val="en-US"/>
        </w:rPr>
      </w:pPr>
      <w:r w:rsidRPr="00E619DB">
        <w:rPr>
          <w:rFonts w:cs="Arial"/>
          <w:color w:val="000000" w:themeColor="text1"/>
          <w:lang w:val="en-US"/>
        </w:rPr>
        <w:t>More specifically, He Pikorua aims to:</w:t>
      </w:r>
    </w:p>
    <w:p w14:paraId="1A6DF5BB" w14:textId="1D2ABA35" w:rsidR="00E619DB" w:rsidRPr="008506B3" w:rsidRDefault="00E619DB" w:rsidP="003B0B17">
      <w:pPr>
        <w:pStyle w:val="ListParagraph"/>
        <w:numPr>
          <w:ilvl w:val="0"/>
          <w:numId w:val="85"/>
        </w:numPr>
        <w:ind w:left="714" w:hanging="357"/>
        <w:contextualSpacing w:val="0"/>
        <w:rPr>
          <w:rFonts w:cs="Arial"/>
          <w:color w:val="000000" w:themeColor="text1"/>
          <w:lang w:val="en-US"/>
        </w:rPr>
      </w:pPr>
      <w:r w:rsidRPr="008506B3">
        <w:rPr>
          <w:rFonts w:cs="Arial"/>
          <w:color w:val="000000" w:themeColor="text1"/>
          <w:lang w:val="en-US"/>
        </w:rPr>
        <w:t>bring to life the Learning Support Delivery Model</w:t>
      </w:r>
    </w:p>
    <w:p w14:paraId="0778CAD3" w14:textId="0B3655FA" w:rsidR="00E619DB" w:rsidRPr="008506B3" w:rsidRDefault="00E619DB" w:rsidP="003B0B17">
      <w:pPr>
        <w:pStyle w:val="ListParagraph"/>
        <w:numPr>
          <w:ilvl w:val="0"/>
          <w:numId w:val="85"/>
        </w:numPr>
        <w:ind w:left="714" w:hanging="357"/>
        <w:contextualSpacing w:val="0"/>
        <w:rPr>
          <w:rFonts w:cs="Arial"/>
          <w:color w:val="000000" w:themeColor="text1"/>
          <w:lang w:val="en-US"/>
        </w:rPr>
      </w:pPr>
      <w:r w:rsidRPr="008506B3">
        <w:rPr>
          <w:rFonts w:cs="Arial"/>
          <w:color w:val="000000" w:themeColor="text1"/>
          <w:lang w:val="en-US"/>
        </w:rPr>
        <w:t>provide clear, consistent, practical guidance</w:t>
      </w:r>
    </w:p>
    <w:p w14:paraId="4009A37F" w14:textId="3E8D1FAD" w:rsidR="00E619DB" w:rsidRPr="008506B3" w:rsidRDefault="00E619DB" w:rsidP="003B0B17">
      <w:pPr>
        <w:pStyle w:val="ListParagraph"/>
        <w:numPr>
          <w:ilvl w:val="0"/>
          <w:numId w:val="85"/>
        </w:numPr>
        <w:ind w:left="714" w:hanging="357"/>
        <w:contextualSpacing w:val="0"/>
        <w:rPr>
          <w:rFonts w:cs="Arial"/>
          <w:color w:val="000000" w:themeColor="text1"/>
          <w:lang w:val="en-US"/>
        </w:rPr>
      </w:pPr>
      <w:r w:rsidRPr="008506B3">
        <w:rPr>
          <w:rFonts w:cs="Arial"/>
          <w:color w:val="000000" w:themeColor="text1"/>
          <w:lang w:val="en-US"/>
        </w:rPr>
        <w:t>enable mokopuna to flourish</w:t>
      </w:r>
    </w:p>
    <w:p w14:paraId="4CD2045F" w14:textId="4705111B" w:rsidR="00E619DB" w:rsidRPr="008506B3" w:rsidRDefault="00E619DB" w:rsidP="003B0B17">
      <w:pPr>
        <w:pStyle w:val="ListParagraph"/>
        <w:numPr>
          <w:ilvl w:val="0"/>
          <w:numId w:val="85"/>
        </w:numPr>
        <w:ind w:left="714" w:hanging="357"/>
        <w:contextualSpacing w:val="0"/>
        <w:rPr>
          <w:rFonts w:cs="Arial"/>
          <w:color w:val="000000" w:themeColor="text1"/>
          <w:lang w:val="en-US"/>
        </w:rPr>
      </w:pPr>
      <w:r w:rsidRPr="008506B3">
        <w:rPr>
          <w:rFonts w:cs="Arial"/>
          <w:color w:val="000000" w:themeColor="text1"/>
          <w:lang w:val="en-US"/>
        </w:rPr>
        <w:t>support competencies, standards, and codes</w:t>
      </w:r>
    </w:p>
    <w:p w14:paraId="2FFE840F" w14:textId="286E09CF" w:rsidR="00E619DB" w:rsidRPr="008506B3" w:rsidRDefault="00E619DB" w:rsidP="003B0B17">
      <w:pPr>
        <w:pStyle w:val="ListParagraph"/>
        <w:numPr>
          <w:ilvl w:val="0"/>
          <w:numId w:val="85"/>
        </w:numPr>
        <w:ind w:left="714" w:hanging="357"/>
        <w:contextualSpacing w:val="0"/>
        <w:rPr>
          <w:rFonts w:cs="Arial"/>
          <w:color w:val="000000" w:themeColor="text1"/>
          <w:lang w:val="en-US"/>
        </w:rPr>
      </w:pPr>
      <w:r w:rsidRPr="008506B3">
        <w:rPr>
          <w:rFonts w:cs="Arial"/>
          <w:color w:val="000000" w:themeColor="text1"/>
          <w:lang w:val="en-US"/>
        </w:rPr>
        <w:t>strengthen working together</w:t>
      </w:r>
    </w:p>
    <w:p w14:paraId="521CFB3B" w14:textId="207B0B3D" w:rsidR="00E619DB" w:rsidRPr="008506B3" w:rsidRDefault="00E619DB" w:rsidP="003B0B17">
      <w:pPr>
        <w:pStyle w:val="ListParagraph"/>
        <w:numPr>
          <w:ilvl w:val="0"/>
          <w:numId w:val="85"/>
        </w:numPr>
        <w:ind w:left="714" w:hanging="357"/>
        <w:contextualSpacing w:val="0"/>
        <w:rPr>
          <w:rFonts w:cs="Arial"/>
          <w:color w:val="000000" w:themeColor="text1"/>
          <w:lang w:val="en-US"/>
        </w:rPr>
      </w:pPr>
      <w:r w:rsidRPr="008506B3">
        <w:rPr>
          <w:rFonts w:cs="Arial"/>
          <w:color w:val="000000" w:themeColor="text1"/>
          <w:lang w:val="en-US"/>
        </w:rPr>
        <w:t>provide an enduring resource</w:t>
      </w:r>
    </w:p>
    <w:p w14:paraId="3CDEE0B9" w14:textId="641C9590" w:rsidR="00E619DB" w:rsidRPr="00E619DB" w:rsidRDefault="00E619DB" w:rsidP="00E619DB">
      <w:pPr>
        <w:rPr>
          <w:rFonts w:cs="Arial"/>
          <w:color w:val="000000" w:themeColor="text1"/>
          <w:lang w:val="en-US"/>
        </w:rPr>
      </w:pPr>
      <w:r w:rsidRPr="00E619DB">
        <w:rPr>
          <w:rFonts w:cs="Arial"/>
          <w:color w:val="000000" w:themeColor="text1"/>
          <w:lang w:val="en-US"/>
        </w:rPr>
        <w:t xml:space="preserve">He Pikorua has been developed in conjunction with the Te Tāhuhu o te Mātauranga: Ministry of Education’s </w:t>
      </w:r>
      <w:hyperlink r:id="rId37" w:history="1">
        <w:r w:rsidRPr="00E557C0">
          <w:rPr>
            <w:rStyle w:val="Hyperlink"/>
            <w:rFonts w:cs="Arial"/>
            <w:lang w:val="en-US"/>
          </w:rPr>
          <w:t>2021-2026 Statement of Intent.</w:t>
        </w:r>
      </w:hyperlink>
      <w:r w:rsidRPr="00E619DB">
        <w:rPr>
          <w:rFonts w:cs="Arial"/>
          <w:color w:val="000000" w:themeColor="text1"/>
          <w:lang w:val="en-US"/>
        </w:rPr>
        <w:t xml:space="preserve"> </w:t>
      </w:r>
    </w:p>
    <w:p w14:paraId="7446CD2D" w14:textId="75A247A7" w:rsidR="00E619DB" w:rsidRPr="008506B3" w:rsidRDefault="00E619DB" w:rsidP="003B0B17">
      <w:pPr>
        <w:pStyle w:val="ListParagraph"/>
        <w:numPr>
          <w:ilvl w:val="0"/>
          <w:numId w:val="86"/>
        </w:numPr>
        <w:rPr>
          <w:rFonts w:cs="Arial"/>
          <w:b/>
          <w:bCs/>
          <w:color w:val="000000" w:themeColor="text1"/>
          <w:lang w:val="en-US"/>
        </w:rPr>
      </w:pPr>
      <w:r w:rsidRPr="008506B3">
        <w:rPr>
          <w:rFonts w:cs="Arial"/>
          <w:b/>
          <w:bCs/>
          <w:color w:val="000000" w:themeColor="text1"/>
          <w:lang w:val="en-US"/>
        </w:rPr>
        <w:t xml:space="preserve">How is the aim of ECI defined? </w:t>
      </w:r>
    </w:p>
    <w:p w14:paraId="5B3A2E2F" w14:textId="77777777" w:rsidR="00E619DB" w:rsidRPr="00E619DB" w:rsidRDefault="00E619DB" w:rsidP="00E619DB">
      <w:pPr>
        <w:rPr>
          <w:rFonts w:cs="Arial"/>
          <w:color w:val="000000" w:themeColor="text1"/>
          <w:lang w:val="en-US"/>
        </w:rPr>
      </w:pPr>
      <w:r w:rsidRPr="00E619DB">
        <w:rPr>
          <w:rFonts w:cs="Arial"/>
          <w:color w:val="000000" w:themeColor="text1"/>
          <w:lang w:val="en-US"/>
        </w:rPr>
        <w:t xml:space="preserve">The Ministry of Education describes Early Intervention broadly as "identifying and providing effective early support to those at risk of poor outcomes" (2020). The term ‘learning support’ and other terminology is sometimes used in preference to Early Intervention. </w:t>
      </w:r>
    </w:p>
    <w:p w14:paraId="620A9E0F" w14:textId="77777777" w:rsidR="00E619DB" w:rsidRPr="00E619DB" w:rsidRDefault="00E619DB" w:rsidP="00E619DB">
      <w:pPr>
        <w:rPr>
          <w:rFonts w:cs="Arial"/>
          <w:color w:val="000000" w:themeColor="text1"/>
          <w:lang w:val="en-US"/>
        </w:rPr>
      </w:pPr>
      <w:r w:rsidRPr="00E619DB">
        <w:rPr>
          <w:rFonts w:cs="Arial"/>
          <w:color w:val="000000" w:themeColor="text1"/>
          <w:lang w:val="en-US"/>
        </w:rPr>
        <w:t>One of the core principles of the He Pikorua framework is ‘outcomes-focused’. The framework describes enhancing the learning outcomes and well-being of children by:</w:t>
      </w:r>
    </w:p>
    <w:p w14:paraId="4C5E8F3F" w14:textId="6DA3CECC" w:rsidR="00E619DB" w:rsidRPr="008506B3" w:rsidRDefault="00E619DB" w:rsidP="003B0B17">
      <w:pPr>
        <w:pStyle w:val="ListParagraph"/>
        <w:numPr>
          <w:ilvl w:val="0"/>
          <w:numId w:val="87"/>
        </w:numPr>
        <w:ind w:left="714" w:hanging="357"/>
        <w:contextualSpacing w:val="0"/>
        <w:rPr>
          <w:rFonts w:cs="Arial"/>
          <w:color w:val="000000" w:themeColor="text1"/>
          <w:lang w:val="en-US"/>
        </w:rPr>
      </w:pPr>
      <w:r w:rsidRPr="008506B3">
        <w:rPr>
          <w:rFonts w:cs="Arial"/>
          <w:color w:val="000000" w:themeColor="text1"/>
          <w:lang w:val="en-US"/>
        </w:rPr>
        <w:t xml:space="preserve">keeping mokopuna and their whānau at the centre of everything </w:t>
      </w:r>
    </w:p>
    <w:p w14:paraId="62AA5002" w14:textId="40414EFC" w:rsidR="00E619DB" w:rsidRPr="008506B3" w:rsidRDefault="00E619DB" w:rsidP="003B0B17">
      <w:pPr>
        <w:pStyle w:val="ListParagraph"/>
        <w:numPr>
          <w:ilvl w:val="0"/>
          <w:numId w:val="87"/>
        </w:numPr>
        <w:ind w:left="714" w:hanging="357"/>
        <w:contextualSpacing w:val="0"/>
        <w:rPr>
          <w:rFonts w:cs="Arial"/>
          <w:color w:val="000000" w:themeColor="text1"/>
          <w:lang w:val="en-US"/>
        </w:rPr>
      </w:pPr>
      <w:r w:rsidRPr="008506B3">
        <w:rPr>
          <w:rFonts w:cs="Arial"/>
          <w:color w:val="000000" w:themeColor="text1"/>
          <w:lang w:val="en-US"/>
        </w:rPr>
        <w:t>focusing on strengths and potential, to enhance the mana of the individual and their community</w:t>
      </w:r>
    </w:p>
    <w:p w14:paraId="3ACC3AB0" w14:textId="24800286" w:rsidR="00E619DB" w:rsidRPr="008506B3" w:rsidRDefault="00E619DB" w:rsidP="003B0B17">
      <w:pPr>
        <w:pStyle w:val="ListParagraph"/>
        <w:numPr>
          <w:ilvl w:val="0"/>
          <w:numId w:val="87"/>
        </w:numPr>
        <w:ind w:left="714" w:hanging="357"/>
        <w:contextualSpacing w:val="0"/>
        <w:rPr>
          <w:rFonts w:cs="Arial"/>
          <w:color w:val="000000" w:themeColor="text1"/>
          <w:lang w:val="en-US"/>
        </w:rPr>
      </w:pPr>
      <w:r w:rsidRPr="008506B3">
        <w:rPr>
          <w:rFonts w:cs="Arial"/>
          <w:color w:val="000000" w:themeColor="text1"/>
          <w:lang w:val="en-US"/>
        </w:rPr>
        <w:t>respecting and building on the diversity of expertise and knowledge across teams</w:t>
      </w:r>
    </w:p>
    <w:p w14:paraId="47F4433C" w14:textId="5DED9483" w:rsidR="00E619DB" w:rsidRPr="008506B3" w:rsidRDefault="00E619DB" w:rsidP="003B0B17">
      <w:pPr>
        <w:pStyle w:val="ListParagraph"/>
        <w:numPr>
          <w:ilvl w:val="0"/>
          <w:numId w:val="87"/>
        </w:numPr>
        <w:ind w:left="714" w:hanging="357"/>
        <w:contextualSpacing w:val="0"/>
        <w:rPr>
          <w:rFonts w:cs="Arial"/>
          <w:color w:val="000000" w:themeColor="text1"/>
          <w:lang w:val="en-US"/>
        </w:rPr>
      </w:pPr>
      <w:r w:rsidRPr="008506B3">
        <w:rPr>
          <w:rFonts w:cs="Arial"/>
          <w:color w:val="000000" w:themeColor="text1"/>
          <w:lang w:val="en-US"/>
        </w:rPr>
        <w:t>using evidence-informed strategies that are appropriate to the context</w:t>
      </w:r>
    </w:p>
    <w:p w14:paraId="00C431B6" w14:textId="7E674A84" w:rsidR="00E619DB" w:rsidRPr="008506B3" w:rsidRDefault="00E619DB" w:rsidP="003B0B17">
      <w:pPr>
        <w:pStyle w:val="ListParagraph"/>
        <w:numPr>
          <w:ilvl w:val="0"/>
          <w:numId w:val="87"/>
        </w:numPr>
        <w:ind w:left="714" w:hanging="357"/>
        <w:contextualSpacing w:val="0"/>
        <w:rPr>
          <w:rFonts w:cs="Arial"/>
          <w:color w:val="000000" w:themeColor="text1"/>
          <w:lang w:val="en-US"/>
        </w:rPr>
      </w:pPr>
      <w:r w:rsidRPr="008506B3">
        <w:rPr>
          <w:rFonts w:cs="Arial"/>
          <w:color w:val="000000" w:themeColor="text1"/>
          <w:lang w:val="en-US"/>
        </w:rPr>
        <w:t xml:space="preserve">positioning learning supports as part of day-to-day teaching and learning, across the layers of Te Tūāpapa – Te Matua (universal), Te Kāhui (targeted) and Te Arotahi (tailored). </w:t>
      </w:r>
    </w:p>
    <w:p w14:paraId="01B3CF97" w14:textId="77777777" w:rsidR="00E619DB" w:rsidRPr="00E619DB" w:rsidRDefault="00E619DB" w:rsidP="00E619DB">
      <w:pPr>
        <w:rPr>
          <w:rFonts w:cs="Arial"/>
          <w:color w:val="000000" w:themeColor="text1"/>
          <w:lang w:val="en-US"/>
        </w:rPr>
      </w:pPr>
      <w:r w:rsidRPr="00E619DB">
        <w:rPr>
          <w:rFonts w:cs="Arial"/>
          <w:color w:val="000000" w:themeColor="text1"/>
          <w:lang w:val="en-US"/>
        </w:rPr>
        <w:t>There is no specific mention of family or community-based outcomes. However, the He Pikorua framework indicates that outcomes data “collected at individual, cluster and national levels gives evidence of the positive impact of the support provided by services and can feed into planning and practice” (2020). Practitioners can use rubrics or scaled indicators to measure key outcomes of their work for areas such as:</w:t>
      </w:r>
    </w:p>
    <w:p w14:paraId="6A2F775F" w14:textId="37A29A3E" w:rsidR="00E619DB" w:rsidRPr="00E557C0" w:rsidRDefault="00E619DB" w:rsidP="003B0B17">
      <w:pPr>
        <w:pStyle w:val="ListParagraph"/>
        <w:numPr>
          <w:ilvl w:val="0"/>
          <w:numId w:val="88"/>
        </w:numPr>
        <w:ind w:left="714" w:hanging="357"/>
        <w:contextualSpacing w:val="0"/>
        <w:rPr>
          <w:rFonts w:cs="Arial"/>
          <w:color w:val="000000" w:themeColor="text1"/>
          <w:lang w:val="en-US"/>
        </w:rPr>
      </w:pPr>
      <w:r w:rsidRPr="00E557C0">
        <w:rPr>
          <w:rFonts w:cs="Arial"/>
          <w:color w:val="000000" w:themeColor="text1"/>
          <w:lang w:val="en-US"/>
        </w:rPr>
        <w:t>mokopuna achievement</w:t>
      </w:r>
    </w:p>
    <w:p w14:paraId="3A036099" w14:textId="740409B2" w:rsidR="00E619DB" w:rsidRPr="00E557C0" w:rsidRDefault="00E619DB" w:rsidP="003B0B17">
      <w:pPr>
        <w:pStyle w:val="ListParagraph"/>
        <w:numPr>
          <w:ilvl w:val="0"/>
          <w:numId w:val="88"/>
        </w:numPr>
        <w:ind w:left="714" w:hanging="357"/>
        <w:contextualSpacing w:val="0"/>
        <w:rPr>
          <w:rFonts w:cs="Arial"/>
          <w:color w:val="000000" w:themeColor="text1"/>
          <w:lang w:val="en-US"/>
        </w:rPr>
      </w:pPr>
      <w:r w:rsidRPr="00E557C0">
        <w:rPr>
          <w:rFonts w:cs="Arial"/>
          <w:color w:val="000000" w:themeColor="text1"/>
          <w:lang w:val="en-US"/>
        </w:rPr>
        <w:t>educator perception</w:t>
      </w:r>
    </w:p>
    <w:p w14:paraId="2E9D9A16" w14:textId="59F4F550" w:rsidR="00E619DB" w:rsidRPr="00E557C0" w:rsidRDefault="00E619DB" w:rsidP="003B0B17">
      <w:pPr>
        <w:pStyle w:val="ListParagraph"/>
        <w:numPr>
          <w:ilvl w:val="0"/>
          <w:numId w:val="88"/>
        </w:numPr>
        <w:ind w:left="714" w:hanging="357"/>
        <w:contextualSpacing w:val="0"/>
        <w:rPr>
          <w:rFonts w:cs="Arial"/>
          <w:color w:val="000000" w:themeColor="text1"/>
          <w:lang w:val="en-US"/>
        </w:rPr>
      </w:pPr>
      <w:r w:rsidRPr="00E557C0">
        <w:rPr>
          <w:rFonts w:cs="Arial"/>
          <w:color w:val="000000" w:themeColor="text1"/>
          <w:lang w:val="en-US"/>
        </w:rPr>
        <w:t>home and school partnerships</w:t>
      </w:r>
    </w:p>
    <w:p w14:paraId="6F2D02EC" w14:textId="2573DD73" w:rsidR="00E619DB" w:rsidRPr="00E557C0" w:rsidRDefault="00E619DB" w:rsidP="003B0B17">
      <w:pPr>
        <w:pStyle w:val="ListParagraph"/>
        <w:numPr>
          <w:ilvl w:val="0"/>
          <w:numId w:val="88"/>
        </w:numPr>
        <w:ind w:left="714" w:hanging="357"/>
        <w:contextualSpacing w:val="0"/>
        <w:rPr>
          <w:rFonts w:cs="Arial"/>
          <w:color w:val="000000" w:themeColor="text1"/>
          <w:lang w:val="en-US"/>
        </w:rPr>
      </w:pPr>
      <w:r w:rsidRPr="00E557C0">
        <w:rPr>
          <w:rFonts w:cs="Arial"/>
          <w:color w:val="000000" w:themeColor="text1"/>
          <w:lang w:val="en-US"/>
        </w:rPr>
        <w:t>quality of service</w:t>
      </w:r>
    </w:p>
    <w:p w14:paraId="2D021CB2" w14:textId="18B56160" w:rsidR="00E619DB" w:rsidRPr="00E619DB" w:rsidRDefault="00E619DB" w:rsidP="00E619DB">
      <w:pPr>
        <w:rPr>
          <w:rFonts w:cs="Arial"/>
          <w:color w:val="000000" w:themeColor="text1"/>
          <w:lang w:val="en-US"/>
        </w:rPr>
      </w:pPr>
      <w:r w:rsidRPr="00E619DB">
        <w:rPr>
          <w:rFonts w:cs="Arial"/>
          <w:color w:val="000000" w:themeColor="text1"/>
          <w:lang w:val="en-US"/>
        </w:rPr>
        <w:lastRenderedPageBreak/>
        <w:t xml:space="preserve">There is also reference to the importance of outcomes data and a link to an Outcomes Measurement Tool that has privacy protection on it so is not universally accessible. </w:t>
      </w:r>
    </w:p>
    <w:p w14:paraId="4513920F" w14:textId="694F7D94" w:rsidR="00E619DB" w:rsidRPr="00E557C0" w:rsidRDefault="00E619DB" w:rsidP="003B0B17">
      <w:pPr>
        <w:pStyle w:val="ListParagraph"/>
        <w:numPr>
          <w:ilvl w:val="0"/>
          <w:numId w:val="86"/>
        </w:numPr>
        <w:rPr>
          <w:rFonts w:cs="Arial"/>
          <w:b/>
          <w:bCs/>
          <w:color w:val="000000" w:themeColor="text1"/>
          <w:lang w:val="en-US"/>
        </w:rPr>
      </w:pPr>
      <w:r w:rsidRPr="00E557C0">
        <w:rPr>
          <w:rFonts w:cs="Arial"/>
          <w:b/>
          <w:bCs/>
          <w:color w:val="000000" w:themeColor="text1"/>
          <w:lang w:val="en-US"/>
        </w:rPr>
        <w:t xml:space="preserve">How is best practice defined? </w:t>
      </w:r>
    </w:p>
    <w:p w14:paraId="1AD72889" w14:textId="77777777" w:rsidR="00E619DB" w:rsidRPr="00E619DB" w:rsidRDefault="00E619DB" w:rsidP="00E619DB">
      <w:pPr>
        <w:rPr>
          <w:rFonts w:cs="Arial"/>
          <w:color w:val="000000" w:themeColor="text1"/>
          <w:lang w:val="en-US"/>
        </w:rPr>
      </w:pPr>
      <w:r w:rsidRPr="00E619DB">
        <w:rPr>
          <w:rFonts w:cs="Arial"/>
          <w:color w:val="000000" w:themeColor="text1"/>
          <w:lang w:val="en-US"/>
        </w:rPr>
        <w:t>Best practice is not clearly defined but is described through the seven guiding principles.</w:t>
      </w:r>
    </w:p>
    <w:p w14:paraId="4B3AD680" w14:textId="02183D16" w:rsidR="00E619DB" w:rsidRPr="00E557C0" w:rsidRDefault="00E619DB" w:rsidP="003B0B17">
      <w:pPr>
        <w:pStyle w:val="ListParagraph"/>
        <w:numPr>
          <w:ilvl w:val="0"/>
          <w:numId w:val="86"/>
        </w:numPr>
        <w:rPr>
          <w:rFonts w:cs="Arial"/>
          <w:b/>
          <w:bCs/>
          <w:color w:val="000000" w:themeColor="text1"/>
          <w:lang w:val="en-US"/>
        </w:rPr>
      </w:pPr>
      <w:r w:rsidRPr="00E557C0">
        <w:rPr>
          <w:rFonts w:cs="Arial"/>
          <w:b/>
          <w:bCs/>
          <w:color w:val="000000" w:themeColor="text1"/>
          <w:lang w:val="en-US"/>
        </w:rPr>
        <w:t xml:space="preserve">To whom does the framework apply? </w:t>
      </w:r>
    </w:p>
    <w:p w14:paraId="2B43D853" w14:textId="77777777" w:rsidR="00E619DB" w:rsidRPr="00E619DB" w:rsidRDefault="00E619DB" w:rsidP="00E619DB">
      <w:pPr>
        <w:rPr>
          <w:rFonts w:cs="Arial"/>
          <w:color w:val="000000" w:themeColor="text1"/>
          <w:lang w:val="en-US"/>
        </w:rPr>
      </w:pPr>
      <w:r w:rsidRPr="00E619DB">
        <w:rPr>
          <w:rFonts w:cs="Arial"/>
          <w:color w:val="000000" w:themeColor="text1"/>
          <w:lang w:val="en-US"/>
        </w:rPr>
        <w:t xml:space="preserve">He Pikorua is the practice framework primarily designed for Ministry of Education practitioners, Resource Teachers: Learning and Behaviour and Learning Support Practitioners. It is also available for teachers and families. </w:t>
      </w:r>
    </w:p>
    <w:p w14:paraId="64CEAA3D" w14:textId="327F3C49" w:rsidR="00E619DB" w:rsidRPr="00E557C0" w:rsidRDefault="00E619DB" w:rsidP="003B0B17">
      <w:pPr>
        <w:pStyle w:val="ListParagraph"/>
        <w:numPr>
          <w:ilvl w:val="0"/>
          <w:numId w:val="86"/>
        </w:numPr>
        <w:rPr>
          <w:rFonts w:cs="Arial"/>
          <w:b/>
          <w:bCs/>
          <w:color w:val="000000" w:themeColor="text1"/>
          <w:lang w:val="en-US"/>
        </w:rPr>
      </w:pPr>
      <w:r w:rsidRPr="00E557C0">
        <w:rPr>
          <w:rFonts w:cs="Arial"/>
          <w:b/>
          <w:bCs/>
          <w:color w:val="000000" w:themeColor="text1"/>
          <w:lang w:val="en-US"/>
        </w:rPr>
        <w:t xml:space="preserve">To what extent are universal principles identified? </w:t>
      </w:r>
    </w:p>
    <w:p w14:paraId="6765C7F1" w14:textId="77777777" w:rsidR="00E619DB" w:rsidRPr="00E619DB" w:rsidRDefault="00E619DB" w:rsidP="00E619DB">
      <w:pPr>
        <w:rPr>
          <w:rFonts w:cs="Arial"/>
          <w:color w:val="000000" w:themeColor="text1"/>
          <w:lang w:val="en-US"/>
        </w:rPr>
      </w:pPr>
      <w:r w:rsidRPr="00E619DB">
        <w:rPr>
          <w:rFonts w:cs="Arial"/>
          <w:color w:val="000000" w:themeColor="text1"/>
          <w:lang w:val="en-US"/>
        </w:rPr>
        <w:t>He Pikorua includes seven guiding principles:</w:t>
      </w:r>
    </w:p>
    <w:p w14:paraId="46B443F7" w14:textId="2EE1BC0D" w:rsidR="00E619DB" w:rsidRPr="00E557C0" w:rsidRDefault="00E619DB" w:rsidP="003B0B17">
      <w:pPr>
        <w:pStyle w:val="ListParagraph"/>
        <w:numPr>
          <w:ilvl w:val="0"/>
          <w:numId w:val="90"/>
        </w:numPr>
        <w:ind w:left="714" w:hanging="357"/>
        <w:contextualSpacing w:val="0"/>
        <w:rPr>
          <w:rFonts w:cs="Arial"/>
          <w:color w:val="000000" w:themeColor="text1"/>
          <w:lang w:val="en-US"/>
        </w:rPr>
      </w:pPr>
      <w:r w:rsidRPr="00E557C0">
        <w:rPr>
          <w:rFonts w:cs="Arial"/>
          <w:color w:val="000000" w:themeColor="text1"/>
          <w:lang w:val="en-US"/>
        </w:rPr>
        <w:t>Mokopuna &amp; whānau-centred</w:t>
      </w:r>
    </w:p>
    <w:p w14:paraId="0CA0254A" w14:textId="24F80A8D" w:rsidR="00E619DB" w:rsidRPr="00E557C0" w:rsidRDefault="00E619DB" w:rsidP="003B0B17">
      <w:pPr>
        <w:pStyle w:val="ListParagraph"/>
        <w:numPr>
          <w:ilvl w:val="0"/>
          <w:numId w:val="90"/>
        </w:numPr>
        <w:ind w:left="714" w:hanging="357"/>
        <w:contextualSpacing w:val="0"/>
        <w:rPr>
          <w:rFonts w:cs="Arial"/>
          <w:color w:val="000000" w:themeColor="text1"/>
          <w:lang w:val="en-US"/>
        </w:rPr>
      </w:pPr>
      <w:r w:rsidRPr="00E557C0">
        <w:rPr>
          <w:rFonts w:cs="Arial"/>
          <w:color w:val="000000" w:themeColor="text1"/>
          <w:lang w:val="en-US"/>
        </w:rPr>
        <w:t>Collaborative</w:t>
      </w:r>
    </w:p>
    <w:p w14:paraId="76C33117" w14:textId="5AB9962B" w:rsidR="00E619DB" w:rsidRPr="00E557C0" w:rsidRDefault="00E619DB" w:rsidP="003B0B17">
      <w:pPr>
        <w:pStyle w:val="ListParagraph"/>
        <w:numPr>
          <w:ilvl w:val="0"/>
          <w:numId w:val="90"/>
        </w:numPr>
        <w:ind w:left="714" w:hanging="357"/>
        <w:contextualSpacing w:val="0"/>
        <w:rPr>
          <w:rFonts w:cs="Arial"/>
          <w:color w:val="000000" w:themeColor="text1"/>
          <w:lang w:val="en-US"/>
        </w:rPr>
      </w:pPr>
      <w:r w:rsidRPr="00E557C0">
        <w:rPr>
          <w:rFonts w:cs="Arial"/>
          <w:color w:val="000000" w:themeColor="text1"/>
          <w:lang w:val="en-US"/>
        </w:rPr>
        <w:t>Strengths-based</w:t>
      </w:r>
    </w:p>
    <w:p w14:paraId="393F3BD0" w14:textId="1CC2CC63" w:rsidR="00E619DB" w:rsidRPr="00E557C0" w:rsidRDefault="00E619DB" w:rsidP="003B0B17">
      <w:pPr>
        <w:pStyle w:val="ListParagraph"/>
        <w:numPr>
          <w:ilvl w:val="0"/>
          <w:numId w:val="90"/>
        </w:numPr>
        <w:ind w:left="714" w:hanging="357"/>
        <w:contextualSpacing w:val="0"/>
        <w:rPr>
          <w:rFonts w:cs="Arial"/>
          <w:color w:val="000000" w:themeColor="text1"/>
          <w:lang w:val="en-US"/>
        </w:rPr>
      </w:pPr>
      <w:r w:rsidRPr="00E557C0">
        <w:rPr>
          <w:rFonts w:cs="Arial"/>
          <w:color w:val="000000" w:themeColor="text1"/>
          <w:lang w:val="en-US"/>
        </w:rPr>
        <w:t>Culturally affirming</w:t>
      </w:r>
    </w:p>
    <w:p w14:paraId="49E66929" w14:textId="7827A07E" w:rsidR="00E619DB" w:rsidRPr="00E557C0" w:rsidRDefault="00E619DB" w:rsidP="003B0B17">
      <w:pPr>
        <w:pStyle w:val="ListParagraph"/>
        <w:numPr>
          <w:ilvl w:val="0"/>
          <w:numId w:val="90"/>
        </w:numPr>
        <w:ind w:left="714" w:hanging="357"/>
        <w:contextualSpacing w:val="0"/>
        <w:rPr>
          <w:rFonts w:cs="Arial"/>
          <w:color w:val="000000" w:themeColor="text1"/>
          <w:lang w:val="en-US"/>
        </w:rPr>
      </w:pPr>
      <w:r w:rsidRPr="00E557C0">
        <w:rPr>
          <w:rFonts w:cs="Arial"/>
          <w:color w:val="000000" w:themeColor="text1"/>
          <w:lang w:val="en-US"/>
        </w:rPr>
        <w:t>Inclusive</w:t>
      </w:r>
    </w:p>
    <w:p w14:paraId="275D387E" w14:textId="2344FA43" w:rsidR="00E619DB" w:rsidRPr="00E557C0" w:rsidRDefault="00E619DB" w:rsidP="003B0B17">
      <w:pPr>
        <w:pStyle w:val="ListParagraph"/>
        <w:numPr>
          <w:ilvl w:val="0"/>
          <w:numId w:val="90"/>
        </w:numPr>
        <w:ind w:left="714" w:hanging="357"/>
        <w:contextualSpacing w:val="0"/>
        <w:rPr>
          <w:rFonts w:cs="Arial"/>
          <w:color w:val="000000" w:themeColor="text1"/>
          <w:lang w:val="en-US"/>
        </w:rPr>
      </w:pPr>
      <w:r w:rsidRPr="00E557C0">
        <w:rPr>
          <w:rFonts w:cs="Arial"/>
          <w:color w:val="000000" w:themeColor="text1"/>
          <w:lang w:val="en-US"/>
        </w:rPr>
        <w:t>Ecological</w:t>
      </w:r>
    </w:p>
    <w:p w14:paraId="3E4CF125" w14:textId="284192D1" w:rsidR="00E619DB" w:rsidRPr="00E557C0" w:rsidRDefault="00E619DB" w:rsidP="003B0B17">
      <w:pPr>
        <w:pStyle w:val="ListParagraph"/>
        <w:numPr>
          <w:ilvl w:val="0"/>
          <w:numId w:val="90"/>
        </w:numPr>
        <w:ind w:left="714" w:hanging="357"/>
        <w:contextualSpacing w:val="0"/>
        <w:rPr>
          <w:rFonts w:cs="Arial"/>
          <w:color w:val="000000" w:themeColor="text1"/>
          <w:lang w:val="en-US"/>
        </w:rPr>
      </w:pPr>
      <w:r w:rsidRPr="00E557C0">
        <w:rPr>
          <w:rFonts w:cs="Arial"/>
          <w:color w:val="000000" w:themeColor="text1"/>
          <w:lang w:val="en-US"/>
        </w:rPr>
        <w:t>Evidence informed</w:t>
      </w:r>
    </w:p>
    <w:p w14:paraId="28CBFB33" w14:textId="77777777" w:rsidR="00E619DB" w:rsidRPr="00E619DB" w:rsidRDefault="00E619DB" w:rsidP="00E619DB">
      <w:pPr>
        <w:rPr>
          <w:rFonts w:cs="Arial"/>
          <w:color w:val="000000" w:themeColor="text1"/>
          <w:lang w:val="en-US"/>
        </w:rPr>
      </w:pPr>
      <w:r w:rsidRPr="00E619DB">
        <w:rPr>
          <w:rFonts w:cs="Arial"/>
          <w:color w:val="000000" w:themeColor="text1"/>
          <w:lang w:val="en-US"/>
        </w:rPr>
        <w:t>A seven-element process has also been developed to support an enquiry approach:</w:t>
      </w:r>
    </w:p>
    <w:p w14:paraId="34709670" w14:textId="76AA116C" w:rsidR="00E619DB" w:rsidRPr="00E557C0" w:rsidRDefault="00E619DB" w:rsidP="003B0B17">
      <w:pPr>
        <w:pStyle w:val="ListParagraph"/>
        <w:numPr>
          <w:ilvl w:val="0"/>
          <w:numId w:val="89"/>
        </w:numPr>
        <w:ind w:left="714" w:hanging="357"/>
        <w:contextualSpacing w:val="0"/>
        <w:rPr>
          <w:rFonts w:cs="Arial"/>
          <w:color w:val="000000" w:themeColor="text1"/>
          <w:lang w:val="en-US"/>
        </w:rPr>
      </w:pPr>
      <w:r w:rsidRPr="00E557C0">
        <w:rPr>
          <w:rFonts w:cs="Arial"/>
          <w:color w:val="000000" w:themeColor="text1"/>
          <w:lang w:val="en-US"/>
        </w:rPr>
        <w:t xml:space="preserve">Building connections </w:t>
      </w:r>
    </w:p>
    <w:p w14:paraId="5E482864" w14:textId="756B5098" w:rsidR="00E619DB" w:rsidRPr="00E557C0" w:rsidRDefault="00E619DB" w:rsidP="003B0B17">
      <w:pPr>
        <w:pStyle w:val="ListParagraph"/>
        <w:numPr>
          <w:ilvl w:val="0"/>
          <w:numId w:val="89"/>
        </w:numPr>
        <w:ind w:left="714" w:hanging="357"/>
        <w:contextualSpacing w:val="0"/>
        <w:rPr>
          <w:rFonts w:cs="Arial"/>
          <w:color w:val="000000" w:themeColor="text1"/>
          <w:lang w:val="en-US"/>
        </w:rPr>
      </w:pPr>
      <w:r w:rsidRPr="00E557C0">
        <w:rPr>
          <w:rFonts w:cs="Arial"/>
          <w:color w:val="000000" w:themeColor="text1"/>
          <w:lang w:val="en-US"/>
        </w:rPr>
        <w:t>Gathering information</w:t>
      </w:r>
    </w:p>
    <w:p w14:paraId="11427F24" w14:textId="30FFDADE" w:rsidR="00E619DB" w:rsidRPr="00E557C0" w:rsidRDefault="00E619DB" w:rsidP="003B0B17">
      <w:pPr>
        <w:pStyle w:val="ListParagraph"/>
        <w:numPr>
          <w:ilvl w:val="0"/>
          <w:numId w:val="89"/>
        </w:numPr>
        <w:ind w:left="714" w:hanging="357"/>
        <w:contextualSpacing w:val="0"/>
        <w:rPr>
          <w:rFonts w:cs="Arial"/>
          <w:color w:val="000000" w:themeColor="text1"/>
          <w:lang w:val="en-US"/>
        </w:rPr>
      </w:pPr>
      <w:r w:rsidRPr="00E557C0">
        <w:rPr>
          <w:rFonts w:cs="Arial"/>
          <w:color w:val="000000" w:themeColor="text1"/>
          <w:lang w:val="en-US"/>
        </w:rPr>
        <w:t xml:space="preserve">Sense making </w:t>
      </w:r>
    </w:p>
    <w:p w14:paraId="3F143064" w14:textId="627C5608" w:rsidR="00E619DB" w:rsidRPr="00E557C0" w:rsidRDefault="00E619DB" w:rsidP="003B0B17">
      <w:pPr>
        <w:pStyle w:val="ListParagraph"/>
        <w:numPr>
          <w:ilvl w:val="0"/>
          <w:numId w:val="89"/>
        </w:numPr>
        <w:ind w:left="714" w:hanging="357"/>
        <w:contextualSpacing w:val="0"/>
        <w:rPr>
          <w:rFonts w:cs="Arial"/>
          <w:color w:val="000000" w:themeColor="text1"/>
          <w:lang w:val="en-US"/>
        </w:rPr>
      </w:pPr>
      <w:r w:rsidRPr="00E557C0">
        <w:rPr>
          <w:rFonts w:cs="Arial"/>
          <w:color w:val="000000" w:themeColor="text1"/>
          <w:lang w:val="en-US"/>
        </w:rPr>
        <w:t>Planning collaboratively</w:t>
      </w:r>
    </w:p>
    <w:p w14:paraId="04913B88" w14:textId="56FD5383" w:rsidR="00E619DB" w:rsidRPr="00E557C0" w:rsidRDefault="00E619DB" w:rsidP="003B0B17">
      <w:pPr>
        <w:pStyle w:val="ListParagraph"/>
        <w:numPr>
          <w:ilvl w:val="0"/>
          <w:numId w:val="89"/>
        </w:numPr>
        <w:ind w:left="714" w:hanging="357"/>
        <w:contextualSpacing w:val="0"/>
        <w:rPr>
          <w:rFonts w:cs="Arial"/>
          <w:color w:val="000000" w:themeColor="text1"/>
          <w:lang w:val="en-US"/>
        </w:rPr>
      </w:pPr>
      <w:r w:rsidRPr="00E557C0">
        <w:rPr>
          <w:rFonts w:cs="Arial"/>
          <w:color w:val="000000" w:themeColor="text1"/>
          <w:lang w:val="en-US"/>
        </w:rPr>
        <w:t>Taking action with integrity</w:t>
      </w:r>
    </w:p>
    <w:p w14:paraId="4F6E9DA4" w14:textId="2DA9D3E4" w:rsidR="00E557C0" w:rsidRPr="00E557C0" w:rsidRDefault="00E557C0" w:rsidP="003B0B17">
      <w:pPr>
        <w:pStyle w:val="ListParagraph"/>
        <w:numPr>
          <w:ilvl w:val="0"/>
          <w:numId w:val="89"/>
        </w:numPr>
        <w:ind w:left="714" w:hanging="357"/>
        <w:contextualSpacing w:val="0"/>
        <w:rPr>
          <w:rFonts w:cs="Arial"/>
          <w:color w:val="000000" w:themeColor="text1"/>
          <w:lang w:val="en-US"/>
        </w:rPr>
      </w:pPr>
      <w:r w:rsidRPr="00E557C0">
        <w:rPr>
          <w:rFonts w:cs="Arial"/>
          <w:color w:val="000000" w:themeColor="text1"/>
          <w:lang w:val="en-US"/>
        </w:rPr>
        <w:t>Reflecting together</w:t>
      </w:r>
    </w:p>
    <w:p w14:paraId="17636DC8" w14:textId="6FA4E8DF" w:rsidR="009932CF" w:rsidRPr="00882F41" w:rsidRDefault="00E619DB" w:rsidP="003B0B17">
      <w:pPr>
        <w:pStyle w:val="ListParagraph"/>
        <w:numPr>
          <w:ilvl w:val="0"/>
          <w:numId w:val="89"/>
        </w:numPr>
        <w:ind w:left="714" w:hanging="357"/>
        <w:contextualSpacing w:val="0"/>
        <w:rPr>
          <w:rFonts w:cs="Arial"/>
          <w:color w:val="000000" w:themeColor="text1"/>
          <w:lang w:val="en-US"/>
        </w:rPr>
      </w:pPr>
      <w:r w:rsidRPr="00E557C0">
        <w:rPr>
          <w:rFonts w:cs="Arial"/>
          <w:color w:val="000000" w:themeColor="text1"/>
          <w:lang w:val="en-US"/>
        </w:rPr>
        <w:t>Empowering others</w:t>
      </w:r>
    </w:p>
    <w:p w14:paraId="70F1B5A5" w14:textId="6E6F5EDB" w:rsidR="00E619DB" w:rsidRPr="004D09D2" w:rsidRDefault="00E619DB" w:rsidP="003B0B17">
      <w:pPr>
        <w:pStyle w:val="ListParagraph"/>
        <w:numPr>
          <w:ilvl w:val="0"/>
          <w:numId w:val="86"/>
        </w:numPr>
        <w:rPr>
          <w:rFonts w:cs="Arial"/>
          <w:b/>
          <w:bCs/>
          <w:color w:val="000000" w:themeColor="text1"/>
          <w:lang w:val="en-US"/>
        </w:rPr>
      </w:pPr>
      <w:r w:rsidRPr="004D09D2">
        <w:rPr>
          <w:rFonts w:cs="Arial"/>
          <w:b/>
          <w:bCs/>
          <w:color w:val="000000" w:themeColor="text1"/>
          <w:lang w:val="en-US"/>
        </w:rPr>
        <w:t xml:space="preserve">What processes, indicators and tools to gather evidence of implementation are applied? </w:t>
      </w:r>
    </w:p>
    <w:p w14:paraId="03D26E69" w14:textId="1D99EF35" w:rsidR="00E619DB" w:rsidRDefault="00E619DB" w:rsidP="00E619DB">
      <w:pPr>
        <w:rPr>
          <w:rFonts w:cs="Arial"/>
          <w:color w:val="000000" w:themeColor="text1"/>
          <w:lang w:val="en-US"/>
        </w:rPr>
      </w:pPr>
      <w:r w:rsidRPr="00E619DB">
        <w:rPr>
          <w:rFonts w:cs="Arial"/>
          <w:color w:val="000000" w:themeColor="text1"/>
          <w:lang w:val="en-US"/>
        </w:rPr>
        <w:t xml:space="preserve">Examples and reflective questions about each practice principle are available on the </w:t>
      </w:r>
      <w:hyperlink r:id="rId38" w:history="1">
        <w:r w:rsidRPr="009932CF">
          <w:rPr>
            <w:rStyle w:val="Hyperlink"/>
            <w:rFonts w:cs="Arial"/>
            <w:lang w:val="en-US"/>
          </w:rPr>
          <w:t>He Pikorua website</w:t>
        </w:r>
      </w:hyperlink>
      <w:r w:rsidRPr="00E619DB">
        <w:rPr>
          <w:rFonts w:cs="Arial"/>
          <w:color w:val="000000" w:themeColor="text1"/>
          <w:lang w:val="en-US"/>
        </w:rPr>
        <w:t>. In 2021, Greep published the ‘Bringing to Life’ action research project. The project aimed to build a shared understanding of He Pikorua as a practice framework and explore how the framework and associated resources shifted the way Resource Teachers: Learning and Behaviour practised. Results of the action research study indicated that He Pikorua enhanced practitioners’ practice.</w:t>
      </w:r>
      <w:r w:rsidR="003064C5">
        <w:rPr>
          <w:rFonts w:cs="Arial"/>
          <w:color w:val="000000" w:themeColor="text1"/>
          <w:lang w:val="en-US"/>
        </w:rPr>
        <w:br/>
      </w:r>
    </w:p>
    <w:p w14:paraId="689C2F7F" w14:textId="77777777" w:rsidR="00567CC0" w:rsidRDefault="00567CC0" w:rsidP="00E619DB">
      <w:pPr>
        <w:rPr>
          <w:rFonts w:cs="Arial"/>
          <w:color w:val="000000" w:themeColor="text1"/>
          <w:lang w:val="en-US"/>
        </w:rPr>
      </w:pPr>
    </w:p>
    <w:p w14:paraId="3891522B" w14:textId="77777777" w:rsidR="00567CC0" w:rsidRPr="00E619DB" w:rsidRDefault="00567CC0" w:rsidP="00E619DB">
      <w:pPr>
        <w:rPr>
          <w:rFonts w:cs="Arial"/>
          <w:color w:val="000000" w:themeColor="text1"/>
          <w:lang w:val="en-US"/>
        </w:rPr>
      </w:pPr>
    </w:p>
    <w:p w14:paraId="3AE2622D" w14:textId="2CCD13F3" w:rsidR="00E619DB" w:rsidRPr="009932CF" w:rsidRDefault="00E619DB" w:rsidP="003B0B17">
      <w:pPr>
        <w:pStyle w:val="ListParagraph"/>
        <w:numPr>
          <w:ilvl w:val="0"/>
          <w:numId w:val="86"/>
        </w:numPr>
        <w:rPr>
          <w:rFonts w:cs="Arial"/>
          <w:b/>
          <w:bCs/>
          <w:color w:val="000000" w:themeColor="text1"/>
          <w:lang w:val="en-US"/>
        </w:rPr>
      </w:pPr>
      <w:r w:rsidRPr="009932CF">
        <w:rPr>
          <w:rFonts w:cs="Arial"/>
          <w:b/>
          <w:bCs/>
          <w:color w:val="000000" w:themeColor="text1"/>
          <w:lang w:val="en-US"/>
        </w:rPr>
        <w:lastRenderedPageBreak/>
        <w:t xml:space="preserve">How is new evidence integrated into the identified framework? </w:t>
      </w:r>
    </w:p>
    <w:p w14:paraId="19DD1C63" w14:textId="77777777" w:rsidR="00E619DB" w:rsidRPr="00E619DB" w:rsidRDefault="00E619DB" w:rsidP="00E619DB">
      <w:pPr>
        <w:rPr>
          <w:rFonts w:cs="Arial"/>
          <w:color w:val="000000" w:themeColor="text1"/>
          <w:lang w:val="en-US"/>
        </w:rPr>
      </w:pPr>
      <w:r w:rsidRPr="00E619DB">
        <w:rPr>
          <w:rFonts w:cs="Arial"/>
          <w:color w:val="000000" w:themeColor="text1"/>
          <w:lang w:val="en-US"/>
        </w:rPr>
        <w:t xml:space="preserve">It is not clear how new evidence is integrated, however there are links to a broad range of current articles related to each of the guiding principles on the He Pikorua website. </w:t>
      </w:r>
    </w:p>
    <w:p w14:paraId="5296B2BE" w14:textId="5E53623A" w:rsidR="00E619DB" w:rsidRPr="009932CF" w:rsidRDefault="00E619DB" w:rsidP="003B0B17">
      <w:pPr>
        <w:pStyle w:val="ListParagraph"/>
        <w:numPr>
          <w:ilvl w:val="0"/>
          <w:numId w:val="86"/>
        </w:numPr>
        <w:rPr>
          <w:rFonts w:cs="Arial"/>
          <w:b/>
          <w:bCs/>
          <w:color w:val="000000" w:themeColor="text1"/>
          <w:lang w:val="en-US"/>
        </w:rPr>
      </w:pPr>
      <w:r w:rsidRPr="009932CF">
        <w:rPr>
          <w:rFonts w:cs="Arial"/>
          <w:b/>
          <w:bCs/>
          <w:color w:val="000000" w:themeColor="text1"/>
          <w:lang w:val="en-US"/>
        </w:rPr>
        <w:t>What are the perceived strengths, weaknesses and challenges of the framework?</w:t>
      </w:r>
    </w:p>
    <w:p w14:paraId="7A540660" w14:textId="77777777" w:rsidR="00E619DB" w:rsidRPr="009932CF" w:rsidRDefault="00E619DB" w:rsidP="00E619DB">
      <w:pPr>
        <w:rPr>
          <w:rFonts w:cs="Arial"/>
          <w:i/>
          <w:iCs/>
          <w:color w:val="000000" w:themeColor="text1"/>
          <w:lang w:val="en-US"/>
        </w:rPr>
      </w:pPr>
      <w:r w:rsidRPr="009932CF">
        <w:rPr>
          <w:rFonts w:cs="Arial"/>
          <w:i/>
          <w:iCs/>
          <w:color w:val="000000" w:themeColor="text1"/>
          <w:lang w:val="en-US"/>
        </w:rPr>
        <w:t>Strengths</w:t>
      </w:r>
    </w:p>
    <w:p w14:paraId="04858B89" w14:textId="77584EBD" w:rsidR="00E619DB" w:rsidRPr="009932CF" w:rsidRDefault="00E619DB" w:rsidP="003B0B17">
      <w:pPr>
        <w:pStyle w:val="ListParagraph"/>
        <w:numPr>
          <w:ilvl w:val="0"/>
          <w:numId w:val="92"/>
        </w:numPr>
        <w:ind w:left="714" w:hanging="357"/>
        <w:contextualSpacing w:val="0"/>
        <w:rPr>
          <w:rFonts w:cs="Arial"/>
          <w:color w:val="000000" w:themeColor="text1"/>
          <w:lang w:val="en-US"/>
        </w:rPr>
      </w:pPr>
      <w:r w:rsidRPr="009932CF">
        <w:rPr>
          <w:rFonts w:cs="Arial"/>
          <w:color w:val="000000" w:themeColor="text1"/>
          <w:lang w:val="en-US"/>
        </w:rPr>
        <w:t>Culturally situated and grounded in The Treaty of Waitangi</w:t>
      </w:r>
    </w:p>
    <w:p w14:paraId="1246C796" w14:textId="32DA2F60" w:rsidR="00E619DB" w:rsidRPr="009932CF" w:rsidRDefault="00E619DB" w:rsidP="003B0B17">
      <w:pPr>
        <w:pStyle w:val="ListParagraph"/>
        <w:numPr>
          <w:ilvl w:val="0"/>
          <w:numId w:val="92"/>
        </w:numPr>
        <w:ind w:left="714" w:hanging="357"/>
        <w:contextualSpacing w:val="0"/>
        <w:rPr>
          <w:rFonts w:cs="Arial"/>
          <w:color w:val="000000" w:themeColor="text1"/>
          <w:lang w:val="en-US"/>
        </w:rPr>
      </w:pPr>
      <w:r w:rsidRPr="009932CF">
        <w:rPr>
          <w:rFonts w:cs="Arial"/>
          <w:color w:val="000000" w:themeColor="text1"/>
          <w:lang w:val="en-US"/>
        </w:rPr>
        <w:t>Clear practice principles</w:t>
      </w:r>
    </w:p>
    <w:p w14:paraId="40637D8A" w14:textId="527D7ABB" w:rsidR="00E619DB" w:rsidRPr="009932CF" w:rsidRDefault="00E619DB" w:rsidP="003B0B17">
      <w:pPr>
        <w:pStyle w:val="ListParagraph"/>
        <w:numPr>
          <w:ilvl w:val="0"/>
          <w:numId w:val="92"/>
        </w:numPr>
        <w:ind w:left="714" w:hanging="357"/>
        <w:contextualSpacing w:val="0"/>
        <w:rPr>
          <w:rFonts w:cs="Arial"/>
          <w:color w:val="000000" w:themeColor="text1"/>
          <w:lang w:val="en-US"/>
        </w:rPr>
      </w:pPr>
      <w:r w:rsidRPr="009932CF">
        <w:rPr>
          <w:rFonts w:cs="Arial"/>
          <w:color w:val="000000" w:themeColor="text1"/>
          <w:lang w:val="en-US"/>
        </w:rPr>
        <w:t>Situated in an ecological model</w:t>
      </w:r>
    </w:p>
    <w:p w14:paraId="43D3EBE0" w14:textId="31B04616" w:rsidR="00E619DB" w:rsidRPr="009932CF" w:rsidRDefault="00E619DB" w:rsidP="003B0B17">
      <w:pPr>
        <w:pStyle w:val="ListParagraph"/>
        <w:numPr>
          <w:ilvl w:val="0"/>
          <w:numId w:val="92"/>
        </w:numPr>
        <w:ind w:left="714" w:hanging="357"/>
        <w:contextualSpacing w:val="0"/>
        <w:rPr>
          <w:rFonts w:cs="Arial"/>
          <w:color w:val="000000" w:themeColor="text1"/>
          <w:lang w:val="en-US"/>
        </w:rPr>
      </w:pPr>
      <w:r w:rsidRPr="009932CF">
        <w:rPr>
          <w:rFonts w:cs="Arial"/>
          <w:color w:val="000000" w:themeColor="text1"/>
          <w:lang w:val="en-US"/>
        </w:rPr>
        <w:t>Examples of what principles look like in practice</w:t>
      </w:r>
    </w:p>
    <w:p w14:paraId="340CDAED" w14:textId="44314852" w:rsidR="00E619DB" w:rsidRPr="009932CF" w:rsidRDefault="00E619DB" w:rsidP="003B0B17">
      <w:pPr>
        <w:pStyle w:val="ListParagraph"/>
        <w:numPr>
          <w:ilvl w:val="0"/>
          <w:numId w:val="92"/>
        </w:numPr>
        <w:ind w:left="714" w:hanging="357"/>
        <w:contextualSpacing w:val="0"/>
        <w:rPr>
          <w:rFonts w:cs="Arial"/>
          <w:color w:val="000000" w:themeColor="text1"/>
          <w:lang w:val="en-US"/>
        </w:rPr>
      </w:pPr>
      <w:r w:rsidRPr="009932CF">
        <w:rPr>
          <w:rFonts w:cs="Arial"/>
          <w:color w:val="000000" w:themeColor="text1"/>
          <w:lang w:val="en-US"/>
        </w:rPr>
        <w:t>Accessible for practitioners – free and online</w:t>
      </w:r>
    </w:p>
    <w:p w14:paraId="6C3774CF" w14:textId="1D14DB64" w:rsidR="00E619DB" w:rsidRPr="009932CF" w:rsidRDefault="00E619DB" w:rsidP="003B0B17">
      <w:pPr>
        <w:pStyle w:val="ListParagraph"/>
        <w:numPr>
          <w:ilvl w:val="0"/>
          <w:numId w:val="92"/>
        </w:numPr>
        <w:ind w:left="714" w:hanging="357"/>
        <w:contextualSpacing w:val="0"/>
        <w:rPr>
          <w:rFonts w:cs="Arial"/>
          <w:color w:val="000000" w:themeColor="text1"/>
          <w:lang w:val="en-US"/>
        </w:rPr>
      </w:pPr>
      <w:r w:rsidRPr="009932CF">
        <w:rPr>
          <w:rFonts w:cs="Arial"/>
          <w:color w:val="000000" w:themeColor="text1"/>
          <w:lang w:val="en-US"/>
        </w:rPr>
        <w:t>Considers context where children learn and develop (e.g. home and ECEC) that supports inclusion and participation</w:t>
      </w:r>
    </w:p>
    <w:p w14:paraId="26892AAD" w14:textId="77777777" w:rsidR="00E619DB" w:rsidRPr="009932CF" w:rsidRDefault="00E619DB" w:rsidP="00E619DB">
      <w:pPr>
        <w:rPr>
          <w:rFonts w:cs="Arial"/>
          <w:i/>
          <w:iCs/>
          <w:color w:val="000000" w:themeColor="text1"/>
          <w:lang w:val="en-US"/>
        </w:rPr>
      </w:pPr>
      <w:r w:rsidRPr="009932CF">
        <w:rPr>
          <w:rFonts w:cs="Arial"/>
          <w:i/>
          <w:iCs/>
          <w:color w:val="000000" w:themeColor="text1"/>
          <w:lang w:val="en-US"/>
        </w:rPr>
        <w:t>Weaknesses/Challenges</w:t>
      </w:r>
    </w:p>
    <w:p w14:paraId="773703E3" w14:textId="11D192D6" w:rsidR="00E619DB" w:rsidRPr="009932CF" w:rsidRDefault="00E619DB" w:rsidP="003B0B17">
      <w:pPr>
        <w:pStyle w:val="ListParagraph"/>
        <w:numPr>
          <w:ilvl w:val="0"/>
          <w:numId w:val="91"/>
        </w:numPr>
        <w:ind w:left="714" w:hanging="357"/>
        <w:contextualSpacing w:val="0"/>
        <w:rPr>
          <w:rFonts w:cs="Arial"/>
          <w:color w:val="000000" w:themeColor="text1"/>
          <w:lang w:val="en-US"/>
        </w:rPr>
      </w:pPr>
      <w:r w:rsidRPr="009932CF">
        <w:rPr>
          <w:rFonts w:cs="Arial"/>
          <w:color w:val="000000" w:themeColor="text1"/>
          <w:lang w:val="en-US"/>
        </w:rPr>
        <w:t>Lack of clearly articulated family and community outcomes</w:t>
      </w:r>
    </w:p>
    <w:p w14:paraId="149D21E4" w14:textId="2FFADE0E" w:rsidR="00E619DB" w:rsidRPr="009932CF" w:rsidRDefault="00E619DB" w:rsidP="003B0B17">
      <w:pPr>
        <w:pStyle w:val="ListParagraph"/>
        <w:numPr>
          <w:ilvl w:val="0"/>
          <w:numId w:val="91"/>
        </w:numPr>
        <w:ind w:left="714" w:hanging="357"/>
        <w:contextualSpacing w:val="0"/>
        <w:rPr>
          <w:rFonts w:cs="Arial"/>
          <w:color w:val="000000" w:themeColor="text1"/>
          <w:lang w:val="en-US"/>
        </w:rPr>
      </w:pPr>
      <w:r w:rsidRPr="009932CF">
        <w:rPr>
          <w:rFonts w:cs="Arial"/>
          <w:color w:val="000000" w:themeColor="text1"/>
          <w:lang w:val="en-US"/>
        </w:rPr>
        <w:t>Limited translation of resources for families and educators</w:t>
      </w:r>
    </w:p>
    <w:p w14:paraId="6B29D60E" w14:textId="46258F69" w:rsidR="00E619DB" w:rsidRPr="009932CF" w:rsidRDefault="00E619DB" w:rsidP="003B0B17">
      <w:pPr>
        <w:pStyle w:val="ListParagraph"/>
        <w:numPr>
          <w:ilvl w:val="0"/>
          <w:numId w:val="91"/>
        </w:numPr>
        <w:ind w:left="714" w:hanging="357"/>
        <w:contextualSpacing w:val="0"/>
        <w:rPr>
          <w:rFonts w:cs="Arial"/>
          <w:color w:val="000000" w:themeColor="text1"/>
          <w:lang w:val="en-US"/>
        </w:rPr>
      </w:pPr>
      <w:r w:rsidRPr="009932CF">
        <w:rPr>
          <w:rFonts w:cs="Arial"/>
          <w:color w:val="000000" w:themeColor="text1"/>
          <w:lang w:val="en-US"/>
        </w:rPr>
        <w:t>Limited accessibility for some associated resources (e.g. Outcomes Measurement Tool)</w:t>
      </w:r>
    </w:p>
    <w:p w14:paraId="3F05DA10" w14:textId="29FB7E32" w:rsidR="00E619DB" w:rsidRPr="009932CF" w:rsidRDefault="00E619DB" w:rsidP="003B0B17">
      <w:pPr>
        <w:pStyle w:val="ListParagraph"/>
        <w:numPr>
          <w:ilvl w:val="0"/>
          <w:numId w:val="91"/>
        </w:numPr>
        <w:ind w:left="714" w:hanging="357"/>
        <w:contextualSpacing w:val="0"/>
        <w:rPr>
          <w:rFonts w:cs="Arial"/>
          <w:color w:val="000000" w:themeColor="text1"/>
          <w:lang w:val="en-US"/>
        </w:rPr>
      </w:pPr>
      <w:r w:rsidRPr="009932CF">
        <w:rPr>
          <w:rFonts w:cs="Arial"/>
          <w:color w:val="000000" w:themeColor="text1"/>
          <w:lang w:val="en-US"/>
        </w:rPr>
        <w:t>Lack of explicit links to NZ curriculum for school aged children and Te Whāriki for preschool children</w:t>
      </w:r>
    </w:p>
    <w:p w14:paraId="5E8B5EC5" w14:textId="30250FD8" w:rsidR="00E619DB" w:rsidRPr="009932CF" w:rsidRDefault="00E619DB" w:rsidP="003B0B17">
      <w:pPr>
        <w:pStyle w:val="ListParagraph"/>
        <w:numPr>
          <w:ilvl w:val="0"/>
          <w:numId w:val="91"/>
        </w:numPr>
        <w:ind w:left="714" w:hanging="357"/>
        <w:contextualSpacing w:val="0"/>
        <w:rPr>
          <w:rFonts w:cs="Arial"/>
          <w:color w:val="000000" w:themeColor="text1"/>
          <w:lang w:val="en-US"/>
        </w:rPr>
      </w:pPr>
      <w:r w:rsidRPr="009932CF">
        <w:rPr>
          <w:rFonts w:cs="Arial"/>
          <w:color w:val="000000" w:themeColor="text1"/>
          <w:lang w:val="en-US"/>
        </w:rPr>
        <w:t>Implementation – lack of technical assistance and job embedded learning.</w:t>
      </w:r>
    </w:p>
    <w:p w14:paraId="19A9E837" w14:textId="18DD967B" w:rsidR="00E663E7" w:rsidRDefault="00E619DB" w:rsidP="003B0B17">
      <w:pPr>
        <w:pStyle w:val="ListParagraph"/>
        <w:numPr>
          <w:ilvl w:val="0"/>
          <w:numId w:val="91"/>
        </w:numPr>
        <w:ind w:left="714" w:hanging="357"/>
        <w:contextualSpacing w:val="0"/>
        <w:rPr>
          <w:rFonts w:cs="Arial"/>
          <w:color w:val="000000" w:themeColor="text1"/>
          <w:lang w:val="en-US"/>
        </w:rPr>
      </w:pPr>
      <w:r w:rsidRPr="009932CF">
        <w:rPr>
          <w:rFonts w:cs="Arial"/>
          <w:color w:val="000000" w:themeColor="text1"/>
          <w:lang w:val="en-US"/>
        </w:rPr>
        <w:t>Unsure of ongoing financial commitment and changing policy context</w:t>
      </w:r>
    </w:p>
    <w:p w14:paraId="524CEE0A" w14:textId="6EDBEE9E" w:rsidR="00F36B7C" w:rsidRDefault="000D2858" w:rsidP="00F36B7C">
      <w:pPr>
        <w:rPr>
          <w:rFonts w:cs="Arial"/>
          <w:color w:val="000000" w:themeColor="text1"/>
          <w:lang w:val="en-US"/>
        </w:rPr>
      </w:pPr>
      <w:r w:rsidRPr="00E663E7">
        <w:rPr>
          <w:b/>
          <w:bCs/>
          <w:noProof/>
          <w:color w:val="FFFFFF" w:themeColor="background1"/>
          <w:lang w:val="en-US"/>
        </w:rPr>
        <mc:AlternateContent>
          <mc:Choice Requires="wps">
            <w:drawing>
              <wp:anchor distT="0" distB="0" distL="114300" distR="114300" simplePos="0" relativeHeight="251665408" behindDoc="1" locked="1" layoutInCell="1" allowOverlap="1" wp14:anchorId="065E0FC0" wp14:editId="0C4391ED">
                <wp:simplePos x="0" y="0"/>
                <wp:positionH relativeFrom="column">
                  <wp:posOffset>-201295</wp:posOffset>
                </wp:positionH>
                <wp:positionV relativeFrom="page">
                  <wp:posOffset>6709410</wp:posOffset>
                </wp:positionV>
                <wp:extent cx="6134100" cy="1490980"/>
                <wp:effectExtent l="0" t="0" r="0" b="0"/>
                <wp:wrapNone/>
                <wp:docPr id="61164360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4100" cy="1490980"/>
                        </a:xfrm>
                        <a:prstGeom prst="rect">
                          <a:avLst/>
                        </a:prstGeom>
                        <a:solidFill>
                          <a:srgbClr val="8087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D9E20" id="Rectangle 3" o:spid="_x0000_s1026" alt="&quot;&quot;" style="position:absolute;margin-left:-15.85pt;margin-top:528.3pt;width:483pt;height:11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" fillcolor="#8087a3" stroked="f" strokeweight="1pt">
                <w10:wrap anchory="page"/>
                <w10:anchorlock/>
              </v:rect>
            </w:pict>
          </mc:Fallback>
        </mc:AlternateContent>
      </w:r>
    </w:p>
    <w:p w14:paraId="7D133BBB" w14:textId="77777777" w:rsidR="00F36B7C" w:rsidRDefault="00F36B7C" w:rsidP="00F36B7C">
      <w:pPr>
        <w:rPr>
          <w:rFonts w:cs="Arial"/>
          <w:color w:val="000000" w:themeColor="text1"/>
          <w:lang w:val="en-US"/>
        </w:rPr>
      </w:pPr>
    </w:p>
    <w:p w14:paraId="40AAC36E" w14:textId="77777777" w:rsidR="00F36B7C" w:rsidRPr="00F36B7C" w:rsidRDefault="00F36B7C" w:rsidP="00F36B7C">
      <w:pPr>
        <w:rPr>
          <w:rFonts w:cs="Arial"/>
          <w:b/>
          <w:bCs/>
          <w:color w:val="FFFFFF" w:themeColor="background1"/>
          <w:lang w:val="en-US"/>
        </w:rPr>
      </w:pPr>
      <w:r w:rsidRPr="00F36B7C">
        <w:rPr>
          <w:rFonts w:cs="Arial"/>
          <w:b/>
          <w:bCs/>
          <w:color w:val="FFFFFF" w:themeColor="background1"/>
          <w:lang w:val="en-US"/>
        </w:rPr>
        <w:t xml:space="preserve">United Kingdom - England: </w:t>
      </w:r>
    </w:p>
    <w:p w14:paraId="72183C75" w14:textId="77777777" w:rsidR="00F36B7C" w:rsidRPr="00F36B7C" w:rsidRDefault="00F36B7C" w:rsidP="00F36B7C">
      <w:pPr>
        <w:rPr>
          <w:rFonts w:cs="Arial"/>
          <w:color w:val="FFFFFF" w:themeColor="background1"/>
          <w:lang w:val="en-US"/>
        </w:rPr>
      </w:pPr>
      <w:r w:rsidRPr="00F36B7C">
        <w:rPr>
          <w:rFonts w:cs="Arial"/>
          <w:color w:val="FFFFFF" w:themeColor="background1"/>
          <w:lang w:val="en-US"/>
        </w:rPr>
        <w:t xml:space="preserve">Special Educational Needs and Disabilities (SEND) and Alternative Provision (AP) Improvement Plan ‘Right Support, Right Place, Right Time’. </w:t>
      </w:r>
    </w:p>
    <w:p w14:paraId="7D403D8B" w14:textId="26D44B1E" w:rsidR="00F36B7C" w:rsidRDefault="00F36B7C" w:rsidP="00F36B7C">
      <w:pPr>
        <w:rPr>
          <w:rFonts w:cs="Arial"/>
          <w:color w:val="FFFFFF" w:themeColor="background1"/>
          <w:lang w:val="en-US"/>
        </w:rPr>
      </w:pPr>
      <w:r w:rsidRPr="00F36B7C">
        <w:rPr>
          <w:rFonts w:cs="Arial"/>
          <w:color w:val="FFFFFF" w:themeColor="background1"/>
          <w:lang w:val="en-US"/>
        </w:rPr>
        <w:t>Early years Foundation Stage Statutory Framework for Group and School-based providers: Setting the standards for learning, development and care for children from birth to five.</w:t>
      </w:r>
    </w:p>
    <w:p w14:paraId="2DCA60B5" w14:textId="77777777" w:rsidR="000D2858" w:rsidRDefault="000D2858" w:rsidP="00F36B7C">
      <w:pPr>
        <w:rPr>
          <w:rFonts w:cs="Arial"/>
          <w:color w:val="000000" w:themeColor="text1"/>
          <w:lang w:val="en-US"/>
        </w:rPr>
      </w:pPr>
    </w:p>
    <w:p w14:paraId="4882B6F0" w14:textId="77777777" w:rsidR="002911BC" w:rsidRPr="002911BC" w:rsidRDefault="002911BC" w:rsidP="002911BC">
      <w:pPr>
        <w:rPr>
          <w:rFonts w:cs="Arial"/>
          <w:b/>
          <w:bCs/>
          <w:color w:val="000000" w:themeColor="text1"/>
          <w:lang w:val="en-US"/>
        </w:rPr>
      </w:pPr>
      <w:r w:rsidRPr="002911BC">
        <w:rPr>
          <w:rFonts w:cs="Arial"/>
          <w:b/>
          <w:bCs/>
          <w:color w:val="000000" w:themeColor="text1"/>
          <w:lang w:val="en-US"/>
        </w:rPr>
        <w:t xml:space="preserve">Background/Context </w:t>
      </w:r>
    </w:p>
    <w:p w14:paraId="59B0E24A" w14:textId="77777777" w:rsidR="002911BC" w:rsidRPr="002911BC" w:rsidRDefault="002911BC" w:rsidP="002911BC">
      <w:pPr>
        <w:rPr>
          <w:rFonts w:cs="Arial"/>
          <w:color w:val="000000" w:themeColor="text1"/>
          <w:lang w:val="en-US"/>
        </w:rPr>
      </w:pPr>
      <w:r w:rsidRPr="002911BC">
        <w:rPr>
          <w:rFonts w:cs="Arial"/>
          <w:color w:val="000000" w:themeColor="text1"/>
          <w:lang w:val="en-US"/>
        </w:rPr>
        <w:t xml:space="preserve">The Children and Families Act 2014 provides the statutory basis for the system for identifying children and young people (age 0-25) in England with special educational needs (SEN), assessing their needs and making provision for them. The statutory Special Educational Needs and Disability (SEND): Code of practice, first published in 2014, sets out detailed information on the support available for children and young people aged 0 to 25 under the 2014 Act. Special Educational Needs and Disability </w:t>
      </w:r>
      <w:r w:rsidRPr="002911BC">
        <w:rPr>
          <w:rFonts w:cs="Arial"/>
          <w:color w:val="000000" w:themeColor="text1"/>
          <w:lang w:val="en-US"/>
        </w:rPr>
        <w:lastRenderedPageBreak/>
        <w:t xml:space="preserve">services are managed by the Department of Education, which published a SEND and alternative provision roadmap in 2023. More recently, an Early Years Foundation Stage Profile handbook was published in 2024 to help teachers (i.e., early years practitioners) adhere to assessment practices. </w:t>
      </w:r>
    </w:p>
    <w:p w14:paraId="71E60733" w14:textId="77777777" w:rsidR="002911BC" w:rsidRPr="002911BC" w:rsidRDefault="002911BC" w:rsidP="00D00139">
      <w:pPr>
        <w:rPr>
          <w:rFonts w:cs="Arial"/>
          <w:color w:val="000000" w:themeColor="text1"/>
          <w:lang w:val="en-US"/>
        </w:rPr>
      </w:pPr>
      <w:r w:rsidRPr="002911BC">
        <w:rPr>
          <w:rFonts w:cs="Arial"/>
          <w:color w:val="000000" w:themeColor="text1"/>
          <w:lang w:val="en-US"/>
        </w:rPr>
        <w:t xml:space="preserve">Broadly, there are two levels of support for children and young people under 25 years of age: </w:t>
      </w:r>
    </w:p>
    <w:p w14:paraId="20AF12F6" w14:textId="1B735B8F" w:rsidR="002911BC" w:rsidRPr="00D00139" w:rsidRDefault="002911BC" w:rsidP="003B0B17">
      <w:pPr>
        <w:pStyle w:val="ListParagraph"/>
        <w:numPr>
          <w:ilvl w:val="0"/>
          <w:numId w:val="93"/>
        </w:numPr>
        <w:contextualSpacing w:val="0"/>
        <w:rPr>
          <w:rFonts w:cs="Arial"/>
          <w:color w:val="000000" w:themeColor="text1"/>
          <w:lang w:val="en-US"/>
        </w:rPr>
      </w:pPr>
      <w:r w:rsidRPr="00D00139">
        <w:rPr>
          <w:rFonts w:cs="Arial"/>
          <w:color w:val="000000" w:themeColor="text1"/>
          <w:lang w:val="en-US"/>
        </w:rPr>
        <w:t xml:space="preserve">Special Education Needs support, provided to a child or young person in their pre-school, school, or college. </w:t>
      </w:r>
    </w:p>
    <w:p w14:paraId="77771C57" w14:textId="338C3AB1" w:rsidR="002911BC" w:rsidRPr="00D00139" w:rsidRDefault="002911BC" w:rsidP="003B0B17">
      <w:pPr>
        <w:pStyle w:val="ListParagraph"/>
        <w:numPr>
          <w:ilvl w:val="0"/>
          <w:numId w:val="93"/>
        </w:numPr>
        <w:contextualSpacing w:val="0"/>
        <w:rPr>
          <w:rFonts w:cs="Arial"/>
          <w:color w:val="000000" w:themeColor="text1"/>
          <w:lang w:val="en-US"/>
        </w:rPr>
      </w:pPr>
      <w:r w:rsidRPr="00D00139">
        <w:rPr>
          <w:rFonts w:cs="Arial"/>
          <w:color w:val="000000" w:themeColor="text1"/>
          <w:lang w:val="en-US"/>
        </w:rPr>
        <w:t xml:space="preserve">Education, Health, and Care Plans which provide a formal basis for support for children and young people who need more support than is available through SEN Support. </w:t>
      </w:r>
    </w:p>
    <w:p w14:paraId="2F871F8E" w14:textId="6F961593" w:rsidR="002911BC" w:rsidRPr="00D00139" w:rsidRDefault="002911BC" w:rsidP="003B0B17">
      <w:pPr>
        <w:pStyle w:val="ListParagraph"/>
        <w:numPr>
          <w:ilvl w:val="0"/>
          <w:numId w:val="94"/>
        </w:numPr>
        <w:contextualSpacing w:val="0"/>
        <w:rPr>
          <w:rFonts w:cs="Arial"/>
          <w:b/>
          <w:bCs/>
          <w:color w:val="000000" w:themeColor="text1"/>
          <w:lang w:val="en-US"/>
        </w:rPr>
      </w:pPr>
      <w:r w:rsidRPr="00D00139">
        <w:rPr>
          <w:rFonts w:cs="Arial"/>
          <w:b/>
          <w:bCs/>
          <w:color w:val="000000" w:themeColor="text1"/>
          <w:lang w:val="en-US"/>
        </w:rPr>
        <w:t xml:space="preserve">How is the aim of ECI defined? </w:t>
      </w:r>
    </w:p>
    <w:p w14:paraId="6DD25E47" w14:textId="0CD98C09" w:rsidR="002911BC" w:rsidRPr="002911BC" w:rsidRDefault="002911BC" w:rsidP="00D00139">
      <w:pPr>
        <w:rPr>
          <w:rFonts w:cs="Arial"/>
          <w:color w:val="000000" w:themeColor="text1"/>
          <w:lang w:val="en-US"/>
        </w:rPr>
      </w:pPr>
      <w:r w:rsidRPr="002911BC">
        <w:rPr>
          <w:rFonts w:cs="Arial"/>
          <w:color w:val="000000" w:themeColor="text1"/>
          <w:lang w:val="en-US"/>
        </w:rPr>
        <w:t>In the early years</w:t>
      </w:r>
      <w:r w:rsidR="00BB1872">
        <w:rPr>
          <w:rFonts w:cs="Arial"/>
          <w:color w:val="000000" w:themeColor="text1"/>
          <w:lang w:val="en-US"/>
        </w:rPr>
        <w:t>’</w:t>
      </w:r>
      <w:r w:rsidRPr="002911BC">
        <w:rPr>
          <w:rFonts w:cs="Arial"/>
          <w:color w:val="000000" w:themeColor="text1"/>
          <w:lang w:val="en-US"/>
        </w:rPr>
        <w:t xml:space="preserve"> documentation, the term early childhood intervention is not defined as such. Instead, early intervention is widely used and considered a public policy approach to identify and support children and their families at an early stage, to prevent problems developing later in life, such as poor physical and mental health, low educational attainment, crime and anti-social behaviour. It is defined as prevention for all children and young people (not necessarily in the early years) who experience vulnerability due to poverty, mental health or disability. Focus is on adverse childhood experiences. </w:t>
      </w:r>
    </w:p>
    <w:p w14:paraId="3A77C5E0" w14:textId="77777777" w:rsidR="002911BC" w:rsidRPr="002911BC" w:rsidRDefault="002911BC" w:rsidP="002911BC">
      <w:pPr>
        <w:rPr>
          <w:rFonts w:cs="Arial"/>
          <w:color w:val="000000" w:themeColor="text1"/>
          <w:lang w:val="en-US"/>
        </w:rPr>
      </w:pPr>
      <w:r w:rsidRPr="002911BC">
        <w:rPr>
          <w:rFonts w:cs="Arial"/>
          <w:color w:val="000000" w:themeColor="text1"/>
          <w:lang w:val="en-US"/>
        </w:rPr>
        <w:t xml:space="preserve">Note then that early childhood intervention, as we have come to know it, is addressed under SEND, and is outlined further below. </w:t>
      </w:r>
    </w:p>
    <w:p w14:paraId="1FEEF46C" w14:textId="0E247CDB" w:rsidR="002911BC" w:rsidRPr="002911BC" w:rsidRDefault="002911BC" w:rsidP="002911BC">
      <w:pPr>
        <w:rPr>
          <w:rFonts w:cs="Arial"/>
          <w:color w:val="000000" w:themeColor="text1"/>
          <w:lang w:val="en-US"/>
        </w:rPr>
      </w:pPr>
      <w:r w:rsidRPr="002911BC">
        <w:rPr>
          <w:rFonts w:cs="Arial"/>
          <w:color w:val="000000" w:themeColor="text1"/>
          <w:lang w:val="en-US"/>
        </w:rPr>
        <w:t>A Start for Life program (</w:t>
      </w:r>
      <w:hyperlink r:id="rId39" w:history="1">
        <w:r w:rsidRPr="004F29D0">
          <w:rPr>
            <w:rStyle w:val="Hyperlink"/>
            <w:rFonts w:cs="Arial"/>
            <w:lang w:val="en-US"/>
          </w:rPr>
          <w:t>Family Hubs and Start for Life programme - GOV.UK (www.gov.uk</w:t>
        </w:r>
      </w:hyperlink>
      <w:r w:rsidRPr="002911BC">
        <w:rPr>
          <w:rFonts w:cs="Arial"/>
          <w:color w:val="000000" w:themeColor="text1"/>
          <w:lang w:val="en-US"/>
        </w:rPr>
        <w:t xml:space="preserve">) has been set up which aims to: </w:t>
      </w:r>
    </w:p>
    <w:p w14:paraId="2D23A91B" w14:textId="28D6A63E" w:rsidR="002911BC" w:rsidRPr="004F29D0" w:rsidRDefault="002911BC" w:rsidP="003B0B17">
      <w:pPr>
        <w:pStyle w:val="ListParagraph"/>
        <w:numPr>
          <w:ilvl w:val="0"/>
          <w:numId w:val="95"/>
        </w:numPr>
        <w:ind w:left="714" w:hanging="357"/>
        <w:contextualSpacing w:val="0"/>
        <w:rPr>
          <w:rFonts w:cs="Arial"/>
          <w:color w:val="000000" w:themeColor="text1"/>
          <w:lang w:val="en-US"/>
        </w:rPr>
      </w:pPr>
      <w:r w:rsidRPr="004F29D0">
        <w:rPr>
          <w:rFonts w:cs="Arial"/>
          <w:color w:val="000000" w:themeColor="text1"/>
          <w:lang w:val="en-US"/>
        </w:rPr>
        <w:t xml:space="preserve">provide support to parents and carers so they are able to nurture their babies and children, improving health and education outcomes for all. </w:t>
      </w:r>
    </w:p>
    <w:p w14:paraId="4C1B2A6E" w14:textId="4DB45357" w:rsidR="002911BC" w:rsidRPr="004F29D0" w:rsidRDefault="002911BC" w:rsidP="003B0B17">
      <w:pPr>
        <w:pStyle w:val="ListParagraph"/>
        <w:numPr>
          <w:ilvl w:val="0"/>
          <w:numId w:val="95"/>
        </w:numPr>
        <w:ind w:left="714" w:hanging="357"/>
        <w:contextualSpacing w:val="0"/>
        <w:rPr>
          <w:rFonts w:cs="Arial"/>
          <w:color w:val="000000" w:themeColor="text1"/>
          <w:lang w:val="en-US"/>
        </w:rPr>
      </w:pPr>
      <w:r w:rsidRPr="004F29D0">
        <w:rPr>
          <w:rFonts w:cs="Arial"/>
          <w:color w:val="000000" w:themeColor="text1"/>
          <w:lang w:val="en-US"/>
        </w:rPr>
        <w:t xml:space="preserve">contribute to a reduction in inequalities in health and education outcomes for babies, children and families across England by ensuring that support provided is communicated to all parents and carers, including those who are hardest to reach and/or most in need of it. </w:t>
      </w:r>
    </w:p>
    <w:p w14:paraId="49378B96" w14:textId="19EE2100" w:rsidR="002911BC" w:rsidRPr="004F29D0" w:rsidRDefault="002911BC" w:rsidP="003B0B17">
      <w:pPr>
        <w:pStyle w:val="ListParagraph"/>
        <w:numPr>
          <w:ilvl w:val="0"/>
          <w:numId w:val="95"/>
        </w:numPr>
        <w:ind w:left="714" w:hanging="357"/>
        <w:contextualSpacing w:val="0"/>
        <w:rPr>
          <w:rFonts w:cs="Arial"/>
          <w:color w:val="000000" w:themeColor="text1"/>
          <w:lang w:val="en-US"/>
        </w:rPr>
      </w:pPr>
      <w:r w:rsidRPr="004F29D0">
        <w:rPr>
          <w:rFonts w:cs="Arial"/>
          <w:color w:val="000000" w:themeColor="text1"/>
          <w:lang w:val="en-US"/>
        </w:rPr>
        <w:t xml:space="preserve">build the evidence base for what works when it comes to improving health and education outcomes for babies, children and families in different delivery contexts. </w:t>
      </w:r>
    </w:p>
    <w:p w14:paraId="72F2DA39" w14:textId="72DB7893" w:rsidR="002911BC" w:rsidRPr="002D3E34" w:rsidRDefault="002911BC" w:rsidP="003B0B17">
      <w:pPr>
        <w:pStyle w:val="ListParagraph"/>
        <w:numPr>
          <w:ilvl w:val="0"/>
          <w:numId w:val="94"/>
        </w:numPr>
        <w:rPr>
          <w:rFonts w:cs="Arial"/>
          <w:b/>
          <w:bCs/>
          <w:color w:val="000000" w:themeColor="text1"/>
          <w:lang w:val="en-US"/>
        </w:rPr>
      </w:pPr>
      <w:r w:rsidRPr="002D3E34">
        <w:rPr>
          <w:rFonts w:cs="Arial"/>
          <w:b/>
          <w:bCs/>
          <w:color w:val="000000" w:themeColor="text1"/>
          <w:lang w:val="en-US"/>
        </w:rPr>
        <w:t xml:space="preserve">How is best practice defined?  </w:t>
      </w:r>
    </w:p>
    <w:p w14:paraId="69AAA9A7" w14:textId="77777777" w:rsidR="002911BC" w:rsidRPr="007670EA" w:rsidRDefault="002911BC" w:rsidP="002911BC">
      <w:pPr>
        <w:rPr>
          <w:rFonts w:cs="Arial"/>
          <w:i/>
          <w:iCs/>
          <w:color w:val="000000" w:themeColor="text1"/>
          <w:lang w:val="en-US"/>
        </w:rPr>
      </w:pPr>
      <w:r w:rsidRPr="002911BC">
        <w:rPr>
          <w:rFonts w:cs="Arial"/>
          <w:color w:val="000000" w:themeColor="text1"/>
          <w:lang w:val="en-US"/>
        </w:rPr>
        <w:t xml:space="preserve">No definition as such is available. Actions to be implemented include a focus on: Best practice implementation, coordinated at a local level. However, no indication of what those best practices are, specifically for the Start for Life program- The Best Start for Life A Vision for the 1,001 Critical Days </w:t>
      </w:r>
      <w:r w:rsidRPr="007670EA">
        <w:rPr>
          <w:rFonts w:cs="Arial"/>
          <w:i/>
          <w:iCs/>
          <w:color w:val="000000" w:themeColor="text1"/>
          <w:lang w:val="en-US"/>
        </w:rPr>
        <w:t>The Early Years Healthy Development Review Report.</w:t>
      </w:r>
    </w:p>
    <w:p w14:paraId="533B498D" w14:textId="77777777" w:rsidR="002911BC" w:rsidRPr="002911BC" w:rsidRDefault="002911BC" w:rsidP="002911BC">
      <w:pPr>
        <w:rPr>
          <w:rFonts w:cs="Arial"/>
          <w:color w:val="000000" w:themeColor="text1"/>
          <w:lang w:val="en-US"/>
        </w:rPr>
      </w:pPr>
      <w:r w:rsidRPr="002911BC">
        <w:rPr>
          <w:rFonts w:cs="Arial"/>
          <w:color w:val="000000" w:themeColor="text1"/>
          <w:lang w:val="en-US"/>
        </w:rPr>
        <w:t xml:space="preserve">In the document titled Special Education Needs and Disabilities and Alternative Provision Improvement Plan Right Support, Right Place, Right Time (2023), the following is noted: </w:t>
      </w:r>
    </w:p>
    <w:p w14:paraId="248196EB" w14:textId="78A50400" w:rsidR="002911BC" w:rsidRPr="004F29D0" w:rsidRDefault="002911BC" w:rsidP="003B0B17">
      <w:pPr>
        <w:pStyle w:val="ListParagraph"/>
        <w:numPr>
          <w:ilvl w:val="0"/>
          <w:numId w:val="96"/>
        </w:numPr>
        <w:ind w:left="714" w:hanging="357"/>
        <w:contextualSpacing w:val="0"/>
        <w:rPr>
          <w:rFonts w:cs="Arial"/>
          <w:color w:val="000000" w:themeColor="text1"/>
          <w:lang w:val="en-US"/>
        </w:rPr>
      </w:pPr>
      <w:r w:rsidRPr="004F29D0">
        <w:rPr>
          <w:rFonts w:cs="Arial"/>
          <w:color w:val="000000" w:themeColor="text1"/>
          <w:lang w:val="en-US"/>
        </w:rPr>
        <w:t xml:space="preserve">It appears best practice refers to specific programs “…already in the system” (e.g., Nuffield Early Language intervention; Autism Education Trust). </w:t>
      </w:r>
    </w:p>
    <w:p w14:paraId="1A87700B" w14:textId="6D9777A6" w:rsidR="002911BC" w:rsidRPr="004F29D0" w:rsidRDefault="002911BC" w:rsidP="003B0B17">
      <w:pPr>
        <w:pStyle w:val="ListParagraph"/>
        <w:numPr>
          <w:ilvl w:val="0"/>
          <w:numId w:val="96"/>
        </w:numPr>
        <w:ind w:left="714" w:hanging="357"/>
        <w:contextualSpacing w:val="0"/>
        <w:rPr>
          <w:rFonts w:cs="Arial"/>
          <w:color w:val="000000" w:themeColor="text1"/>
          <w:lang w:val="en-US"/>
        </w:rPr>
      </w:pPr>
      <w:r w:rsidRPr="004F29D0">
        <w:rPr>
          <w:rFonts w:cs="Arial"/>
          <w:color w:val="000000" w:themeColor="text1"/>
          <w:lang w:val="en-US"/>
        </w:rPr>
        <w:lastRenderedPageBreak/>
        <w:t xml:space="preserve">Policy documents provide recommendations “…to develop and spread best practice of partnerships and plans.” and identification of gaps in best practice. </w:t>
      </w:r>
    </w:p>
    <w:p w14:paraId="73DCC9C1" w14:textId="37336F1F" w:rsidR="002911BC" w:rsidRPr="004F29D0" w:rsidRDefault="002911BC" w:rsidP="003B0B17">
      <w:pPr>
        <w:pStyle w:val="ListParagraph"/>
        <w:numPr>
          <w:ilvl w:val="0"/>
          <w:numId w:val="96"/>
        </w:numPr>
        <w:ind w:left="714" w:hanging="357"/>
        <w:contextualSpacing w:val="0"/>
        <w:rPr>
          <w:rFonts w:cs="Arial"/>
          <w:color w:val="000000" w:themeColor="text1"/>
          <w:lang w:val="en-US"/>
        </w:rPr>
      </w:pPr>
      <w:r w:rsidRPr="004F29D0">
        <w:rPr>
          <w:rFonts w:cs="Arial"/>
          <w:color w:val="000000" w:themeColor="text1"/>
          <w:lang w:val="en-US"/>
        </w:rPr>
        <w:t>A series of ‘mini guides’ is available for teachers that address various areas of practice (</w:t>
      </w:r>
      <w:hyperlink r:id="rId40" w:history="1">
        <w:r w:rsidRPr="007670EA">
          <w:rPr>
            <w:rStyle w:val="Hyperlink"/>
            <w:rFonts w:cs="Arial"/>
            <w:lang w:val="en-US"/>
          </w:rPr>
          <w:t>Resources listing | Nasen</w:t>
        </w:r>
      </w:hyperlink>
      <w:r w:rsidRPr="004F29D0">
        <w:rPr>
          <w:rFonts w:cs="Arial"/>
          <w:color w:val="000000" w:themeColor="text1"/>
          <w:lang w:val="en-US"/>
        </w:rPr>
        <w:t xml:space="preserve">). </w:t>
      </w:r>
    </w:p>
    <w:p w14:paraId="7834E34D" w14:textId="77777777" w:rsidR="002911BC" w:rsidRPr="002911BC" w:rsidRDefault="002911BC" w:rsidP="002911BC">
      <w:pPr>
        <w:rPr>
          <w:rFonts w:cs="Arial"/>
          <w:color w:val="000000" w:themeColor="text1"/>
          <w:lang w:val="en-US"/>
        </w:rPr>
      </w:pPr>
      <w:r w:rsidRPr="002911BC">
        <w:rPr>
          <w:rFonts w:cs="Arial"/>
          <w:color w:val="000000" w:themeColor="text1"/>
          <w:lang w:val="en-US"/>
        </w:rPr>
        <w:t xml:space="preserve">The closest to a best practice framework is the Early Years Foundation Stage framework which is mandatory for all groups (e.g., ECEC) and school-based early years providers effective from 2024. It sets the standards for learning, development and care for children from birth to five, including those with Special Educational Needs and Disability and following the Special Educational Needs and Disability Code of Practice. </w:t>
      </w:r>
    </w:p>
    <w:p w14:paraId="2000FA49" w14:textId="65B9CF4F" w:rsidR="002911BC" w:rsidRPr="002911BC" w:rsidRDefault="002911BC" w:rsidP="002911BC">
      <w:pPr>
        <w:rPr>
          <w:rFonts w:cs="Arial"/>
          <w:color w:val="000000" w:themeColor="text1"/>
          <w:lang w:val="en-US"/>
        </w:rPr>
      </w:pPr>
      <w:r w:rsidRPr="002911BC">
        <w:rPr>
          <w:rFonts w:cs="Arial"/>
          <w:color w:val="000000" w:themeColor="text1"/>
          <w:lang w:val="en-US"/>
        </w:rPr>
        <w:t xml:space="preserve">This document also refers to curriculum guidance for teachers under </w:t>
      </w:r>
      <w:r w:rsidRPr="00CC6967">
        <w:rPr>
          <w:rFonts w:cs="Arial"/>
          <w:i/>
          <w:iCs/>
          <w:color w:val="000000" w:themeColor="text1"/>
          <w:lang w:val="en-US"/>
        </w:rPr>
        <w:t xml:space="preserve">Development Matters </w:t>
      </w:r>
      <w:hyperlink r:id="rId41" w:history="1">
        <w:r w:rsidRPr="00CC6967">
          <w:rPr>
            <w:rStyle w:val="Hyperlink"/>
            <w:rFonts w:cs="Arial"/>
            <w:lang w:val="en-US"/>
          </w:rPr>
          <w:t>Development Matters - GOV.UK (www.gov.uk),</w:t>
        </w:r>
      </w:hyperlink>
      <w:r w:rsidRPr="002911BC">
        <w:rPr>
          <w:rFonts w:cs="Arial"/>
          <w:color w:val="000000" w:themeColor="text1"/>
          <w:lang w:val="en-US"/>
        </w:rPr>
        <w:t xml:space="preserve"> which, among other elements, outlines seven key features of effective practice:</w:t>
      </w:r>
    </w:p>
    <w:p w14:paraId="608E78FE" w14:textId="1DD10223" w:rsidR="002911BC" w:rsidRPr="002D3E34" w:rsidRDefault="002911BC" w:rsidP="003B0B17">
      <w:pPr>
        <w:pStyle w:val="ListParagraph"/>
        <w:numPr>
          <w:ilvl w:val="0"/>
          <w:numId w:val="97"/>
        </w:numPr>
        <w:ind w:left="714" w:hanging="357"/>
        <w:contextualSpacing w:val="0"/>
        <w:rPr>
          <w:rFonts w:cs="Arial"/>
          <w:color w:val="000000" w:themeColor="text1"/>
          <w:lang w:val="en-US"/>
        </w:rPr>
      </w:pPr>
      <w:r w:rsidRPr="002D3E34">
        <w:rPr>
          <w:rFonts w:cs="Arial"/>
          <w:color w:val="000000" w:themeColor="text1"/>
          <w:lang w:val="en-US"/>
        </w:rPr>
        <w:t>The best for every child</w:t>
      </w:r>
    </w:p>
    <w:p w14:paraId="54C48422" w14:textId="764BB721" w:rsidR="002911BC" w:rsidRPr="002D3E34" w:rsidRDefault="002911BC" w:rsidP="003B0B17">
      <w:pPr>
        <w:pStyle w:val="ListParagraph"/>
        <w:numPr>
          <w:ilvl w:val="0"/>
          <w:numId w:val="97"/>
        </w:numPr>
        <w:ind w:left="714" w:hanging="357"/>
        <w:contextualSpacing w:val="0"/>
        <w:rPr>
          <w:rFonts w:cs="Arial"/>
          <w:color w:val="000000" w:themeColor="text1"/>
          <w:lang w:val="en-US"/>
        </w:rPr>
      </w:pPr>
      <w:r w:rsidRPr="002D3E34">
        <w:rPr>
          <w:rFonts w:cs="Arial"/>
          <w:color w:val="000000" w:themeColor="text1"/>
          <w:lang w:val="en-US"/>
        </w:rPr>
        <w:t>High quality care</w:t>
      </w:r>
    </w:p>
    <w:p w14:paraId="120E00B8" w14:textId="51BD5297" w:rsidR="002911BC" w:rsidRPr="002D3E34" w:rsidRDefault="002911BC" w:rsidP="003B0B17">
      <w:pPr>
        <w:pStyle w:val="ListParagraph"/>
        <w:numPr>
          <w:ilvl w:val="0"/>
          <w:numId w:val="97"/>
        </w:numPr>
        <w:ind w:left="714" w:hanging="357"/>
        <w:contextualSpacing w:val="0"/>
        <w:rPr>
          <w:rFonts w:cs="Arial"/>
          <w:color w:val="000000" w:themeColor="text1"/>
          <w:lang w:val="en-US"/>
        </w:rPr>
      </w:pPr>
      <w:r w:rsidRPr="002D3E34">
        <w:rPr>
          <w:rFonts w:cs="Arial"/>
          <w:color w:val="000000" w:themeColor="text1"/>
          <w:lang w:val="en-US"/>
        </w:rPr>
        <w:t>The curriculum: what we want children to learn.</w:t>
      </w:r>
    </w:p>
    <w:p w14:paraId="3E3E49B1" w14:textId="67165062" w:rsidR="002911BC" w:rsidRPr="002D3E34" w:rsidRDefault="002911BC" w:rsidP="003B0B17">
      <w:pPr>
        <w:pStyle w:val="ListParagraph"/>
        <w:numPr>
          <w:ilvl w:val="0"/>
          <w:numId w:val="97"/>
        </w:numPr>
        <w:ind w:left="714" w:hanging="357"/>
        <w:contextualSpacing w:val="0"/>
        <w:rPr>
          <w:rFonts w:cs="Arial"/>
          <w:color w:val="000000" w:themeColor="text1"/>
          <w:lang w:val="en-US"/>
        </w:rPr>
      </w:pPr>
      <w:r w:rsidRPr="002D3E34">
        <w:rPr>
          <w:rFonts w:cs="Arial"/>
          <w:color w:val="000000" w:themeColor="text1"/>
          <w:lang w:val="en-US"/>
        </w:rPr>
        <w:t>Pedagogy: Helping children learn</w:t>
      </w:r>
    </w:p>
    <w:p w14:paraId="769DE3A3" w14:textId="5E169E29" w:rsidR="002911BC" w:rsidRPr="002D3E34" w:rsidRDefault="002911BC" w:rsidP="003B0B17">
      <w:pPr>
        <w:pStyle w:val="ListParagraph"/>
        <w:numPr>
          <w:ilvl w:val="0"/>
          <w:numId w:val="97"/>
        </w:numPr>
        <w:ind w:left="714" w:hanging="357"/>
        <w:contextualSpacing w:val="0"/>
        <w:rPr>
          <w:rFonts w:cs="Arial"/>
          <w:color w:val="000000" w:themeColor="text1"/>
          <w:lang w:val="en-US"/>
        </w:rPr>
      </w:pPr>
      <w:r w:rsidRPr="002D3E34">
        <w:rPr>
          <w:rFonts w:cs="Arial"/>
          <w:color w:val="000000" w:themeColor="text1"/>
          <w:lang w:val="en-US"/>
        </w:rPr>
        <w:t>Assessment: checking what children learn</w:t>
      </w:r>
    </w:p>
    <w:p w14:paraId="2232EA57" w14:textId="24BE6D94" w:rsidR="002911BC" w:rsidRPr="002D3E34" w:rsidRDefault="002911BC" w:rsidP="003B0B17">
      <w:pPr>
        <w:pStyle w:val="ListParagraph"/>
        <w:numPr>
          <w:ilvl w:val="0"/>
          <w:numId w:val="97"/>
        </w:numPr>
        <w:ind w:left="714" w:hanging="357"/>
        <w:contextualSpacing w:val="0"/>
        <w:rPr>
          <w:rFonts w:cs="Arial"/>
          <w:color w:val="000000" w:themeColor="text1"/>
          <w:lang w:val="en-US"/>
        </w:rPr>
      </w:pPr>
      <w:r w:rsidRPr="002D3E34">
        <w:rPr>
          <w:rFonts w:cs="Arial"/>
          <w:color w:val="000000" w:themeColor="text1"/>
          <w:lang w:val="en-US"/>
        </w:rPr>
        <w:t>Self-regulation and executive function</w:t>
      </w:r>
    </w:p>
    <w:p w14:paraId="1654C454" w14:textId="7F7F7A83" w:rsidR="002911BC" w:rsidRPr="002D3E34" w:rsidRDefault="002911BC" w:rsidP="003B0B17">
      <w:pPr>
        <w:pStyle w:val="ListParagraph"/>
        <w:numPr>
          <w:ilvl w:val="0"/>
          <w:numId w:val="97"/>
        </w:numPr>
        <w:ind w:left="714" w:hanging="357"/>
        <w:contextualSpacing w:val="0"/>
        <w:rPr>
          <w:rFonts w:cs="Arial"/>
          <w:color w:val="000000" w:themeColor="text1"/>
          <w:lang w:val="en-US"/>
        </w:rPr>
      </w:pPr>
      <w:r w:rsidRPr="002D3E34">
        <w:rPr>
          <w:rFonts w:cs="Arial"/>
          <w:color w:val="000000" w:themeColor="text1"/>
          <w:lang w:val="en-US"/>
        </w:rPr>
        <w:t>Partnership with parents</w:t>
      </w:r>
    </w:p>
    <w:p w14:paraId="4CFC913F" w14:textId="5E27F110" w:rsidR="002911BC" w:rsidRPr="002D3E34" w:rsidRDefault="002911BC" w:rsidP="003B0B17">
      <w:pPr>
        <w:pStyle w:val="ListParagraph"/>
        <w:numPr>
          <w:ilvl w:val="0"/>
          <w:numId w:val="94"/>
        </w:numPr>
        <w:rPr>
          <w:rFonts w:cs="Arial"/>
          <w:b/>
          <w:bCs/>
          <w:color w:val="000000" w:themeColor="text1"/>
          <w:lang w:val="en-US"/>
        </w:rPr>
      </w:pPr>
      <w:r w:rsidRPr="002D3E34">
        <w:rPr>
          <w:rFonts w:cs="Arial"/>
          <w:b/>
          <w:bCs/>
          <w:color w:val="000000" w:themeColor="text1"/>
          <w:lang w:val="en-US"/>
        </w:rPr>
        <w:t xml:space="preserve">To whom does the framework apply? </w:t>
      </w:r>
    </w:p>
    <w:p w14:paraId="105D09B6" w14:textId="77777777" w:rsidR="002911BC" w:rsidRPr="002911BC" w:rsidRDefault="002911BC" w:rsidP="002911BC">
      <w:pPr>
        <w:rPr>
          <w:rFonts w:cs="Arial"/>
          <w:color w:val="000000" w:themeColor="text1"/>
          <w:lang w:val="en-US"/>
        </w:rPr>
      </w:pPr>
      <w:r w:rsidRPr="002911BC">
        <w:rPr>
          <w:rFonts w:cs="Arial"/>
          <w:color w:val="000000" w:themeColor="text1"/>
          <w:lang w:val="en-US"/>
        </w:rPr>
        <w:t xml:space="preserve">Teachers or teams supporting young children. They are understood to refer to any early years’ practitioner working with the child and completing the Early Years Foundation Stage Profile assessment. </w:t>
      </w:r>
    </w:p>
    <w:p w14:paraId="5C4A4D34" w14:textId="2F675E09" w:rsidR="002911BC" w:rsidRPr="002D3E34" w:rsidRDefault="002911BC" w:rsidP="003B0B17">
      <w:pPr>
        <w:pStyle w:val="ListParagraph"/>
        <w:numPr>
          <w:ilvl w:val="0"/>
          <w:numId w:val="94"/>
        </w:numPr>
        <w:rPr>
          <w:rFonts w:cs="Arial"/>
          <w:b/>
          <w:bCs/>
          <w:color w:val="000000" w:themeColor="text1"/>
          <w:lang w:val="en-US"/>
        </w:rPr>
      </w:pPr>
      <w:r w:rsidRPr="002D3E34">
        <w:rPr>
          <w:rFonts w:cs="Arial"/>
          <w:b/>
          <w:bCs/>
          <w:color w:val="000000" w:themeColor="text1"/>
          <w:lang w:val="en-US"/>
        </w:rPr>
        <w:t xml:space="preserve">To what extent are universal principles identified?  </w:t>
      </w:r>
    </w:p>
    <w:p w14:paraId="2980A5AC" w14:textId="77777777" w:rsidR="002911BC" w:rsidRPr="002911BC" w:rsidRDefault="002911BC" w:rsidP="002911BC">
      <w:pPr>
        <w:rPr>
          <w:rFonts w:cs="Arial"/>
          <w:color w:val="000000" w:themeColor="text1"/>
          <w:lang w:val="en-US"/>
        </w:rPr>
      </w:pPr>
      <w:r w:rsidRPr="002911BC">
        <w:rPr>
          <w:rFonts w:cs="Arial"/>
          <w:color w:val="000000" w:themeColor="text1"/>
          <w:lang w:val="en-US"/>
        </w:rPr>
        <w:t xml:space="preserve">At a policy level, the following principles are addressed: </w:t>
      </w:r>
    </w:p>
    <w:p w14:paraId="476092E6" w14:textId="248D6779" w:rsidR="002911BC" w:rsidRPr="002D3E34" w:rsidRDefault="002911BC" w:rsidP="003B0B17">
      <w:pPr>
        <w:pStyle w:val="ListParagraph"/>
        <w:numPr>
          <w:ilvl w:val="0"/>
          <w:numId w:val="98"/>
        </w:numPr>
        <w:ind w:left="714" w:hanging="357"/>
        <w:contextualSpacing w:val="0"/>
        <w:rPr>
          <w:rFonts w:cs="Arial"/>
          <w:color w:val="000000" w:themeColor="text1"/>
          <w:lang w:val="en-US"/>
        </w:rPr>
      </w:pPr>
      <w:r w:rsidRPr="002D3E34">
        <w:rPr>
          <w:rFonts w:cs="Arial"/>
          <w:color w:val="000000" w:themeColor="text1"/>
          <w:lang w:val="en-US"/>
        </w:rPr>
        <w:t xml:space="preserve">service partnerships across education/health and care  </w:t>
      </w:r>
    </w:p>
    <w:p w14:paraId="5EF04C1B" w14:textId="5FC74633" w:rsidR="002911BC" w:rsidRPr="002D3E34" w:rsidRDefault="002911BC" w:rsidP="003B0B17">
      <w:pPr>
        <w:pStyle w:val="ListParagraph"/>
        <w:numPr>
          <w:ilvl w:val="0"/>
          <w:numId w:val="98"/>
        </w:numPr>
        <w:ind w:left="714" w:hanging="357"/>
        <w:contextualSpacing w:val="0"/>
        <w:rPr>
          <w:rFonts w:cs="Arial"/>
          <w:color w:val="000000" w:themeColor="text1"/>
          <w:lang w:val="en-US"/>
        </w:rPr>
      </w:pPr>
      <w:r w:rsidRPr="002D3E34">
        <w:rPr>
          <w:rFonts w:cs="Arial"/>
          <w:color w:val="000000" w:themeColor="text1"/>
          <w:lang w:val="en-US"/>
        </w:rPr>
        <w:t xml:space="preserve">creation of local inclusion plans  </w:t>
      </w:r>
    </w:p>
    <w:p w14:paraId="43A49DBF" w14:textId="7ADD0A09" w:rsidR="002911BC" w:rsidRPr="002D3E34" w:rsidRDefault="002911BC" w:rsidP="003B0B17">
      <w:pPr>
        <w:pStyle w:val="ListParagraph"/>
        <w:numPr>
          <w:ilvl w:val="0"/>
          <w:numId w:val="98"/>
        </w:numPr>
        <w:ind w:left="714" w:hanging="357"/>
        <w:contextualSpacing w:val="0"/>
        <w:rPr>
          <w:rFonts w:cs="Arial"/>
          <w:color w:val="000000" w:themeColor="text1"/>
          <w:lang w:val="en-US"/>
        </w:rPr>
      </w:pPr>
      <w:r w:rsidRPr="002D3E34">
        <w:rPr>
          <w:rFonts w:cs="Arial"/>
          <w:color w:val="000000" w:themeColor="text1"/>
          <w:lang w:val="en-US"/>
        </w:rPr>
        <w:t>creation of a three-tier alternative provision system</w:t>
      </w:r>
    </w:p>
    <w:p w14:paraId="1D447E7B" w14:textId="0CD6F09C" w:rsidR="002911BC" w:rsidRPr="002D3E34" w:rsidRDefault="002911BC" w:rsidP="003B0B17">
      <w:pPr>
        <w:pStyle w:val="ListParagraph"/>
        <w:numPr>
          <w:ilvl w:val="0"/>
          <w:numId w:val="98"/>
        </w:numPr>
        <w:ind w:left="714" w:hanging="357"/>
        <w:contextualSpacing w:val="0"/>
        <w:rPr>
          <w:rFonts w:cs="Arial"/>
          <w:color w:val="000000" w:themeColor="text1"/>
          <w:lang w:val="en-US"/>
        </w:rPr>
      </w:pPr>
      <w:r w:rsidRPr="002D3E34">
        <w:rPr>
          <w:rFonts w:cs="Arial"/>
          <w:color w:val="000000" w:themeColor="text1"/>
          <w:lang w:val="en-US"/>
        </w:rPr>
        <w:t xml:space="preserve">assessment of functioning </w:t>
      </w:r>
    </w:p>
    <w:p w14:paraId="67B50335" w14:textId="2CD95562" w:rsidR="002911BC" w:rsidRPr="002D3E34" w:rsidRDefault="002911BC" w:rsidP="003B0B17">
      <w:pPr>
        <w:pStyle w:val="ListParagraph"/>
        <w:numPr>
          <w:ilvl w:val="0"/>
          <w:numId w:val="98"/>
        </w:numPr>
        <w:ind w:left="714" w:hanging="357"/>
        <w:contextualSpacing w:val="0"/>
        <w:rPr>
          <w:rFonts w:cs="Arial"/>
          <w:color w:val="000000" w:themeColor="text1"/>
          <w:lang w:val="en-US"/>
        </w:rPr>
      </w:pPr>
      <w:r w:rsidRPr="002D3E34">
        <w:rPr>
          <w:rFonts w:cs="Arial"/>
          <w:color w:val="000000" w:themeColor="text1"/>
          <w:lang w:val="en-US"/>
        </w:rPr>
        <w:t xml:space="preserve">establishment of a key person </w:t>
      </w:r>
    </w:p>
    <w:p w14:paraId="2648EFE2" w14:textId="28AD59BC" w:rsidR="002911BC" w:rsidRPr="002D3E34" w:rsidRDefault="002911BC" w:rsidP="003B0B17">
      <w:pPr>
        <w:pStyle w:val="ListParagraph"/>
        <w:numPr>
          <w:ilvl w:val="0"/>
          <w:numId w:val="98"/>
        </w:numPr>
        <w:ind w:left="714" w:hanging="357"/>
        <w:contextualSpacing w:val="0"/>
        <w:rPr>
          <w:rFonts w:cs="Arial"/>
          <w:color w:val="000000" w:themeColor="text1"/>
          <w:lang w:val="en-US"/>
        </w:rPr>
      </w:pPr>
      <w:r w:rsidRPr="002D3E34">
        <w:rPr>
          <w:rFonts w:cs="Arial"/>
          <w:color w:val="000000" w:themeColor="text1"/>
          <w:lang w:val="en-US"/>
        </w:rPr>
        <w:t xml:space="preserve">family-centred/partnerships with parents </w:t>
      </w:r>
    </w:p>
    <w:p w14:paraId="57276C98" w14:textId="1D583F91" w:rsidR="002911BC" w:rsidRPr="002D3E34" w:rsidRDefault="002911BC" w:rsidP="003B0B17">
      <w:pPr>
        <w:pStyle w:val="ListParagraph"/>
        <w:numPr>
          <w:ilvl w:val="0"/>
          <w:numId w:val="98"/>
        </w:numPr>
        <w:ind w:left="714" w:hanging="357"/>
        <w:contextualSpacing w:val="0"/>
        <w:rPr>
          <w:rFonts w:cs="Arial"/>
          <w:color w:val="000000" w:themeColor="text1"/>
          <w:lang w:val="en-US"/>
        </w:rPr>
      </w:pPr>
      <w:r w:rsidRPr="002D3E34">
        <w:rPr>
          <w:rFonts w:cs="Arial"/>
          <w:color w:val="000000" w:themeColor="text1"/>
          <w:lang w:val="en-US"/>
        </w:rPr>
        <w:t xml:space="preserve">child strengths </w:t>
      </w:r>
    </w:p>
    <w:p w14:paraId="1E7DE59A" w14:textId="5D8B4EFA" w:rsidR="002911BC" w:rsidRPr="002D3E34" w:rsidRDefault="002911BC" w:rsidP="003B0B17">
      <w:pPr>
        <w:pStyle w:val="ListParagraph"/>
        <w:numPr>
          <w:ilvl w:val="0"/>
          <w:numId w:val="98"/>
        </w:numPr>
        <w:ind w:left="714" w:hanging="357"/>
        <w:contextualSpacing w:val="0"/>
        <w:rPr>
          <w:rFonts w:cs="Arial"/>
          <w:color w:val="000000" w:themeColor="text1"/>
          <w:lang w:val="en-US"/>
        </w:rPr>
      </w:pPr>
      <w:r w:rsidRPr="002D3E34">
        <w:rPr>
          <w:rFonts w:cs="Arial"/>
          <w:color w:val="000000" w:themeColor="text1"/>
          <w:lang w:val="en-US"/>
        </w:rPr>
        <w:t xml:space="preserve">skilling up of early years workforce (see Special Educational Needs and Disability document (2023); outcomes (see Special Educational Needs and Disability support document (2024); and Special Educational Needs and Disability code of practice </w:t>
      </w:r>
    </w:p>
    <w:p w14:paraId="5EDE0B60" w14:textId="4461BA97" w:rsidR="002911BC" w:rsidRPr="002D3E34" w:rsidRDefault="002911BC" w:rsidP="003B0B17">
      <w:pPr>
        <w:pStyle w:val="ListParagraph"/>
        <w:numPr>
          <w:ilvl w:val="0"/>
          <w:numId w:val="98"/>
        </w:numPr>
        <w:ind w:left="714" w:hanging="357"/>
        <w:contextualSpacing w:val="0"/>
        <w:rPr>
          <w:rFonts w:cs="Arial"/>
          <w:color w:val="000000" w:themeColor="text1"/>
          <w:lang w:val="en-US"/>
        </w:rPr>
      </w:pPr>
      <w:r w:rsidRPr="002D3E34">
        <w:rPr>
          <w:rFonts w:cs="Arial"/>
          <w:color w:val="000000" w:themeColor="text1"/>
          <w:lang w:val="en-US"/>
        </w:rPr>
        <w:t>development of national standards and accountability</w:t>
      </w:r>
    </w:p>
    <w:p w14:paraId="07675831" w14:textId="33FDA672" w:rsidR="002911BC" w:rsidRPr="002D3E34" w:rsidRDefault="002911BC" w:rsidP="003B0B17">
      <w:pPr>
        <w:pStyle w:val="ListParagraph"/>
        <w:numPr>
          <w:ilvl w:val="0"/>
          <w:numId w:val="94"/>
        </w:numPr>
        <w:rPr>
          <w:rFonts w:cs="Arial"/>
          <w:b/>
          <w:bCs/>
          <w:color w:val="000000" w:themeColor="text1"/>
          <w:lang w:val="en-US"/>
        </w:rPr>
      </w:pPr>
      <w:r w:rsidRPr="002D3E34">
        <w:rPr>
          <w:rFonts w:cs="Arial"/>
          <w:b/>
          <w:bCs/>
          <w:color w:val="000000" w:themeColor="text1"/>
          <w:lang w:val="en-US"/>
        </w:rPr>
        <w:lastRenderedPageBreak/>
        <w:t xml:space="preserve">What processes, indicators and tools to gather evidence of implementation are applied?  </w:t>
      </w:r>
    </w:p>
    <w:p w14:paraId="22AEFC03" w14:textId="77777777" w:rsidR="002911BC" w:rsidRPr="002911BC" w:rsidRDefault="002911BC" w:rsidP="002911BC">
      <w:pPr>
        <w:rPr>
          <w:rFonts w:cs="Arial"/>
          <w:color w:val="000000" w:themeColor="text1"/>
          <w:lang w:val="en-US"/>
        </w:rPr>
      </w:pPr>
      <w:r w:rsidRPr="002911BC">
        <w:rPr>
          <w:rFonts w:cs="Arial"/>
          <w:color w:val="000000" w:themeColor="text1"/>
          <w:lang w:val="en-US"/>
        </w:rPr>
        <w:t xml:space="preserve">Two documents are particularly important: </w:t>
      </w:r>
    </w:p>
    <w:p w14:paraId="2E06B903" w14:textId="226FAE03" w:rsidR="002911BC" w:rsidRPr="002D3E34" w:rsidRDefault="002911BC" w:rsidP="003B0B17">
      <w:pPr>
        <w:pStyle w:val="ListParagraph"/>
        <w:numPr>
          <w:ilvl w:val="0"/>
          <w:numId w:val="99"/>
        </w:numPr>
        <w:ind w:left="714" w:hanging="357"/>
        <w:contextualSpacing w:val="0"/>
        <w:rPr>
          <w:rFonts w:cs="Arial"/>
          <w:color w:val="000000" w:themeColor="text1"/>
          <w:lang w:val="en-US"/>
        </w:rPr>
      </w:pPr>
      <w:r w:rsidRPr="002D3E34">
        <w:rPr>
          <w:rFonts w:cs="Arial"/>
          <w:i/>
          <w:iCs/>
          <w:color w:val="000000" w:themeColor="text1"/>
          <w:lang w:val="en-US"/>
        </w:rPr>
        <w:t>Curriculum guidance</w:t>
      </w:r>
      <w:r w:rsidRPr="002D3E34">
        <w:rPr>
          <w:rFonts w:cs="Arial"/>
          <w:color w:val="000000" w:themeColor="text1"/>
          <w:lang w:val="en-US"/>
        </w:rPr>
        <w:t xml:space="preserve"> </w:t>
      </w:r>
      <w:r w:rsidRPr="002D3E34">
        <w:rPr>
          <w:rFonts w:cs="Arial"/>
          <w:i/>
          <w:iCs/>
          <w:color w:val="000000" w:themeColor="text1"/>
          <w:lang w:val="en-US"/>
        </w:rPr>
        <w:t xml:space="preserve">(Development matters). </w:t>
      </w:r>
      <w:r w:rsidRPr="002D3E34">
        <w:rPr>
          <w:rFonts w:cs="Arial"/>
          <w:color w:val="000000" w:themeColor="text1"/>
          <w:lang w:val="en-US"/>
        </w:rPr>
        <w:t xml:space="preserve">This guidance sets out the pathways of children’s development in broad ages and stages with an emphasis on assessment leading to informed decisions about what a child needs to learn and be able to do next. </w:t>
      </w:r>
    </w:p>
    <w:p w14:paraId="52F46B3A" w14:textId="1F387443" w:rsidR="002911BC" w:rsidRPr="002D3E34" w:rsidRDefault="002911BC" w:rsidP="003B0B17">
      <w:pPr>
        <w:pStyle w:val="ListParagraph"/>
        <w:numPr>
          <w:ilvl w:val="0"/>
          <w:numId w:val="99"/>
        </w:numPr>
        <w:ind w:left="714" w:hanging="357"/>
        <w:contextualSpacing w:val="0"/>
        <w:rPr>
          <w:rFonts w:cs="Arial"/>
          <w:color w:val="000000" w:themeColor="text1"/>
          <w:lang w:val="en-US"/>
        </w:rPr>
      </w:pPr>
      <w:r w:rsidRPr="002D3E34">
        <w:rPr>
          <w:rFonts w:cs="Arial"/>
          <w:i/>
          <w:iCs/>
          <w:color w:val="000000" w:themeColor="text1"/>
          <w:lang w:val="en-US"/>
        </w:rPr>
        <w:t>The Early Years Foundation Stage Profile.</w:t>
      </w:r>
      <w:r w:rsidRPr="002D3E34">
        <w:rPr>
          <w:rFonts w:cs="Arial"/>
          <w:color w:val="000000" w:themeColor="text1"/>
          <w:lang w:val="en-US"/>
        </w:rPr>
        <w:t xml:space="preserve"> This profile is a statutory assessment of children’s development at the end of the academic year in which children turn 5, usually reception year. Each child’s level of development is assessed against 17 early learning goals (ELGs) across all 7 areas of learning in the profile. For each Early Learning Goal, teachers must assess whether a child is meeting the level of development expected at the end of the early years</w:t>
      </w:r>
      <w:r w:rsidR="00BB1872">
        <w:rPr>
          <w:rFonts w:cs="Arial"/>
          <w:color w:val="000000" w:themeColor="text1"/>
          <w:lang w:val="en-US"/>
        </w:rPr>
        <w:t>’</w:t>
      </w:r>
      <w:r w:rsidRPr="002D3E34">
        <w:rPr>
          <w:rFonts w:cs="Arial"/>
          <w:color w:val="000000" w:themeColor="text1"/>
          <w:lang w:val="en-US"/>
        </w:rPr>
        <w:t xml:space="preserve"> foundation stage, or if they are not yet reaching this level and should be assessed as ‘emerging’. The Profile is intended to provide a reliable and accurate summative assessment of each child’s development at the end of the EYFS in order to support children’s successful transitions to year 1.  </w:t>
      </w:r>
    </w:p>
    <w:p w14:paraId="05C26053" w14:textId="62FBF361" w:rsidR="002911BC" w:rsidRPr="002D3E34" w:rsidRDefault="002911BC" w:rsidP="003B0B17">
      <w:pPr>
        <w:pStyle w:val="ListParagraph"/>
        <w:numPr>
          <w:ilvl w:val="0"/>
          <w:numId w:val="94"/>
        </w:numPr>
        <w:rPr>
          <w:rFonts w:cs="Arial"/>
          <w:b/>
          <w:bCs/>
          <w:color w:val="000000" w:themeColor="text1"/>
          <w:lang w:val="en-US"/>
        </w:rPr>
      </w:pPr>
      <w:r w:rsidRPr="002D3E34">
        <w:rPr>
          <w:rFonts w:cs="Arial"/>
          <w:b/>
          <w:bCs/>
          <w:color w:val="000000" w:themeColor="text1"/>
          <w:lang w:val="en-US"/>
        </w:rPr>
        <w:t xml:space="preserve">How is new evidence integrated into the identified framework?  </w:t>
      </w:r>
    </w:p>
    <w:p w14:paraId="0CF5F1E0" w14:textId="77777777" w:rsidR="002911BC" w:rsidRPr="002911BC" w:rsidRDefault="002911BC" w:rsidP="002911BC">
      <w:pPr>
        <w:rPr>
          <w:rFonts w:cs="Arial"/>
          <w:color w:val="000000" w:themeColor="text1"/>
          <w:lang w:val="en-US"/>
        </w:rPr>
      </w:pPr>
      <w:r w:rsidRPr="002911BC">
        <w:rPr>
          <w:rFonts w:cs="Arial"/>
          <w:color w:val="000000" w:themeColor="text1"/>
          <w:lang w:val="en-US"/>
        </w:rPr>
        <w:t>While policy documents indicate that the goal is to use the best available evidence on what works to support a range of needs, from universal support, through SEND Support, to the more specialist support, it is not clear how new evidence is integrated.</w:t>
      </w:r>
    </w:p>
    <w:p w14:paraId="524CC7CF" w14:textId="03C0A8B1" w:rsidR="002911BC" w:rsidRPr="002D3E34" w:rsidRDefault="002911BC" w:rsidP="003B0B17">
      <w:pPr>
        <w:pStyle w:val="ListParagraph"/>
        <w:numPr>
          <w:ilvl w:val="0"/>
          <w:numId w:val="94"/>
        </w:numPr>
        <w:rPr>
          <w:rFonts w:cs="Arial"/>
          <w:b/>
          <w:bCs/>
          <w:color w:val="000000" w:themeColor="text1"/>
          <w:lang w:val="en-US"/>
        </w:rPr>
      </w:pPr>
      <w:r w:rsidRPr="002D3E34">
        <w:rPr>
          <w:rFonts w:cs="Arial"/>
          <w:b/>
          <w:bCs/>
          <w:color w:val="000000" w:themeColor="text1"/>
          <w:lang w:val="en-US"/>
        </w:rPr>
        <w:t xml:space="preserve">What are the perceived strengths, weaknesses and challenges of the framework? </w:t>
      </w:r>
    </w:p>
    <w:p w14:paraId="669A3B32" w14:textId="77777777" w:rsidR="002911BC" w:rsidRPr="002911BC" w:rsidRDefault="002911BC" w:rsidP="002911BC">
      <w:pPr>
        <w:rPr>
          <w:rFonts w:cs="Arial"/>
          <w:color w:val="000000" w:themeColor="text1"/>
          <w:lang w:val="en-US"/>
        </w:rPr>
      </w:pPr>
      <w:r w:rsidRPr="002911BC">
        <w:rPr>
          <w:rFonts w:cs="Arial"/>
          <w:color w:val="000000" w:themeColor="text1"/>
          <w:lang w:val="en-US"/>
        </w:rPr>
        <w:t xml:space="preserve">Limited information on the existence of a framework as such prevents a thorough assessment of its strengths, weaknesses and challenges.  </w:t>
      </w:r>
    </w:p>
    <w:p w14:paraId="45DDD5B0" w14:textId="77777777" w:rsidR="002911BC" w:rsidRPr="002D3E34" w:rsidRDefault="002911BC" w:rsidP="002911BC">
      <w:pPr>
        <w:rPr>
          <w:rFonts w:cs="Arial"/>
          <w:i/>
          <w:iCs/>
          <w:color w:val="000000" w:themeColor="text1"/>
          <w:lang w:val="en-US"/>
        </w:rPr>
      </w:pPr>
      <w:r w:rsidRPr="002D3E34">
        <w:rPr>
          <w:rFonts w:cs="Arial"/>
          <w:i/>
          <w:iCs/>
          <w:color w:val="000000" w:themeColor="text1"/>
          <w:lang w:val="en-US"/>
        </w:rPr>
        <w:t xml:space="preserve">Strengths </w:t>
      </w:r>
    </w:p>
    <w:p w14:paraId="6A5BA9AF" w14:textId="70616BD4" w:rsidR="002911BC" w:rsidRPr="002D3E34" w:rsidRDefault="002911BC" w:rsidP="003B0B17">
      <w:pPr>
        <w:pStyle w:val="ListParagraph"/>
        <w:numPr>
          <w:ilvl w:val="0"/>
          <w:numId w:val="101"/>
        </w:numPr>
        <w:ind w:left="714" w:hanging="357"/>
        <w:contextualSpacing w:val="0"/>
        <w:rPr>
          <w:rFonts w:cs="Arial"/>
          <w:color w:val="000000" w:themeColor="text1"/>
          <w:lang w:val="en-US"/>
        </w:rPr>
      </w:pPr>
      <w:r w:rsidRPr="002D3E34">
        <w:rPr>
          <w:rFonts w:cs="Arial"/>
          <w:color w:val="000000" w:themeColor="text1"/>
          <w:lang w:val="en-US"/>
        </w:rPr>
        <w:t>Establishment of policy directions that include knowledge related to evidence-base practice</w:t>
      </w:r>
    </w:p>
    <w:p w14:paraId="59899C3A" w14:textId="6472A7F6" w:rsidR="002911BC" w:rsidRPr="002D3E34" w:rsidRDefault="002911BC" w:rsidP="003B0B17">
      <w:pPr>
        <w:pStyle w:val="ListParagraph"/>
        <w:numPr>
          <w:ilvl w:val="0"/>
          <w:numId w:val="101"/>
        </w:numPr>
        <w:ind w:left="714" w:hanging="357"/>
        <w:contextualSpacing w:val="0"/>
        <w:rPr>
          <w:rFonts w:cs="Arial"/>
          <w:color w:val="000000" w:themeColor="text1"/>
          <w:lang w:val="en-US"/>
        </w:rPr>
      </w:pPr>
      <w:r w:rsidRPr="002D3E34">
        <w:rPr>
          <w:rFonts w:cs="Arial"/>
          <w:color w:val="000000" w:themeColor="text1"/>
          <w:lang w:val="en-US"/>
        </w:rPr>
        <w:t xml:space="preserve">Focus on an integrated view of children’s early years encompassing education, health and social care sectors </w:t>
      </w:r>
    </w:p>
    <w:p w14:paraId="0F3B4E5D" w14:textId="77777777" w:rsidR="002911BC" w:rsidRPr="002D3E34" w:rsidRDefault="002911BC" w:rsidP="002911BC">
      <w:pPr>
        <w:rPr>
          <w:rFonts w:cs="Arial"/>
          <w:i/>
          <w:iCs/>
          <w:color w:val="000000" w:themeColor="text1"/>
          <w:lang w:val="en-US"/>
        </w:rPr>
      </w:pPr>
      <w:r w:rsidRPr="002D3E34">
        <w:rPr>
          <w:rFonts w:cs="Arial"/>
          <w:i/>
          <w:iCs/>
          <w:color w:val="000000" w:themeColor="text1"/>
          <w:lang w:val="en-US"/>
        </w:rPr>
        <w:t>Weaknesses/Challenges</w:t>
      </w:r>
    </w:p>
    <w:p w14:paraId="713A11D6" w14:textId="6A0C44B8" w:rsidR="002911BC" w:rsidRPr="002D3E34" w:rsidRDefault="002911BC" w:rsidP="003B0B17">
      <w:pPr>
        <w:pStyle w:val="ListParagraph"/>
        <w:numPr>
          <w:ilvl w:val="0"/>
          <w:numId w:val="100"/>
        </w:numPr>
        <w:ind w:left="714" w:hanging="357"/>
        <w:contextualSpacing w:val="0"/>
        <w:rPr>
          <w:rFonts w:cs="Arial"/>
          <w:color w:val="000000" w:themeColor="text1"/>
          <w:lang w:val="en-US"/>
        </w:rPr>
      </w:pPr>
      <w:r w:rsidRPr="002D3E34">
        <w:rPr>
          <w:rFonts w:cs="Arial"/>
          <w:color w:val="000000" w:themeColor="text1"/>
          <w:lang w:val="en-US"/>
        </w:rPr>
        <w:t>No evidence of evidence-based framework as such</w:t>
      </w:r>
    </w:p>
    <w:p w14:paraId="5BCB2697" w14:textId="7EA0633E" w:rsidR="002911BC" w:rsidRPr="002D3E34" w:rsidRDefault="002911BC" w:rsidP="003B0B17">
      <w:pPr>
        <w:pStyle w:val="ListParagraph"/>
        <w:numPr>
          <w:ilvl w:val="0"/>
          <w:numId w:val="100"/>
        </w:numPr>
        <w:ind w:left="714" w:hanging="357"/>
        <w:contextualSpacing w:val="0"/>
        <w:rPr>
          <w:rFonts w:cs="Arial"/>
          <w:color w:val="000000" w:themeColor="text1"/>
          <w:lang w:val="en-US"/>
        </w:rPr>
      </w:pPr>
      <w:r w:rsidRPr="002D3E34">
        <w:rPr>
          <w:rFonts w:cs="Arial"/>
          <w:color w:val="000000" w:themeColor="text1"/>
          <w:lang w:val="en-US"/>
        </w:rPr>
        <w:t xml:space="preserve">No clarity in the meaning of evidence-based practice when the term is used </w:t>
      </w:r>
    </w:p>
    <w:p w14:paraId="6165CEEC" w14:textId="73B54924" w:rsidR="000D2858" w:rsidRDefault="002911BC" w:rsidP="003B0B17">
      <w:pPr>
        <w:pStyle w:val="ListParagraph"/>
        <w:numPr>
          <w:ilvl w:val="0"/>
          <w:numId w:val="100"/>
        </w:numPr>
        <w:ind w:left="714" w:hanging="357"/>
        <w:contextualSpacing w:val="0"/>
        <w:rPr>
          <w:rFonts w:cs="Arial"/>
          <w:color w:val="000000" w:themeColor="text1"/>
          <w:lang w:val="en-US"/>
        </w:rPr>
      </w:pPr>
      <w:r w:rsidRPr="002D3E34">
        <w:rPr>
          <w:rFonts w:cs="Arial"/>
          <w:color w:val="000000" w:themeColor="text1"/>
          <w:lang w:val="en-US"/>
        </w:rPr>
        <w:t>SEND- focus on children. Family outcomes are not addressed</w:t>
      </w:r>
    </w:p>
    <w:p w14:paraId="1947A404" w14:textId="77777777" w:rsidR="002D3E34" w:rsidRDefault="002D3E34" w:rsidP="002D3E34">
      <w:pPr>
        <w:pStyle w:val="ListParagraph"/>
        <w:ind w:left="714"/>
        <w:contextualSpacing w:val="0"/>
        <w:rPr>
          <w:rFonts w:cs="Arial"/>
          <w:color w:val="000000" w:themeColor="text1"/>
          <w:lang w:val="en-US"/>
        </w:rPr>
      </w:pPr>
    </w:p>
    <w:p w14:paraId="03DFC246" w14:textId="77777777" w:rsidR="002D3E34" w:rsidRDefault="002D3E34" w:rsidP="002D3E34">
      <w:pPr>
        <w:pStyle w:val="ListParagraph"/>
        <w:ind w:left="714"/>
        <w:contextualSpacing w:val="0"/>
        <w:rPr>
          <w:rFonts w:cs="Arial"/>
          <w:color w:val="000000" w:themeColor="text1"/>
          <w:lang w:val="en-US"/>
        </w:rPr>
      </w:pPr>
    </w:p>
    <w:p w14:paraId="5BCB38CD" w14:textId="77777777" w:rsidR="002D3E34" w:rsidRDefault="002D3E34" w:rsidP="002D3E34">
      <w:pPr>
        <w:pStyle w:val="ListParagraph"/>
        <w:ind w:left="714"/>
        <w:contextualSpacing w:val="0"/>
        <w:rPr>
          <w:rFonts w:cs="Arial"/>
          <w:color w:val="000000" w:themeColor="text1"/>
          <w:lang w:val="en-US"/>
        </w:rPr>
      </w:pPr>
    </w:p>
    <w:p w14:paraId="56123EA1" w14:textId="77777777" w:rsidR="002D3E34" w:rsidRDefault="002D3E34" w:rsidP="002D3E34">
      <w:pPr>
        <w:pStyle w:val="ListParagraph"/>
        <w:ind w:left="714"/>
        <w:contextualSpacing w:val="0"/>
        <w:rPr>
          <w:rFonts w:cs="Arial"/>
          <w:color w:val="000000" w:themeColor="text1"/>
          <w:lang w:val="en-US"/>
        </w:rPr>
      </w:pPr>
    </w:p>
    <w:p w14:paraId="42722B8D" w14:textId="77777777" w:rsidR="002D3E34" w:rsidRDefault="002D3E34" w:rsidP="002D3E34">
      <w:pPr>
        <w:pStyle w:val="ListParagraph"/>
        <w:ind w:left="714"/>
        <w:contextualSpacing w:val="0"/>
        <w:rPr>
          <w:rFonts w:cs="Arial"/>
          <w:color w:val="000000" w:themeColor="text1"/>
          <w:lang w:val="en-US"/>
        </w:rPr>
      </w:pPr>
    </w:p>
    <w:p w14:paraId="0ACA37F9" w14:textId="1A324540" w:rsidR="002D3E34" w:rsidRDefault="00A61440" w:rsidP="007A09A1">
      <w:pPr>
        <w:pStyle w:val="ListParagraph"/>
        <w:ind w:left="0"/>
        <w:contextualSpacing w:val="0"/>
        <w:rPr>
          <w:rFonts w:cs="Arial"/>
          <w:color w:val="FFFFFF" w:themeColor="background1"/>
          <w:lang w:val="en-US"/>
        </w:rPr>
      </w:pPr>
      <w:r w:rsidRPr="00E663E7">
        <w:rPr>
          <w:b/>
          <w:bCs/>
          <w:noProof/>
          <w:color w:val="FFFFFF" w:themeColor="background1"/>
          <w:lang w:val="en-US"/>
        </w:rPr>
        <w:lastRenderedPageBreak/>
        <mc:AlternateContent>
          <mc:Choice Requires="wps">
            <w:drawing>
              <wp:anchor distT="0" distB="0" distL="114300" distR="114300" simplePos="0" relativeHeight="251666432" behindDoc="1" locked="1" layoutInCell="1" allowOverlap="1" wp14:anchorId="15977714" wp14:editId="6C0B6E71">
                <wp:simplePos x="0" y="0"/>
                <wp:positionH relativeFrom="column">
                  <wp:posOffset>-197485</wp:posOffset>
                </wp:positionH>
                <wp:positionV relativeFrom="page">
                  <wp:posOffset>604520</wp:posOffset>
                </wp:positionV>
                <wp:extent cx="6134100" cy="984250"/>
                <wp:effectExtent l="0" t="0" r="0" b="6350"/>
                <wp:wrapNone/>
                <wp:docPr id="1571253797"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4100" cy="984250"/>
                        </a:xfrm>
                        <a:prstGeom prst="rect">
                          <a:avLst/>
                        </a:prstGeom>
                        <a:solidFill>
                          <a:srgbClr val="8087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C760D" id="Rectangle 3" o:spid="_x0000_s1026" alt="&quot;&quot;" style="position:absolute;margin-left:-15.55pt;margin-top:47.6pt;width:483pt;height: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" fillcolor="#8087a3" stroked="f" strokeweight="1pt">
                <w10:wrap anchory="page"/>
                <w10:anchorlock/>
              </v:rect>
            </w:pict>
          </mc:Fallback>
        </mc:AlternateContent>
      </w:r>
      <w:r w:rsidRPr="00A61440">
        <w:rPr>
          <w:rFonts w:cs="Arial"/>
          <w:b/>
          <w:bCs/>
          <w:color w:val="FFFFFF" w:themeColor="background1"/>
          <w:lang w:val="en-US"/>
        </w:rPr>
        <w:t>United States of America</w:t>
      </w:r>
      <w:r w:rsidRPr="00A61440">
        <w:rPr>
          <w:rFonts w:cs="Arial"/>
          <w:color w:val="FFFFFF" w:themeColor="background1"/>
          <w:lang w:val="en-US"/>
        </w:rPr>
        <w:t>: Division for Early Childhood Recommended Practices in Early Intervention and Early Childhood Special Education</w:t>
      </w:r>
    </w:p>
    <w:p w14:paraId="3B161D97" w14:textId="77777777" w:rsidR="00A61440" w:rsidRDefault="00A61440" w:rsidP="002D3E34">
      <w:pPr>
        <w:pStyle w:val="ListParagraph"/>
        <w:ind w:left="714"/>
        <w:contextualSpacing w:val="0"/>
        <w:rPr>
          <w:rFonts w:cs="Arial"/>
          <w:color w:val="000000" w:themeColor="text1"/>
          <w:lang w:val="en-US"/>
        </w:rPr>
      </w:pPr>
    </w:p>
    <w:p w14:paraId="4E300F91" w14:textId="77777777" w:rsidR="00A61440" w:rsidRDefault="00A61440" w:rsidP="002D3E34">
      <w:pPr>
        <w:pStyle w:val="ListParagraph"/>
        <w:ind w:left="714"/>
        <w:contextualSpacing w:val="0"/>
        <w:rPr>
          <w:rFonts w:cs="Arial"/>
          <w:lang w:val="en-US"/>
        </w:rPr>
      </w:pPr>
    </w:p>
    <w:p w14:paraId="0813F93A" w14:textId="77777777" w:rsidR="00BC5C2C" w:rsidRPr="009C4157" w:rsidRDefault="00BC5C2C" w:rsidP="00882F41">
      <w:pPr>
        <w:rPr>
          <w:rFonts w:cs="Arial"/>
          <w:b/>
          <w:bCs/>
          <w:color w:val="000000" w:themeColor="text1"/>
          <w:lang w:val="en-US"/>
        </w:rPr>
      </w:pPr>
      <w:r w:rsidRPr="009C4157">
        <w:rPr>
          <w:rFonts w:cs="Arial"/>
          <w:b/>
          <w:bCs/>
          <w:color w:val="000000" w:themeColor="text1"/>
          <w:lang w:val="en-US"/>
        </w:rPr>
        <w:t>Background/Context</w:t>
      </w:r>
    </w:p>
    <w:p w14:paraId="014CDEF2" w14:textId="0564196D" w:rsidR="00BC5C2C" w:rsidRPr="00B75DF2" w:rsidRDefault="00BC5C2C" w:rsidP="00B75DF2">
      <w:pPr>
        <w:rPr>
          <w:rFonts w:cs="Arial"/>
          <w:color w:val="000000" w:themeColor="text1"/>
          <w:lang w:val="en-US"/>
        </w:rPr>
      </w:pPr>
      <w:r w:rsidRPr="00B75DF2">
        <w:rPr>
          <w:rFonts w:cs="Arial"/>
          <w:color w:val="000000" w:themeColor="text1"/>
          <w:lang w:val="en-US"/>
        </w:rPr>
        <w:t xml:space="preserve">The U.S. Department of Education </w:t>
      </w:r>
      <w:hyperlink r:id="rId42" w:history="1">
        <w:r w:rsidRPr="00B75DF2">
          <w:rPr>
            <w:rStyle w:val="Hyperlink"/>
            <w:rFonts w:cs="Arial"/>
            <w:lang w:val="en-US"/>
          </w:rPr>
          <w:t>Office of Special Education</w:t>
        </w:r>
      </w:hyperlink>
      <w:r w:rsidRPr="00B75DF2">
        <w:rPr>
          <w:rFonts w:cs="Arial"/>
          <w:color w:val="000000" w:themeColor="text1"/>
          <w:lang w:val="en-US"/>
        </w:rPr>
        <w:t xml:space="preserve"> (OSEP) administers the Individuals with Disabilities Education Act (IDEA) which authorizes grants to lead agencies for Part C Early Intervention (EI) services for infants and toddlers with disabilities and their families, and grants to states under Part B for school aged children with disabilities.</w:t>
      </w:r>
    </w:p>
    <w:p w14:paraId="7D119837" w14:textId="77777777" w:rsidR="00BC5C2C" w:rsidRPr="00B75DF2" w:rsidRDefault="00BC5C2C" w:rsidP="00B75DF2">
      <w:pPr>
        <w:rPr>
          <w:rFonts w:cs="Arial"/>
          <w:color w:val="000000" w:themeColor="text1"/>
          <w:lang w:val="en-US"/>
        </w:rPr>
      </w:pPr>
      <w:r w:rsidRPr="00B75DF2">
        <w:rPr>
          <w:rFonts w:cs="Arial"/>
          <w:color w:val="000000" w:themeColor="text1"/>
          <w:lang w:val="en-US"/>
        </w:rPr>
        <w:t>In relation to Part C, the vision of the Department of Education is that all infants and toddlers with delays or disabilities receive high-quality EI services and supports as early as possible to empower them to thrive and meet their and their family’s individualized needs (2023). To meet this vision, State and local agencies are required to have a comprehensive system in place so that all infants and toddlers who are eligible for the IDEA Part C EI services are promptly and equitably identified and evaluated.</w:t>
      </w:r>
    </w:p>
    <w:p w14:paraId="27097FED" w14:textId="77777777" w:rsidR="00BC5C2C" w:rsidRPr="00B75DF2" w:rsidRDefault="00BC5C2C" w:rsidP="00B75DF2">
      <w:pPr>
        <w:rPr>
          <w:rFonts w:cs="Arial"/>
          <w:color w:val="000000" w:themeColor="text1"/>
          <w:lang w:val="en-US"/>
        </w:rPr>
      </w:pPr>
      <w:r w:rsidRPr="00B75DF2">
        <w:rPr>
          <w:rFonts w:cs="Arial"/>
          <w:color w:val="000000" w:themeColor="text1"/>
          <w:lang w:val="en-US"/>
        </w:rPr>
        <w:t xml:space="preserve">The Division for Early Childhood (DEC) is the largest international professional organisation located in the USA whose mission is in “promoting policies and advances in evidence-based practices that support families and enhance the optimal development of young children (0-8) who have or are at risk for developmental delays and disabilities” (DEC, 2024). Formed in 1973, the Division of Early Childhood is one of 17 divisions of the Council for Exceptional Children. </w:t>
      </w:r>
    </w:p>
    <w:p w14:paraId="327D7566" w14:textId="2ED4FC90" w:rsidR="00BC5C2C" w:rsidRPr="00746AF2" w:rsidRDefault="00BC5C2C" w:rsidP="00746AF2">
      <w:pPr>
        <w:rPr>
          <w:rFonts w:cs="Arial"/>
          <w:color w:val="000000" w:themeColor="text1"/>
          <w:lang w:val="en-US"/>
        </w:rPr>
      </w:pPr>
      <w:r w:rsidRPr="00746AF2">
        <w:rPr>
          <w:rFonts w:cs="Arial"/>
          <w:color w:val="000000" w:themeColor="text1"/>
          <w:lang w:val="en-US"/>
        </w:rPr>
        <w:t xml:space="preserve">In 1993 the </w:t>
      </w:r>
      <w:hyperlink r:id="rId43" w:history="1">
        <w:r w:rsidRPr="00746AF2">
          <w:rPr>
            <w:rStyle w:val="Hyperlink"/>
            <w:rFonts w:cs="Arial"/>
            <w:lang w:val="en-US"/>
          </w:rPr>
          <w:t>Division for Early Childhood</w:t>
        </w:r>
      </w:hyperlink>
      <w:r w:rsidRPr="00746AF2">
        <w:rPr>
          <w:rFonts w:cs="Arial"/>
          <w:color w:val="000000" w:themeColor="text1"/>
          <w:lang w:val="en-US"/>
        </w:rPr>
        <w:t xml:space="preserve"> published the first Recommended Practices to provide guidance on a national level for the field of early intervention/early childhood special education (DEC, 1993). The practices were revised in 2000 (Sandall, McLean &amp; Smith, 2000). An updated version was published in 2005, but the practices were the same as those in the 2000 edition. The practices were revised again in 2014 (DEC, 2014). The DEC Recommended Practices and corresponding resources aim to bridge the gap between research and practice by highlighting practices that have been shown through research to result in better outcomes for young children with disabilities, their families, and practitioners in early intervention/early childhood special education. The recommended practices in each version have also received field validation by diverse stakeholders (e.g., practitioners, families, researchers, preservice students, training and technical assistance personnel, program leaders). In addition, the 2000, 2005, and 2014 versions of the practices were informed by reviews of the empirical literature. </w:t>
      </w:r>
    </w:p>
    <w:p w14:paraId="120D9CC7" w14:textId="77777777" w:rsidR="00BC5C2C" w:rsidRPr="00746AF2" w:rsidRDefault="00BC5C2C" w:rsidP="00746AF2">
      <w:pPr>
        <w:rPr>
          <w:rFonts w:cs="Arial"/>
          <w:color w:val="000000" w:themeColor="text1"/>
          <w:lang w:val="en-US"/>
        </w:rPr>
      </w:pPr>
      <w:r w:rsidRPr="00746AF2">
        <w:rPr>
          <w:rFonts w:cs="Arial"/>
          <w:color w:val="000000" w:themeColor="text1"/>
          <w:lang w:val="en-US"/>
        </w:rPr>
        <w:t xml:space="preserve">The DEC Recommended Practices were developed to build on the foundation of the National Association for the Education of Young Children’s (NAEYC) Developmentally Appropriate Practices that relate to the promotion of learning and development for all children. </w:t>
      </w:r>
    </w:p>
    <w:p w14:paraId="2F444627" w14:textId="59078C2C" w:rsidR="00BC5C2C" w:rsidRPr="00746AF2" w:rsidRDefault="00BC5C2C" w:rsidP="003B0B17">
      <w:pPr>
        <w:pStyle w:val="ListParagraph"/>
        <w:numPr>
          <w:ilvl w:val="0"/>
          <w:numId w:val="102"/>
        </w:numPr>
        <w:rPr>
          <w:rFonts w:cs="Arial"/>
          <w:b/>
          <w:bCs/>
          <w:color w:val="000000" w:themeColor="text1"/>
          <w:lang w:val="en-US"/>
        </w:rPr>
      </w:pPr>
      <w:r w:rsidRPr="00746AF2">
        <w:rPr>
          <w:rFonts w:cs="Arial"/>
          <w:b/>
          <w:bCs/>
          <w:color w:val="000000" w:themeColor="text1"/>
          <w:lang w:val="en-US"/>
        </w:rPr>
        <w:t xml:space="preserve">How is the aim of ECI defined? </w:t>
      </w:r>
    </w:p>
    <w:p w14:paraId="6944010F" w14:textId="77777777" w:rsidR="00BC5C2C" w:rsidRPr="00746AF2" w:rsidRDefault="00BC5C2C" w:rsidP="00746AF2">
      <w:pPr>
        <w:rPr>
          <w:rFonts w:cs="Arial"/>
          <w:color w:val="000000" w:themeColor="text1"/>
          <w:lang w:val="en-US"/>
        </w:rPr>
      </w:pPr>
      <w:r w:rsidRPr="00746AF2">
        <w:rPr>
          <w:rFonts w:cs="Arial"/>
          <w:color w:val="000000" w:themeColor="text1"/>
          <w:lang w:val="en-US"/>
        </w:rPr>
        <w:t>The Early Childhood Technical Assistance Center (ECTA) is funded by the OSEP. The Early Childhood Technical Assistance Centre describes the goal of early intervention and early childhood special education as:</w:t>
      </w:r>
    </w:p>
    <w:p w14:paraId="70E993CF" w14:textId="77777777" w:rsidR="00BC5C2C" w:rsidRPr="00746AF2" w:rsidRDefault="00BC5C2C" w:rsidP="00BC5C2C">
      <w:pPr>
        <w:pStyle w:val="ListParagraph"/>
        <w:ind w:left="714"/>
        <w:rPr>
          <w:rFonts w:cs="Arial"/>
          <w:i/>
          <w:iCs/>
          <w:color w:val="000000" w:themeColor="text1"/>
          <w:lang w:val="en-US"/>
        </w:rPr>
      </w:pPr>
      <w:r w:rsidRPr="00746AF2">
        <w:rPr>
          <w:rFonts w:cs="Arial"/>
          <w:i/>
          <w:iCs/>
          <w:color w:val="000000" w:themeColor="text1"/>
          <w:lang w:val="en-US"/>
        </w:rPr>
        <w:lastRenderedPageBreak/>
        <w:t xml:space="preserve"> “To enable young children with disabilities to be active and successful participants during their early childhood years and in the future” (ECTA, 2024). </w:t>
      </w:r>
    </w:p>
    <w:p w14:paraId="4BD8539A" w14:textId="77777777" w:rsidR="00BC5C2C" w:rsidRPr="00746AF2" w:rsidRDefault="00BC5C2C" w:rsidP="00746AF2">
      <w:pPr>
        <w:rPr>
          <w:rFonts w:cs="Arial"/>
          <w:color w:val="000000" w:themeColor="text1"/>
          <w:lang w:val="en-US"/>
        </w:rPr>
      </w:pPr>
      <w:r w:rsidRPr="00746AF2">
        <w:rPr>
          <w:rFonts w:cs="Arial"/>
          <w:color w:val="000000" w:themeColor="text1"/>
          <w:lang w:val="en-US"/>
        </w:rPr>
        <w:t>In Section 1431(a) of the IDEA Statute, the following two purposes point to a dual focus:</w:t>
      </w:r>
    </w:p>
    <w:p w14:paraId="450C07E6" w14:textId="77777777" w:rsidR="00BC5C2C" w:rsidRPr="00746AF2" w:rsidRDefault="00BC5C2C" w:rsidP="00BC5C2C">
      <w:pPr>
        <w:pStyle w:val="ListParagraph"/>
        <w:ind w:left="714"/>
        <w:rPr>
          <w:rFonts w:cs="Arial"/>
          <w:i/>
          <w:iCs/>
          <w:color w:val="000000" w:themeColor="text1"/>
          <w:lang w:val="en-US"/>
        </w:rPr>
      </w:pPr>
      <w:r w:rsidRPr="00746AF2">
        <w:rPr>
          <w:rFonts w:cs="Arial"/>
          <w:i/>
          <w:iCs/>
          <w:color w:val="000000" w:themeColor="text1"/>
          <w:lang w:val="en-US"/>
        </w:rPr>
        <w:t>“Congress finds that there is an urgent and substantial need:</w:t>
      </w:r>
    </w:p>
    <w:p w14:paraId="7997CAEF" w14:textId="5E75A3B5" w:rsidR="00BC5C2C" w:rsidRPr="00BC5C2C" w:rsidRDefault="00BC5C2C" w:rsidP="003B0B17">
      <w:pPr>
        <w:pStyle w:val="ListParagraph"/>
        <w:numPr>
          <w:ilvl w:val="0"/>
          <w:numId w:val="103"/>
        </w:numPr>
        <w:ind w:left="1429" w:hanging="357"/>
        <w:contextualSpacing w:val="0"/>
        <w:rPr>
          <w:rFonts w:cs="Arial"/>
          <w:color w:val="000000" w:themeColor="text1"/>
          <w:lang w:val="en-US"/>
        </w:rPr>
      </w:pPr>
      <w:r w:rsidRPr="00BC5C2C">
        <w:rPr>
          <w:rFonts w:cs="Arial"/>
          <w:color w:val="000000" w:themeColor="text1"/>
          <w:lang w:val="en-US"/>
        </w:rPr>
        <w:t>To enhance the development of infants and toddlers with disabilities, to minimize their potential for developmental delays and to recognize the significant brain development that occurs during the child’s first three years</w:t>
      </w:r>
    </w:p>
    <w:p w14:paraId="4F511E7F" w14:textId="621649C4" w:rsidR="00BC5C2C" w:rsidRPr="00BC5C2C" w:rsidRDefault="00BC5C2C" w:rsidP="003B0B17">
      <w:pPr>
        <w:pStyle w:val="ListParagraph"/>
        <w:numPr>
          <w:ilvl w:val="0"/>
          <w:numId w:val="103"/>
        </w:numPr>
        <w:ind w:left="1429" w:hanging="357"/>
        <w:contextualSpacing w:val="0"/>
        <w:rPr>
          <w:rFonts w:cs="Arial"/>
          <w:color w:val="000000" w:themeColor="text1"/>
          <w:lang w:val="en-US"/>
        </w:rPr>
      </w:pPr>
      <w:r w:rsidRPr="00BC5C2C">
        <w:rPr>
          <w:rFonts w:cs="Arial"/>
          <w:color w:val="000000" w:themeColor="text1"/>
          <w:lang w:val="en-US"/>
        </w:rPr>
        <w:t>To enhance capacity of families to meet the special needs of their infants and toddlers with disabilities” (IDEA Statute, 2008).</w:t>
      </w:r>
    </w:p>
    <w:p w14:paraId="1BFE4512" w14:textId="32EEC476" w:rsidR="00BC5C2C" w:rsidRPr="00746AF2" w:rsidRDefault="00BC5C2C" w:rsidP="003B0B17">
      <w:pPr>
        <w:pStyle w:val="ListParagraph"/>
        <w:numPr>
          <w:ilvl w:val="0"/>
          <w:numId w:val="102"/>
        </w:numPr>
        <w:rPr>
          <w:rFonts w:cs="Arial"/>
          <w:b/>
          <w:bCs/>
          <w:color w:val="000000" w:themeColor="text1"/>
          <w:lang w:val="en-US"/>
        </w:rPr>
      </w:pPr>
      <w:r w:rsidRPr="00746AF2">
        <w:rPr>
          <w:rFonts w:cs="Arial"/>
          <w:b/>
          <w:bCs/>
          <w:color w:val="000000" w:themeColor="text1"/>
          <w:lang w:val="en-US"/>
        </w:rPr>
        <w:t xml:space="preserve">How is best practice defined? </w:t>
      </w:r>
    </w:p>
    <w:p w14:paraId="04AC9584" w14:textId="77777777" w:rsidR="00BC5C2C" w:rsidRPr="00746AF2" w:rsidRDefault="00BC5C2C" w:rsidP="00746AF2">
      <w:pPr>
        <w:rPr>
          <w:rFonts w:cs="Arial"/>
          <w:color w:val="000000" w:themeColor="text1"/>
          <w:lang w:val="en-US"/>
        </w:rPr>
      </w:pPr>
      <w:r w:rsidRPr="00746AF2">
        <w:rPr>
          <w:rFonts w:cs="Arial"/>
          <w:color w:val="000000" w:themeColor="text1"/>
          <w:lang w:val="en-US"/>
        </w:rPr>
        <w:t>The term ‘research-based practices’ is used to inform DEC Recommended Practice revisions and is defined as “Practices that have been demonstrated to be effective and are supported by evidence in the research literature” (Odom et al., 2005). To the extent possible, the evidence base for these practices comes from studies that meet the following criteria:</w:t>
      </w:r>
    </w:p>
    <w:p w14:paraId="6BF0917D" w14:textId="4FE22EBF" w:rsidR="00BC5C2C" w:rsidRPr="00746AF2" w:rsidRDefault="00BC5C2C" w:rsidP="003B0B17">
      <w:pPr>
        <w:pStyle w:val="ListParagraph"/>
        <w:numPr>
          <w:ilvl w:val="0"/>
          <w:numId w:val="104"/>
        </w:numPr>
        <w:ind w:left="714" w:hanging="357"/>
        <w:contextualSpacing w:val="0"/>
        <w:rPr>
          <w:rFonts w:cs="Arial"/>
          <w:color w:val="000000" w:themeColor="text1"/>
          <w:lang w:val="en-US"/>
        </w:rPr>
      </w:pPr>
      <w:r w:rsidRPr="00746AF2">
        <w:rPr>
          <w:rFonts w:cs="Arial"/>
          <w:color w:val="000000" w:themeColor="text1"/>
          <w:lang w:val="en-US"/>
        </w:rPr>
        <w:t xml:space="preserve">Use methodologically sound and high-quality designs (randomized control group, quasi-experimental, mixed methods, qualitative, and/or single-case experimental designs); </w:t>
      </w:r>
    </w:p>
    <w:p w14:paraId="070A4C85" w14:textId="3AADEBD5" w:rsidR="00BC5C2C" w:rsidRPr="00746AF2" w:rsidRDefault="00BC5C2C" w:rsidP="003B0B17">
      <w:pPr>
        <w:pStyle w:val="ListParagraph"/>
        <w:numPr>
          <w:ilvl w:val="0"/>
          <w:numId w:val="104"/>
        </w:numPr>
        <w:ind w:left="714" w:hanging="357"/>
        <w:contextualSpacing w:val="0"/>
        <w:rPr>
          <w:rFonts w:cs="Arial"/>
          <w:color w:val="000000" w:themeColor="text1"/>
          <w:lang w:val="en-US"/>
        </w:rPr>
      </w:pPr>
      <w:r w:rsidRPr="00746AF2">
        <w:rPr>
          <w:rFonts w:cs="Arial"/>
          <w:color w:val="000000" w:themeColor="text1"/>
          <w:lang w:val="en-US"/>
        </w:rPr>
        <w:t>Are reported in the research literature, published in peer-reviewed journals, and replicated by a variety of researchers and research teams; and</w:t>
      </w:r>
    </w:p>
    <w:p w14:paraId="31263135" w14:textId="5480E150" w:rsidR="00BC5C2C" w:rsidRPr="00746AF2" w:rsidRDefault="00BC5C2C" w:rsidP="003B0B17">
      <w:pPr>
        <w:pStyle w:val="ListParagraph"/>
        <w:numPr>
          <w:ilvl w:val="0"/>
          <w:numId w:val="104"/>
        </w:numPr>
        <w:ind w:left="714" w:hanging="357"/>
        <w:contextualSpacing w:val="0"/>
        <w:rPr>
          <w:rFonts w:cs="Arial"/>
          <w:color w:val="000000" w:themeColor="text1"/>
          <w:lang w:val="en-US"/>
        </w:rPr>
      </w:pPr>
      <w:r w:rsidRPr="00746AF2">
        <w:rPr>
          <w:rFonts w:cs="Arial"/>
          <w:color w:val="000000" w:themeColor="text1"/>
          <w:lang w:val="en-US"/>
        </w:rPr>
        <w:t>Demonstrate positive effects on child and family outcomes” (Snyder &amp; Ayankoya, 2015).</w:t>
      </w:r>
    </w:p>
    <w:p w14:paraId="213A7C26" w14:textId="034490B9" w:rsidR="00BC5C2C" w:rsidRPr="00746AF2" w:rsidRDefault="00BC5C2C" w:rsidP="00746AF2">
      <w:pPr>
        <w:rPr>
          <w:rFonts w:cs="Arial"/>
          <w:color w:val="000000" w:themeColor="text1"/>
          <w:lang w:val="en-US"/>
        </w:rPr>
      </w:pPr>
      <w:r w:rsidRPr="00746AF2">
        <w:rPr>
          <w:rFonts w:cs="Arial"/>
          <w:color w:val="000000" w:themeColor="text1"/>
          <w:lang w:val="en-US"/>
        </w:rPr>
        <w:t>It is interesting to note that the Division of Early Childhood is committed to using the term ‘recommended practices’ in favour of ‘best practice’ as they determined that what is best for one child may not be best for all children, and they recognised that practices should change over time as new strategies are found through research to be more effective (Mc).</w:t>
      </w:r>
    </w:p>
    <w:p w14:paraId="5BB972A1" w14:textId="77777777" w:rsidR="00BC5C2C" w:rsidRPr="00746AF2" w:rsidRDefault="00BC5C2C" w:rsidP="00746AF2">
      <w:pPr>
        <w:rPr>
          <w:rFonts w:cs="Arial"/>
          <w:color w:val="000000" w:themeColor="text1"/>
          <w:lang w:val="en-US"/>
        </w:rPr>
      </w:pPr>
      <w:r w:rsidRPr="00746AF2">
        <w:rPr>
          <w:rFonts w:cs="Arial"/>
          <w:color w:val="000000" w:themeColor="text1"/>
          <w:lang w:val="en-US"/>
        </w:rPr>
        <w:t xml:space="preserve">States collect, analyse, and use functional outcome data to measure individual child and family progress toward improved results and to improve their systems and services. These data also are reported annually by states to the US Department of Education, Office of Special Education Programs as part of overall federal program accountability. </w:t>
      </w:r>
    </w:p>
    <w:p w14:paraId="746F667F" w14:textId="01009627" w:rsidR="00BC5C2C" w:rsidRPr="00746AF2" w:rsidRDefault="00000000" w:rsidP="00746AF2">
      <w:pPr>
        <w:rPr>
          <w:rFonts w:cs="Arial"/>
          <w:color w:val="000000" w:themeColor="text1"/>
          <w:lang w:val="en-US"/>
        </w:rPr>
      </w:pPr>
      <w:hyperlink r:id="rId44" w:history="1">
        <w:r w:rsidR="00BC5C2C" w:rsidRPr="00AC7B3E">
          <w:rPr>
            <w:rStyle w:val="Hyperlink"/>
            <w:rFonts w:cs="Arial"/>
            <w:lang w:val="en-US"/>
          </w:rPr>
          <w:t>Child outcomes</w:t>
        </w:r>
      </w:hyperlink>
      <w:r w:rsidR="00BC5C2C" w:rsidRPr="00746AF2">
        <w:rPr>
          <w:rFonts w:cs="Arial"/>
          <w:color w:val="000000" w:themeColor="text1"/>
          <w:lang w:val="en-US"/>
        </w:rPr>
        <w:t xml:space="preserve"> are:</w:t>
      </w:r>
    </w:p>
    <w:p w14:paraId="70BC186F" w14:textId="02A62870" w:rsidR="00BC5C2C" w:rsidRPr="00746AF2" w:rsidRDefault="00BC5C2C" w:rsidP="003B0B17">
      <w:pPr>
        <w:pStyle w:val="ListParagraph"/>
        <w:numPr>
          <w:ilvl w:val="0"/>
          <w:numId w:val="105"/>
        </w:numPr>
        <w:ind w:left="714" w:hanging="357"/>
        <w:contextualSpacing w:val="0"/>
        <w:rPr>
          <w:rFonts w:cs="Arial"/>
          <w:color w:val="000000" w:themeColor="text1"/>
          <w:lang w:val="en-US"/>
        </w:rPr>
      </w:pPr>
      <w:r w:rsidRPr="00746AF2">
        <w:rPr>
          <w:rFonts w:cs="Arial"/>
          <w:color w:val="000000" w:themeColor="text1"/>
          <w:lang w:val="en-US"/>
        </w:rPr>
        <w:t>Child has positive social-emotional skills (e.g., social relationships)</w:t>
      </w:r>
    </w:p>
    <w:p w14:paraId="7B0255BA" w14:textId="3B69EFB5" w:rsidR="00BC5C2C" w:rsidRPr="00746AF2" w:rsidRDefault="00BC5C2C" w:rsidP="003B0B17">
      <w:pPr>
        <w:pStyle w:val="ListParagraph"/>
        <w:numPr>
          <w:ilvl w:val="0"/>
          <w:numId w:val="105"/>
        </w:numPr>
        <w:ind w:left="714" w:hanging="357"/>
        <w:contextualSpacing w:val="0"/>
        <w:rPr>
          <w:rFonts w:cs="Arial"/>
          <w:color w:val="000000" w:themeColor="text1"/>
          <w:lang w:val="en-US"/>
        </w:rPr>
      </w:pPr>
      <w:r w:rsidRPr="00746AF2">
        <w:rPr>
          <w:rFonts w:cs="Arial"/>
          <w:color w:val="000000" w:themeColor="text1"/>
          <w:lang w:val="en-US"/>
        </w:rPr>
        <w:t>Child acquires and uses knowledge and skills (e.g., early language/communication)</w:t>
      </w:r>
    </w:p>
    <w:p w14:paraId="239FC712" w14:textId="1E5E3DD8" w:rsidR="00BC5C2C" w:rsidRPr="00746AF2" w:rsidRDefault="00BC5C2C" w:rsidP="003B0B17">
      <w:pPr>
        <w:pStyle w:val="ListParagraph"/>
        <w:numPr>
          <w:ilvl w:val="0"/>
          <w:numId w:val="105"/>
        </w:numPr>
        <w:ind w:left="714" w:hanging="357"/>
        <w:contextualSpacing w:val="0"/>
        <w:rPr>
          <w:rFonts w:cs="Arial"/>
          <w:color w:val="000000" w:themeColor="text1"/>
          <w:lang w:val="en-US"/>
        </w:rPr>
      </w:pPr>
      <w:r w:rsidRPr="00746AF2">
        <w:rPr>
          <w:rFonts w:cs="Arial"/>
          <w:color w:val="000000" w:themeColor="text1"/>
          <w:lang w:val="en-US"/>
        </w:rPr>
        <w:t>Child uses appropriate behaviours to meet their needs</w:t>
      </w:r>
    </w:p>
    <w:p w14:paraId="43A4B2D0" w14:textId="77777777" w:rsidR="00BC5C2C" w:rsidRPr="00746AF2" w:rsidRDefault="00BC5C2C" w:rsidP="00746AF2">
      <w:pPr>
        <w:rPr>
          <w:rFonts w:cs="Arial"/>
          <w:color w:val="000000" w:themeColor="text1"/>
          <w:lang w:val="en-US"/>
        </w:rPr>
      </w:pPr>
      <w:r w:rsidRPr="00746AF2">
        <w:rPr>
          <w:rFonts w:cs="Arial"/>
          <w:color w:val="000000" w:themeColor="text1"/>
          <w:lang w:val="en-US"/>
        </w:rPr>
        <w:t xml:space="preserve">States determine how they will measure child outcomes (many use the Child Outcomes Summary process, some use a single standardized instrument (e.g., Battelle), others use multiple instruments, including curriculum-based measures). </w:t>
      </w:r>
    </w:p>
    <w:p w14:paraId="6BA4C2E2" w14:textId="77777777" w:rsidR="00454B5D" w:rsidRDefault="00454B5D" w:rsidP="00454B5D">
      <w:pPr>
        <w:rPr>
          <w:rFonts w:cs="Arial"/>
          <w:color w:val="000000" w:themeColor="text1"/>
          <w:lang w:val="en-US"/>
        </w:rPr>
      </w:pPr>
    </w:p>
    <w:p w14:paraId="206CB506" w14:textId="4EA6AF6D" w:rsidR="00BC5C2C" w:rsidRPr="00454B5D" w:rsidRDefault="00000000" w:rsidP="00454B5D">
      <w:pPr>
        <w:rPr>
          <w:rFonts w:cs="Arial"/>
          <w:color w:val="000000" w:themeColor="text1"/>
          <w:lang w:val="en-US"/>
        </w:rPr>
      </w:pPr>
      <w:hyperlink r:id="rId45" w:history="1">
        <w:r w:rsidR="00BC5C2C" w:rsidRPr="00454B5D">
          <w:rPr>
            <w:rStyle w:val="Hyperlink"/>
            <w:rFonts w:cs="Arial"/>
            <w:lang w:val="en-US"/>
          </w:rPr>
          <w:t>Family Outcomes</w:t>
        </w:r>
      </w:hyperlink>
      <w:r w:rsidR="00BC5C2C" w:rsidRPr="00454B5D">
        <w:rPr>
          <w:rFonts w:cs="Arial"/>
          <w:color w:val="000000" w:themeColor="text1"/>
          <w:lang w:val="en-US"/>
        </w:rPr>
        <w:t xml:space="preserve"> are:</w:t>
      </w:r>
    </w:p>
    <w:p w14:paraId="05696A65" w14:textId="2AD55396" w:rsidR="00BC5C2C" w:rsidRPr="00454B5D" w:rsidRDefault="00BC5C2C" w:rsidP="003B0B17">
      <w:pPr>
        <w:pStyle w:val="ListParagraph"/>
        <w:numPr>
          <w:ilvl w:val="0"/>
          <w:numId w:val="106"/>
        </w:numPr>
        <w:ind w:left="714" w:hanging="357"/>
        <w:contextualSpacing w:val="0"/>
        <w:rPr>
          <w:rFonts w:cs="Arial"/>
          <w:color w:val="000000" w:themeColor="text1"/>
          <w:lang w:val="en-US"/>
        </w:rPr>
      </w:pPr>
      <w:r w:rsidRPr="00454B5D">
        <w:rPr>
          <w:rFonts w:cs="Arial"/>
          <w:color w:val="000000" w:themeColor="text1"/>
          <w:lang w:val="en-US"/>
        </w:rPr>
        <w:t>Family knows their rights</w:t>
      </w:r>
    </w:p>
    <w:p w14:paraId="3823558C" w14:textId="5FD4EFA6" w:rsidR="00BC5C2C" w:rsidRPr="00454B5D" w:rsidRDefault="00BC5C2C" w:rsidP="003B0B17">
      <w:pPr>
        <w:pStyle w:val="ListParagraph"/>
        <w:numPr>
          <w:ilvl w:val="0"/>
          <w:numId w:val="106"/>
        </w:numPr>
        <w:ind w:left="714" w:hanging="357"/>
        <w:contextualSpacing w:val="0"/>
        <w:rPr>
          <w:rFonts w:cs="Arial"/>
          <w:color w:val="000000" w:themeColor="text1"/>
          <w:lang w:val="en-US"/>
        </w:rPr>
      </w:pPr>
      <w:r w:rsidRPr="00454B5D">
        <w:rPr>
          <w:rFonts w:cs="Arial"/>
          <w:color w:val="000000" w:themeColor="text1"/>
          <w:lang w:val="en-US"/>
        </w:rPr>
        <w:t>Family effectively communicates their children's needs</w:t>
      </w:r>
    </w:p>
    <w:p w14:paraId="3E959FD2" w14:textId="134CA572" w:rsidR="00BC5C2C" w:rsidRPr="00454B5D" w:rsidRDefault="00BC5C2C" w:rsidP="003B0B17">
      <w:pPr>
        <w:pStyle w:val="ListParagraph"/>
        <w:numPr>
          <w:ilvl w:val="0"/>
          <w:numId w:val="106"/>
        </w:numPr>
        <w:ind w:left="714" w:hanging="357"/>
        <w:contextualSpacing w:val="0"/>
        <w:rPr>
          <w:rFonts w:cs="Arial"/>
          <w:color w:val="000000" w:themeColor="text1"/>
          <w:lang w:val="en-US"/>
        </w:rPr>
      </w:pPr>
      <w:r w:rsidRPr="00454B5D">
        <w:rPr>
          <w:rFonts w:cs="Arial"/>
          <w:color w:val="000000" w:themeColor="text1"/>
          <w:lang w:val="en-US"/>
        </w:rPr>
        <w:t xml:space="preserve">Family helps their children develop and learn (ECTA, 2024). </w:t>
      </w:r>
    </w:p>
    <w:p w14:paraId="0D210B77" w14:textId="3B19D91D" w:rsidR="00BC5C2C" w:rsidRPr="00454B5D" w:rsidRDefault="00BC5C2C" w:rsidP="00454B5D">
      <w:pPr>
        <w:rPr>
          <w:rFonts w:cs="Arial"/>
          <w:color w:val="000000" w:themeColor="text1"/>
          <w:lang w:val="en-US"/>
        </w:rPr>
      </w:pPr>
      <w:r w:rsidRPr="00454B5D">
        <w:rPr>
          <w:rFonts w:cs="Arial"/>
          <w:color w:val="000000" w:themeColor="text1"/>
          <w:lang w:val="en-US"/>
        </w:rPr>
        <w:t xml:space="preserve">Many states use the </w:t>
      </w:r>
      <w:hyperlink r:id="rId46" w:history="1">
        <w:r w:rsidRPr="00F003EA">
          <w:rPr>
            <w:rStyle w:val="Hyperlink"/>
            <w:rFonts w:cs="Arial"/>
            <w:lang w:val="en-US"/>
          </w:rPr>
          <w:t>Family Outcomes Surveys</w:t>
        </w:r>
      </w:hyperlink>
      <w:r w:rsidRPr="00454B5D">
        <w:rPr>
          <w:rFonts w:cs="Arial"/>
          <w:color w:val="000000" w:themeColor="text1"/>
          <w:lang w:val="en-US"/>
        </w:rPr>
        <w:t xml:space="preserve"> whilst others have developed their own. </w:t>
      </w:r>
    </w:p>
    <w:p w14:paraId="47C19558" w14:textId="661F3B27" w:rsidR="00BC5C2C" w:rsidRPr="00454B5D" w:rsidRDefault="00BC5C2C" w:rsidP="003B0B17">
      <w:pPr>
        <w:pStyle w:val="ListParagraph"/>
        <w:numPr>
          <w:ilvl w:val="0"/>
          <w:numId w:val="102"/>
        </w:numPr>
        <w:rPr>
          <w:rFonts w:cs="Arial"/>
          <w:b/>
          <w:bCs/>
          <w:color w:val="000000" w:themeColor="text1"/>
          <w:lang w:val="en-US"/>
        </w:rPr>
      </w:pPr>
      <w:r w:rsidRPr="00454B5D">
        <w:rPr>
          <w:rFonts w:cs="Arial"/>
          <w:b/>
          <w:bCs/>
          <w:color w:val="000000" w:themeColor="text1"/>
          <w:lang w:val="en-US"/>
        </w:rPr>
        <w:t xml:space="preserve">To whom does the framework apply? </w:t>
      </w:r>
    </w:p>
    <w:p w14:paraId="688B24E3" w14:textId="77777777" w:rsidR="00BC5C2C" w:rsidRPr="00454B5D" w:rsidRDefault="00BC5C2C" w:rsidP="00454B5D">
      <w:pPr>
        <w:rPr>
          <w:rFonts w:cs="Arial"/>
          <w:color w:val="000000" w:themeColor="text1"/>
          <w:lang w:val="en-US"/>
        </w:rPr>
      </w:pPr>
      <w:r w:rsidRPr="00454B5D">
        <w:rPr>
          <w:rFonts w:cs="Arial"/>
          <w:color w:val="000000" w:themeColor="text1"/>
          <w:lang w:val="en-US"/>
        </w:rPr>
        <w:t>The DEC Recommended Practices have been designed to support better outcomes for young children with disability, their families, and practitioners in early intervention/early childhood special education.</w:t>
      </w:r>
    </w:p>
    <w:p w14:paraId="3D130317" w14:textId="6296DCC5" w:rsidR="00BC5C2C" w:rsidRPr="00454B5D" w:rsidRDefault="00BC5C2C" w:rsidP="003B0B17">
      <w:pPr>
        <w:pStyle w:val="ListParagraph"/>
        <w:numPr>
          <w:ilvl w:val="0"/>
          <w:numId w:val="102"/>
        </w:numPr>
        <w:rPr>
          <w:rFonts w:cs="Arial"/>
          <w:b/>
          <w:bCs/>
          <w:color w:val="000000" w:themeColor="text1"/>
          <w:lang w:val="en-US"/>
        </w:rPr>
      </w:pPr>
      <w:r w:rsidRPr="00454B5D">
        <w:rPr>
          <w:rFonts w:cs="Arial"/>
          <w:b/>
          <w:bCs/>
          <w:color w:val="000000" w:themeColor="text1"/>
          <w:lang w:val="en-US"/>
        </w:rPr>
        <w:t xml:space="preserve">To what extent are universal principles identified? </w:t>
      </w:r>
    </w:p>
    <w:p w14:paraId="1D6A4F0B" w14:textId="77777777" w:rsidR="00BC5C2C" w:rsidRPr="00454B5D" w:rsidRDefault="00BC5C2C" w:rsidP="00454B5D">
      <w:pPr>
        <w:rPr>
          <w:rFonts w:cs="Arial"/>
          <w:color w:val="000000" w:themeColor="text1"/>
          <w:lang w:val="en-US"/>
        </w:rPr>
      </w:pPr>
      <w:r w:rsidRPr="00454B5D">
        <w:rPr>
          <w:rFonts w:cs="Arial"/>
          <w:color w:val="000000" w:themeColor="text1"/>
          <w:lang w:val="en-US"/>
        </w:rPr>
        <w:t xml:space="preserve">The DEC Recommended Practices (DEC, 2014) include eight domains: </w:t>
      </w:r>
    </w:p>
    <w:p w14:paraId="126709A1" w14:textId="51F9C72F" w:rsidR="00BC5C2C" w:rsidRPr="00454B5D" w:rsidRDefault="00BC5C2C" w:rsidP="003B0B17">
      <w:pPr>
        <w:pStyle w:val="ListParagraph"/>
        <w:numPr>
          <w:ilvl w:val="0"/>
          <w:numId w:val="107"/>
        </w:numPr>
        <w:ind w:left="714" w:hanging="357"/>
        <w:contextualSpacing w:val="0"/>
        <w:rPr>
          <w:rFonts w:cs="Arial"/>
          <w:color w:val="000000" w:themeColor="text1"/>
          <w:lang w:val="en-US"/>
        </w:rPr>
      </w:pPr>
      <w:r w:rsidRPr="00454B5D">
        <w:rPr>
          <w:rFonts w:cs="Arial"/>
          <w:color w:val="000000" w:themeColor="text1"/>
          <w:lang w:val="en-US"/>
        </w:rPr>
        <w:t>Leadership</w:t>
      </w:r>
    </w:p>
    <w:p w14:paraId="15E9148C" w14:textId="765B2AAA" w:rsidR="00BC5C2C" w:rsidRPr="00454B5D" w:rsidRDefault="00BC5C2C" w:rsidP="003B0B17">
      <w:pPr>
        <w:pStyle w:val="ListParagraph"/>
        <w:numPr>
          <w:ilvl w:val="0"/>
          <w:numId w:val="107"/>
        </w:numPr>
        <w:ind w:left="714" w:hanging="357"/>
        <w:contextualSpacing w:val="0"/>
        <w:rPr>
          <w:rFonts w:cs="Arial"/>
          <w:color w:val="000000" w:themeColor="text1"/>
          <w:lang w:val="en-US"/>
        </w:rPr>
      </w:pPr>
      <w:r w:rsidRPr="00454B5D">
        <w:rPr>
          <w:rFonts w:cs="Arial"/>
          <w:color w:val="000000" w:themeColor="text1"/>
          <w:lang w:val="en-US"/>
        </w:rPr>
        <w:t>Assessment</w:t>
      </w:r>
    </w:p>
    <w:p w14:paraId="29C5F509" w14:textId="2280BEBC" w:rsidR="00BC5C2C" w:rsidRPr="00454B5D" w:rsidRDefault="00BC5C2C" w:rsidP="003B0B17">
      <w:pPr>
        <w:pStyle w:val="ListParagraph"/>
        <w:numPr>
          <w:ilvl w:val="0"/>
          <w:numId w:val="107"/>
        </w:numPr>
        <w:ind w:left="714" w:hanging="357"/>
        <w:contextualSpacing w:val="0"/>
        <w:rPr>
          <w:rFonts w:cs="Arial"/>
          <w:color w:val="000000" w:themeColor="text1"/>
          <w:lang w:val="en-US"/>
        </w:rPr>
      </w:pPr>
      <w:r w:rsidRPr="00454B5D">
        <w:rPr>
          <w:rFonts w:cs="Arial"/>
          <w:color w:val="000000" w:themeColor="text1"/>
          <w:lang w:val="en-US"/>
        </w:rPr>
        <w:t>Environment</w:t>
      </w:r>
    </w:p>
    <w:p w14:paraId="2A561A43" w14:textId="2983493E" w:rsidR="00BC5C2C" w:rsidRPr="00454B5D" w:rsidRDefault="00BC5C2C" w:rsidP="003B0B17">
      <w:pPr>
        <w:pStyle w:val="ListParagraph"/>
        <w:numPr>
          <w:ilvl w:val="0"/>
          <w:numId w:val="107"/>
        </w:numPr>
        <w:ind w:left="714" w:hanging="357"/>
        <w:contextualSpacing w:val="0"/>
        <w:rPr>
          <w:rFonts w:cs="Arial"/>
          <w:color w:val="000000" w:themeColor="text1"/>
          <w:lang w:val="en-US"/>
        </w:rPr>
      </w:pPr>
      <w:r w:rsidRPr="00454B5D">
        <w:rPr>
          <w:rFonts w:cs="Arial"/>
          <w:color w:val="000000" w:themeColor="text1"/>
          <w:lang w:val="en-US"/>
        </w:rPr>
        <w:t>Family</w:t>
      </w:r>
    </w:p>
    <w:p w14:paraId="443A3476" w14:textId="1687B73D" w:rsidR="00BC5C2C" w:rsidRPr="00454B5D" w:rsidRDefault="00BC5C2C" w:rsidP="003B0B17">
      <w:pPr>
        <w:pStyle w:val="ListParagraph"/>
        <w:numPr>
          <w:ilvl w:val="0"/>
          <w:numId w:val="107"/>
        </w:numPr>
        <w:ind w:left="714" w:hanging="357"/>
        <w:contextualSpacing w:val="0"/>
        <w:rPr>
          <w:rFonts w:cs="Arial"/>
          <w:color w:val="000000" w:themeColor="text1"/>
          <w:lang w:val="en-US"/>
        </w:rPr>
      </w:pPr>
      <w:r w:rsidRPr="00454B5D">
        <w:rPr>
          <w:rFonts w:cs="Arial"/>
          <w:color w:val="000000" w:themeColor="text1"/>
          <w:lang w:val="en-US"/>
        </w:rPr>
        <w:t>Instruction</w:t>
      </w:r>
    </w:p>
    <w:p w14:paraId="07FB6E95" w14:textId="06C53FDE" w:rsidR="00BC5C2C" w:rsidRPr="00454B5D" w:rsidRDefault="00BC5C2C" w:rsidP="003B0B17">
      <w:pPr>
        <w:pStyle w:val="ListParagraph"/>
        <w:numPr>
          <w:ilvl w:val="0"/>
          <w:numId w:val="107"/>
        </w:numPr>
        <w:ind w:left="714" w:hanging="357"/>
        <w:contextualSpacing w:val="0"/>
        <w:rPr>
          <w:rFonts w:cs="Arial"/>
          <w:color w:val="000000" w:themeColor="text1"/>
          <w:lang w:val="en-US"/>
        </w:rPr>
      </w:pPr>
      <w:r w:rsidRPr="00454B5D">
        <w:rPr>
          <w:rFonts w:cs="Arial"/>
          <w:color w:val="000000" w:themeColor="text1"/>
          <w:lang w:val="en-US"/>
        </w:rPr>
        <w:t>Interaction</w:t>
      </w:r>
    </w:p>
    <w:p w14:paraId="53CE0A31" w14:textId="0B573043" w:rsidR="00BC5C2C" w:rsidRPr="00454B5D" w:rsidRDefault="00BC5C2C" w:rsidP="003B0B17">
      <w:pPr>
        <w:pStyle w:val="ListParagraph"/>
        <w:numPr>
          <w:ilvl w:val="0"/>
          <w:numId w:val="107"/>
        </w:numPr>
        <w:ind w:left="714" w:hanging="357"/>
        <w:contextualSpacing w:val="0"/>
        <w:rPr>
          <w:rFonts w:cs="Arial"/>
          <w:color w:val="000000" w:themeColor="text1"/>
          <w:lang w:val="en-US"/>
        </w:rPr>
      </w:pPr>
      <w:r w:rsidRPr="00454B5D">
        <w:rPr>
          <w:rFonts w:cs="Arial"/>
          <w:color w:val="000000" w:themeColor="text1"/>
          <w:lang w:val="en-US"/>
        </w:rPr>
        <w:t xml:space="preserve">Teaming and collaboration </w:t>
      </w:r>
    </w:p>
    <w:p w14:paraId="2269DF41" w14:textId="1EA79710" w:rsidR="00BC5C2C" w:rsidRPr="00454B5D" w:rsidRDefault="00BC5C2C" w:rsidP="003B0B17">
      <w:pPr>
        <w:pStyle w:val="ListParagraph"/>
        <w:numPr>
          <w:ilvl w:val="0"/>
          <w:numId w:val="107"/>
        </w:numPr>
        <w:ind w:left="714" w:hanging="357"/>
        <w:contextualSpacing w:val="0"/>
        <w:rPr>
          <w:rFonts w:cs="Arial"/>
          <w:color w:val="000000" w:themeColor="text1"/>
          <w:lang w:val="en-US"/>
        </w:rPr>
      </w:pPr>
      <w:r w:rsidRPr="00454B5D">
        <w:rPr>
          <w:rFonts w:cs="Arial"/>
          <w:color w:val="000000" w:themeColor="text1"/>
          <w:lang w:val="en-US"/>
        </w:rPr>
        <w:t xml:space="preserve">Transition </w:t>
      </w:r>
    </w:p>
    <w:p w14:paraId="5C29E9B1" w14:textId="77777777" w:rsidR="00BC5C2C" w:rsidRPr="00454B5D" w:rsidRDefault="00BC5C2C" w:rsidP="00454B5D">
      <w:pPr>
        <w:rPr>
          <w:rFonts w:cs="Arial"/>
          <w:color w:val="000000" w:themeColor="text1"/>
          <w:lang w:val="en-US"/>
        </w:rPr>
      </w:pPr>
      <w:r w:rsidRPr="00454B5D">
        <w:rPr>
          <w:rFonts w:cs="Arial"/>
          <w:color w:val="000000" w:themeColor="text1"/>
          <w:lang w:val="en-US"/>
        </w:rPr>
        <w:t>These updated recommended practices were developed within the following parameters:</w:t>
      </w:r>
    </w:p>
    <w:p w14:paraId="4EF70D3B" w14:textId="6C2C5084" w:rsidR="00BC5C2C" w:rsidRPr="00454B5D" w:rsidRDefault="00BC5C2C" w:rsidP="003B0B17">
      <w:pPr>
        <w:pStyle w:val="ListParagraph"/>
        <w:numPr>
          <w:ilvl w:val="0"/>
          <w:numId w:val="108"/>
        </w:numPr>
        <w:ind w:left="714" w:hanging="357"/>
        <w:contextualSpacing w:val="0"/>
        <w:rPr>
          <w:rFonts w:cs="Arial"/>
          <w:color w:val="000000" w:themeColor="text1"/>
          <w:lang w:val="en-US"/>
        </w:rPr>
      </w:pPr>
      <w:r w:rsidRPr="00454B5D">
        <w:rPr>
          <w:rFonts w:cs="Arial"/>
          <w:color w:val="000000" w:themeColor="text1"/>
          <w:lang w:val="en-US"/>
        </w:rPr>
        <w:t>Inform interactions and interventions</w:t>
      </w:r>
    </w:p>
    <w:p w14:paraId="76C379C8" w14:textId="0518FA30" w:rsidR="00BC5C2C" w:rsidRPr="00454B5D" w:rsidRDefault="00BC5C2C" w:rsidP="003B0B17">
      <w:pPr>
        <w:pStyle w:val="ListParagraph"/>
        <w:numPr>
          <w:ilvl w:val="0"/>
          <w:numId w:val="108"/>
        </w:numPr>
        <w:ind w:left="714" w:hanging="357"/>
        <w:contextualSpacing w:val="0"/>
        <w:rPr>
          <w:rFonts w:cs="Arial"/>
          <w:color w:val="000000" w:themeColor="text1"/>
          <w:lang w:val="en-US"/>
        </w:rPr>
      </w:pPr>
      <w:r w:rsidRPr="00454B5D">
        <w:rPr>
          <w:rFonts w:cs="Arial"/>
          <w:color w:val="000000" w:themeColor="text1"/>
          <w:lang w:val="en-US"/>
        </w:rPr>
        <w:t>Build upon and extend foundational practices such as the National Association for the Education of Young Children’s developmentally appropriate practices</w:t>
      </w:r>
    </w:p>
    <w:p w14:paraId="4423D655" w14:textId="437FD485" w:rsidR="00BC5C2C" w:rsidRPr="00454B5D" w:rsidRDefault="00BC5C2C" w:rsidP="003B0B17">
      <w:pPr>
        <w:pStyle w:val="ListParagraph"/>
        <w:numPr>
          <w:ilvl w:val="0"/>
          <w:numId w:val="108"/>
        </w:numPr>
        <w:ind w:left="714" w:hanging="357"/>
        <w:contextualSpacing w:val="0"/>
        <w:rPr>
          <w:rFonts w:cs="Arial"/>
          <w:color w:val="000000" w:themeColor="text1"/>
          <w:lang w:val="en-US"/>
        </w:rPr>
      </w:pPr>
      <w:r w:rsidRPr="00454B5D">
        <w:rPr>
          <w:rFonts w:cs="Arial"/>
          <w:color w:val="000000" w:themeColor="text1"/>
          <w:lang w:val="en-US"/>
        </w:rPr>
        <w:t>Include principles and strategies applicable to children from birth to age 5 with disabilities and other special needs and their families</w:t>
      </w:r>
    </w:p>
    <w:p w14:paraId="2DE24B47" w14:textId="75721306" w:rsidR="00BC5C2C" w:rsidRPr="00454B5D" w:rsidRDefault="00BC5C2C" w:rsidP="003B0B17">
      <w:pPr>
        <w:pStyle w:val="ListParagraph"/>
        <w:numPr>
          <w:ilvl w:val="0"/>
          <w:numId w:val="108"/>
        </w:numPr>
        <w:ind w:left="714" w:hanging="357"/>
        <w:contextualSpacing w:val="0"/>
        <w:rPr>
          <w:rFonts w:cs="Arial"/>
          <w:color w:val="000000" w:themeColor="text1"/>
          <w:lang w:val="en-US"/>
        </w:rPr>
      </w:pPr>
      <w:r w:rsidRPr="00454B5D">
        <w:rPr>
          <w:rFonts w:cs="Arial"/>
          <w:color w:val="000000" w:themeColor="text1"/>
          <w:lang w:val="en-US"/>
        </w:rPr>
        <w:t>Reflect practices that have applicability across settings, contacts, and groupings</w:t>
      </w:r>
    </w:p>
    <w:p w14:paraId="5D6EB8CF" w14:textId="3F6BF6A9" w:rsidR="00BC5C2C" w:rsidRPr="00454B5D" w:rsidRDefault="00BC5C2C" w:rsidP="003B0B17">
      <w:pPr>
        <w:pStyle w:val="ListParagraph"/>
        <w:numPr>
          <w:ilvl w:val="0"/>
          <w:numId w:val="108"/>
        </w:numPr>
        <w:ind w:left="714" w:hanging="357"/>
        <w:contextualSpacing w:val="0"/>
        <w:rPr>
          <w:rFonts w:cs="Arial"/>
          <w:color w:val="000000" w:themeColor="text1"/>
          <w:lang w:val="en-US"/>
        </w:rPr>
      </w:pPr>
      <w:r w:rsidRPr="00454B5D">
        <w:rPr>
          <w:rFonts w:cs="Arial"/>
          <w:color w:val="000000" w:themeColor="text1"/>
          <w:lang w:val="en-US"/>
        </w:rPr>
        <w:t>Based on combination of research-based evidence and knowledge or wisdom gained through experience. This was done through field validation activities</w:t>
      </w:r>
    </w:p>
    <w:p w14:paraId="7BB4CB1E" w14:textId="0D945A49" w:rsidR="00BC5C2C" w:rsidRPr="00454B5D" w:rsidRDefault="00BC5C2C" w:rsidP="003B0B17">
      <w:pPr>
        <w:pStyle w:val="ListParagraph"/>
        <w:numPr>
          <w:ilvl w:val="0"/>
          <w:numId w:val="102"/>
        </w:numPr>
        <w:rPr>
          <w:rFonts w:cs="Arial"/>
          <w:b/>
          <w:bCs/>
          <w:color w:val="000000" w:themeColor="text1"/>
          <w:lang w:val="en-US"/>
        </w:rPr>
      </w:pPr>
      <w:r w:rsidRPr="00454B5D">
        <w:rPr>
          <w:rFonts w:cs="Arial"/>
          <w:b/>
          <w:bCs/>
          <w:color w:val="000000" w:themeColor="text1"/>
          <w:lang w:val="en-US"/>
        </w:rPr>
        <w:t xml:space="preserve">What processes, indicators and tools to gather evidence of implementation are applied? </w:t>
      </w:r>
    </w:p>
    <w:p w14:paraId="61E129A5" w14:textId="77777777" w:rsidR="00BC5C2C" w:rsidRPr="00454B5D" w:rsidRDefault="00BC5C2C" w:rsidP="00454B5D">
      <w:pPr>
        <w:rPr>
          <w:rFonts w:cs="Arial"/>
          <w:color w:val="000000" w:themeColor="text1"/>
          <w:lang w:val="en-US"/>
        </w:rPr>
      </w:pPr>
      <w:r w:rsidRPr="00454B5D">
        <w:rPr>
          <w:rFonts w:cs="Arial"/>
          <w:color w:val="000000" w:themeColor="text1"/>
          <w:lang w:val="en-US"/>
        </w:rPr>
        <w:t>The US Department of Education Office of Special Education Programs funds several training and technical assistance centres with funds from IDEA. There are several key centres that provide technical assistance to support implementation including:</w:t>
      </w:r>
    </w:p>
    <w:p w14:paraId="1607806D" w14:textId="216A5AE0" w:rsidR="00BC5C2C" w:rsidRPr="00454B5D" w:rsidRDefault="00000000" w:rsidP="003B0B17">
      <w:pPr>
        <w:pStyle w:val="ListParagraph"/>
        <w:numPr>
          <w:ilvl w:val="0"/>
          <w:numId w:val="109"/>
        </w:numPr>
        <w:ind w:left="714" w:hanging="357"/>
        <w:contextualSpacing w:val="0"/>
        <w:rPr>
          <w:rFonts w:cs="Arial"/>
          <w:color w:val="000000" w:themeColor="text1"/>
          <w:lang w:val="en-US"/>
        </w:rPr>
      </w:pPr>
      <w:hyperlink r:id="rId47" w:history="1">
        <w:r w:rsidR="00BC5C2C" w:rsidRPr="0037620C">
          <w:rPr>
            <w:rStyle w:val="Hyperlink"/>
            <w:rFonts w:cs="Arial"/>
            <w:lang w:val="en-US"/>
          </w:rPr>
          <w:t>National Centre for Pyramid Model Interventions</w:t>
        </w:r>
      </w:hyperlink>
    </w:p>
    <w:p w14:paraId="38D69523" w14:textId="006CEE9C" w:rsidR="00BC5C2C" w:rsidRPr="00454B5D" w:rsidRDefault="00000000" w:rsidP="003B0B17">
      <w:pPr>
        <w:pStyle w:val="ListParagraph"/>
        <w:numPr>
          <w:ilvl w:val="0"/>
          <w:numId w:val="109"/>
        </w:numPr>
        <w:ind w:left="714" w:hanging="357"/>
        <w:contextualSpacing w:val="0"/>
        <w:rPr>
          <w:rFonts w:cs="Arial"/>
          <w:color w:val="000000" w:themeColor="text1"/>
          <w:lang w:val="en-US"/>
        </w:rPr>
      </w:pPr>
      <w:hyperlink r:id="rId48" w:history="1">
        <w:r w:rsidR="00BC5C2C" w:rsidRPr="00E438C0">
          <w:rPr>
            <w:rStyle w:val="Hyperlink"/>
            <w:rFonts w:cs="Arial"/>
            <w:lang w:val="en-US"/>
          </w:rPr>
          <w:t>Early Childhood Personnel Centre,</w:t>
        </w:r>
      </w:hyperlink>
      <w:r w:rsidR="00BC5C2C" w:rsidRPr="00454B5D">
        <w:rPr>
          <w:rFonts w:cs="Arial"/>
          <w:color w:val="000000" w:themeColor="text1"/>
          <w:lang w:val="en-US"/>
        </w:rPr>
        <w:t xml:space="preserve"> </w:t>
      </w:r>
    </w:p>
    <w:p w14:paraId="1B243AC1" w14:textId="1FCF67FB" w:rsidR="00BC5C2C" w:rsidRPr="00454B5D" w:rsidRDefault="00000000" w:rsidP="003B0B17">
      <w:pPr>
        <w:pStyle w:val="ListParagraph"/>
        <w:numPr>
          <w:ilvl w:val="0"/>
          <w:numId w:val="109"/>
        </w:numPr>
        <w:ind w:left="714" w:hanging="357"/>
        <w:contextualSpacing w:val="0"/>
        <w:rPr>
          <w:rFonts w:cs="Arial"/>
          <w:color w:val="000000" w:themeColor="text1"/>
          <w:lang w:val="en-US"/>
        </w:rPr>
      </w:pPr>
      <w:hyperlink r:id="rId49" w:history="1">
        <w:r w:rsidR="00BC5C2C" w:rsidRPr="003B475A">
          <w:rPr>
            <w:rStyle w:val="Hyperlink"/>
            <w:rFonts w:cs="Arial"/>
            <w:lang w:val="en-US"/>
          </w:rPr>
          <w:t>Centre for IDEA Early Childhood Data Systems</w:t>
        </w:r>
      </w:hyperlink>
      <w:r w:rsidR="00BC5C2C" w:rsidRPr="00454B5D">
        <w:rPr>
          <w:rFonts w:cs="Arial"/>
          <w:color w:val="000000" w:themeColor="text1"/>
          <w:lang w:val="en-US"/>
        </w:rPr>
        <w:t xml:space="preserve"> </w:t>
      </w:r>
    </w:p>
    <w:p w14:paraId="57EECC30" w14:textId="312AA197" w:rsidR="00BC5C2C" w:rsidRPr="00454B5D" w:rsidRDefault="00BC5C2C" w:rsidP="003B0B17">
      <w:pPr>
        <w:pStyle w:val="ListParagraph"/>
        <w:numPr>
          <w:ilvl w:val="0"/>
          <w:numId w:val="109"/>
        </w:numPr>
        <w:ind w:left="714" w:hanging="357"/>
        <w:contextualSpacing w:val="0"/>
        <w:rPr>
          <w:rFonts w:cs="Arial"/>
          <w:color w:val="000000" w:themeColor="text1"/>
          <w:lang w:val="en-US"/>
        </w:rPr>
      </w:pPr>
      <w:r w:rsidRPr="00454B5D">
        <w:rPr>
          <w:rFonts w:cs="Arial"/>
          <w:color w:val="000000" w:themeColor="text1"/>
          <w:lang w:val="en-US"/>
        </w:rPr>
        <w:t>Early Childhood Technical Assistance Centre</w:t>
      </w:r>
    </w:p>
    <w:p w14:paraId="7F1C319D" w14:textId="77777777" w:rsidR="00BC5C2C" w:rsidRPr="00454B5D" w:rsidRDefault="00BC5C2C" w:rsidP="00454B5D">
      <w:pPr>
        <w:rPr>
          <w:rFonts w:cs="Arial"/>
          <w:color w:val="000000" w:themeColor="text1"/>
          <w:lang w:val="en-US"/>
        </w:rPr>
      </w:pPr>
      <w:r w:rsidRPr="00454B5D">
        <w:rPr>
          <w:rFonts w:cs="Arial"/>
          <w:color w:val="000000" w:themeColor="text1"/>
          <w:lang w:val="en-US"/>
        </w:rPr>
        <w:t>The Early Childhood Technical Assistance Center has developed a suite of resources available free to support practitioners, families, and professional development providers in the use of the DEC Recommended Practices and include:</w:t>
      </w:r>
    </w:p>
    <w:p w14:paraId="77A84E9D" w14:textId="0126CE82" w:rsidR="00BC5C2C" w:rsidRPr="002C266F" w:rsidRDefault="00BC5C2C" w:rsidP="003B0B17">
      <w:pPr>
        <w:pStyle w:val="ListParagraph"/>
        <w:numPr>
          <w:ilvl w:val="0"/>
          <w:numId w:val="111"/>
        </w:numPr>
        <w:ind w:left="714" w:hanging="357"/>
        <w:contextualSpacing w:val="0"/>
        <w:rPr>
          <w:rFonts w:cs="Arial"/>
          <w:color w:val="000000" w:themeColor="text1"/>
          <w:lang w:val="en-US"/>
        </w:rPr>
      </w:pPr>
      <w:r w:rsidRPr="002C266F">
        <w:rPr>
          <w:rFonts w:cs="Arial"/>
          <w:color w:val="000000" w:themeColor="text1"/>
          <w:lang w:val="en-US"/>
        </w:rPr>
        <w:t>Performance Checklists for practitioners</w:t>
      </w:r>
    </w:p>
    <w:p w14:paraId="0EDCE389" w14:textId="63DADBB7" w:rsidR="00BC5C2C" w:rsidRPr="002C266F" w:rsidRDefault="00BC5C2C" w:rsidP="003B0B17">
      <w:pPr>
        <w:pStyle w:val="ListParagraph"/>
        <w:numPr>
          <w:ilvl w:val="0"/>
          <w:numId w:val="111"/>
        </w:numPr>
        <w:ind w:left="714" w:hanging="357"/>
        <w:contextualSpacing w:val="0"/>
        <w:rPr>
          <w:rFonts w:cs="Arial"/>
          <w:color w:val="000000" w:themeColor="text1"/>
          <w:lang w:val="en-US"/>
        </w:rPr>
      </w:pPr>
      <w:r w:rsidRPr="002C266F">
        <w:rPr>
          <w:rFonts w:cs="Arial"/>
          <w:color w:val="000000" w:themeColor="text1"/>
          <w:lang w:val="en-US"/>
        </w:rPr>
        <w:t>Practice Guides for practitioners and families</w:t>
      </w:r>
    </w:p>
    <w:p w14:paraId="4B11B40B" w14:textId="186141BC" w:rsidR="00BC5C2C" w:rsidRPr="002C266F" w:rsidRDefault="00BC5C2C" w:rsidP="003B0B17">
      <w:pPr>
        <w:pStyle w:val="ListParagraph"/>
        <w:numPr>
          <w:ilvl w:val="0"/>
          <w:numId w:val="111"/>
        </w:numPr>
        <w:ind w:left="714" w:hanging="357"/>
        <w:contextualSpacing w:val="0"/>
        <w:rPr>
          <w:rFonts w:cs="Arial"/>
          <w:color w:val="000000" w:themeColor="text1"/>
          <w:lang w:val="en-US"/>
        </w:rPr>
      </w:pPr>
      <w:r w:rsidRPr="002C266F">
        <w:rPr>
          <w:rFonts w:cs="Arial"/>
          <w:color w:val="000000" w:themeColor="text1"/>
          <w:lang w:val="en-US"/>
        </w:rPr>
        <w:t xml:space="preserve">Guidelines for Selecting Checklists and Practice Guides </w:t>
      </w:r>
    </w:p>
    <w:p w14:paraId="0134E975" w14:textId="2DFCD7FE" w:rsidR="00BC5C2C" w:rsidRPr="002C266F" w:rsidRDefault="00BC5C2C" w:rsidP="003B0B17">
      <w:pPr>
        <w:pStyle w:val="ListParagraph"/>
        <w:numPr>
          <w:ilvl w:val="0"/>
          <w:numId w:val="111"/>
        </w:numPr>
        <w:ind w:left="714" w:hanging="357"/>
        <w:contextualSpacing w:val="0"/>
        <w:rPr>
          <w:rFonts w:cs="Arial"/>
          <w:color w:val="000000" w:themeColor="text1"/>
          <w:lang w:val="en-US"/>
        </w:rPr>
      </w:pPr>
      <w:r w:rsidRPr="002C266F">
        <w:rPr>
          <w:rFonts w:cs="Arial"/>
          <w:color w:val="000000" w:themeColor="text1"/>
          <w:lang w:val="en-US"/>
        </w:rPr>
        <w:t>Resources for Professional Development Providers</w:t>
      </w:r>
    </w:p>
    <w:p w14:paraId="65ECF0B6" w14:textId="77777777" w:rsidR="00BC5C2C" w:rsidRPr="002C266F" w:rsidRDefault="00BC5C2C" w:rsidP="002C266F">
      <w:pPr>
        <w:rPr>
          <w:rFonts w:cs="Arial"/>
          <w:color w:val="000000" w:themeColor="text1"/>
          <w:lang w:val="en-US"/>
        </w:rPr>
      </w:pPr>
      <w:r w:rsidRPr="002C266F">
        <w:rPr>
          <w:rFonts w:cs="Arial"/>
          <w:color w:val="000000" w:themeColor="text1"/>
          <w:lang w:val="en-US"/>
        </w:rPr>
        <w:t xml:space="preserve">The Early Childhood Technical Assistance Center has also developed resources to support state capacity building around implementing and scaling up evidence-based practices to improve child outcomes. Resources include: </w:t>
      </w:r>
    </w:p>
    <w:p w14:paraId="4DDB73B3" w14:textId="5E501AA2" w:rsidR="00BC5C2C" w:rsidRPr="002C266F" w:rsidRDefault="00BC5C2C" w:rsidP="003B0B17">
      <w:pPr>
        <w:pStyle w:val="ListParagraph"/>
        <w:numPr>
          <w:ilvl w:val="0"/>
          <w:numId w:val="110"/>
        </w:numPr>
        <w:ind w:left="714" w:hanging="357"/>
        <w:contextualSpacing w:val="0"/>
        <w:rPr>
          <w:rFonts w:cs="Arial"/>
          <w:color w:val="000000" w:themeColor="text1"/>
          <w:lang w:val="en-US"/>
        </w:rPr>
      </w:pPr>
      <w:r w:rsidRPr="002C266F">
        <w:rPr>
          <w:rFonts w:cs="Arial"/>
          <w:color w:val="000000" w:themeColor="text1"/>
          <w:lang w:val="en-US"/>
        </w:rPr>
        <w:t>Guide to Statewide Implementation and Scale-up of Recommended Practices</w:t>
      </w:r>
    </w:p>
    <w:p w14:paraId="76F26973" w14:textId="5773F8A9" w:rsidR="00BC5C2C" w:rsidRPr="002C266F" w:rsidRDefault="00BC5C2C" w:rsidP="003B0B17">
      <w:pPr>
        <w:pStyle w:val="ListParagraph"/>
        <w:numPr>
          <w:ilvl w:val="0"/>
          <w:numId w:val="110"/>
        </w:numPr>
        <w:ind w:left="714" w:hanging="357"/>
        <w:contextualSpacing w:val="0"/>
        <w:rPr>
          <w:rFonts w:cs="Arial"/>
          <w:color w:val="000000" w:themeColor="text1"/>
          <w:lang w:val="en-US"/>
        </w:rPr>
      </w:pPr>
      <w:r w:rsidRPr="002C266F">
        <w:rPr>
          <w:rFonts w:cs="Arial"/>
          <w:color w:val="000000" w:themeColor="text1"/>
          <w:lang w:val="en-US"/>
        </w:rPr>
        <w:t xml:space="preserve">State Leadership Team Benchmarks of Quality </w:t>
      </w:r>
    </w:p>
    <w:p w14:paraId="4CC44F4C" w14:textId="207F4F43" w:rsidR="00BC5C2C" w:rsidRPr="002C266F" w:rsidRDefault="00BC5C2C" w:rsidP="003B0B17">
      <w:pPr>
        <w:pStyle w:val="ListParagraph"/>
        <w:numPr>
          <w:ilvl w:val="0"/>
          <w:numId w:val="110"/>
        </w:numPr>
        <w:ind w:left="714" w:hanging="357"/>
        <w:contextualSpacing w:val="0"/>
        <w:rPr>
          <w:rFonts w:cs="Arial"/>
          <w:color w:val="000000" w:themeColor="text1"/>
          <w:lang w:val="en-US"/>
        </w:rPr>
      </w:pPr>
      <w:r w:rsidRPr="002C266F">
        <w:rPr>
          <w:rFonts w:cs="Arial"/>
          <w:color w:val="000000" w:themeColor="text1"/>
          <w:lang w:val="en-US"/>
        </w:rPr>
        <w:t xml:space="preserve">Benchmarks of Quality for Classroom-Based Programs and Home-Visiting Programs </w:t>
      </w:r>
    </w:p>
    <w:p w14:paraId="2222ED74" w14:textId="4C5809C2" w:rsidR="00BC5C2C" w:rsidRPr="002C266F" w:rsidRDefault="00BC5C2C" w:rsidP="003B0B17">
      <w:pPr>
        <w:pStyle w:val="ListParagraph"/>
        <w:numPr>
          <w:ilvl w:val="0"/>
          <w:numId w:val="110"/>
        </w:numPr>
        <w:ind w:left="714" w:hanging="357"/>
        <w:contextualSpacing w:val="0"/>
        <w:rPr>
          <w:rFonts w:cs="Arial"/>
          <w:color w:val="000000" w:themeColor="text1"/>
          <w:lang w:val="en-US"/>
        </w:rPr>
      </w:pPr>
      <w:r w:rsidRPr="002C266F">
        <w:rPr>
          <w:rFonts w:cs="Arial"/>
          <w:color w:val="000000" w:themeColor="text1"/>
          <w:lang w:val="en-US"/>
        </w:rPr>
        <w:t xml:space="preserve">Reaching Potentials through Recommended Practices Observation Scales </w:t>
      </w:r>
    </w:p>
    <w:p w14:paraId="30FC42A0" w14:textId="365C337E" w:rsidR="00BC5C2C" w:rsidRPr="002C266F" w:rsidRDefault="00BC5C2C" w:rsidP="003B0B17">
      <w:pPr>
        <w:pStyle w:val="ListParagraph"/>
        <w:numPr>
          <w:ilvl w:val="0"/>
          <w:numId w:val="110"/>
        </w:numPr>
        <w:ind w:left="714" w:hanging="357"/>
        <w:contextualSpacing w:val="0"/>
        <w:rPr>
          <w:rFonts w:cs="Arial"/>
          <w:color w:val="000000" w:themeColor="text1"/>
          <w:lang w:val="en-US"/>
        </w:rPr>
      </w:pPr>
      <w:r w:rsidRPr="002C266F">
        <w:rPr>
          <w:rFonts w:cs="Arial"/>
          <w:color w:val="000000" w:themeColor="text1"/>
          <w:lang w:val="en-US"/>
        </w:rPr>
        <w:t>Online training modules</w:t>
      </w:r>
    </w:p>
    <w:p w14:paraId="5894B28A" w14:textId="77777777" w:rsidR="00BC5C2C" w:rsidRPr="002C266F" w:rsidRDefault="00BC5C2C" w:rsidP="002C266F">
      <w:pPr>
        <w:rPr>
          <w:rFonts w:cs="Arial"/>
          <w:color w:val="000000" w:themeColor="text1"/>
          <w:lang w:val="en-US"/>
        </w:rPr>
      </w:pPr>
      <w:r w:rsidRPr="002C266F">
        <w:rPr>
          <w:rFonts w:cs="Arial"/>
          <w:color w:val="000000" w:themeColor="text1"/>
          <w:lang w:val="en-US"/>
        </w:rPr>
        <w:t>To implement and scale up evidence-based practices, the Early Childhood Technical Assistance Center developed the Statewide Implementation Guide, which lays out a process for improving child and family outcomes by implementing evidence-based practices.</w:t>
      </w:r>
    </w:p>
    <w:p w14:paraId="14573AD4" w14:textId="75659A32" w:rsidR="00BC5C2C" w:rsidRPr="00DE4355" w:rsidRDefault="00BC5C2C" w:rsidP="003B0B17">
      <w:pPr>
        <w:pStyle w:val="ListParagraph"/>
        <w:numPr>
          <w:ilvl w:val="0"/>
          <w:numId w:val="102"/>
        </w:numPr>
        <w:rPr>
          <w:rFonts w:cs="Arial"/>
          <w:b/>
          <w:bCs/>
          <w:color w:val="000000" w:themeColor="text1"/>
          <w:lang w:val="en-US"/>
        </w:rPr>
      </w:pPr>
      <w:r w:rsidRPr="00DE4355">
        <w:rPr>
          <w:rFonts w:cs="Arial"/>
          <w:b/>
          <w:bCs/>
          <w:color w:val="000000" w:themeColor="text1"/>
          <w:lang w:val="en-US"/>
        </w:rPr>
        <w:t xml:space="preserve">How is new evidence integrated into the identified framework? </w:t>
      </w:r>
    </w:p>
    <w:p w14:paraId="71788F36" w14:textId="77777777" w:rsidR="00BC5C2C" w:rsidRPr="00DE4355" w:rsidRDefault="00BC5C2C" w:rsidP="00DE4355">
      <w:pPr>
        <w:rPr>
          <w:rFonts w:cs="Arial"/>
          <w:color w:val="000000" w:themeColor="text1"/>
          <w:lang w:val="en-US"/>
        </w:rPr>
      </w:pPr>
      <w:r w:rsidRPr="00DE4355">
        <w:rPr>
          <w:rFonts w:cs="Arial"/>
          <w:color w:val="000000" w:themeColor="text1"/>
          <w:lang w:val="en-US"/>
        </w:rPr>
        <w:t>When the initial DEC recommended practices were published there was recognition that “Only a continuing process of review and revision will maintain the quality set of indicators that essentially defines the field” (DEC Task Force on Recommended Practices, 1993, p9). The DEC plan of action to update the Recommended Practices (2015) included four major components:</w:t>
      </w:r>
    </w:p>
    <w:p w14:paraId="391AED4C" w14:textId="53FAA940" w:rsidR="00BC5C2C" w:rsidRPr="00DE4355" w:rsidRDefault="00BC5C2C" w:rsidP="003B0B17">
      <w:pPr>
        <w:pStyle w:val="ListParagraph"/>
        <w:numPr>
          <w:ilvl w:val="0"/>
          <w:numId w:val="112"/>
        </w:numPr>
        <w:ind w:left="714" w:hanging="357"/>
        <w:contextualSpacing w:val="0"/>
        <w:rPr>
          <w:rFonts w:cs="Arial"/>
          <w:color w:val="000000" w:themeColor="text1"/>
          <w:lang w:val="en-US"/>
        </w:rPr>
      </w:pPr>
      <w:r w:rsidRPr="00DE4355">
        <w:rPr>
          <w:rFonts w:cs="Arial"/>
          <w:color w:val="000000" w:themeColor="text1"/>
          <w:lang w:val="en-US"/>
        </w:rPr>
        <w:t xml:space="preserve">appointing a national Recommended Practices commission consisting of 11-15 DEC members in good standing who would direct and oversee the revision of the recommended practices </w:t>
      </w:r>
    </w:p>
    <w:p w14:paraId="590E5EFD" w14:textId="41A1F13A" w:rsidR="00BC5C2C" w:rsidRPr="00DE4355" w:rsidRDefault="00BC5C2C" w:rsidP="003B0B17">
      <w:pPr>
        <w:pStyle w:val="ListParagraph"/>
        <w:numPr>
          <w:ilvl w:val="0"/>
          <w:numId w:val="112"/>
        </w:numPr>
        <w:ind w:left="714" w:hanging="357"/>
        <w:contextualSpacing w:val="0"/>
        <w:rPr>
          <w:rFonts w:cs="Arial"/>
          <w:color w:val="000000" w:themeColor="text1"/>
          <w:lang w:val="en-US"/>
        </w:rPr>
      </w:pPr>
      <w:r w:rsidRPr="00DE4355">
        <w:rPr>
          <w:rFonts w:cs="Arial"/>
          <w:color w:val="000000" w:themeColor="text1"/>
          <w:lang w:val="en-US"/>
        </w:rPr>
        <w:t xml:space="preserve">producing a revised set of recommended practices </w:t>
      </w:r>
    </w:p>
    <w:p w14:paraId="175EFCB5" w14:textId="217998FF" w:rsidR="00BC5C2C" w:rsidRPr="00DE4355" w:rsidRDefault="00BC5C2C" w:rsidP="003B0B17">
      <w:pPr>
        <w:pStyle w:val="ListParagraph"/>
        <w:numPr>
          <w:ilvl w:val="0"/>
          <w:numId w:val="112"/>
        </w:numPr>
        <w:ind w:left="714" w:hanging="357"/>
        <w:contextualSpacing w:val="0"/>
        <w:rPr>
          <w:rFonts w:cs="Arial"/>
          <w:color w:val="000000" w:themeColor="text1"/>
          <w:lang w:val="en-US"/>
        </w:rPr>
      </w:pPr>
      <w:r w:rsidRPr="00DE4355">
        <w:rPr>
          <w:rFonts w:cs="Arial"/>
          <w:color w:val="000000" w:themeColor="text1"/>
          <w:lang w:val="en-US"/>
        </w:rPr>
        <w:t>creating multiple platforms to ensure that individuals working with young children with disability and their families have access to the practices</w:t>
      </w:r>
    </w:p>
    <w:p w14:paraId="32117BB4" w14:textId="2927BFE9" w:rsidR="00BC5C2C" w:rsidRPr="00DE4355" w:rsidRDefault="00BC5C2C" w:rsidP="003B0B17">
      <w:pPr>
        <w:pStyle w:val="ListParagraph"/>
        <w:numPr>
          <w:ilvl w:val="0"/>
          <w:numId w:val="112"/>
        </w:numPr>
        <w:ind w:left="714" w:hanging="357"/>
        <w:contextualSpacing w:val="0"/>
        <w:rPr>
          <w:rFonts w:cs="Arial"/>
          <w:color w:val="000000" w:themeColor="text1"/>
          <w:lang w:val="en-US"/>
        </w:rPr>
      </w:pPr>
      <w:r w:rsidRPr="00DE4355">
        <w:rPr>
          <w:rFonts w:cs="Arial"/>
          <w:color w:val="000000" w:themeColor="text1"/>
          <w:lang w:val="en-US"/>
        </w:rPr>
        <w:t>ensuring ongoing access to the practices and developing a plan to continually update both the practices and the supporting materials and make resources available to professionals and family members (Snyder &amp; Ayankoya, 2015).</w:t>
      </w:r>
    </w:p>
    <w:p w14:paraId="63C37AF6" w14:textId="77777777" w:rsidR="00BC5C2C" w:rsidRPr="00DE4355" w:rsidRDefault="00BC5C2C" w:rsidP="00DE4355">
      <w:pPr>
        <w:rPr>
          <w:rFonts w:cs="Arial"/>
          <w:color w:val="000000" w:themeColor="text1"/>
          <w:lang w:val="en-US"/>
        </w:rPr>
      </w:pPr>
      <w:r w:rsidRPr="00DE4355">
        <w:rPr>
          <w:rFonts w:cs="Arial"/>
          <w:color w:val="000000" w:themeColor="text1"/>
          <w:lang w:val="en-US"/>
        </w:rPr>
        <w:lastRenderedPageBreak/>
        <w:t>The review comprised an extensive process from workgroups who reviewed the 2005 Recommended Practices, considered the extant literature related to the topic, and developed a set of 15 or fewer research-based practices using established parameters and definitions. Workgroups provided supporting empirical evidence with accompanying citations for each of the nominated practices. A three-step evidence validation process followed (Snyder &amp; Ayankoya, 2015).</w:t>
      </w:r>
    </w:p>
    <w:p w14:paraId="5D510FA6" w14:textId="77777777" w:rsidR="00BC5C2C" w:rsidRPr="00DE4355" w:rsidRDefault="00BC5C2C" w:rsidP="00DE4355">
      <w:pPr>
        <w:rPr>
          <w:rFonts w:cs="Arial"/>
          <w:color w:val="000000" w:themeColor="text1"/>
          <w:lang w:val="en-US"/>
        </w:rPr>
      </w:pPr>
      <w:r w:rsidRPr="00DE4355">
        <w:rPr>
          <w:rFonts w:cs="Arial"/>
          <w:color w:val="000000" w:themeColor="text1"/>
          <w:lang w:val="en-US"/>
        </w:rPr>
        <w:t>It is understood that the DEC Recommended Practices Committee is developing a plan for continually updating the practices to ensure that they are supported by current research. The Commission created an Evidence Synthesis Group (ESG) to develop a system for identifying and summarizing the status of the best-available evidence in support of the 2014 practices. This system will inform updates or revisions to the practices (DEC, 2018).</w:t>
      </w:r>
    </w:p>
    <w:p w14:paraId="09D23CCF" w14:textId="4E08487E" w:rsidR="00BC5C2C" w:rsidRPr="00DE4355" w:rsidRDefault="00BC5C2C" w:rsidP="003B0B17">
      <w:pPr>
        <w:pStyle w:val="ListParagraph"/>
        <w:numPr>
          <w:ilvl w:val="0"/>
          <w:numId w:val="102"/>
        </w:numPr>
        <w:rPr>
          <w:rFonts w:cs="Arial"/>
          <w:b/>
          <w:bCs/>
          <w:color w:val="000000" w:themeColor="text1"/>
          <w:lang w:val="en-US"/>
        </w:rPr>
      </w:pPr>
      <w:r w:rsidRPr="00DE4355">
        <w:rPr>
          <w:rFonts w:cs="Arial"/>
          <w:b/>
          <w:bCs/>
          <w:color w:val="000000" w:themeColor="text1"/>
          <w:lang w:val="en-US"/>
        </w:rPr>
        <w:t>What are the perceived strengths, weaknesses and challenges of the approaches?</w:t>
      </w:r>
    </w:p>
    <w:p w14:paraId="61737B15" w14:textId="77777777" w:rsidR="00BC5C2C" w:rsidRPr="00DE4355" w:rsidRDefault="00BC5C2C" w:rsidP="00DE4355">
      <w:pPr>
        <w:rPr>
          <w:rFonts w:cs="Arial"/>
          <w:i/>
          <w:iCs/>
          <w:color w:val="000000" w:themeColor="text1"/>
          <w:lang w:val="en-US"/>
        </w:rPr>
      </w:pPr>
      <w:r w:rsidRPr="00DE4355">
        <w:rPr>
          <w:rFonts w:cs="Arial"/>
          <w:i/>
          <w:iCs/>
          <w:color w:val="000000" w:themeColor="text1"/>
          <w:lang w:val="en-US"/>
        </w:rPr>
        <w:t>Strengths</w:t>
      </w:r>
    </w:p>
    <w:p w14:paraId="2645C313" w14:textId="67A7EB81" w:rsidR="00BC5C2C" w:rsidRPr="00DE4355" w:rsidRDefault="00BC5C2C" w:rsidP="003B0B17">
      <w:pPr>
        <w:pStyle w:val="ListParagraph"/>
        <w:numPr>
          <w:ilvl w:val="0"/>
          <w:numId w:val="114"/>
        </w:numPr>
        <w:ind w:left="714" w:hanging="357"/>
        <w:contextualSpacing w:val="0"/>
        <w:rPr>
          <w:rFonts w:cs="Arial"/>
          <w:color w:val="000000" w:themeColor="text1"/>
          <w:lang w:val="en-US"/>
        </w:rPr>
      </w:pPr>
      <w:r w:rsidRPr="00DE4355">
        <w:rPr>
          <w:rFonts w:cs="Arial"/>
          <w:color w:val="000000" w:themeColor="text1"/>
          <w:lang w:val="en-US"/>
        </w:rPr>
        <w:t>A clear and rigorous process for review has been developed</w:t>
      </w:r>
    </w:p>
    <w:p w14:paraId="5D597FB3" w14:textId="0D728282" w:rsidR="00BC5C2C" w:rsidRPr="00DE4355" w:rsidRDefault="00BC5C2C" w:rsidP="003B0B17">
      <w:pPr>
        <w:pStyle w:val="ListParagraph"/>
        <w:numPr>
          <w:ilvl w:val="0"/>
          <w:numId w:val="114"/>
        </w:numPr>
        <w:ind w:left="714" w:hanging="357"/>
        <w:contextualSpacing w:val="0"/>
        <w:rPr>
          <w:rFonts w:cs="Arial"/>
          <w:color w:val="000000" w:themeColor="text1"/>
          <w:lang w:val="en-US"/>
        </w:rPr>
      </w:pPr>
      <w:r w:rsidRPr="00DE4355">
        <w:rPr>
          <w:rFonts w:cs="Arial"/>
          <w:color w:val="000000" w:themeColor="text1"/>
          <w:lang w:val="en-US"/>
        </w:rPr>
        <w:t xml:space="preserve">Technical Assistance is available through funded centres </w:t>
      </w:r>
    </w:p>
    <w:p w14:paraId="4D84E106" w14:textId="392174DA" w:rsidR="00BC5C2C" w:rsidRPr="00DE4355" w:rsidRDefault="00BC5C2C" w:rsidP="003B0B17">
      <w:pPr>
        <w:pStyle w:val="ListParagraph"/>
        <w:numPr>
          <w:ilvl w:val="0"/>
          <w:numId w:val="114"/>
        </w:numPr>
        <w:ind w:left="714" w:hanging="357"/>
        <w:contextualSpacing w:val="0"/>
        <w:rPr>
          <w:rFonts w:cs="Arial"/>
          <w:color w:val="000000" w:themeColor="text1"/>
          <w:lang w:val="en-US"/>
        </w:rPr>
      </w:pPr>
      <w:r w:rsidRPr="00DE4355">
        <w:rPr>
          <w:rFonts w:cs="Arial"/>
          <w:color w:val="000000" w:themeColor="text1"/>
          <w:lang w:val="en-US"/>
        </w:rPr>
        <w:t xml:space="preserve">Professional, family and professional development provider resources are available </w:t>
      </w:r>
    </w:p>
    <w:p w14:paraId="7DB98BB4" w14:textId="7439DB5B" w:rsidR="00BC5C2C" w:rsidRPr="00DE4355" w:rsidRDefault="00BC5C2C" w:rsidP="003B0B17">
      <w:pPr>
        <w:pStyle w:val="ListParagraph"/>
        <w:numPr>
          <w:ilvl w:val="0"/>
          <w:numId w:val="114"/>
        </w:numPr>
        <w:ind w:left="714" w:hanging="357"/>
        <w:contextualSpacing w:val="0"/>
        <w:rPr>
          <w:rFonts w:cs="Arial"/>
          <w:color w:val="000000" w:themeColor="text1"/>
          <w:lang w:val="en-US"/>
        </w:rPr>
      </w:pPr>
      <w:r w:rsidRPr="00DE4355">
        <w:rPr>
          <w:rFonts w:cs="Arial"/>
          <w:color w:val="000000" w:themeColor="text1"/>
          <w:lang w:val="en-US"/>
        </w:rPr>
        <w:t>Child and family outcomes are identified and analysed</w:t>
      </w:r>
    </w:p>
    <w:p w14:paraId="52316124" w14:textId="77777777" w:rsidR="00BC5C2C" w:rsidRPr="00DE4355" w:rsidRDefault="00BC5C2C" w:rsidP="00DE4355">
      <w:pPr>
        <w:rPr>
          <w:rFonts w:cs="Arial"/>
          <w:i/>
          <w:iCs/>
          <w:color w:val="000000" w:themeColor="text1"/>
          <w:lang w:val="en-US"/>
        </w:rPr>
      </w:pPr>
      <w:r w:rsidRPr="00DE4355">
        <w:rPr>
          <w:rFonts w:cs="Arial"/>
          <w:i/>
          <w:iCs/>
          <w:color w:val="000000" w:themeColor="text1"/>
          <w:lang w:val="en-US"/>
        </w:rPr>
        <w:t>Weaknesses/Challenges</w:t>
      </w:r>
    </w:p>
    <w:p w14:paraId="4B68795F" w14:textId="758E32D4" w:rsidR="00BC5C2C" w:rsidRPr="00DE4355" w:rsidRDefault="00BC5C2C" w:rsidP="003B0B17">
      <w:pPr>
        <w:pStyle w:val="ListParagraph"/>
        <w:numPr>
          <w:ilvl w:val="0"/>
          <w:numId w:val="113"/>
        </w:numPr>
        <w:ind w:left="714" w:hanging="357"/>
        <w:contextualSpacing w:val="0"/>
        <w:rPr>
          <w:rFonts w:cs="Arial"/>
          <w:color w:val="000000" w:themeColor="text1"/>
          <w:lang w:val="en-US"/>
        </w:rPr>
      </w:pPr>
      <w:r w:rsidRPr="00DE4355">
        <w:rPr>
          <w:rFonts w:cs="Arial"/>
          <w:color w:val="000000" w:themeColor="text1"/>
          <w:lang w:val="en-US"/>
        </w:rPr>
        <w:t xml:space="preserve">Federal funding is not sufficient to implement programs as intended without State support </w:t>
      </w:r>
    </w:p>
    <w:p w14:paraId="0204FC72" w14:textId="4FBED94D" w:rsidR="00BC5C2C" w:rsidRPr="00DE4355" w:rsidRDefault="00BC5C2C" w:rsidP="003B0B17">
      <w:pPr>
        <w:pStyle w:val="ListParagraph"/>
        <w:numPr>
          <w:ilvl w:val="0"/>
          <w:numId w:val="113"/>
        </w:numPr>
        <w:ind w:left="714" w:hanging="357"/>
        <w:contextualSpacing w:val="0"/>
        <w:rPr>
          <w:rFonts w:cs="Arial"/>
          <w:color w:val="000000" w:themeColor="text1"/>
          <w:lang w:val="en-US"/>
        </w:rPr>
      </w:pPr>
      <w:r w:rsidRPr="00DE4355">
        <w:rPr>
          <w:rFonts w:cs="Arial"/>
          <w:color w:val="000000" w:themeColor="text1"/>
          <w:lang w:val="en-US"/>
        </w:rPr>
        <w:t xml:space="preserve">Ensuring resources are available from practitioner to leadership levels </w:t>
      </w:r>
    </w:p>
    <w:p w14:paraId="275D714D" w14:textId="47D6F4CC" w:rsidR="00A61440" w:rsidRDefault="00BC5C2C" w:rsidP="003B0B17">
      <w:pPr>
        <w:pStyle w:val="ListParagraph"/>
        <w:numPr>
          <w:ilvl w:val="0"/>
          <w:numId w:val="113"/>
        </w:numPr>
        <w:ind w:left="714" w:hanging="357"/>
        <w:contextualSpacing w:val="0"/>
        <w:rPr>
          <w:rFonts w:cs="Arial"/>
          <w:color w:val="000000" w:themeColor="text1"/>
          <w:lang w:val="en-US"/>
        </w:rPr>
      </w:pPr>
      <w:r w:rsidRPr="00DE4355">
        <w:rPr>
          <w:rFonts w:cs="Arial"/>
          <w:color w:val="000000" w:themeColor="text1"/>
          <w:lang w:val="en-US"/>
        </w:rPr>
        <w:t>The tension between identifying recommended practices and evidence-informed approaches or models </w:t>
      </w:r>
    </w:p>
    <w:p w14:paraId="29E7D27A" w14:textId="77777777" w:rsidR="00536BE9" w:rsidRDefault="00536BE9" w:rsidP="00536BE9">
      <w:pPr>
        <w:rPr>
          <w:rFonts w:cs="Arial"/>
          <w:color w:val="000000" w:themeColor="text1"/>
          <w:lang w:val="en-US"/>
        </w:rPr>
      </w:pPr>
    </w:p>
    <w:p w14:paraId="2F03A876" w14:textId="77777777" w:rsidR="00536BE9" w:rsidRDefault="00536BE9" w:rsidP="00536BE9">
      <w:pPr>
        <w:rPr>
          <w:rFonts w:cs="Arial"/>
          <w:color w:val="000000" w:themeColor="text1"/>
          <w:lang w:val="en-US"/>
        </w:rPr>
      </w:pPr>
    </w:p>
    <w:p w14:paraId="71874ABC" w14:textId="77777777" w:rsidR="00536BE9" w:rsidRDefault="00536BE9" w:rsidP="00536BE9">
      <w:pPr>
        <w:rPr>
          <w:rFonts w:cs="Arial"/>
          <w:color w:val="000000" w:themeColor="text1"/>
          <w:lang w:val="en-US"/>
        </w:rPr>
      </w:pPr>
    </w:p>
    <w:p w14:paraId="4EDFE89C" w14:textId="77777777" w:rsidR="00536BE9" w:rsidRDefault="00536BE9" w:rsidP="00536BE9">
      <w:pPr>
        <w:rPr>
          <w:rFonts w:cs="Arial"/>
          <w:color w:val="000000" w:themeColor="text1"/>
          <w:lang w:val="en-US"/>
        </w:rPr>
      </w:pPr>
    </w:p>
    <w:p w14:paraId="2E6D5112" w14:textId="77777777" w:rsidR="00536BE9" w:rsidRDefault="00536BE9" w:rsidP="00536BE9">
      <w:pPr>
        <w:rPr>
          <w:rFonts w:cs="Arial"/>
          <w:color w:val="000000" w:themeColor="text1"/>
          <w:lang w:val="en-US"/>
        </w:rPr>
      </w:pPr>
    </w:p>
    <w:p w14:paraId="53B26C5C" w14:textId="77777777" w:rsidR="00536BE9" w:rsidRDefault="00536BE9" w:rsidP="00536BE9">
      <w:pPr>
        <w:rPr>
          <w:rFonts w:cs="Arial"/>
          <w:color w:val="000000" w:themeColor="text1"/>
          <w:lang w:val="en-US"/>
        </w:rPr>
      </w:pPr>
    </w:p>
    <w:p w14:paraId="705AF5E2" w14:textId="77777777" w:rsidR="00536BE9" w:rsidRDefault="00536BE9" w:rsidP="00536BE9">
      <w:pPr>
        <w:rPr>
          <w:rFonts w:cs="Arial"/>
          <w:color w:val="000000" w:themeColor="text1"/>
          <w:lang w:val="en-US"/>
        </w:rPr>
      </w:pPr>
    </w:p>
    <w:p w14:paraId="18619077" w14:textId="77777777" w:rsidR="00536BE9" w:rsidRDefault="00536BE9" w:rsidP="00536BE9">
      <w:pPr>
        <w:rPr>
          <w:rFonts w:cs="Arial"/>
          <w:color w:val="000000" w:themeColor="text1"/>
          <w:lang w:val="en-US"/>
        </w:rPr>
      </w:pPr>
    </w:p>
    <w:p w14:paraId="1CF1400B" w14:textId="77777777" w:rsidR="00536BE9" w:rsidRDefault="00536BE9" w:rsidP="00536BE9">
      <w:pPr>
        <w:rPr>
          <w:rFonts w:cs="Arial"/>
          <w:color w:val="000000" w:themeColor="text1"/>
          <w:lang w:val="en-US"/>
        </w:rPr>
      </w:pPr>
    </w:p>
    <w:p w14:paraId="29BD2006" w14:textId="77777777" w:rsidR="00536BE9" w:rsidRDefault="00536BE9" w:rsidP="00536BE9">
      <w:pPr>
        <w:rPr>
          <w:rFonts w:cs="Arial"/>
          <w:color w:val="000000" w:themeColor="text1"/>
          <w:lang w:val="en-US"/>
        </w:rPr>
      </w:pPr>
    </w:p>
    <w:p w14:paraId="3B6622A2" w14:textId="77777777" w:rsidR="00536BE9" w:rsidRDefault="00536BE9" w:rsidP="00536BE9">
      <w:pPr>
        <w:rPr>
          <w:rFonts w:cs="Arial"/>
          <w:color w:val="000000" w:themeColor="text1"/>
          <w:lang w:val="en-US"/>
        </w:rPr>
      </w:pPr>
    </w:p>
    <w:p w14:paraId="6194F6A5" w14:textId="77777777" w:rsidR="00536BE9" w:rsidRDefault="00536BE9" w:rsidP="00536BE9">
      <w:pPr>
        <w:rPr>
          <w:rFonts w:cs="Arial"/>
          <w:color w:val="000000" w:themeColor="text1"/>
          <w:lang w:val="en-US"/>
        </w:rPr>
      </w:pPr>
    </w:p>
    <w:p w14:paraId="302D3530" w14:textId="77777777" w:rsidR="00536BE9" w:rsidRDefault="00536BE9" w:rsidP="00536BE9">
      <w:pPr>
        <w:rPr>
          <w:rFonts w:cs="Arial"/>
          <w:color w:val="000000" w:themeColor="text1"/>
          <w:lang w:val="en-US"/>
        </w:rPr>
      </w:pPr>
    </w:p>
    <w:p w14:paraId="7AA14BD2" w14:textId="77777777" w:rsidR="00DB730E" w:rsidRDefault="00DB730E" w:rsidP="00536BE9">
      <w:pPr>
        <w:rPr>
          <w:rFonts w:cs="Arial"/>
          <w:color w:val="000000" w:themeColor="text1"/>
          <w:lang w:val="en-US"/>
        </w:rPr>
        <w:sectPr w:rsidR="00DB730E" w:rsidSect="009D5041">
          <w:footerReference w:type="even" r:id="rId50"/>
          <w:footerReference w:type="default" r:id="rId51"/>
          <w:pgSz w:w="11906" w:h="16838"/>
          <w:pgMar w:top="1440" w:right="1440" w:bottom="1440" w:left="1440" w:header="708" w:footer="708" w:gutter="0"/>
          <w:cols w:space="708"/>
          <w:titlePg/>
          <w:docGrid w:linePitch="360"/>
        </w:sectPr>
      </w:pPr>
    </w:p>
    <w:p w14:paraId="277EEA0A" w14:textId="6F10BB64" w:rsidR="00536BE9" w:rsidRPr="00840466" w:rsidRDefault="00536BE9" w:rsidP="00840466">
      <w:pPr>
        <w:pStyle w:val="Heading1"/>
      </w:pPr>
      <w:bookmarkStart w:id="59" w:name="_Toc177730843"/>
      <w:r w:rsidRPr="00840466">
        <w:lastRenderedPageBreak/>
        <w:t>Comparison Tables</w:t>
      </w:r>
      <w:bookmarkEnd w:id="59"/>
    </w:p>
    <w:p w14:paraId="2CFA0832" w14:textId="0DC8DA71" w:rsidR="00536BE9" w:rsidRPr="003064C5" w:rsidRDefault="003064C5" w:rsidP="003064C5">
      <w:pPr>
        <w:pStyle w:val="Caption"/>
        <w:keepNext/>
      </w:pPr>
      <w:bookmarkStart w:id="60" w:name="_Toc177725000"/>
      <w:bookmarkStart w:id="61" w:name="_Toc177727320"/>
      <w:r w:rsidRPr="001C6249">
        <w:rPr>
          <w:b/>
          <w:bCs/>
        </w:rPr>
        <w:t xml:space="preserve">Table </w:t>
      </w:r>
      <w:r w:rsidR="00627239" w:rsidRPr="001C6249">
        <w:rPr>
          <w:b/>
          <w:bCs/>
        </w:rPr>
        <w:fldChar w:fldCharType="begin"/>
      </w:r>
      <w:r w:rsidR="00627239" w:rsidRPr="001C6249">
        <w:rPr>
          <w:b/>
          <w:bCs/>
        </w:rPr>
        <w:instrText xml:space="preserve"> SEQ Table \* ARABIC </w:instrText>
      </w:r>
      <w:r w:rsidR="00627239" w:rsidRPr="001C6249">
        <w:rPr>
          <w:b/>
          <w:bCs/>
        </w:rPr>
        <w:fldChar w:fldCharType="separate"/>
      </w:r>
      <w:r w:rsidR="00303407">
        <w:rPr>
          <w:b/>
          <w:bCs/>
          <w:noProof/>
        </w:rPr>
        <w:t>2</w:t>
      </w:r>
      <w:r w:rsidR="00627239" w:rsidRPr="001C6249">
        <w:rPr>
          <w:b/>
          <w:bCs/>
          <w:noProof/>
        </w:rPr>
        <w:fldChar w:fldCharType="end"/>
      </w:r>
      <w:r w:rsidRPr="001C6249">
        <w:rPr>
          <w:b/>
          <w:bCs/>
        </w:rPr>
        <w:t>.</w:t>
      </w:r>
      <w:r w:rsidRPr="001B4387">
        <w:t xml:space="preserve"> Comparison of Early Childhood Intervention Frameworks in six Jurisdictions</w:t>
      </w:r>
      <w:bookmarkEnd w:id="60"/>
      <w:bookmarkEnd w:id="61"/>
    </w:p>
    <w:tbl>
      <w:tblPr>
        <w:tblStyle w:val="UniofMelTable3"/>
        <w:tblpPr w:leftFromText="180" w:rightFromText="180" w:vertAnchor="text" w:tblpX="-34" w:tblpY="1"/>
        <w:tblW w:w="14312" w:type="dxa"/>
        <w:tblLayout w:type="fixed"/>
        <w:tblLook w:val="0400" w:firstRow="0" w:lastRow="0" w:firstColumn="0" w:lastColumn="0" w:noHBand="0" w:noVBand="1"/>
      </w:tblPr>
      <w:tblGrid>
        <w:gridCol w:w="1199"/>
        <w:gridCol w:w="2185"/>
        <w:gridCol w:w="2186"/>
        <w:gridCol w:w="2185"/>
        <w:gridCol w:w="2186"/>
        <w:gridCol w:w="2185"/>
        <w:gridCol w:w="2186"/>
      </w:tblGrid>
      <w:tr w:rsidR="00EE6994" w:rsidRPr="00591073" w14:paraId="00D4CAFF" w14:textId="77777777" w:rsidTr="00EE6994">
        <w:trPr>
          <w:cnfStyle w:val="000000010000" w:firstRow="0" w:lastRow="0" w:firstColumn="0" w:lastColumn="0" w:oddVBand="0" w:evenVBand="0" w:oddHBand="0" w:evenHBand="1" w:firstRowFirstColumn="0" w:firstRowLastColumn="0" w:lastRowFirstColumn="0" w:lastRowLastColumn="0"/>
          <w:trHeight w:val="239"/>
          <w:tblHeader/>
        </w:trPr>
        <w:tc>
          <w:tcPr>
            <w:tcW w:w="1199" w:type="dxa"/>
            <w:shd w:val="clear" w:color="auto" w:fill="0C2C74"/>
          </w:tcPr>
          <w:p w14:paraId="19544C77" w14:textId="77777777" w:rsidR="00EE6994" w:rsidRPr="00EE6994" w:rsidRDefault="00EE6994">
            <w:pPr>
              <w:keepNext/>
              <w:widowControl w:val="0"/>
              <w:rPr>
                <w:rFonts w:cs="Arial"/>
                <w:b/>
              </w:rPr>
            </w:pPr>
          </w:p>
        </w:tc>
        <w:tc>
          <w:tcPr>
            <w:tcW w:w="2185" w:type="dxa"/>
            <w:shd w:val="clear" w:color="auto" w:fill="0C2C74"/>
          </w:tcPr>
          <w:p w14:paraId="52061E7D" w14:textId="77777777" w:rsidR="00EE6994" w:rsidRPr="00EE6994" w:rsidRDefault="00EE6994">
            <w:pPr>
              <w:keepNext/>
              <w:widowControl w:val="0"/>
              <w:rPr>
                <w:rFonts w:cs="Arial"/>
                <w:b/>
              </w:rPr>
            </w:pPr>
            <w:r w:rsidRPr="00EE6994">
              <w:rPr>
                <w:rFonts w:cs="Arial"/>
                <w:b/>
              </w:rPr>
              <w:t>Aboriginal and Torres Strait Islander</w:t>
            </w:r>
          </w:p>
        </w:tc>
        <w:tc>
          <w:tcPr>
            <w:tcW w:w="2186" w:type="dxa"/>
            <w:shd w:val="clear" w:color="auto" w:fill="0C2C74"/>
          </w:tcPr>
          <w:p w14:paraId="4FCC7029" w14:textId="77777777" w:rsidR="00EE6994" w:rsidRPr="00EE6994" w:rsidRDefault="00EE6994">
            <w:pPr>
              <w:keepNext/>
              <w:widowControl w:val="0"/>
              <w:rPr>
                <w:rFonts w:cs="Arial"/>
                <w:b/>
              </w:rPr>
            </w:pPr>
            <w:r w:rsidRPr="00EE6994">
              <w:rPr>
                <w:rFonts w:cs="Arial"/>
                <w:b/>
              </w:rPr>
              <w:t>Australia</w:t>
            </w:r>
          </w:p>
        </w:tc>
        <w:tc>
          <w:tcPr>
            <w:tcW w:w="2185" w:type="dxa"/>
            <w:shd w:val="clear" w:color="auto" w:fill="0C2C74"/>
          </w:tcPr>
          <w:p w14:paraId="70F7AB0F" w14:textId="77777777" w:rsidR="00EE6994" w:rsidRPr="00EE6994" w:rsidRDefault="00EE6994">
            <w:pPr>
              <w:keepNext/>
              <w:widowControl w:val="0"/>
              <w:rPr>
                <w:rFonts w:cs="Arial"/>
                <w:b/>
              </w:rPr>
            </w:pPr>
            <w:r w:rsidRPr="00EE6994">
              <w:rPr>
                <w:rFonts w:cs="Arial"/>
                <w:b/>
              </w:rPr>
              <w:t>Europe</w:t>
            </w:r>
          </w:p>
        </w:tc>
        <w:tc>
          <w:tcPr>
            <w:tcW w:w="2186" w:type="dxa"/>
            <w:shd w:val="clear" w:color="auto" w:fill="0C2C74"/>
          </w:tcPr>
          <w:p w14:paraId="686A5A4E" w14:textId="77777777" w:rsidR="00EE6994" w:rsidRPr="00EE6994" w:rsidRDefault="00EE6994">
            <w:pPr>
              <w:keepNext/>
              <w:widowControl w:val="0"/>
              <w:rPr>
                <w:rFonts w:cs="Arial"/>
                <w:b/>
              </w:rPr>
            </w:pPr>
            <w:r w:rsidRPr="00EE6994">
              <w:rPr>
                <w:rFonts w:cs="Arial"/>
                <w:b/>
              </w:rPr>
              <w:t>New Zealand</w:t>
            </w:r>
          </w:p>
        </w:tc>
        <w:tc>
          <w:tcPr>
            <w:tcW w:w="2185" w:type="dxa"/>
            <w:shd w:val="clear" w:color="auto" w:fill="0C2C74"/>
          </w:tcPr>
          <w:p w14:paraId="531745EA" w14:textId="77777777" w:rsidR="00EE6994" w:rsidRPr="00EE6994" w:rsidRDefault="00EE6994">
            <w:pPr>
              <w:keepNext/>
              <w:widowControl w:val="0"/>
              <w:rPr>
                <w:rFonts w:cs="Arial"/>
                <w:b/>
              </w:rPr>
            </w:pPr>
            <w:r w:rsidRPr="00EE6994">
              <w:rPr>
                <w:rFonts w:cs="Arial"/>
                <w:b/>
              </w:rPr>
              <w:t xml:space="preserve">UK - England </w:t>
            </w:r>
          </w:p>
        </w:tc>
        <w:tc>
          <w:tcPr>
            <w:tcW w:w="2186" w:type="dxa"/>
            <w:shd w:val="clear" w:color="auto" w:fill="0C2C74"/>
          </w:tcPr>
          <w:p w14:paraId="3EE20B35" w14:textId="77777777" w:rsidR="00EE6994" w:rsidRPr="00EE6994" w:rsidRDefault="00EE6994">
            <w:pPr>
              <w:keepNext/>
              <w:widowControl w:val="0"/>
              <w:rPr>
                <w:rFonts w:cs="Arial"/>
                <w:b/>
              </w:rPr>
            </w:pPr>
            <w:r w:rsidRPr="00EE6994">
              <w:rPr>
                <w:rFonts w:cs="Arial"/>
                <w:b/>
              </w:rPr>
              <w:t>USA</w:t>
            </w:r>
          </w:p>
        </w:tc>
      </w:tr>
      <w:tr w:rsidR="00EE6994" w:rsidRPr="00591073" w14:paraId="5554358E" w14:textId="77777777">
        <w:trPr>
          <w:cnfStyle w:val="000000100000" w:firstRow="0" w:lastRow="0" w:firstColumn="0" w:lastColumn="0" w:oddVBand="0" w:evenVBand="0" w:oddHBand="1" w:evenHBand="0" w:firstRowFirstColumn="0" w:firstRowLastColumn="0" w:lastRowFirstColumn="0" w:lastRowLastColumn="0"/>
          <w:trHeight w:val="239"/>
        </w:trPr>
        <w:tc>
          <w:tcPr>
            <w:tcW w:w="1199" w:type="dxa"/>
          </w:tcPr>
          <w:p w14:paraId="7E7C4AD6" w14:textId="77777777" w:rsidR="00EE6994" w:rsidRPr="00EE6994" w:rsidRDefault="00EE6994">
            <w:pPr>
              <w:keepNext/>
              <w:widowControl w:val="0"/>
              <w:rPr>
                <w:rFonts w:cs="Arial"/>
                <w:b/>
              </w:rPr>
            </w:pPr>
            <w:r w:rsidRPr="00EE6994">
              <w:rPr>
                <w:rFonts w:cs="Arial"/>
                <w:b/>
              </w:rPr>
              <w:t>Key document</w:t>
            </w:r>
          </w:p>
          <w:p w14:paraId="014FE869" w14:textId="77777777" w:rsidR="00EE6994" w:rsidRPr="00EE6994" w:rsidRDefault="00EE6994">
            <w:pPr>
              <w:keepNext/>
              <w:widowControl w:val="0"/>
              <w:rPr>
                <w:rFonts w:cs="Arial"/>
                <w:b/>
              </w:rPr>
            </w:pPr>
          </w:p>
        </w:tc>
        <w:tc>
          <w:tcPr>
            <w:tcW w:w="2185" w:type="dxa"/>
          </w:tcPr>
          <w:p w14:paraId="7193BBF7" w14:textId="77777777" w:rsidR="00EE6994" w:rsidRPr="00EE6994" w:rsidRDefault="00EE6994">
            <w:pPr>
              <w:keepNext/>
              <w:widowControl w:val="0"/>
              <w:rPr>
                <w:rFonts w:cs="Arial"/>
                <w:i/>
              </w:rPr>
            </w:pPr>
            <w:r w:rsidRPr="00EE6994">
              <w:rPr>
                <w:rFonts w:cs="Arial"/>
                <w:i/>
              </w:rPr>
              <w:t>Framework to inform the development of a National Aboriginal and Torres Strait Islander Early Childhood Strategy</w:t>
            </w:r>
          </w:p>
          <w:p w14:paraId="4B9ED8EF" w14:textId="77777777" w:rsidR="00EE6994" w:rsidRPr="00EE6994" w:rsidRDefault="00EE6994">
            <w:pPr>
              <w:keepNext/>
              <w:widowControl w:val="0"/>
              <w:rPr>
                <w:rFonts w:cs="Arial"/>
                <w:i/>
              </w:rPr>
            </w:pPr>
            <w:r w:rsidRPr="00EE6994">
              <w:rPr>
                <w:rFonts w:cs="Arial"/>
                <w:i/>
              </w:rPr>
              <w:t xml:space="preserve">National Aboriginal and Torres Strait Early Childhood Strategy </w:t>
            </w:r>
          </w:p>
        </w:tc>
        <w:tc>
          <w:tcPr>
            <w:tcW w:w="2186" w:type="dxa"/>
          </w:tcPr>
          <w:p w14:paraId="27F524EA" w14:textId="77777777" w:rsidR="00EE6994" w:rsidRPr="00EE6994" w:rsidRDefault="00EE6994">
            <w:pPr>
              <w:keepNext/>
              <w:widowControl w:val="0"/>
              <w:rPr>
                <w:rFonts w:cs="Arial"/>
                <w:i/>
              </w:rPr>
            </w:pPr>
            <w:r w:rsidRPr="00EE6994">
              <w:rPr>
                <w:rFonts w:cs="Arial"/>
                <w:i/>
              </w:rPr>
              <w:t>National Guidelines: Best practice in Early Childhood Intervention</w:t>
            </w:r>
          </w:p>
        </w:tc>
        <w:tc>
          <w:tcPr>
            <w:tcW w:w="2185" w:type="dxa"/>
          </w:tcPr>
          <w:p w14:paraId="0295E18E" w14:textId="77777777" w:rsidR="00EE6994" w:rsidRPr="00EE6994" w:rsidRDefault="00EE6994">
            <w:pPr>
              <w:keepNext/>
              <w:widowControl w:val="0"/>
              <w:rPr>
                <w:rFonts w:cs="Arial"/>
                <w:i/>
              </w:rPr>
            </w:pPr>
            <w:r w:rsidRPr="00EE6994">
              <w:rPr>
                <w:rFonts w:cs="Arial"/>
                <w:i/>
              </w:rPr>
              <w:t>European Association on Early Childhood Intervention (Eurlyaid) Recommended Practices in Early Childhood Intervention</w:t>
            </w:r>
          </w:p>
        </w:tc>
        <w:tc>
          <w:tcPr>
            <w:tcW w:w="2186" w:type="dxa"/>
          </w:tcPr>
          <w:p w14:paraId="4AFAAF12" w14:textId="77777777" w:rsidR="00EE6994" w:rsidRPr="00EE6994" w:rsidRDefault="00EE6994">
            <w:pPr>
              <w:keepNext/>
              <w:widowControl w:val="0"/>
              <w:rPr>
                <w:rFonts w:cs="Arial"/>
                <w:i/>
              </w:rPr>
            </w:pPr>
            <w:r w:rsidRPr="00EE6994">
              <w:rPr>
                <w:rFonts w:cs="Arial"/>
                <w:i/>
              </w:rPr>
              <w:t>He Pikuroa Practice Framework</w:t>
            </w:r>
          </w:p>
        </w:tc>
        <w:tc>
          <w:tcPr>
            <w:tcW w:w="2185" w:type="dxa"/>
          </w:tcPr>
          <w:p w14:paraId="0E1B1F02" w14:textId="77777777" w:rsidR="00EE6994" w:rsidRPr="00EE6994" w:rsidRDefault="00EE6994">
            <w:pPr>
              <w:keepNext/>
              <w:widowControl w:val="0"/>
              <w:rPr>
                <w:rFonts w:cs="Arial"/>
                <w:b/>
              </w:rPr>
            </w:pPr>
            <w:r w:rsidRPr="00EE6994">
              <w:rPr>
                <w:rFonts w:cs="Arial"/>
                <w:i/>
              </w:rPr>
              <w:t>Special Educational Needs and Disabilities (SEND) and Alternative Provision (AP) Improvement Plan ‘Right Support, Right Place, Right Time</w:t>
            </w:r>
            <w:r w:rsidRPr="00EE6994">
              <w:rPr>
                <w:rFonts w:cs="Arial"/>
                <w:b/>
              </w:rPr>
              <w:t>’</w:t>
            </w:r>
          </w:p>
          <w:p w14:paraId="4181558F" w14:textId="77777777" w:rsidR="00EE6994" w:rsidRPr="00EE6994" w:rsidRDefault="00EE6994">
            <w:pPr>
              <w:keepNext/>
              <w:widowControl w:val="0"/>
              <w:rPr>
                <w:rFonts w:cs="Arial"/>
                <w:b/>
              </w:rPr>
            </w:pPr>
          </w:p>
          <w:p w14:paraId="19BC33E1" w14:textId="77777777" w:rsidR="00EE6994" w:rsidRPr="00EE6994" w:rsidRDefault="00EE6994">
            <w:pPr>
              <w:keepNext/>
              <w:widowControl w:val="0"/>
              <w:rPr>
                <w:rFonts w:cs="Arial"/>
                <w:i/>
              </w:rPr>
            </w:pPr>
            <w:r w:rsidRPr="00EE6994">
              <w:rPr>
                <w:rFonts w:cs="Arial"/>
                <w:i/>
              </w:rPr>
              <w:t>Early years Foundation Stage Statutory Framework for Group and School-based providers: Setting the standards for learning, development and care for children from birth to five.</w:t>
            </w:r>
          </w:p>
          <w:p w14:paraId="641F0BEA" w14:textId="77777777" w:rsidR="00EE6994" w:rsidRPr="00EE6994" w:rsidRDefault="00EE6994">
            <w:pPr>
              <w:keepNext/>
              <w:widowControl w:val="0"/>
              <w:rPr>
                <w:rFonts w:cs="Arial"/>
                <w:i/>
              </w:rPr>
            </w:pPr>
          </w:p>
        </w:tc>
        <w:tc>
          <w:tcPr>
            <w:tcW w:w="2186" w:type="dxa"/>
          </w:tcPr>
          <w:p w14:paraId="1618ED4C" w14:textId="77777777" w:rsidR="00EE6994" w:rsidRPr="00EE6994" w:rsidRDefault="00EE6994">
            <w:pPr>
              <w:keepNext/>
              <w:widowControl w:val="0"/>
              <w:rPr>
                <w:rFonts w:cs="Arial"/>
                <w:b/>
              </w:rPr>
            </w:pPr>
            <w:r w:rsidRPr="00EE6994">
              <w:rPr>
                <w:rFonts w:cs="Arial"/>
                <w:i/>
              </w:rPr>
              <w:t>Division for Early Childhood Recommended Practices in Early Intervention and Early Childhood Special Education</w:t>
            </w:r>
          </w:p>
        </w:tc>
      </w:tr>
      <w:tr w:rsidR="00EE6994" w:rsidRPr="00591073" w14:paraId="6F76CDAC" w14:textId="77777777">
        <w:trPr>
          <w:cnfStyle w:val="000000010000" w:firstRow="0" w:lastRow="0" w:firstColumn="0" w:lastColumn="0" w:oddVBand="0" w:evenVBand="0" w:oddHBand="0" w:evenHBand="1" w:firstRowFirstColumn="0" w:firstRowLastColumn="0" w:lastRowFirstColumn="0" w:lastRowLastColumn="0"/>
          <w:trHeight w:val="239"/>
        </w:trPr>
        <w:tc>
          <w:tcPr>
            <w:tcW w:w="1199" w:type="dxa"/>
          </w:tcPr>
          <w:p w14:paraId="1A97643A" w14:textId="77777777" w:rsidR="00EE6994" w:rsidRPr="00EE6994" w:rsidRDefault="00EE6994">
            <w:pPr>
              <w:keepNext/>
              <w:widowControl w:val="0"/>
              <w:rPr>
                <w:rFonts w:cs="Arial"/>
                <w:b/>
              </w:rPr>
            </w:pPr>
            <w:r w:rsidRPr="00EE6994">
              <w:rPr>
                <w:rFonts w:cs="Arial"/>
                <w:b/>
              </w:rPr>
              <w:t>What is the aim of early childhood intervention?</w:t>
            </w:r>
          </w:p>
        </w:tc>
        <w:tc>
          <w:tcPr>
            <w:tcW w:w="2185" w:type="dxa"/>
          </w:tcPr>
          <w:p w14:paraId="3CECBE2B" w14:textId="77777777" w:rsidR="00EE6994" w:rsidRPr="00EE6994" w:rsidRDefault="00EE6994">
            <w:pPr>
              <w:keepNext/>
              <w:widowControl w:val="0"/>
              <w:rPr>
                <w:rFonts w:cs="Arial"/>
              </w:rPr>
            </w:pPr>
            <w:r w:rsidRPr="00EE6994">
              <w:rPr>
                <w:rFonts w:cs="Arial"/>
              </w:rPr>
              <w:t xml:space="preserve">There is no definition of ECI in the Strategy. </w:t>
            </w:r>
          </w:p>
          <w:p w14:paraId="61483AD4" w14:textId="77777777" w:rsidR="00EE6994" w:rsidRPr="00EE6994" w:rsidRDefault="00EE6994">
            <w:pPr>
              <w:keepNext/>
              <w:widowControl w:val="0"/>
              <w:rPr>
                <w:rFonts w:cs="Arial"/>
                <w:i/>
              </w:rPr>
            </w:pPr>
            <w:r w:rsidRPr="00EE6994">
              <w:rPr>
                <w:rFonts w:cs="Arial"/>
              </w:rPr>
              <w:t xml:space="preserve">The Strategy aims to positively impact all aspects of Aboriginal and Torres Strait </w:t>
            </w:r>
            <w:r w:rsidRPr="00EE6994">
              <w:rPr>
                <w:rFonts w:cs="Arial"/>
              </w:rPr>
              <w:lastRenderedPageBreak/>
              <w:t>Islander children’s lives. It seeks to heal and respond to trauma – and to empower families and communities to bring children up strong and healthy in their cultures.</w:t>
            </w:r>
          </w:p>
        </w:tc>
        <w:tc>
          <w:tcPr>
            <w:tcW w:w="2186" w:type="dxa"/>
          </w:tcPr>
          <w:p w14:paraId="2B05D499" w14:textId="77777777" w:rsidR="00EE6994" w:rsidRPr="00EE6994" w:rsidRDefault="00EE6994">
            <w:pPr>
              <w:keepNext/>
              <w:widowControl w:val="0"/>
              <w:rPr>
                <w:rFonts w:cs="Arial"/>
                <w:i/>
              </w:rPr>
            </w:pPr>
            <w:r w:rsidRPr="00EE6994">
              <w:rPr>
                <w:rFonts w:cs="Arial"/>
                <w:color w:val="000000"/>
                <w:highlight w:val="white"/>
              </w:rPr>
              <w:lastRenderedPageBreak/>
              <w:t xml:space="preserve">ECI is defined as the process of providing specialised support and services for infants and young children with disability </w:t>
            </w:r>
            <w:r w:rsidRPr="00EE6994">
              <w:rPr>
                <w:rFonts w:cs="Arial"/>
                <w:color w:val="000000"/>
                <w:highlight w:val="white"/>
              </w:rPr>
              <w:lastRenderedPageBreak/>
              <w:t>and/or developmental delay, and their families, in order to promote development, well-being and community participation.</w:t>
            </w:r>
          </w:p>
        </w:tc>
        <w:tc>
          <w:tcPr>
            <w:tcW w:w="2185" w:type="dxa"/>
          </w:tcPr>
          <w:p w14:paraId="19B9B58B" w14:textId="77777777" w:rsidR="00EE6994" w:rsidRPr="00EE6994" w:rsidRDefault="00EE6994">
            <w:pPr>
              <w:keepNext/>
              <w:widowControl w:val="0"/>
              <w:rPr>
                <w:rFonts w:cs="Arial"/>
                <w:i/>
              </w:rPr>
            </w:pPr>
            <w:r w:rsidRPr="00EE6994">
              <w:rPr>
                <w:rFonts w:cs="Arial"/>
              </w:rPr>
              <w:lastRenderedPageBreak/>
              <w:t xml:space="preserve">ECI is defined as a composite of services for very young children and their families, provided at their request at a </w:t>
            </w:r>
            <w:r w:rsidRPr="00EE6994">
              <w:rPr>
                <w:rFonts w:cs="Arial"/>
              </w:rPr>
              <w:lastRenderedPageBreak/>
              <w:t>certain time in a child’s life, covering any action undertaken when a child needs special support to a) ensure and enhance her/his personal development, b) strengthen the family’s own competencies, and c) promote the social inclusion of the family and the child. These actions are to be provided in the child’s natural setting, preferably at a local level, with a family-oriented and multi- dimensional teamwork approach.</w:t>
            </w:r>
          </w:p>
        </w:tc>
        <w:tc>
          <w:tcPr>
            <w:tcW w:w="2186" w:type="dxa"/>
          </w:tcPr>
          <w:p w14:paraId="047665AC" w14:textId="77777777" w:rsidR="00EE6994" w:rsidRPr="00EE6994" w:rsidRDefault="00EE6994">
            <w:pPr>
              <w:keepNext/>
              <w:widowControl w:val="0"/>
              <w:ind w:left="-11"/>
              <w:rPr>
                <w:rFonts w:cs="Arial"/>
                <w:highlight w:val="white"/>
              </w:rPr>
            </w:pPr>
            <w:r w:rsidRPr="00EE6994">
              <w:rPr>
                <w:rFonts w:cs="Arial"/>
                <w:highlight w:val="white"/>
              </w:rPr>
              <w:lastRenderedPageBreak/>
              <w:t>‘Learning support’ is sometimes used in preference to Early Childhood Intervention.</w:t>
            </w:r>
          </w:p>
          <w:p w14:paraId="4D273899" w14:textId="77777777" w:rsidR="00EE6994" w:rsidRPr="00EE6994" w:rsidRDefault="00EE6994">
            <w:pPr>
              <w:keepNext/>
              <w:widowControl w:val="0"/>
              <w:ind w:left="-11"/>
              <w:rPr>
                <w:rFonts w:cs="Arial"/>
                <w:highlight w:val="white"/>
              </w:rPr>
            </w:pPr>
          </w:p>
          <w:p w14:paraId="74B31980" w14:textId="77777777" w:rsidR="00EE6994" w:rsidRPr="00EE6994" w:rsidRDefault="00EE6994">
            <w:pPr>
              <w:keepNext/>
              <w:widowControl w:val="0"/>
              <w:ind w:left="-11"/>
              <w:rPr>
                <w:rFonts w:cs="Arial"/>
                <w:highlight w:val="white"/>
              </w:rPr>
            </w:pPr>
            <w:r w:rsidRPr="00EE6994">
              <w:rPr>
                <w:rFonts w:cs="Arial"/>
                <w:highlight w:val="white"/>
              </w:rPr>
              <w:t xml:space="preserve">Aim is to </w:t>
            </w:r>
            <w:r w:rsidRPr="00EE6994">
              <w:rPr>
                <w:rFonts w:cs="Arial"/>
                <w:color w:val="343433"/>
              </w:rPr>
              <w:t>enhance the learning outcomes and well-being of children by: </w:t>
            </w:r>
          </w:p>
          <w:p w14:paraId="15E62E20" w14:textId="77777777" w:rsidR="00EE6994" w:rsidRPr="00EE6994" w:rsidRDefault="00EE6994" w:rsidP="003B0B17">
            <w:pPr>
              <w:pStyle w:val="ListParagraph"/>
              <w:keepNext/>
              <w:widowControl w:val="0"/>
              <w:numPr>
                <w:ilvl w:val="0"/>
                <w:numId w:val="132"/>
              </w:numPr>
              <w:shd w:val="clear" w:color="auto" w:fill="FFFFFE"/>
              <w:spacing w:before="0"/>
              <w:rPr>
                <w:rFonts w:cs="Arial"/>
              </w:rPr>
            </w:pPr>
            <w:r w:rsidRPr="00EE6994">
              <w:rPr>
                <w:rFonts w:cs="Arial"/>
                <w:color w:val="343433"/>
              </w:rPr>
              <w:t>keeping mokopuna and their whānau at the centre of everything  </w:t>
            </w:r>
          </w:p>
          <w:p w14:paraId="3A844762" w14:textId="77777777" w:rsidR="00EE6994" w:rsidRPr="00EE6994" w:rsidRDefault="00EE6994" w:rsidP="003B0B17">
            <w:pPr>
              <w:pStyle w:val="ListParagraph"/>
              <w:keepNext/>
              <w:widowControl w:val="0"/>
              <w:numPr>
                <w:ilvl w:val="0"/>
                <w:numId w:val="132"/>
              </w:numPr>
              <w:shd w:val="clear" w:color="auto" w:fill="FFFFFE"/>
              <w:spacing w:before="0"/>
              <w:rPr>
                <w:rFonts w:cs="Arial"/>
              </w:rPr>
            </w:pPr>
            <w:r w:rsidRPr="00EE6994">
              <w:rPr>
                <w:rFonts w:cs="Arial"/>
                <w:color w:val="343433"/>
              </w:rPr>
              <w:t>focusing on strengths and potential</w:t>
            </w:r>
          </w:p>
          <w:p w14:paraId="7FB3588F" w14:textId="77777777" w:rsidR="00EE6994" w:rsidRPr="00EE6994" w:rsidRDefault="00EE6994" w:rsidP="003B0B17">
            <w:pPr>
              <w:pStyle w:val="ListParagraph"/>
              <w:keepNext/>
              <w:widowControl w:val="0"/>
              <w:numPr>
                <w:ilvl w:val="0"/>
                <w:numId w:val="132"/>
              </w:numPr>
              <w:shd w:val="clear" w:color="auto" w:fill="FFFFFE"/>
              <w:spacing w:before="0"/>
              <w:rPr>
                <w:rFonts w:cs="Arial"/>
              </w:rPr>
            </w:pPr>
            <w:r w:rsidRPr="00EE6994">
              <w:rPr>
                <w:rFonts w:cs="Arial"/>
                <w:color w:val="343433"/>
              </w:rPr>
              <w:t>respecting and building on the diversity of teams; expertise and knowledge</w:t>
            </w:r>
          </w:p>
          <w:p w14:paraId="1E595D9D" w14:textId="77777777" w:rsidR="00EE6994" w:rsidRPr="00EE6994" w:rsidRDefault="00EE6994" w:rsidP="003B0B17">
            <w:pPr>
              <w:pStyle w:val="ListParagraph"/>
              <w:keepNext/>
              <w:widowControl w:val="0"/>
              <w:numPr>
                <w:ilvl w:val="0"/>
                <w:numId w:val="132"/>
              </w:numPr>
              <w:shd w:val="clear" w:color="auto" w:fill="FFFFFE"/>
              <w:spacing w:before="0"/>
              <w:rPr>
                <w:rFonts w:cs="Arial"/>
              </w:rPr>
            </w:pPr>
            <w:r w:rsidRPr="00EE6994">
              <w:rPr>
                <w:rFonts w:cs="Arial"/>
                <w:color w:val="343433"/>
              </w:rPr>
              <w:t>using evidence-informed strategies</w:t>
            </w:r>
          </w:p>
          <w:p w14:paraId="656906A8" w14:textId="77777777" w:rsidR="00EE6994" w:rsidRPr="00EE6994" w:rsidRDefault="00EE6994" w:rsidP="003B0B17">
            <w:pPr>
              <w:pStyle w:val="ListParagraph"/>
              <w:keepNext/>
              <w:widowControl w:val="0"/>
              <w:numPr>
                <w:ilvl w:val="0"/>
                <w:numId w:val="132"/>
              </w:numPr>
              <w:spacing w:before="0"/>
              <w:rPr>
                <w:rFonts w:cs="Arial"/>
                <w:i/>
              </w:rPr>
            </w:pPr>
            <w:r w:rsidRPr="00EE6994">
              <w:rPr>
                <w:rFonts w:cs="Arial"/>
                <w:color w:val="343433"/>
              </w:rPr>
              <w:t>positioning learning supports as part of day-to-day teaching and learning.</w:t>
            </w:r>
          </w:p>
        </w:tc>
        <w:tc>
          <w:tcPr>
            <w:tcW w:w="2185" w:type="dxa"/>
          </w:tcPr>
          <w:p w14:paraId="093144D5" w14:textId="77777777" w:rsidR="00EE6994" w:rsidRPr="00EE6994" w:rsidRDefault="00EE6994">
            <w:pPr>
              <w:keepNext/>
              <w:widowControl w:val="0"/>
              <w:rPr>
                <w:rFonts w:cs="Arial"/>
                <w:highlight w:val="white"/>
              </w:rPr>
            </w:pPr>
            <w:r w:rsidRPr="00EE6994">
              <w:rPr>
                <w:rFonts w:cs="Arial"/>
              </w:rPr>
              <w:lastRenderedPageBreak/>
              <w:t xml:space="preserve">Early intervention is conceptualised as timely intervention but not necessarily in the early years. The term early childhood </w:t>
            </w:r>
            <w:r w:rsidRPr="00EE6994">
              <w:rPr>
                <w:rFonts w:cs="Arial"/>
              </w:rPr>
              <w:lastRenderedPageBreak/>
              <w:t>intervention as such is not defined</w:t>
            </w:r>
          </w:p>
        </w:tc>
        <w:tc>
          <w:tcPr>
            <w:tcW w:w="2186" w:type="dxa"/>
          </w:tcPr>
          <w:p w14:paraId="422A6523" w14:textId="77777777" w:rsidR="00EE6994" w:rsidRPr="00EE6994" w:rsidRDefault="00EE6994">
            <w:pPr>
              <w:keepNext/>
              <w:widowControl w:val="0"/>
              <w:rPr>
                <w:rFonts w:cs="Arial"/>
                <w:i/>
              </w:rPr>
            </w:pPr>
            <w:r w:rsidRPr="00EE6994">
              <w:rPr>
                <w:rFonts w:cs="Arial"/>
                <w:highlight w:val="white"/>
              </w:rPr>
              <w:lastRenderedPageBreak/>
              <w:t xml:space="preserve">The aim of ECI is to enable young children with disabilities to be active and successful participants during their early childhood </w:t>
            </w:r>
            <w:r w:rsidRPr="00EE6994">
              <w:rPr>
                <w:rFonts w:cs="Arial"/>
                <w:highlight w:val="white"/>
              </w:rPr>
              <w:lastRenderedPageBreak/>
              <w:t>years and in the future.</w:t>
            </w:r>
          </w:p>
        </w:tc>
      </w:tr>
      <w:tr w:rsidR="00EE6994" w:rsidRPr="00591073" w14:paraId="45B8812E" w14:textId="77777777">
        <w:trPr>
          <w:cnfStyle w:val="000000100000" w:firstRow="0" w:lastRow="0" w:firstColumn="0" w:lastColumn="0" w:oddVBand="0" w:evenVBand="0" w:oddHBand="1" w:evenHBand="0" w:firstRowFirstColumn="0" w:firstRowLastColumn="0" w:lastRowFirstColumn="0" w:lastRowLastColumn="0"/>
          <w:trHeight w:val="239"/>
        </w:trPr>
        <w:tc>
          <w:tcPr>
            <w:tcW w:w="1199" w:type="dxa"/>
          </w:tcPr>
          <w:p w14:paraId="3BBD3725" w14:textId="77777777" w:rsidR="00EE6994" w:rsidRPr="00EE6994" w:rsidRDefault="00EE6994">
            <w:pPr>
              <w:keepNext/>
              <w:widowControl w:val="0"/>
              <w:rPr>
                <w:rFonts w:cs="Arial"/>
                <w:b/>
              </w:rPr>
            </w:pPr>
            <w:r w:rsidRPr="00EE6994">
              <w:rPr>
                <w:rFonts w:cs="Arial"/>
                <w:b/>
              </w:rPr>
              <w:lastRenderedPageBreak/>
              <w:t>How is best practice defined?</w:t>
            </w:r>
          </w:p>
        </w:tc>
        <w:tc>
          <w:tcPr>
            <w:tcW w:w="2185" w:type="dxa"/>
          </w:tcPr>
          <w:p w14:paraId="64F9636D" w14:textId="77777777" w:rsidR="00EE6994" w:rsidRPr="00EE6994" w:rsidRDefault="00EE6994" w:rsidP="003B0B17">
            <w:pPr>
              <w:pStyle w:val="ListParagraph"/>
              <w:keepNext/>
              <w:widowControl w:val="0"/>
              <w:numPr>
                <w:ilvl w:val="0"/>
                <w:numId w:val="130"/>
              </w:numPr>
              <w:pBdr>
                <w:top w:val="nil"/>
                <w:left w:val="nil"/>
                <w:bottom w:val="nil"/>
                <w:right w:val="nil"/>
                <w:between w:val="nil"/>
              </w:pBdr>
              <w:spacing w:before="0"/>
              <w:ind w:left="330" w:hanging="270"/>
              <w:rPr>
                <w:rFonts w:cs="Arial"/>
                <w:color w:val="0F0D29"/>
              </w:rPr>
            </w:pPr>
            <w:r w:rsidRPr="00EE6994">
              <w:rPr>
                <w:rFonts w:cs="Arial"/>
                <w:color w:val="0F0D29"/>
              </w:rPr>
              <w:t xml:space="preserve">Adopting a holistic view of early development that place children at the centre. It encompasses physical, mental, </w:t>
            </w:r>
            <w:r w:rsidRPr="00EE6994">
              <w:rPr>
                <w:rFonts w:cs="Arial"/>
                <w:color w:val="0F0D29"/>
              </w:rPr>
              <w:lastRenderedPageBreak/>
              <w:t>cultural and spiritual health and addresses social, historical and political determinants including maternal and child health, housing, early education and care, disability, family, and parenting supports, ensuring child and family safety, and promoting cultural identity development.</w:t>
            </w:r>
          </w:p>
          <w:p w14:paraId="4E683665" w14:textId="77777777" w:rsidR="00EE6994" w:rsidRPr="00EE6994" w:rsidRDefault="00EE6994" w:rsidP="003B0B17">
            <w:pPr>
              <w:pStyle w:val="ListParagraph"/>
              <w:keepNext/>
              <w:widowControl w:val="0"/>
              <w:numPr>
                <w:ilvl w:val="0"/>
                <w:numId w:val="130"/>
              </w:numPr>
              <w:pBdr>
                <w:top w:val="nil"/>
                <w:left w:val="nil"/>
                <w:bottom w:val="nil"/>
                <w:right w:val="nil"/>
                <w:between w:val="nil"/>
              </w:pBdr>
              <w:spacing w:before="0"/>
              <w:ind w:left="330" w:hanging="270"/>
              <w:rPr>
                <w:rFonts w:cs="Arial"/>
                <w:color w:val="0F0D29"/>
              </w:rPr>
            </w:pPr>
            <w:r w:rsidRPr="00EE6994">
              <w:rPr>
                <w:rFonts w:cs="Arial"/>
                <w:color w:val="0F0D29"/>
              </w:rPr>
              <w:t>Self-determination at all levels of parents and communities that recognise the strengths, knowledge, creativity and endurance of Aboriginal and Torres Strait Islander peoples</w:t>
            </w:r>
          </w:p>
          <w:p w14:paraId="0EFBACD1" w14:textId="77777777" w:rsidR="00EE6994" w:rsidRPr="00EE6994" w:rsidRDefault="00EE6994" w:rsidP="003B0B17">
            <w:pPr>
              <w:pStyle w:val="ListParagraph"/>
              <w:keepNext/>
              <w:widowControl w:val="0"/>
              <w:numPr>
                <w:ilvl w:val="0"/>
                <w:numId w:val="130"/>
              </w:numPr>
              <w:pBdr>
                <w:top w:val="nil"/>
                <w:left w:val="nil"/>
                <w:bottom w:val="nil"/>
                <w:right w:val="nil"/>
                <w:between w:val="nil"/>
              </w:pBdr>
              <w:spacing w:before="0"/>
              <w:ind w:left="330" w:hanging="270"/>
              <w:rPr>
                <w:rFonts w:cs="Arial"/>
                <w:color w:val="0F0D29"/>
              </w:rPr>
            </w:pPr>
            <w:r w:rsidRPr="00EE6994">
              <w:rPr>
                <w:rFonts w:cs="Arial"/>
                <w:color w:val="0F0D29"/>
              </w:rPr>
              <w:t>Culturally valid understandings and evidence-</w:t>
            </w:r>
            <w:r w:rsidRPr="00EE6994">
              <w:rPr>
                <w:rFonts w:cs="Arial"/>
                <w:color w:val="0F0D29"/>
              </w:rPr>
              <w:lastRenderedPageBreak/>
              <w:t>based approaches must shape program design and service delivery.</w:t>
            </w:r>
          </w:p>
          <w:p w14:paraId="68218585" w14:textId="77777777" w:rsidR="00EE6994" w:rsidRPr="00EE6994" w:rsidRDefault="00EE6994" w:rsidP="003B0B17">
            <w:pPr>
              <w:pStyle w:val="ListParagraph"/>
              <w:keepNext/>
              <w:widowControl w:val="0"/>
              <w:numPr>
                <w:ilvl w:val="0"/>
                <w:numId w:val="130"/>
              </w:numPr>
              <w:pBdr>
                <w:top w:val="nil"/>
                <w:left w:val="nil"/>
                <w:bottom w:val="nil"/>
                <w:right w:val="nil"/>
                <w:between w:val="nil"/>
              </w:pBdr>
              <w:spacing w:before="0"/>
              <w:ind w:left="330" w:hanging="270"/>
              <w:rPr>
                <w:rFonts w:cs="Arial"/>
                <w:color w:val="0F0D29"/>
              </w:rPr>
            </w:pPr>
            <w:r w:rsidRPr="00EE6994">
              <w:rPr>
                <w:rFonts w:cs="Arial"/>
                <w:color w:val="0F0D29"/>
              </w:rPr>
              <w:t xml:space="preserve">Recognising the centrality of Aboriginal and Torres Strait Islander family and kinship as well as the broader concepts of family and the bonds of reciprocal affection, responsibility and sharing. </w:t>
            </w:r>
          </w:p>
          <w:p w14:paraId="690C36FA" w14:textId="77777777" w:rsidR="00EE6994" w:rsidRPr="00EE6994" w:rsidRDefault="00EE6994" w:rsidP="003B0B17">
            <w:pPr>
              <w:pStyle w:val="ListParagraph"/>
              <w:keepNext/>
              <w:widowControl w:val="0"/>
              <w:numPr>
                <w:ilvl w:val="0"/>
                <w:numId w:val="130"/>
              </w:numPr>
              <w:pBdr>
                <w:top w:val="nil"/>
                <w:left w:val="nil"/>
                <w:bottom w:val="nil"/>
                <w:right w:val="nil"/>
                <w:between w:val="nil"/>
              </w:pBdr>
              <w:spacing w:before="0"/>
              <w:ind w:left="330" w:hanging="270"/>
              <w:rPr>
                <w:rFonts w:cs="Arial"/>
                <w:color w:val="0F0D29"/>
              </w:rPr>
            </w:pPr>
            <w:r w:rsidRPr="00EE6994">
              <w:rPr>
                <w:rFonts w:cs="Arial"/>
                <w:color w:val="0F0D29"/>
              </w:rPr>
              <w:t>Respecting the human rights of Aboriginal and Torres Strait Islander people.</w:t>
            </w:r>
          </w:p>
          <w:p w14:paraId="14A5F1BC" w14:textId="77777777" w:rsidR="00EE6994" w:rsidRPr="00EE6994" w:rsidRDefault="00EE6994" w:rsidP="003B0B17">
            <w:pPr>
              <w:pStyle w:val="ListParagraph"/>
              <w:keepNext/>
              <w:widowControl w:val="0"/>
              <w:numPr>
                <w:ilvl w:val="0"/>
                <w:numId w:val="130"/>
              </w:numPr>
              <w:pBdr>
                <w:top w:val="nil"/>
                <w:left w:val="nil"/>
                <w:bottom w:val="nil"/>
                <w:right w:val="nil"/>
                <w:between w:val="nil"/>
              </w:pBdr>
              <w:spacing w:before="0"/>
              <w:ind w:left="330" w:hanging="270"/>
              <w:rPr>
                <w:rFonts w:cs="Arial"/>
                <w:color w:val="0F0D29"/>
              </w:rPr>
            </w:pPr>
            <w:r w:rsidRPr="00EE6994">
              <w:rPr>
                <w:rFonts w:cs="Arial"/>
                <w:color w:val="0F0D29"/>
              </w:rPr>
              <w:t>Supporting strength-based, locally led trauma-aware and healing-informed approaches</w:t>
            </w:r>
          </w:p>
        </w:tc>
        <w:tc>
          <w:tcPr>
            <w:tcW w:w="2186" w:type="dxa"/>
          </w:tcPr>
          <w:p w14:paraId="3D3775C4" w14:textId="77777777" w:rsidR="00EE6994" w:rsidRPr="00EE6994" w:rsidRDefault="00EE6994">
            <w:pPr>
              <w:keepNext/>
              <w:widowControl w:val="0"/>
              <w:rPr>
                <w:rFonts w:cs="Arial"/>
              </w:rPr>
            </w:pPr>
            <w:r w:rsidRPr="00EE6994">
              <w:rPr>
                <w:rFonts w:cs="Arial"/>
                <w:color w:val="000000"/>
              </w:rPr>
              <w:lastRenderedPageBreak/>
              <w:t xml:space="preserve">Evidence-based practice is a decision-making process that integrates the best available research evidence with family </w:t>
            </w:r>
            <w:r w:rsidRPr="00EE6994">
              <w:rPr>
                <w:rFonts w:cs="Arial"/>
                <w:color w:val="000000"/>
              </w:rPr>
              <w:lastRenderedPageBreak/>
              <w:t>and professional wisdom.</w:t>
            </w:r>
          </w:p>
        </w:tc>
        <w:tc>
          <w:tcPr>
            <w:tcW w:w="2185" w:type="dxa"/>
          </w:tcPr>
          <w:p w14:paraId="13ADAA16" w14:textId="77777777" w:rsidR="00EE6994" w:rsidRPr="00EE6994" w:rsidRDefault="00EE6994" w:rsidP="003B0B17">
            <w:pPr>
              <w:pStyle w:val="ListParagraph"/>
              <w:keepNext/>
              <w:widowControl w:val="0"/>
              <w:numPr>
                <w:ilvl w:val="0"/>
                <w:numId w:val="131"/>
              </w:numPr>
              <w:pBdr>
                <w:top w:val="nil"/>
                <w:left w:val="nil"/>
                <w:bottom w:val="nil"/>
                <w:right w:val="nil"/>
                <w:between w:val="nil"/>
              </w:pBdr>
              <w:spacing w:before="0"/>
              <w:rPr>
                <w:rFonts w:cs="Arial"/>
                <w:color w:val="0F0D29"/>
              </w:rPr>
            </w:pPr>
            <w:r w:rsidRPr="00EE6994">
              <w:rPr>
                <w:rFonts w:cs="Arial"/>
                <w:color w:val="0F0D29"/>
              </w:rPr>
              <w:lastRenderedPageBreak/>
              <w:t>The family-centred approach is at the centre of the definition of best practice, that includes:</w:t>
            </w:r>
          </w:p>
          <w:p w14:paraId="0862C538" w14:textId="77777777" w:rsidR="00EE6994" w:rsidRPr="00EE6994" w:rsidRDefault="00EE6994" w:rsidP="003B0B17">
            <w:pPr>
              <w:keepNext/>
              <w:widowControl w:val="0"/>
              <w:numPr>
                <w:ilvl w:val="0"/>
                <w:numId w:val="131"/>
              </w:numPr>
              <w:pBdr>
                <w:top w:val="nil"/>
                <w:left w:val="nil"/>
                <w:bottom w:val="nil"/>
                <w:right w:val="nil"/>
                <w:between w:val="nil"/>
              </w:pBdr>
              <w:spacing w:before="0"/>
              <w:rPr>
                <w:rFonts w:cs="Arial"/>
                <w:color w:val="000000"/>
              </w:rPr>
            </w:pPr>
            <w:r w:rsidRPr="00EE6994">
              <w:rPr>
                <w:rFonts w:cs="Arial"/>
                <w:color w:val="000000"/>
              </w:rPr>
              <w:lastRenderedPageBreak/>
              <w:t>intervention cycle and effective help-giving practices: Transdisciplinary practice </w:t>
            </w:r>
          </w:p>
          <w:p w14:paraId="5034A3CC" w14:textId="77777777" w:rsidR="00EE6994" w:rsidRPr="00EE6994" w:rsidRDefault="00EE6994" w:rsidP="003B0B17">
            <w:pPr>
              <w:keepNext/>
              <w:widowControl w:val="0"/>
              <w:numPr>
                <w:ilvl w:val="0"/>
                <w:numId w:val="131"/>
              </w:numPr>
              <w:pBdr>
                <w:top w:val="nil"/>
                <w:left w:val="nil"/>
                <w:bottom w:val="nil"/>
                <w:right w:val="nil"/>
                <w:between w:val="nil"/>
              </w:pBdr>
              <w:spacing w:before="0"/>
              <w:rPr>
                <w:rFonts w:cs="Arial"/>
                <w:color w:val="000000"/>
              </w:rPr>
            </w:pPr>
            <w:r w:rsidRPr="00EE6994">
              <w:rPr>
                <w:rFonts w:cs="Arial"/>
                <w:color w:val="000000"/>
              </w:rPr>
              <w:t>referral and First contacts </w:t>
            </w:r>
          </w:p>
          <w:p w14:paraId="0E7CBAA1" w14:textId="77777777" w:rsidR="00EE6994" w:rsidRPr="00EE6994" w:rsidRDefault="00EE6994" w:rsidP="003B0B17">
            <w:pPr>
              <w:keepNext/>
              <w:widowControl w:val="0"/>
              <w:numPr>
                <w:ilvl w:val="0"/>
                <w:numId w:val="131"/>
              </w:numPr>
              <w:pBdr>
                <w:top w:val="nil"/>
                <w:left w:val="nil"/>
                <w:bottom w:val="nil"/>
                <w:right w:val="nil"/>
                <w:between w:val="nil"/>
              </w:pBdr>
              <w:spacing w:before="0"/>
              <w:rPr>
                <w:rFonts w:cs="Arial"/>
                <w:color w:val="000000"/>
              </w:rPr>
            </w:pPr>
            <w:r w:rsidRPr="00EE6994">
              <w:rPr>
                <w:rFonts w:cs="Arial"/>
                <w:color w:val="000000"/>
              </w:rPr>
              <w:t>assessment: identification of concerns/priorities/resources of families; identification of child’s characteristics </w:t>
            </w:r>
          </w:p>
          <w:p w14:paraId="62106D15" w14:textId="77777777" w:rsidR="00EE6994" w:rsidRPr="00EE6994" w:rsidRDefault="00EE6994" w:rsidP="003B0B17">
            <w:pPr>
              <w:keepNext/>
              <w:widowControl w:val="0"/>
              <w:numPr>
                <w:ilvl w:val="0"/>
                <w:numId w:val="131"/>
              </w:numPr>
              <w:pBdr>
                <w:top w:val="nil"/>
                <w:left w:val="nil"/>
                <w:bottom w:val="nil"/>
                <w:right w:val="nil"/>
                <w:between w:val="nil"/>
              </w:pBdr>
              <w:spacing w:before="0"/>
              <w:rPr>
                <w:rFonts w:cs="Arial"/>
                <w:color w:val="000000"/>
              </w:rPr>
            </w:pPr>
            <w:r w:rsidRPr="00EE6994">
              <w:rPr>
                <w:rFonts w:cs="Arial"/>
                <w:color w:val="000000"/>
              </w:rPr>
              <w:t>development of individualised family service plan</w:t>
            </w:r>
          </w:p>
          <w:p w14:paraId="2B359A1E" w14:textId="77777777" w:rsidR="00EE6994" w:rsidRPr="00EE6994" w:rsidRDefault="00EE6994" w:rsidP="003B0B17">
            <w:pPr>
              <w:keepNext/>
              <w:widowControl w:val="0"/>
              <w:numPr>
                <w:ilvl w:val="0"/>
                <w:numId w:val="131"/>
              </w:numPr>
              <w:pBdr>
                <w:top w:val="nil"/>
                <w:left w:val="nil"/>
                <w:bottom w:val="nil"/>
                <w:right w:val="nil"/>
                <w:between w:val="nil"/>
              </w:pBdr>
              <w:spacing w:before="0"/>
              <w:rPr>
                <w:rFonts w:cs="Arial"/>
                <w:color w:val="000000"/>
              </w:rPr>
            </w:pPr>
            <w:r w:rsidRPr="00EE6994">
              <w:rPr>
                <w:rFonts w:cs="Arial"/>
                <w:color w:val="000000"/>
              </w:rPr>
              <w:t>implementation and monitoring intervention in the natural contexts of children </w:t>
            </w:r>
          </w:p>
          <w:p w14:paraId="4266426C" w14:textId="77777777" w:rsidR="00EE6994" w:rsidRPr="00EE6994" w:rsidRDefault="00EE6994" w:rsidP="003B0B17">
            <w:pPr>
              <w:keepNext/>
              <w:widowControl w:val="0"/>
              <w:numPr>
                <w:ilvl w:val="0"/>
                <w:numId w:val="131"/>
              </w:numPr>
              <w:pBdr>
                <w:top w:val="nil"/>
                <w:left w:val="nil"/>
                <w:bottom w:val="nil"/>
                <w:right w:val="nil"/>
                <w:between w:val="nil"/>
              </w:pBdr>
              <w:spacing w:before="0"/>
              <w:rPr>
                <w:rFonts w:cs="Arial"/>
                <w:color w:val="000000"/>
              </w:rPr>
            </w:pPr>
            <w:r w:rsidRPr="00EE6994">
              <w:rPr>
                <w:rFonts w:cs="Arial"/>
                <w:color w:val="000000"/>
              </w:rPr>
              <w:t>evaluation of outcomes and family satisfaction. </w:t>
            </w:r>
          </w:p>
          <w:p w14:paraId="680EF4AF" w14:textId="77777777" w:rsidR="00EE6994" w:rsidRPr="00EE6994" w:rsidRDefault="00EE6994" w:rsidP="003B0B17">
            <w:pPr>
              <w:keepNext/>
              <w:widowControl w:val="0"/>
              <w:numPr>
                <w:ilvl w:val="0"/>
                <w:numId w:val="131"/>
              </w:numPr>
              <w:pBdr>
                <w:top w:val="nil"/>
                <w:left w:val="nil"/>
                <w:bottom w:val="nil"/>
                <w:right w:val="nil"/>
                <w:between w:val="nil"/>
              </w:pBdr>
              <w:spacing w:before="0"/>
              <w:rPr>
                <w:rFonts w:cs="Arial"/>
                <w:color w:val="000000"/>
              </w:rPr>
            </w:pPr>
            <w:r w:rsidRPr="00EE6994">
              <w:rPr>
                <w:rFonts w:cs="Arial"/>
                <w:color w:val="000000"/>
              </w:rPr>
              <w:t>the transition process. </w:t>
            </w:r>
          </w:p>
          <w:p w14:paraId="20CDDA68" w14:textId="77777777" w:rsidR="00EE6994" w:rsidRPr="00EE6994" w:rsidRDefault="00EE6994">
            <w:pPr>
              <w:keepNext/>
              <w:widowControl w:val="0"/>
              <w:pBdr>
                <w:top w:val="nil"/>
                <w:left w:val="nil"/>
                <w:bottom w:val="nil"/>
                <w:right w:val="nil"/>
                <w:between w:val="nil"/>
              </w:pBdr>
              <w:ind w:left="180"/>
              <w:rPr>
                <w:rFonts w:cs="Arial"/>
                <w:color w:val="000000"/>
              </w:rPr>
            </w:pPr>
          </w:p>
        </w:tc>
        <w:tc>
          <w:tcPr>
            <w:tcW w:w="2186" w:type="dxa"/>
          </w:tcPr>
          <w:p w14:paraId="144092CA" w14:textId="77777777" w:rsidR="00EE6994" w:rsidRPr="00EE6994" w:rsidRDefault="00EE6994">
            <w:pPr>
              <w:keepNext/>
              <w:widowControl w:val="0"/>
              <w:rPr>
                <w:rFonts w:cs="Arial"/>
              </w:rPr>
            </w:pPr>
            <w:r w:rsidRPr="00EE6994">
              <w:rPr>
                <w:rFonts w:cs="Arial"/>
              </w:rPr>
              <w:lastRenderedPageBreak/>
              <w:t>Best practice is not clearly defined.</w:t>
            </w:r>
          </w:p>
          <w:p w14:paraId="0C4BFC0B" w14:textId="77777777" w:rsidR="00EE6994" w:rsidRPr="00EE6994" w:rsidRDefault="00EE6994">
            <w:pPr>
              <w:keepNext/>
              <w:widowControl w:val="0"/>
              <w:rPr>
                <w:rFonts w:cs="Arial"/>
              </w:rPr>
            </w:pPr>
          </w:p>
        </w:tc>
        <w:tc>
          <w:tcPr>
            <w:tcW w:w="2185" w:type="dxa"/>
          </w:tcPr>
          <w:p w14:paraId="5A10EF5C" w14:textId="77777777" w:rsidR="00EE6994" w:rsidRPr="00EE6994" w:rsidRDefault="00EE6994">
            <w:pPr>
              <w:keepNext/>
              <w:widowControl w:val="0"/>
              <w:rPr>
                <w:rFonts w:cs="Arial"/>
              </w:rPr>
            </w:pPr>
            <w:r w:rsidRPr="00EE6994">
              <w:rPr>
                <w:rFonts w:cs="Arial"/>
              </w:rPr>
              <w:t>Best practice is not clearly defined. The goal is to develop a system with National Standards for health, care and education.</w:t>
            </w:r>
          </w:p>
          <w:p w14:paraId="56BB938F" w14:textId="77777777" w:rsidR="00EE6994" w:rsidRPr="00EE6994" w:rsidRDefault="00EE6994">
            <w:pPr>
              <w:keepNext/>
              <w:widowControl w:val="0"/>
              <w:rPr>
                <w:rFonts w:cs="Arial"/>
              </w:rPr>
            </w:pPr>
            <w:r w:rsidRPr="00EE6994">
              <w:rPr>
                <w:rFonts w:cs="Arial"/>
              </w:rPr>
              <w:lastRenderedPageBreak/>
              <w:t>An Early Years Foundation Stage (EYFS) statutory framework is available for all children.</w:t>
            </w:r>
          </w:p>
          <w:p w14:paraId="7518A771" w14:textId="77777777" w:rsidR="00EE6994" w:rsidRPr="00EE6994" w:rsidRDefault="00EE6994">
            <w:pPr>
              <w:keepNext/>
              <w:widowControl w:val="0"/>
              <w:rPr>
                <w:rFonts w:cs="Arial"/>
              </w:rPr>
            </w:pPr>
          </w:p>
          <w:p w14:paraId="4DDC99BA" w14:textId="77777777" w:rsidR="00EE6994" w:rsidRPr="00EE6994" w:rsidRDefault="00EE6994">
            <w:pPr>
              <w:keepNext/>
              <w:widowControl w:val="0"/>
              <w:rPr>
                <w:rFonts w:cs="Arial"/>
              </w:rPr>
            </w:pPr>
            <w:r w:rsidRPr="00EE6994">
              <w:rPr>
                <w:rFonts w:cs="Arial"/>
              </w:rPr>
              <w:t>Child outcomes are identified according to typical developmental domains</w:t>
            </w:r>
          </w:p>
        </w:tc>
        <w:tc>
          <w:tcPr>
            <w:tcW w:w="2186" w:type="dxa"/>
          </w:tcPr>
          <w:p w14:paraId="23026231" w14:textId="77777777" w:rsidR="00EE6994" w:rsidRPr="00EE6994" w:rsidRDefault="00EE6994">
            <w:pPr>
              <w:keepNext/>
              <w:widowControl w:val="0"/>
              <w:rPr>
                <w:rFonts w:cs="Arial"/>
              </w:rPr>
            </w:pPr>
            <w:r w:rsidRPr="00EE6994">
              <w:rPr>
                <w:rFonts w:cs="Arial"/>
              </w:rPr>
              <w:lastRenderedPageBreak/>
              <w:t>Practices demonstrated to be effective and supported by evidence in the research literature.</w:t>
            </w:r>
          </w:p>
          <w:p w14:paraId="2D7DC1AD" w14:textId="77777777" w:rsidR="00EE6994" w:rsidRPr="00EE6994" w:rsidRDefault="00EE6994">
            <w:pPr>
              <w:keepNext/>
              <w:widowControl w:val="0"/>
              <w:rPr>
                <w:rFonts w:cs="Arial"/>
              </w:rPr>
            </w:pPr>
          </w:p>
          <w:p w14:paraId="4C7BD573" w14:textId="77777777" w:rsidR="00EE6994" w:rsidRPr="00EE6994" w:rsidRDefault="00EE6994">
            <w:pPr>
              <w:keepNext/>
              <w:widowControl w:val="0"/>
              <w:rPr>
                <w:rFonts w:cs="Arial"/>
              </w:rPr>
            </w:pPr>
            <w:r w:rsidRPr="00EE6994">
              <w:rPr>
                <w:rFonts w:cs="Arial"/>
              </w:rPr>
              <w:t>Child and family outcomes are clearly defined and measured.</w:t>
            </w:r>
          </w:p>
        </w:tc>
      </w:tr>
      <w:tr w:rsidR="00EE6994" w:rsidRPr="00591073" w14:paraId="7B3DC273" w14:textId="77777777">
        <w:trPr>
          <w:cnfStyle w:val="000000010000" w:firstRow="0" w:lastRow="0" w:firstColumn="0" w:lastColumn="0" w:oddVBand="0" w:evenVBand="0" w:oddHBand="0" w:evenHBand="1" w:firstRowFirstColumn="0" w:firstRowLastColumn="0" w:lastRowFirstColumn="0" w:lastRowLastColumn="0"/>
          <w:trHeight w:val="239"/>
        </w:trPr>
        <w:tc>
          <w:tcPr>
            <w:tcW w:w="1199" w:type="dxa"/>
          </w:tcPr>
          <w:p w14:paraId="5240AAD6" w14:textId="77777777" w:rsidR="00EE6994" w:rsidRPr="00EE6994" w:rsidRDefault="00EE6994">
            <w:pPr>
              <w:spacing w:line="276" w:lineRule="auto"/>
              <w:rPr>
                <w:rFonts w:cs="Arial"/>
                <w:b/>
              </w:rPr>
            </w:pPr>
            <w:r w:rsidRPr="00EE6994">
              <w:rPr>
                <w:rFonts w:cs="Arial"/>
                <w:b/>
              </w:rPr>
              <w:lastRenderedPageBreak/>
              <w:t xml:space="preserve">To whom does the </w:t>
            </w:r>
            <w:r w:rsidRPr="00EE6994">
              <w:rPr>
                <w:rFonts w:cs="Arial"/>
                <w:b/>
              </w:rPr>
              <w:lastRenderedPageBreak/>
              <w:t>framework apply? </w:t>
            </w:r>
          </w:p>
        </w:tc>
        <w:tc>
          <w:tcPr>
            <w:tcW w:w="2185" w:type="dxa"/>
          </w:tcPr>
          <w:p w14:paraId="15E6A784" w14:textId="77777777" w:rsidR="00EE6994" w:rsidRPr="00EE6994" w:rsidRDefault="00EE6994">
            <w:pPr>
              <w:rPr>
                <w:rFonts w:cs="Arial"/>
                <w:highlight w:val="white"/>
              </w:rPr>
            </w:pPr>
            <w:r w:rsidRPr="00EE6994">
              <w:rPr>
                <w:rFonts w:cs="Arial"/>
              </w:rPr>
              <w:lastRenderedPageBreak/>
              <w:t xml:space="preserve">The Framework and Strategy aim to benefit Aboriginal and </w:t>
            </w:r>
            <w:r w:rsidRPr="00EE6994">
              <w:rPr>
                <w:rFonts w:cs="Arial"/>
              </w:rPr>
              <w:lastRenderedPageBreak/>
              <w:t>Torres Strait Islander peoples – in particular children, families and communities.</w:t>
            </w:r>
          </w:p>
        </w:tc>
        <w:tc>
          <w:tcPr>
            <w:tcW w:w="2186" w:type="dxa"/>
          </w:tcPr>
          <w:p w14:paraId="4CB52947" w14:textId="77777777" w:rsidR="00EE6994" w:rsidRPr="00EE6994" w:rsidRDefault="00EE6994">
            <w:pPr>
              <w:rPr>
                <w:rFonts w:cs="Arial"/>
                <w:highlight w:val="white"/>
              </w:rPr>
            </w:pPr>
            <w:r w:rsidRPr="00EE6994">
              <w:rPr>
                <w:rFonts w:cs="Arial"/>
              </w:rPr>
              <w:lastRenderedPageBreak/>
              <w:t>Australian ECI sector</w:t>
            </w:r>
          </w:p>
        </w:tc>
        <w:tc>
          <w:tcPr>
            <w:tcW w:w="2185" w:type="dxa"/>
          </w:tcPr>
          <w:p w14:paraId="5CFD56B8" w14:textId="77777777" w:rsidR="00EE6994" w:rsidRPr="00EE6994" w:rsidRDefault="00EE6994">
            <w:pPr>
              <w:rPr>
                <w:rFonts w:cs="Arial"/>
                <w:highlight w:val="white"/>
              </w:rPr>
            </w:pPr>
            <w:r w:rsidRPr="00EE6994">
              <w:rPr>
                <w:rFonts w:cs="Arial"/>
              </w:rPr>
              <w:t xml:space="preserve">ECI professionals and families of young </w:t>
            </w:r>
            <w:r w:rsidRPr="00EE6994">
              <w:rPr>
                <w:rFonts w:cs="Arial"/>
              </w:rPr>
              <w:lastRenderedPageBreak/>
              <w:t>children with special needs.</w:t>
            </w:r>
          </w:p>
        </w:tc>
        <w:tc>
          <w:tcPr>
            <w:tcW w:w="2186" w:type="dxa"/>
          </w:tcPr>
          <w:p w14:paraId="7DF4A715" w14:textId="77777777" w:rsidR="00EE6994" w:rsidRPr="00EE6994" w:rsidRDefault="00EE6994">
            <w:pPr>
              <w:rPr>
                <w:rFonts w:cs="Arial"/>
              </w:rPr>
            </w:pPr>
            <w:r w:rsidRPr="00EE6994">
              <w:rPr>
                <w:rFonts w:cs="Arial"/>
              </w:rPr>
              <w:lastRenderedPageBreak/>
              <w:t xml:space="preserve">Ministry of Education practitioners, Resource Teachers: </w:t>
            </w:r>
            <w:r w:rsidRPr="00EE6994">
              <w:rPr>
                <w:rFonts w:cs="Arial"/>
              </w:rPr>
              <w:lastRenderedPageBreak/>
              <w:t>Learning and Behaviour (RTLB) and Learning Support Practitioners. </w:t>
            </w:r>
          </w:p>
          <w:p w14:paraId="2DBAD375" w14:textId="77777777" w:rsidR="00EE6994" w:rsidRPr="00EE6994" w:rsidRDefault="00EE6994">
            <w:pPr>
              <w:rPr>
                <w:rFonts w:cs="Arial"/>
                <w:highlight w:val="white"/>
              </w:rPr>
            </w:pPr>
          </w:p>
        </w:tc>
        <w:tc>
          <w:tcPr>
            <w:tcW w:w="2185" w:type="dxa"/>
          </w:tcPr>
          <w:p w14:paraId="734EE886" w14:textId="77777777" w:rsidR="00EE6994" w:rsidRPr="00EE6994" w:rsidRDefault="00EE6994">
            <w:pPr>
              <w:rPr>
                <w:rFonts w:cs="Arial"/>
              </w:rPr>
            </w:pPr>
            <w:r w:rsidRPr="00EE6994">
              <w:rPr>
                <w:rFonts w:cs="Arial"/>
              </w:rPr>
              <w:lastRenderedPageBreak/>
              <w:t xml:space="preserve">SEND services are available to children </w:t>
            </w:r>
            <w:r w:rsidRPr="00EE6994">
              <w:rPr>
                <w:rFonts w:cs="Arial"/>
              </w:rPr>
              <w:lastRenderedPageBreak/>
              <w:t>and young people up to 25 years of age.</w:t>
            </w:r>
          </w:p>
          <w:p w14:paraId="353B3F49" w14:textId="77777777" w:rsidR="00EE6994" w:rsidRPr="00EE6994" w:rsidRDefault="00EE6994">
            <w:pPr>
              <w:rPr>
                <w:rFonts w:cs="Arial"/>
              </w:rPr>
            </w:pPr>
          </w:p>
          <w:p w14:paraId="3CF7AEDC" w14:textId="77777777" w:rsidR="00EE6994" w:rsidRPr="00EE6994" w:rsidRDefault="00EE6994">
            <w:pPr>
              <w:rPr>
                <w:rFonts w:cs="Arial"/>
              </w:rPr>
            </w:pPr>
            <w:r w:rsidRPr="00EE6994">
              <w:rPr>
                <w:rFonts w:cs="Arial"/>
              </w:rPr>
              <w:t>EYFS applies to birth to 5 years, including those with SEND.</w:t>
            </w:r>
          </w:p>
          <w:p w14:paraId="04FBF183" w14:textId="77777777" w:rsidR="00EE6994" w:rsidRPr="00EE6994" w:rsidRDefault="00EE6994">
            <w:pPr>
              <w:rPr>
                <w:rFonts w:cs="Arial"/>
                <w:highlight w:val="white"/>
              </w:rPr>
            </w:pPr>
            <w:r w:rsidRPr="00EE6994">
              <w:rPr>
                <w:rFonts w:cs="Arial"/>
              </w:rPr>
              <w:t>framework is for all group and school-based early years providers (teachers or</w:t>
            </w:r>
          </w:p>
        </w:tc>
        <w:tc>
          <w:tcPr>
            <w:tcW w:w="2186" w:type="dxa"/>
          </w:tcPr>
          <w:p w14:paraId="506CDBEC" w14:textId="77777777" w:rsidR="00EE6994" w:rsidRPr="00EE6994" w:rsidRDefault="00EE6994">
            <w:pPr>
              <w:rPr>
                <w:rFonts w:cs="Arial"/>
              </w:rPr>
            </w:pPr>
            <w:r w:rsidRPr="00EE6994">
              <w:rPr>
                <w:rFonts w:cs="Arial"/>
                <w:highlight w:val="white"/>
              </w:rPr>
              <w:lastRenderedPageBreak/>
              <w:t xml:space="preserve">Young children with disabilities, their families, and </w:t>
            </w:r>
            <w:r w:rsidRPr="00EE6994">
              <w:rPr>
                <w:rFonts w:cs="Arial"/>
                <w:highlight w:val="white"/>
              </w:rPr>
              <w:lastRenderedPageBreak/>
              <w:t>practitioners in early intervention/early childhood special education.</w:t>
            </w:r>
          </w:p>
        </w:tc>
      </w:tr>
      <w:tr w:rsidR="00EE6994" w:rsidRPr="00591073" w14:paraId="53765E54" w14:textId="77777777">
        <w:trPr>
          <w:cnfStyle w:val="000000100000" w:firstRow="0" w:lastRow="0" w:firstColumn="0" w:lastColumn="0" w:oddVBand="0" w:evenVBand="0" w:oddHBand="1" w:evenHBand="0" w:firstRowFirstColumn="0" w:firstRowLastColumn="0" w:lastRowFirstColumn="0" w:lastRowLastColumn="0"/>
          <w:trHeight w:val="423"/>
        </w:trPr>
        <w:tc>
          <w:tcPr>
            <w:tcW w:w="1199" w:type="dxa"/>
          </w:tcPr>
          <w:p w14:paraId="0B59AE31" w14:textId="77777777" w:rsidR="00EE6994" w:rsidRPr="00EE6994" w:rsidRDefault="00EE6994">
            <w:pPr>
              <w:spacing w:line="276" w:lineRule="auto"/>
              <w:rPr>
                <w:rFonts w:cs="Arial"/>
                <w:b/>
              </w:rPr>
            </w:pPr>
            <w:r w:rsidRPr="00EE6994">
              <w:rPr>
                <w:rFonts w:cs="Arial"/>
                <w:b/>
              </w:rPr>
              <w:lastRenderedPageBreak/>
              <w:t>To what extent are universal principles identified? </w:t>
            </w:r>
          </w:p>
        </w:tc>
        <w:tc>
          <w:tcPr>
            <w:tcW w:w="2185" w:type="dxa"/>
          </w:tcPr>
          <w:p w14:paraId="0A7C3D62" w14:textId="77777777" w:rsidR="00EE6994" w:rsidRPr="00EE6994" w:rsidRDefault="00EE6994" w:rsidP="003B0B17">
            <w:pPr>
              <w:pStyle w:val="ListParagraph"/>
              <w:numPr>
                <w:ilvl w:val="0"/>
                <w:numId w:val="118"/>
              </w:numPr>
              <w:pBdr>
                <w:top w:val="nil"/>
                <w:left w:val="nil"/>
                <w:bottom w:val="nil"/>
                <w:right w:val="nil"/>
                <w:between w:val="nil"/>
              </w:pBdr>
              <w:spacing w:before="0"/>
              <w:rPr>
                <w:rFonts w:cs="Arial"/>
                <w:color w:val="0F0D29"/>
              </w:rPr>
            </w:pPr>
            <w:r w:rsidRPr="00EE6994">
              <w:rPr>
                <w:rFonts w:cs="Arial"/>
                <w:color w:val="0F0D29"/>
              </w:rPr>
              <w:t>Applying a child-centred approach to the design of policies, programs and service systems</w:t>
            </w:r>
          </w:p>
          <w:p w14:paraId="5B4B9930" w14:textId="77777777" w:rsidR="00EE6994" w:rsidRPr="00EE6994" w:rsidRDefault="00EE6994" w:rsidP="003B0B17">
            <w:pPr>
              <w:pStyle w:val="ListParagraph"/>
              <w:numPr>
                <w:ilvl w:val="0"/>
                <w:numId w:val="118"/>
              </w:numPr>
              <w:pBdr>
                <w:top w:val="nil"/>
                <w:left w:val="nil"/>
                <w:bottom w:val="nil"/>
                <w:right w:val="nil"/>
                <w:between w:val="nil"/>
              </w:pBdr>
              <w:spacing w:before="0"/>
              <w:rPr>
                <w:rFonts w:cs="Arial"/>
                <w:color w:val="0F0D29"/>
              </w:rPr>
            </w:pPr>
            <w:r w:rsidRPr="00EE6994">
              <w:rPr>
                <w:rFonts w:cs="Arial"/>
                <w:color w:val="0F0D29"/>
              </w:rPr>
              <w:t>Protecting Aboriginal and Torres Strait Islander children’s right to thrive in culture</w:t>
            </w:r>
          </w:p>
          <w:p w14:paraId="7E40B64D" w14:textId="77777777" w:rsidR="00EE6994" w:rsidRPr="00EE6994" w:rsidRDefault="00EE6994" w:rsidP="003B0B17">
            <w:pPr>
              <w:pStyle w:val="ListParagraph"/>
              <w:numPr>
                <w:ilvl w:val="0"/>
                <w:numId w:val="118"/>
              </w:numPr>
              <w:pBdr>
                <w:top w:val="nil"/>
                <w:left w:val="nil"/>
                <w:bottom w:val="nil"/>
                <w:right w:val="nil"/>
                <w:between w:val="nil"/>
              </w:pBdr>
              <w:spacing w:before="0"/>
              <w:rPr>
                <w:rFonts w:cs="Arial"/>
                <w:color w:val="0F0D29"/>
              </w:rPr>
            </w:pPr>
            <w:r w:rsidRPr="00EE6994">
              <w:rPr>
                <w:rFonts w:cs="Arial"/>
                <w:color w:val="0F0D29"/>
              </w:rPr>
              <w:t>Building strong Aboriginal and Torres Strait Islander families</w:t>
            </w:r>
          </w:p>
          <w:p w14:paraId="139EAF72" w14:textId="77777777" w:rsidR="00EE6994" w:rsidRPr="00EE6994" w:rsidRDefault="00EE6994" w:rsidP="003B0B17">
            <w:pPr>
              <w:pStyle w:val="ListParagraph"/>
              <w:numPr>
                <w:ilvl w:val="0"/>
                <w:numId w:val="118"/>
              </w:numPr>
              <w:pBdr>
                <w:top w:val="nil"/>
                <w:left w:val="nil"/>
                <w:bottom w:val="nil"/>
                <w:right w:val="nil"/>
                <w:between w:val="nil"/>
              </w:pBdr>
              <w:spacing w:before="0"/>
              <w:rPr>
                <w:rFonts w:cs="Arial"/>
                <w:color w:val="0F0D29"/>
              </w:rPr>
            </w:pPr>
            <w:r w:rsidRPr="00EE6994">
              <w:rPr>
                <w:rFonts w:cs="Arial"/>
                <w:color w:val="0F0D29"/>
              </w:rPr>
              <w:lastRenderedPageBreak/>
              <w:t>Ensuring Aboriginal and Torres Strait Islander people are partners in shared decision making</w:t>
            </w:r>
          </w:p>
          <w:p w14:paraId="49BD6B7A" w14:textId="77777777" w:rsidR="00EE6994" w:rsidRPr="00EE6994" w:rsidRDefault="00EE6994" w:rsidP="003B0B17">
            <w:pPr>
              <w:pStyle w:val="ListParagraph"/>
              <w:numPr>
                <w:ilvl w:val="0"/>
                <w:numId w:val="118"/>
              </w:numPr>
              <w:pBdr>
                <w:top w:val="nil"/>
                <w:left w:val="nil"/>
                <w:bottom w:val="nil"/>
                <w:right w:val="nil"/>
                <w:between w:val="nil"/>
              </w:pBdr>
              <w:spacing w:before="0"/>
              <w:rPr>
                <w:rFonts w:cs="Arial"/>
                <w:color w:val="0F0D29"/>
              </w:rPr>
            </w:pPr>
            <w:r w:rsidRPr="00EE6994">
              <w:rPr>
                <w:rFonts w:cs="Arial"/>
                <w:color w:val="0F0D29"/>
              </w:rPr>
              <w:t>Eliminating systemic racism</w:t>
            </w:r>
          </w:p>
          <w:p w14:paraId="02D0F09B" w14:textId="77777777" w:rsidR="00EE6994" w:rsidRPr="00EE6994" w:rsidRDefault="00EE6994" w:rsidP="003B0B17">
            <w:pPr>
              <w:pStyle w:val="ListParagraph"/>
              <w:numPr>
                <w:ilvl w:val="0"/>
                <w:numId w:val="118"/>
              </w:numPr>
              <w:pBdr>
                <w:top w:val="nil"/>
                <w:left w:val="nil"/>
                <w:bottom w:val="nil"/>
                <w:right w:val="nil"/>
                <w:between w:val="nil"/>
              </w:pBdr>
              <w:spacing w:before="0"/>
              <w:rPr>
                <w:rFonts w:cs="Arial"/>
                <w:color w:val="0F0D29"/>
              </w:rPr>
            </w:pPr>
            <w:r w:rsidRPr="00EE6994">
              <w:rPr>
                <w:rFonts w:cs="Arial"/>
                <w:color w:val="0F0D29"/>
              </w:rPr>
              <w:t>Focusing on evidence-based design.</w:t>
            </w:r>
          </w:p>
          <w:p w14:paraId="24AB1026" w14:textId="77777777" w:rsidR="00EE6994" w:rsidRPr="00EE6994" w:rsidRDefault="00EE6994">
            <w:pPr>
              <w:ind w:left="240" w:hanging="180"/>
              <w:rPr>
                <w:rFonts w:cs="Arial"/>
              </w:rPr>
            </w:pPr>
          </w:p>
        </w:tc>
        <w:tc>
          <w:tcPr>
            <w:tcW w:w="2186" w:type="dxa"/>
          </w:tcPr>
          <w:p w14:paraId="5197513B"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lastRenderedPageBreak/>
              <w:t>Eight principles under four quality areas</w:t>
            </w:r>
          </w:p>
          <w:p w14:paraId="35142398" w14:textId="77777777" w:rsidR="00EE6994" w:rsidRPr="00EE6994" w:rsidRDefault="00EE6994">
            <w:pPr>
              <w:pBdr>
                <w:top w:val="nil"/>
                <w:left w:val="nil"/>
                <w:bottom w:val="nil"/>
                <w:right w:val="nil"/>
                <w:between w:val="nil"/>
              </w:pBdr>
              <w:rPr>
                <w:rFonts w:cs="Arial"/>
                <w:color w:val="000000"/>
                <w:u w:val="single"/>
              </w:rPr>
            </w:pPr>
            <w:r w:rsidRPr="00EE6994">
              <w:rPr>
                <w:rFonts w:cs="Arial"/>
                <w:color w:val="000000"/>
                <w:u w:val="single"/>
              </w:rPr>
              <w:t>Quality Area 1: Family </w:t>
            </w:r>
          </w:p>
          <w:p w14:paraId="60A64BEB"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t>1. Family-Centred and Strengths-Based Practice  </w:t>
            </w:r>
          </w:p>
          <w:p w14:paraId="66BB5E12"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t>2. Culturally Responsive Practice</w:t>
            </w:r>
          </w:p>
          <w:p w14:paraId="3D14C15D" w14:textId="77777777" w:rsidR="00EE6994" w:rsidRPr="00EE6994" w:rsidRDefault="00EE6994">
            <w:pPr>
              <w:pBdr>
                <w:top w:val="nil"/>
                <w:left w:val="nil"/>
                <w:bottom w:val="nil"/>
                <w:right w:val="nil"/>
                <w:between w:val="nil"/>
              </w:pBdr>
              <w:rPr>
                <w:rFonts w:cs="Arial"/>
                <w:color w:val="000000"/>
              </w:rPr>
            </w:pPr>
          </w:p>
          <w:p w14:paraId="604AEB0B" w14:textId="77777777" w:rsidR="00EE6994" w:rsidRPr="00EE6994" w:rsidRDefault="00EE6994">
            <w:pPr>
              <w:pBdr>
                <w:top w:val="nil"/>
                <w:left w:val="nil"/>
                <w:bottom w:val="nil"/>
                <w:right w:val="nil"/>
                <w:between w:val="nil"/>
              </w:pBdr>
              <w:rPr>
                <w:rFonts w:cs="Arial"/>
                <w:color w:val="000000"/>
                <w:u w:val="single"/>
              </w:rPr>
            </w:pPr>
            <w:r w:rsidRPr="00EE6994">
              <w:rPr>
                <w:rFonts w:cs="Arial"/>
                <w:color w:val="000000"/>
                <w:u w:val="single"/>
              </w:rPr>
              <w:t>Quality Area 2: Inclusion </w:t>
            </w:r>
          </w:p>
          <w:p w14:paraId="3527F22B"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t>3. Inclusive and Participatory Practice</w:t>
            </w:r>
          </w:p>
          <w:p w14:paraId="5882280C"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t>4. Engaging the Child in Natural Environments </w:t>
            </w:r>
          </w:p>
          <w:p w14:paraId="144738B1" w14:textId="77777777" w:rsidR="00EE6994" w:rsidRPr="00EE6994" w:rsidRDefault="00EE6994">
            <w:pPr>
              <w:pBdr>
                <w:top w:val="nil"/>
                <w:left w:val="nil"/>
                <w:bottom w:val="nil"/>
                <w:right w:val="nil"/>
                <w:between w:val="nil"/>
              </w:pBdr>
              <w:rPr>
                <w:rFonts w:cs="Arial"/>
                <w:color w:val="000000"/>
              </w:rPr>
            </w:pPr>
          </w:p>
          <w:p w14:paraId="0B569A19" w14:textId="77777777" w:rsidR="00EE6994" w:rsidRPr="00EE6994" w:rsidRDefault="00EE6994">
            <w:pPr>
              <w:pBdr>
                <w:top w:val="nil"/>
                <w:left w:val="nil"/>
                <w:bottom w:val="nil"/>
                <w:right w:val="nil"/>
                <w:between w:val="nil"/>
              </w:pBdr>
              <w:rPr>
                <w:rFonts w:cs="Arial"/>
                <w:color w:val="000000"/>
                <w:u w:val="single"/>
              </w:rPr>
            </w:pPr>
            <w:r w:rsidRPr="00EE6994">
              <w:rPr>
                <w:rFonts w:cs="Arial"/>
                <w:color w:val="000000"/>
                <w:u w:val="single"/>
              </w:rPr>
              <w:t>Quality Area 3: Teamwork </w:t>
            </w:r>
          </w:p>
          <w:p w14:paraId="1462629D"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t>5. Collaborative Teamwork Practice  </w:t>
            </w:r>
          </w:p>
          <w:p w14:paraId="1D6DD6FC"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t>6. Capacity-Building Practice  </w:t>
            </w:r>
          </w:p>
          <w:p w14:paraId="19DD52FF" w14:textId="77777777" w:rsidR="00EE6994" w:rsidRPr="00EE6994" w:rsidRDefault="00EE6994">
            <w:pPr>
              <w:pBdr>
                <w:top w:val="nil"/>
                <w:left w:val="nil"/>
                <w:bottom w:val="nil"/>
                <w:right w:val="nil"/>
                <w:between w:val="nil"/>
              </w:pBdr>
              <w:rPr>
                <w:rFonts w:cs="Arial"/>
                <w:color w:val="000000"/>
              </w:rPr>
            </w:pPr>
          </w:p>
          <w:p w14:paraId="5AC5C51F" w14:textId="77777777" w:rsidR="00EE6994" w:rsidRPr="00EE6994" w:rsidRDefault="00EE6994">
            <w:pPr>
              <w:pBdr>
                <w:top w:val="nil"/>
                <w:left w:val="nil"/>
                <w:bottom w:val="nil"/>
                <w:right w:val="nil"/>
                <w:between w:val="nil"/>
              </w:pBdr>
              <w:rPr>
                <w:rFonts w:cs="Arial"/>
                <w:color w:val="000000"/>
              </w:rPr>
            </w:pPr>
            <w:r w:rsidRPr="00EE6994">
              <w:rPr>
                <w:rFonts w:cs="Arial"/>
                <w:color w:val="000000"/>
                <w:u w:val="single"/>
              </w:rPr>
              <w:t>Quality Area 4:</w:t>
            </w:r>
            <w:r w:rsidRPr="00EE6994">
              <w:rPr>
                <w:rFonts w:cs="Arial"/>
                <w:color w:val="000000"/>
              </w:rPr>
              <w:t xml:space="preserve"> </w:t>
            </w:r>
            <w:r w:rsidRPr="00EE6994">
              <w:rPr>
                <w:rFonts w:cs="Arial"/>
                <w:color w:val="000000"/>
                <w:u w:val="single"/>
              </w:rPr>
              <w:t>Universal Principles</w:t>
            </w:r>
            <w:r w:rsidRPr="00EE6994">
              <w:rPr>
                <w:rFonts w:cs="Arial"/>
                <w:color w:val="000000"/>
              </w:rPr>
              <w:t> </w:t>
            </w:r>
          </w:p>
          <w:p w14:paraId="702810D9"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t>7. Evidence Base, Standards, Accountability and Practice  </w:t>
            </w:r>
          </w:p>
          <w:p w14:paraId="4C1B45D3"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t>8. Outcome Based Approach. </w:t>
            </w:r>
          </w:p>
          <w:p w14:paraId="4D528632" w14:textId="77777777" w:rsidR="00EE6994" w:rsidRPr="00EE6994" w:rsidRDefault="00EE6994">
            <w:pPr>
              <w:rPr>
                <w:rFonts w:cs="Arial"/>
              </w:rPr>
            </w:pPr>
          </w:p>
        </w:tc>
        <w:tc>
          <w:tcPr>
            <w:tcW w:w="2185" w:type="dxa"/>
          </w:tcPr>
          <w:p w14:paraId="71F2FE22" w14:textId="77777777" w:rsidR="00EE6994" w:rsidRPr="00EE6994" w:rsidRDefault="00EE6994" w:rsidP="003B0B17">
            <w:pPr>
              <w:pStyle w:val="ListParagraph"/>
              <w:numPr>
                <w:ilvl w:val="0"/>
                <w:numId w:val="117"/>
              </w:numPr>
              <w:pBdr>
                <w:top w:val="nil"/>
                <w:left w:val="nil"/>
                <w:bottom w:val="nil"/>
                <w:right w:val="nil"/>
                <w:between w:val="nil"/>
              </w:pBdr>
              <w:spacing w:before="0"/>
              <w:ind w:left="330" w:hanging="270"/>
              <w:rPr>
                <w:rFonts w:eastAsia="Calibri" w:cs="Arial"/>
                <w:color w:val="000000"/>
              </w:rPr>
            </w:pPr>
            <w:r w:rsidRPr="00EE6994">
              <w:rPr>
                <w:rFonts w:eastAsia="Calibri" w:cs="Arial"/>
                <w:color w:val="000000"/>
              </w:rPr>
              <w:lastRenderedPageBreak/>
              <w:t>The family is the key element in the decision-making process in the child’s care</w:t>
            </w:r>
          </w:p>
          <w:p w14:paraId="120C539E" w14:textId="77777777" w:rsidR="00EE6994" w:rsidRPr="00EE6994" w:rsidRDefault="00EE6994" w:rsidP="003B0B17">
            <w:pPr>
              <w:pStyle w:val="ListParagraph"/>
              <w:numPr>
                <w:ilvl w:val="0"/>
                <w:numId w:val="117"/>
              </w:numPr>
              <w:pBdr>
                <w:top w:val="nil"/>
                <w:left w:val="nil"/>
                <w:bottom w:val="nil"/>
                <w:right w:val="nil"/>
                <w:between w:val="nil"/>
              </w:pBdr>
              <w:spacing w:before="0"/>
              <w:ind w:left="330" w:hanging="270"/>
              <w:rPr>
                <w:rFonts w:eastAsia="Calibri" w:cs="Arial"/>
                <w:color w:val="000000"/>
              </w:rPr>
            </w:pPr>
            <w:r w:rsidRPr="00EE6994">
              <w:rPr>
                <w:rFonts w:eastAsia="Calibri" w:cs="Arial"/>
                <w:color w:val="000000"/>
              </w:rPr>
              <w:t>The intervention is built on the strengths of the child and the family</w:t>
            </w:r>
          </w:p>
          <w:p w14:paraId="7DF09236" w14:textId="77777777" w:rsidR="00EE6994" w:rsidRPr="00EE6994" w:rsidRDefault="00EE6994" w:rsidP="003B0B17">
            <w:pPr>
              <w:pStyle w:val="ListParagraph"/>
              <w:numPr>
                <w:ilvl w:val="0"/>
                <w:numId w:val="117"/>
              </w:numPr>
              <w:pBdr>
                <w:top w:val="nil"/>
                <w:left w:val="nil"/>
                <w:bottom w:val="nil"/>
                <w:right w:val="nil"/>
                <w:between w:val="nil"/>
              </w:pBdr>
              <w:spacing w:before="0"/>
              <w:ind w:left="330" w:hanging="270"/>
              <w:rPr>
                <w:rFonts w:eastAsia="Calibri" w:cs="Arial"/>
                <w:color w:val="000000"/>
              </w:rPr>
            </w:pPr>
            <w:r w:rsidRPr="00EE6994">
              <w:rPr>
                <w:rFonts w:eastAsia="Calibri" w:cs="Arial"/>
                <w:color w:val="000000"/>
              </w:rPr>
              <w:t>The whole family constitutes de intervention unit </w:t>
            </w:r>
          </w:p>
          <w:p w14:paraId="11261C34" w14:textId="77777777" w:rsidR="00EE6994" w:rsidRPr="00EE6994" w:rsidRDefault="00EE6994" w:rsidP="003B0B17">
            <w:pPr>
              <w:pStyle w:val="ListParagraph"/>
              <w:numPr>
                <w:ilvl w:val="0"/>
                <w:numId w:val="117"/>
              </w:numPr>
              <w:pBdr>
                <w:top w:val="nil"/>
                <w:left w:val="nil"/>
                <w:bottom w:val="nil"/>
                <w:right w:val="nil"/>
                <w:between w:val="nil"/>
              </w:pBdr>
              <w:spacing w:before="0"/>
              <w:ind w:left="330" w:hanging="270"/>
              <w:rPr>
                <w:rFonts w:eastAsia="Calibri" w:cs="Arial"/>
                <w:color w:val="000000"/>
              </w:rPr>
            </w:pPr>
            <w:r w:rsidRPr="00EE6994">
              <w:rPr>
                <w:rFonts w:eastAsia="Calibri" w:cs="Arial"/>
                <w:color w:val="000000"/>
              </w:rPr>
              <w:t>Professionals and families work in partnership and collaboration</w:t>
            </w:r>
          </w:p>
          <w:p w14:paraId="7E14B0A8" w14:textId="77777777" w:rsidR="00EE6994" w:rsidRPr="00EE6994" w:rsidRDefault="00EE6994" w:rsidP="003B0B17">
            <w:pPr>
              <w:pStyle w:val="ListParagraph"/>
              <w:numPr>
                <w:ilvl w:val="0"/>
                <w:numId w:val="117"/>
              </w:numPr>
              <w:pBdr>
                <w:top w:val="nil"/>
                <w:left w:val="nil"/>
                <w:bottom w:val="nil"/>
                <w:right w:val="nil"/>
                <w:between w:val="nil"/>
              </w:pBdr>
              <w:spacing w:before="0"/>
              <w:ind w:left="330" w:hanging="270"/>
              <w:rPr>
                <w:rFonts w:eastAsia="Calibri" w:cs="Arial"/>
                <w:color w:val="000000"/>
              </w:rPr>
            </w:pPr>
            <w:r w:rsidRPr="00EE6994">
              <w:rPr>
                <w:rFonts w:eastAsia="Calibri" w:cs="Arial"/>
                <w:color w:val="000000"/>
              </w:rPr>
              <w:t xml:space="preserve">The intervention responds to the priorities and goals of the families- </w:t>
            </w:r>
            <w:r w:rsidRPr="00EE6994">
              <w:rPr>
                <w:rFonts w:eastAsia="Calibri" w:cs="Arial"/>
                <w:color w:val="000000"/>
              </w:rPr>
              <w:lastRenderedPageBreak/>
              <w:t>professionals are seen as agents supporting the family</w:t>
            </w:r>
          </w:p>
          <w:p w14:paraId="7ACA1EF4" w14:textId="77777777" w:rsidR="00EE6994" w:rsidRPr="00EE6994" w:rsidRDefault="00EE6994" w:rsidP="003B0B17">
            <w:pPr>
              <w:pStyle w:val="ListParagraph"/>
              <w:numPr>
                <w:ilvl w:val="0"/>
                <w:numId w:val="117"/>
              </w:numPr>
              <w:pBdr>
                <w:top w:val="nil"/>
                <w:left w:val="nil"/>
                <w:bottom w:val="nil"/>
                <w:right w:val="nil"/>
                <w:between w:val="nil"/>
              </w:pBdr>
              <w:spacing w:before="0"/>
              <w:ind w:left="330" w:hanging="270"/>
              <w:rPr>
                <w:rFonts w:eastAsia="Calibri" w:cs="Arial"/>
                <w:color w:val="000000"/>
              </w:rPr>
            </w:pPr>
            <w:r w:rsidRPr="00EE6994">
              <w:rPr>
                <w:rFonts w:eastAsia="Calibri" w:cs="Arial"/>
                <w:color w:val="000000"/>
              </w:rPr>
              <w:t>The intervention is individualized for each family </w:t>
            </w:r>
          </w:p>
          <w:p w14:paraId="3712757F" w14:textId="77777777" w:rsidR="00EE6994" w:rsidRPr="00EE6994" w:rsidRDefault="00EE6994" w:rsidP="003B0B17">
            <w:pPr>
              <w:pStyle w:val="ListParagraph"/>
              <w:numPr>
                <w:ilvl w:val="0"/>
                <w:numId w:val="117"/>
              </w:numPr>
              <w:pBdr>
                <w:top w:val="nil"/>
                <w:left w:val="nil"/>
                <w:bottom w:val="nil"/>
                <w:right w:val="nil"/>
                <w:between w:val="nil"/>
              </w:pBdr>
              <w:spacing w:before="0"/>
              <w:ind w:left="330" w:hanging="270"/>
              <w:rPr>
                <w:rFonts w:eastAsia="Calibri" w:cs="Arial"/>
                <w:color w:val="000000"/>
              </w:rPr>
            </w:pPr>
            <w:r w:rsidRPr="00EE6994">
              <w:rPr>
                <w:rFonts w:eastAsia="Calibri" w:cs="Arial"/>
                <w:color w:val="000000"/>
              </w:rPr>
              <w:t>The intervention is conducted in the natural context and routines of the child and family as is based on the mobilization of the existing resources in the community network</w:t>
            </w:r>
          </w:p>
          <w:p w14:paraId="5A32508B" w14:textId="77777777" w:rsidR="00EE6994" w:rsidRPr="00EE6994" w:rsidRDefault="00EE6994" w:rsidP="003B0B17">
            <w:pPr>
              <w:pStyle w:val="ListParagraph"/>
              <w:numPr>
                <w:ilvl w:val="0"/>
                <w:numId w:val="117"/>
              </w:numPr>
              <w:pBdr>
                <w:top w:val="nil"/>
                <w:left w:val="nil"/>
                <w:bottom w:val="nil"/>
                <w:right w:val="nil"/>
                <w:between w:val="nil"/>
              </w:pBdr>
              <w:spacing w:before="0"/>
              <w:ind w:left="330" w:hanging="270"/>
              <w:rPr>
                <w:rFonts w:eastAsia="Calibri" w:cs="Arial"/>
                <w:color w:val="000000"/>
              </w:rPr>
            </w:pPr>
            <w:r w:rsidRPr="00EE6994">
              <w:rPr>
                <w:rFonts w:eastAsia="Calibri" w:cs="Arial"/>
                <w:color w:val="0F0D29"/>
              </w:rPr>
              <w:t>ECI system building: communication, coordination, partnerships, planning, monitoring.</w:t>
            </w:r>
          </w:p>
        </w:tc>
        <w:tc>
          <w:tcPr>
            <w:tcW w:w="2186" w:type="dxa"/>
          </w:tcPr>
          <w:p w14:paraId="5748C24E" w14:textId="77777777" w:rsidR="00EE6994" w:rsidRPr="00EE6994" w:rsidRDefault="00EE6994">
            <w:pPr>
              <w:ind w:left="-11"/>
              <w:rPr>
                <w:rFonts w:cs="Arial"/>
              </w:rPr>
            </w:pPr>
            <w:r w:rsidRPr="00EE6994">
              <w:rPr>
                <w:rFonts w:cs="Arial"/>
              </w:rPr>
              <w:lastRenderedPageBreak/>
              <w:t>Seven guiding principles</w:t>
            </w:r>
          </w:p>
          <w:p w14:paraId="1D531410" w14:textId="77777777" w:rsidR="00EE6994" w:rsidRPr="00EE6994" w:rsidRDefault="00EE6994" w:rsidP="003B0B17">
            <w:pPr>
              <w:pStyle w:val="ListParagraph"/>
              <w:numPr>
                <w:ilvl w:val="0"/>
                <w:numId w:val="115"/>
              </w:numPr>
              <w:pBdr>
                <w:top w:val="nil"/>
                <w:left w:val="nil"/>
                <w:bottom w:val="nil"/>
                <w:right w:val="nil"/>
                <w:between w:val="nil"/>
              </w:pBdr>
              <w:spacing w:before="0"/>
              <w:rPr>
                <w:rFonts w:eastAsia="Calibri" w:cs="Arial"/>
                <w:color w:val="0F0D29"/>
              </w:rPr>
            </w:pPr>
            <w:r w:rsidRPr="00EE6994">
              <w:rPr>
                <w:rFonts w:eastAsia="Calibri" w:cs="Arial"/>
                <w:color w:val="0F0D29"/>
              </w:rPr>
              <w:t>Mokopuna &amp; whānau-centred </w:t>
            </w:r>
          </w:p>
          <w:p w14:paraId="1735689B" w14:textId="77777777" w:rsidR="00EE6994" w:rsidRPr="00EE6994" w:rsidRDefault="00EE6994" w:rsidP="003B0B17">
            <w:pPr>
              <w:pStyle w:val="ListParagraph"/>
              <w:numPr>
                <w:ilvl w:val="0"/>
                <w:numId w:val="115"/>
              </w:numPr>
              <w:pBdr>
                <w:top w:val="nil"/>
                <w:left w:val="nil"/>
                <w:bottom w:val="nil"/>
                <w:right w:val="nil"/>
                <w:between w:val="nil"/>
              </w:pBdr>
              <w:spacing w:before="0"/>
              <w:rPr>
                <w:rFonts w:eastAsia="Calibri" w:cs="Arial"/>
                <w:color w:val="0F0D29"/>
              </w:rPr>
            </w:pPr>
            <w:r w:rsidRPr="00EE6994">
              <w:rPr>
                <w:rFonts w:eastAsia="Calibri" w:cs="Arial"/>
                <w:color w:val="0F0D29"/>
              </w:rPr>
              <w:t>Collaborative </w:t>
            </w:r>
          </w:p>
          <w:p w14:paraId="76FABE06" w14:textId="77777777" w:rsidR="00EE6994" w:rsidRPr="00EE6994" w:rsidRDefault="00EE6994" w:rsidP="003B0B17">
            <w:pPr>
              <w:pStyle w:val="ListParagraph"/>
              <w:numPr>
                <w:ilvl w:val="0"/>
                <w:numId w:val="115"/>
              </w:numPr>
              <w:pBdr>
                <w:top w:val="nil"/>
                <w:left w:val="nil"/>
                <w:bottom w:val="nil"/>
                <w:right w:val="nil"/>
                <w:between w:val="nil"/>
              </w:pBdr>
              <w:spacing w:before="0"/>
              <w:rPr>
                <w:rFonts w:eastAsia="Calibri" w:cs="Arial"/>
                <w:color w:val="0F0D29"/>
              </w:rPr>
            </w:pPr>
            <w:r w:rsidRPr="00EE6994">
              <w:rPr>
                <w:rFonts w:eastAsia="Calibri" w:cs="Arial"/>
                <w:color w:val="0F0D29"/>
              </w:rPr>
              <w:t>Strengths-based </w:t>
            </w:r>
          </w:p>
          <w:p w14:paraId="0C58E378" w14:textId="77777777" w:rsidR="00EE6994" w:rsidRPr="00EE6994" w:rsidRDefault="00EE6994" w:rsidP="003B0B17">
            <w:pPr>
              <w:pStyle w:val="ListParagraph"/>
              <w:numPr>
                <w:ilvl w:val="0"/>
                <w:numId w:val="115"/>
              </w:numPr>
              <w:pBdr>
                <w:top w:val="nil"/>
                <w:left w:val="nil"/>
                <w:bottom w:val="nil"/>
                <w:right w:val="nil"/>
                <w:between w:val="nil"/>
              </w:pBdr>
              <w:spacing w:before="0"/>
              <w:rPr>
                <w:rFonts w:eastAsia="Calibri" w:cs="Arial"/>
                <w:color w:val="0F0D29"/>
              </w:rPr>
            </w:pPr>
            <w:r w:rsidRPr="00EE6994">
              <w:rPr>
                <w:rFonts w:eastAsia="Calibri" w:cs="Arial"/>
                <w:color w:val="0F0D29"/>
              </w:rPr>
              <w:t>Culturally affirming </w:t>
            </w:r>
          </w:p>
          <w:p w14:paraId="491B2CAA" w14:textId="77777777" w:rsidR="00EE6994" w:rsidRPr="00EE6994" w:rsidRDefault="00EE6994" w:rsidP="003B0B17">
            <w:pPr>
              <w:pStyle w:val="ListParagraph"/>
              <w:numPr>
                <w:ilvl w:val="0"/>
                <w:numId w:val="115"/>
              </w:numPr>
              <w:pBdr>
                <w:top w:val="nil"/>
                <w:left w:val="nil"/>
                <w:bottom w:val="nil"/>
                <w:right w:val="nil"/>
                <w:between w:val="nil"/>
              </w:pBdr>
              <w:spacing w:before="0"/>
              <w:rPr>
                <w:rFonts w:eastAsia="Calibri" w:cs="Arial"/>
                <w:color w:val="0F0D29"/>
              </w:rPr>
            </w:pPr>
            <w:r w:rsidRPr="00EE6994">
              <w:rPr>
                <w:rFonts w:eastAsia="Calibri" w:cs="Arial"/>
                <w:color w:val="0F0D29"/>
              </w:rPr>
              <w:t>Inclusive </w:t>
            </w:r>
          </w:p>
          <w:p w14:paraId="328D46D5" w14:textId="77777777" w:rsidR="00EE6994" w:rsidRPr="00EE6994" w:rsidRDefault="00EE6994" w:rsidP="003B0B17">
            <w:pPr>
              <w:pStyle w:val="ListParagraph"/>
              <w:numPr>
                <w:ilvl w:val="0"/>
                <w:numId w:val="115"/>
              </w:numPr>
              <w:pBdr>
                <w:top w:val="nil"/>
                <w:left w:val="nil"/>
                <w:bottom w:val="nil"/>
                <w:right w:val="nil"/>
                <w:between w:val="nil"/>
              </w:pBdr>
              <w:spacing w:before="0"/>
              <w:rPr>
                <w:rFonts w:eastAsia="Calibri" w:cs="Arial"/>
                <w:color w:val="0F0D29"/>
              </w:rPr>
            </w:pPr>
            <w:r w:rsidRPr="00EE6994">
              <w:rPr>
                <w:rFonts w:eastAsia="Calibri" w:cs="Arial"/>
                <w:color w:val="0F0D29"/>
              </w:rPr>
              <w:t>Ecological </w:t>
            </w:r>
          </w:p>
          <w:p w14:paraId="70E32162" w14:textId="77777777" w:rsidR="00EE6994" w:rsidRPr="00EE6994" w:rsidRDefault="00EE6994" w:rsidP="003B0B17">
            <w:pPr>
              <w:pStyle w:val="ListParagraph"/>
              <w:numPr>
                <w:ilvl w:val="0"/>
                <w:numId w:val="115"/>
              </w:numPr>
              <w:pBdr>
                <w:top w:val="nil"/>
                <w:left w:val="nil"/>
                <w:bottom w:val="nil"/>
                <w:right w:val="nil"/>
                <w:between w:val="nil"/>
              </w:pBdr>
              <w:spacing w:before="0"/>
              <w:rPr>
                <w:rFonts w:eastAsia="Calibri" w:cs="Arial"/>
                <w:color w:val="0F0D29"/>
              </w:rPr>
            </w:pPr>
            <w:r w:rsidRPr="00EE6994">
              <w:rPr>
                <w:rFonts w:eastAsia="Calibri" w:cs="Arial"/>
                <w:color w:val="0F0D29"/>
              </w:rPr>
              <w:t>Evidence informed</w:t>
            </w:r>
          </w:p>
          <w:p w14:paraId="54849BCB" w14:textId="77777777" w:rsidR="00EE6994" w:rsidRPr="00EE6994" w:rsidRDefault="00EE6994">
            <w:pPr>
              <w:ind w:left="67"/>
              <w:rPr>
                <w:rFonts w:cs="Arial"/>
              </w:rPr>
            </w:pPr>
          </w:p>
          <w:p w14:paraId="7E59A9DC" w14:textId="77777777" w:rsidR="00EE6994" w:rsidRPr="00EE6994" w:rsidRDefault="00EE6994">
            <w:pPr>
              <w:rPr>
                <w:rFonts w:cs="Arial"/>
              </w:rPr>
            </w:pPr>
            <w:r w:rsidRPr="00EE6994">
              <w:rPr>
                <w:rFonts w:cs="Arial"/>
              </w:rPr>
              <w:t>A seven-element process has also been developed to support an enquiry approach: </w:t>
            </w:r>
          </w:p>
          <w:p w14:paraId="50D66B6F" w14:textId="77777777" w:rsidR="00EE6994" w:rsidRPr="00EE6994" w:rsidRDefault="00EE6994" w:rsidP="003B0B17">
            <w:pPr>
              <w:pStyle w:val="ListParagraph"/>
              <w:numPr>
                <w:ilvl w:val="0"/>
                <w:numId w:val="116"/>
              </w:numPr>
              <w:pBdr>
                <w:top w:val="nil"/>
                <w:left w:val="nil"/>
                <w:bottom w:val="nil"/>
                <w:right w:val="nil"/>
                <w:between w:val="nil"/>
              </w:pBdr>
              <w:spacing w:before="0"/>
              <w:rPr>
                <w:rFonts w:eastAsia="Calibri" w:cs="Arial"/>
                <w:color w:val="0F0D29"/>
              </w:rPr>
            </w:pPr>
            <w:r w:rsidRPr="00EE6994">
              <w:rPr>
                <w:rFonts w:eastAsia="Calibri" w:cs="Arial"/>
                <w:color w:val="0F0D29"/>
              </w:rPr>
              <w:lastRenderedPageBreak/>
              <w:t>Building connections  </w:t>
            </w:r>
          </w:p>
          <w:p w14:paraId="4CE46D98" w14:textId="77777777" w:rsidR="00EE6994" w:rsidRPr="00EE6994" w:rsidRDefault="00EE6994" w:rsidP="003B0B17">
            <w:pPr>
              <w:pStyle w:val="ListParagraph"/>
              <w:numPr>
                <w:ilvl w:val="0"/>
                <w:numId w:val="116"/>
              </w:numPr>
              <w:pBdr>
                <w:top w:val="nil"/>
                <w:left w:val="nil"/>
                <w:bottom w:val="nil"/>
                <w:right w:val="nil"/>
                <w:between w:val="nil"/>
              </w:pBdr>
              <w:spacing w:before="0"/>
              <w:rPr>
                <w:rFonts w:eastAsia="Calibri" w:cs="Arial"/>
                <w:color w:val="0F0D29"/>
              </w:rPr>
            </w:pPr>
            <w:r w:rsidRPr="00EE6994">
              <w:rPr>
                <w:rFonts w:eastAsia="Calibri" w:cs="Arial"/>
                <w:color w:val="0F0D29"/>
              </w:rPr>
              <w:t>Gathering information  </w:t>
            </w:r>
          </w:p>
          <w:p w14:paraId="724D4C1D" w14:textId="77777777" w:rsidR="00EE6994" w:rsidRPr="00EE6994" w:rsidRDefault="00EE6994" w:rsidP="003B0B17">
            <w:pPr>
              <w:pStyle w:val="ListParagraph"/>
              <w:numPr>
                <w:ilvl w:val="0"/>
                <w:numId w:val="116"/>
              </w:numPr>
              <w:pBdr>
                <w:top w:val="nil"/>
                <w:left w:val="nil"/>
                <w:bottom w:val="nil"/>
                <w:right w:val="nil"/>
                <w:between w:val="nil"/>
              </w:pBdr>
              <w:spacing w:before="0"/>
              <w:rPr>
                <w:rFonts w:eastAsia="Calibri" w:cs="Arial"/>
                <w:color w:val="0F0D29"/>
              </w:rPr>
            </w:pPr>
            <w:r w:rsidRPr="00EE6994">
              <w:rPr>
                <w:rFonts w:eastAsia="Calibri" w:cs="Arial"/>
                <w:color w:val="0F0D29"/>
              </w:rPr>
              <w:t>Sense making  </w:t>
            </w:r>
          </w:p>
          <w:p w14:paraId="1A6DE3F5" w14:textId="77777777" w:rsidR="00EE6994" w:rsidRPr="00EE6994" w:rsidRDefault="00EE6994" w:rsidP="003B0B17">
            <w:pPr>
              <w:pStyle w:val="ListParagraph"/>
              <w:numPr>
                <w:ilvl w:val="0"/>
                <w:numId w:val="116"/>
              </w:numPr>
              <w:pBdr>
                <w:top w:val="nil"/>
                <w:left w:val="nil"/>
                <w:bottom w:val="nil"/>
                <w:right w:val="nil"/>
                <w:between w:val="nil"/>
              </w:pBdr>
              <w:spacing w:before="0"/>
              <w:rPr>
                <w:rFonts w:eastAsia="Calibri" w:cs="Arial"/>
                <w:color w:val="0F0D29"/>
              </w:rPr>
            </w:pPr>
            <w:r w:rsidRPr="00EE6994">
              <w:rPr>
                <w:rFonts w:eastAsia="Calibri" w:cs="Arial"/>
                <w:color w:val="0F0D29"/>
              </w:rPr>
              <w:t>Planning collaboratively  </w:t>
            </w:r>
          </w:p>
          <w:p w14:paraId="04CEE561" w14:textId="77777777" w:rsidR="00EE6994" w:rsidRPr="00EE6994" w:rsidRDefault="00EE6994" w:rsidP="003B0B17">
            <w:pPr>
              <w:pStyle w:val="ListParagraph"/>
              <w:numPr>
                <w:ilvl w:val="0"/>
                <w:numId w:val="116"/>
              </w:numPr>
              <w:pBdr>
                <w:top w:val="nil"/>
                <w:left w:val="nil"/>
                <w:bottom w:val="nil"/>
                <w:right w:val="nil"/>
                <w:between w:val="nil"/>
              </w:pBdr>
              <w:spacing w:before="0"/>
              <w:rPr>
                <w:rFonts w:eastAsia="Calibri" w:cs="Arial"/>
                <w:color w:val="0F0D29"/>
              </w:rPr>
            </w:pPr>
            <w:r w:rsidRPr="00EE6994">
              <w:rPr>
                <w:rFonts w:eastAsia="Calibri" w:cs="Arial"/>
                <w:color w:val="0F0D29"/>
              </w:rPr>
              <w:t>Taking action with integrity  </w:t>
            </w:r>
          </w:p>
          <w:p w14:paraId="104276A2" w14:textId="77777777" w:rsidR="00EE6994" w:rsidRPr="00EE6994" w:rsidRDefault="00EE6994" w:rsidP="003B0B17">
            <w:pPr>
              <w:pStyle w:val="ListParagraph"/>
              <w:numPr>
                <w:ilvl w:val="0"/>
                <w:numId w:val="116"/>
              </w:numPr>
              <w:pBdr>
                <w:top w:val="nil"/>
                <w:left w:val="nil"/>
                <w:bottom w:val="nil"/>
                <w:right w:val="nil"/>
                <w:between w:val="nil"/>
              </w:pBdr>
              <w:spacing w:before="0"/>
              <w:rPr>
                <w:rFonts w:eastAsia="Calibri" w:cs="Arial"/>
                <w:color w:val="0F0D29"/>
              </w:rPr>
            </w:pPr>
            <w:r w:rsidRPr="00EE6994">
              <w:rPr>
                <w:rFonts w:eastAsia="Calibri" w:cs="Arial"/>
                <w:color w:val="0F0D29"/>
              </w:rPr>
              <w:t>Reflecting together and</w:t>
            </w:r>
          </w:p>
          <w:p w14:paraId="60CDE7C3" w14:textId="77777777" w:rsidR="00EE6994" w:rsidRPr="00EE6994" w:rsidRDefault="00EE6994" w:rsidP="003B0B17">
            <w:pPr>
              <w:pStyle w:val="ListParagraph"/>
              <w:numPr>
                <w:ilvl w:val="0"/>
                <w:numId w:val="116"/>
              </w:numPr>
              <w:pBdr>
                <w:top w:val="nil"/>
                <w:left w:val="nil"/>
                <w:bottom w:val="nil"/>
                <w:right w:val="nil"/>
                <w:between w:val="nil"/>
              </w:pBdr>
              <w:spacing w:before="0"/>
              <w:rPr>
                <w:rFonts w:eastAsia="Calibri" w:cs="Arial"/>
                <w:color w:val="0F0D29"/>
              </w:rPr>
            </w:pPr>
            <w:r w:rsidRPr="00EE6994">
              <w:rPr>
                <w:rFonts w:eastAsia="Calibri" w:cs="Arial"/>
                <w:color w:val="0F0D29"/>
              </w:rPr>
              <w:t>Empowering others.</w:t>
            </w:r>
          </w:p>
        </w:tc>
        <w:tc>
          <w:tcPr>
            <w:tcW w:w="2185" w:type="dxa"/>
          </w:tcPr>
          <w:p w14:paraId="5641058C" w14:textId="77777777" w:rsidR="00EE6994" w:rsidRPr="00EE6994" w:rsidRDefault="00EE6994">
            <w:pPr>
              <w:rPr>
                <w:rFonts w:cs="Arial"/>
              </w:rPr>
            </w:pPr>
            <w:r w:rsidRPr="00EE6994">
              <w:rPr>
                <w:rFonts w:cs="Arial"/>
              </w:rPr>
              <w:lastRenderedPageBreak/>
              <w:t>At a policy level:</w:t>
            </w:r>
          </w:p>
          <w:p w14:paraId="177EA04E" w14:textId="77777777" w:rsidR="00EE6994" w:rsidRPr="00EE6994" w:rsidRDefault="00EE6994" w:rsidP="003B0B17">
            <w:pPr>
              <w:pStyle w:val="ListParagraph"/>
              <w:numPr>
                <w:ilvl w:val="0"/>
                <w:numId w:val="133"/>
              </w:numPr>
              <w:spacing w:before="0"/>
              <w:rPr>
                <w:rFonts w:cs="Arial"/>
              </w:rPr>
            </w:pPr>
            <w:r w:rsidRPr="00EE6994">
              <w:rPr>
                <w:rFonts w:cs="Arial"/>
              </w:rPr>
              <w:t xml:space="preserve">Service partnerships across education/ health and care,  </w:t>
            </w:r>
          </w:p>
          <w:p w14:paraId="6FD89F02" w14:textId="77777777" w:rsidR="00EE6994" w:rsidRPr="00EE6994" w:rsidRDefault="00EE6994" w:rsidP="003B0B17">
            <w:pPr>
              <w:pStyle w:val="ListParagraph"/>
              <w:numPr>
                <w:ilvl w:val="0"/>
                <w:numId w:val="133"/>
              </w:numPr>
              <w:spacing w:before="0"/>
              <w:rPr>
                <w:rFonts w:cs="Arial"/>
              </w:rPr>
            </w:pPr>
            <w:r w:rsidRPr="00EE6994">
              <w:rPr>
                <w:rFonts w:cs="Arial"/>
              </w:rPr>
              <w:t xml:space="preserve">creation of local inclusion plans,  </w:t>
            </w:r>
          </w:p>
          <w:p w14:paraId="6459054A" w14:textId="77777777" w:rsidR="00EE6994" w:rsidRPr="00EE6994" w:rsidRDefault="00EE6994" w:rsidP="003B0B17">
            <w:pPr>
              <w:pStyle w:val="ListParagraph"/>
              <w:numPr>
                <w:ilvl w:val="0"/>
                <w:numId w:val="133"/>
              </w:numPr>
              <w:spacing w:before="0"/>
              <w:rPr>
                <w:rFonts w:cs="Arial"/>
              </w:rPr>
            </w:pPr>
            <w:r w:rsidRPr="00EE6994">
              <w:rPr>
                <w:rFonts w:cs="Arial"/>
              </w:rPr>
              <w:t xml:space="preserve">creation of a three-tier alternative provision system </w:t>
            </w:r>
          </w:p>
          <w:p w14:paraId="462CC192" w14:textId="77777777" w:rsidR="00EE6994" w:rsidRPr="00EE6994" w:rsidRDefault="00EE6994" w:rsidP="003B0B17">
            <w:pPr>
              <w:pStyle w:val="ListParagraph"/>
              <w:numPr>
                <w:ilvl w:val="0"/>
                <w:numId w:val="133"/>
              </w:numPr>
              <w:spacing w:before="0"/>
              <w:rPr>
                <w:rFonts w:cs="Arial"/>
              </w:rPr>
            </w:pPr>
            <w:r w:rsidRPr="00EE6994">
              <w:rPr>
                <w:rFonts w:cs="Arial"/>
              </w:rPr>
              <w:t xml:space="preserve">assessment of functioning </w:t>
            </w:r>
          </w:p>
          <w:p w14:paraId="3E0AE823" w14:textId="77777777" w:rsidR="00EE6994" w:rsidRPr="00EE6994" w:rsidRDefault="00EE6994" w:rsidP="003B0B17">
            <w:pPr>
              <w:pStyle w:val="ListParagraph"/>
              <w:numPr>
                <w:ilvl w:val="0"/>
                <w:numId w:val="133"/>
              </w:numPr>
              <w:spacing w:before="0"/>
              <w:rPr>
                <w:rFonts w:cs="Arial"/>
              </w:rPr>
            </w:pPr>
            <w:r w:rsidRPr="00EE6994">
              <w:rPr>
                <w:rFonts w:cs="Arial"/>
              </w:rPr>
              <w:t xml:space="preserve">establishment of a Key person </w:t>
            </w:r>
          </w:p>
          <w:p w14:paraId="43786859" w14:textId="77777777" w:rsidR="00EE6994" w:rsidRPr="00EE6994" w:rsidRDefault="00EE6994" w:rsidP="003B0B17">
            <w:pPr>
              <w:pStyle w:val="ListParagraph"/>
              <w:numPr>
                <w:ilvl w:val="0"/>
                <w:numId w:val="133"/>
              </w:numPr>
              <w:spacing w:before="0"/>
              <w:rPr>
                <w:rFonts w:cs="Arial"/>
              </w:rPr>
            </w:pPr>
            <w:r w:rsidRPr="00EE6994">
              <w:rPr>
                <w:rFonts w:cs="Arial"/>
              </w:rPr>
              <w:t xml:space="preserve">family-centred/ partnerships with parents </w:t>
            </w:r>
          </w:p>
          <w:p w14:paraId="7D47EBCE" w14:textId="77777777" w:rsidR="00EE6994" w:rsidRPr="00EE6994" w:rsidRDefault="00EE6994" w:rsidP="003B0B17">
            <w:pPr>
              <w:pStyle w:val="ListParagraph"/>
              <w:numPr>
                <w:ilvl w:val="0"/>
                <w:numId w:val="133"/>
              </w:numPr>
              <w:spacing w:before="0"/>
              <w:rPr>
                <w:rFonts w:cs="Arial"/>
              </w:rPr>
            </w:pPr>
            <w:r w:rsidRPr="00EE6994">
              <w:rPr>
                <w:rFonts w:cs="Arial"/>
              </w:rPr>
              <w:t xml:space="preserve">child strengths </w:t>
            </w:r>
          </w:p>
          <w:p w14:paraId="4B2E36FF" w14:textId="77777777" w:rsidR="00EE6994" w:rsidRPr="00EE6994" w:rsidRDefault="00EE6994" w:rsidP="003B0B17">
            <w:pPr>
              <w:pStyle w:val="ListParagraph"/>
              <w:numPr>
                <w:ilvl w:val="0"/>
                <w:numId w:val="133"/>
              </w:numPr>
              <w:spacing w:before="0"/>
              <w:rPr>
                <w:rFonts w:cs="Arial"/>
              </w:rPr>
            </w:pPr>
            <w:r w:rsidRPr="00EE6994">
              <w:rPr>
                <w:rFonts w:cs="Arial"/>
              </w:rPr>
              <w:t xml:space="preserve">skilling up of early years workforce, </w:t>
            </w:r>
            <w:r w:rsidRPr="00EE6994">
              <w:rPr>
                <w:rFonts w:cs="Arial"/>
              </w:rPr>
              <w:lastRenderedPageBreak/>
              <w:t xml:space="preserve">outcomes, and SEND code of practice </w:t>
            </w:r>
          </w:p>
          <w:p w14:paraId="4700A389" w14:textId="77777777" w:rsidR="00EE6994" w:rsidRPr="00EE6994" w:rsidRDefault="00EE6994" w:rsidP="003B0B17">
            <w:pPr>
              <w:pStyle w:val="ListParagraph"/>
              <w:numPr>
                <w:ilvl w:val="0"/>
                <w:numId w:val="133"/>
              </w:numPr>
              <w:spacing w:before="0"/>
              <w:rPr>
                <w:rFonts w:cs="Arial"/>
              </w:rPr>
            </w:pPr>
            <w:r w:rsidRPr="00EE6994">
              <w:rPr>
                <w:rFonts w:cs="Arial"/>
              </w:rPr>
              <w:t>development of national standards and accountability.</w:t>
            </w:r>
          </w:p>
          <w:p w14:paraId="7E8EA2DF" w14:textId="77777777" w:rsidR="00EE6994" w:rsidRPr="00EE6994" w:rsidRDefault="00EE6994">
            <w:pPr>
              <w:rPr>
                <w:rFonts w:cs="Arial"/>
              </w:rPr>
            </w:pPr>
          </w:p>
        </w:tc>
        <w:tc>
          <w:tcPr>
            <w:tcW w:w="2186" w:type="dxa"/>
          </w:tcPr>
          <w:p w14:paraId="410B38A0" w14:textId="77777777" w:rsidR="00EE6994" w:rsidRPr="00EE6994" w:rsidRDefault="00EE6994" w:rsidP="003B0B17">
            <w:pPr>
              <w:pStyle w:val="ListParagraph"/>
              <w:numPr>
                <w:ilvl w:val="0"/>
                <w:numId w:val="119"/>
              </w:numPr>
              <w:spacing w:before="0"/>
              <w:ind w:left="420" w:hanging="270"/>
              <w:rPr>
                <w:rFonts w:cs="Arial"/>
              </w:rPr>
            </w:pPr>
            <w:r w:rsidRPr="00EE6994">
              <w:rPr>
                <w:rFonts w:cs="Arial"/>
              </w:rPr>
              <w:lastRenderedPageBreak/>
              <w:t>Eight domains:</w:t>
            </w:r>
          </w:p>
          <w:p w14:paraId="66883674" w14:textId="77777777" w:rsidR="00EE6994" w:rsidRPr="00EE6994" w:rsidRDefault="00EE6994" w:rsidP="003B0B17">
            <w:pPr>
              <w:pStyle w:val="ListParagraph"/>
              <w:numPr>
                <w:ilvl w:val="0"/>
                <w:numId w:val="119"/>
              </w:numPr>
              <w:pBdr>
                <w:top w:val="nil"/>
                <w:left w:val="nil"/>
                <w:bottom w:val="nil"/>
                <w:right w:val="nil"/>
                <w:between w:val="nil"/>
              </w:pBdr>
              <w:spacing w:before="0"/>
              <w:ind w:left="420" w:hanging="270"/>
              <w:rPr>
                <w:rFonts w:eastAsia="Calibri" w:cs="Arial"/>
                <w:color w:val="0F0D29"/>
              </w:rPr>
            </w:pPr>
            <w:r w:rsidRPr="00EE6994">
              <w:rPr>
                <w:rFonts w:eastAsia="Calibri" w:cs="Arial"/>
                <w:color w:val="0F0D29"/>
                <w:highlight w:val="white"/>
              </w:rPr>
              <w:t>Leadership</w:t>
            </w:r>
            <w:r w:rsidRPr="00EE6994">
              <w:rPr>
                <w:rFonts w:eastAsia="Calibri" w:cs="Arial"/>
                <w:color w:val="0F0D29"/>
              </w:rPr>
              <w:t> </w:t>
            </w:r>
          </w:p>
          <w:p w14:paraId="129DE24D" w14:textId="77777777" w:rsidR="00EE6994" w:rsidRPr="00EE6994" w:rsidRDefault="00EE6994" w:rsidP="003B0B17">
            <w:pPr>
              <w:pStyle w:val="ListParagraph"/>
              <w:numPr>
                <w:ilvl w:val="0"/>
                <w:numId w:val="119"/>
              </w:numPr>
              <w:pBdr>
                <w:top w:val="nil"/>
                <w:left w:val="nil"/>
                <w:bottom w:val="nil"/>
                <w:right w:val="nil"/>
                <w:between w:val="nil"/>
              </w:pBdr>
              <w:spacing w:before="0"/>
              <w:ind w:left="420" w:hanging="270"/>
              <w:rPr>
                <w:rFonts w:eastAsia="Calibri" w:cs="Arial"/>
                <w:color w:val="0F0D29"/>
              </w:rPr>
            </w:pPr>
            <w:r w:rsidRPr="00EE6994">
              <w:rPr>
                <w:rFonts w:eastAsia="Calibri" w:cs="Arial"/>
                <w:color w:val="0F0D29"/>
                <w:highlight w:val="white"/>
              </w:rPr>
              <w:t>Assessment</w:t>
            </w:r>
            <w:r w:rsidRPr="00EE6994">
              <w:rPr>
                <w:rFonts w:eastAsia="Calibri" w:cs="Arial"/>
                <w:color w:val="0F0D29"/>
              </w:rPr>
              <w:t> </w:t>
            </w:r>
          </w:p>
          <w:p w14:paraId="4DFF5580" w14:textId="77777777" w:rsidR="00EE6994" w:rsidRPr="00EE6994" w:rsidRDefault="00EE6994" w:rsidP="003B0B17">
            <w:pPr>
              <w:pStyle w:val="ListParagraph"/>
              <w:numPr>
                <w:ilvl w:val="0"/>
                <w:numId w:val="119"/>
              </w:numPr>
              <w:pBdr>
                <w:top w:val="nil"/>
                <w:left w:val="nil"/>
                <w:bottom w:val="nil"/>
                <w:right w:val="nil"/>
                <w:between w:val="nil"/>
              </w:pBdr>
              <w:spacing w:before="0"/>
              <w:ind w:left="420" w:hanging="270"/>
              <w:rPr>
                <w:rFonts w:eastAsia="Calibri" w:cs="Arial"/>
                <w:color w:val="0F0D29"/>
              </w:rPr>
            </w:pPr>
            <w:r w:rsidRPr="00EE6994">
              <w:rPr>
                <w:rFonts w:eastAsia="Calibri" w:cs="Arial"/>
                <w:color w:val="0F0D29"/>
                <w:highlight w:val="white"/>
              </w:rPr>
              <w:t>Environment</w:t>
            </w:r>
            <w:r w:rsidRPr="00EE6994">
              <w:rPr>
                <w:rFonts w:eastAsia="Calibri" w:cs="Arial"/>
                <w:color w:val="0F0D29"/>
              </w:rPr>
              <w:t> </w:t>
            </w:r>
          </w:p>
          <w:p w14:paraId="577FEBD0" w14:textId="77777777" w:rsidR="00EE6994" w:rsidRPr="00EE6994" w:rsidRDefault="00EE6994" w:rsidP="003B0B17">
            <w:pPr>
              <w:pStyle w:val="ListParagraph"/>
              <w:numPr>
                <w:ilvl w:val="0"/>
                <w:numId w:val="119"/>
              </w:numPr>
              <w:pBdr>
                <w:top w:val="nil"/>
                <w:left w:val="nil"/>
                <w:bottom w:val="nil"/>
                <w:right w:val="nil"/>
                <w:between w:val="nil"/>
              </w:pBdr>
              <w:spacing w:before="0"/>
              <w:ind w:left="420" w:hanging="270"/>
              <w:rPr>
                <w:rFonts w:eastAsia="Calibri" w:cs="Arial"/>
                <w:color w:val="0F0D29"/>
              </w:rPr>
            </w:pPr>
            <w:r w:rsidRPr="00EE6994">
              <w:rPr>
                <w:rFonts w:eastAsia="Calibri" w:cs="Arial"/>
                <w:color w:val="0F0D29"/>
                <w:highlight w:val="white"/>
              </w:rPr>
              <w:t>Family</w:t>
            </w:r>
            <w:r w:rsidRPr="00EE6994">
              <w:rPr>
                <w:rFonts w:eastAsia="Calibri" w:cs="Arial"/>
                <w:color w:val="0F0D29"/>
              </w:rPr>
              <w:t> </w:t>
            </w:r>
          </w:p>
          <w:p w14:paraId="61865C02" w14:textId="77777777" w:rsidR="00EE6994" w:rsidRPr="00EE6994" w:rsidRDefault="00EE6994" w:rsidP="003B0B17">
            <w:pPr>
              <w:pStyle w:val="ListParagraph"/>
              <w:numPr>
                <w:ilvl w:val="0"/>
                <w:numId w:val="119"/>
              </w:numPr>
              <w:pBdr>
                <w:top w:val="nil"/>
                <w:left w:val="nil"/>
                <w:bottom w:val="nil"/>
                <w:right w:val="nil"/>
                <w:between w:val="nil"/>
              </w:pBdr>
              <w:spacing w:before="0"/>
              <w:ind w:left="420" w:hanging="270"/>
              <w:rPr>
                <w:rFonts w:eastAsia="Calibri" w:cs="Arial"/>
                <w:color w:val="0F0D29"/>
              </w:rPr>
            </w:pPr>
            <w:r w:rsidRPr="00EE6994">
              <w:rPr>
                <w:rFonts w:eastAsia="Calibri" w:cs="Arial"/>
                <w:color w:val="0F0D29"/>
                <w:highlight w:val="white"/>
              </w:rPr>
              <w:t>Instruction</w:t>
            </w:r>
            <w:r w:rsidRPr="00EE6994">
              <w:rPr>
                <w:rFonts w:eastAsia="Calibri" w:cs="Arial"/>
                <w:color w:val="0F0D29"/>
              </w:rPr>
              <w:t> </w:t>
            </w:r>
          </w:p>
          <w:p w14:paraId="7A84A392" w14:textId="77777777" w:rsidR="00EE6994" w:rsidRPr="00EE6994" w:rsidRDefault="00EE6994" w:rsidP="003B0B17">
            <w:pPr>
              <w:pStyle w:val="ListParagraph"/>
              <w:numPr>
                <w:ilvl w:val="0"/>
                <w:numId w:val="119"/>
              </w:numPr>
              <w:pBdr>
                <w:top w:val="nil"/>
                <w:left w:val="nil"/>
                <w:bottom w:val="nil"/>
                <w:right w:val="nil"/>
                <w:between w:val="nil"/>
              </w:pBdr>
              <w:spacing w:before="0"/>
              <w:ind w:left="420" w:hanging="270"/>
              <w:rPr>
                <w:rFonts w:eastAsia="Calibri" w:cs="Arial"/>
                <w:color w:val="0F0D29"/>
              </w:rPr>
            </w:pPr>
            <w:r w:rsidRPr="00EE6994">
              <w:rPr>
                <w:rFonts w:eastAsia="Calibri" w:cs="Arial"/>
                <w:color w:val="0F0D29"/>
                <w:highlight w:val="white"/>
              </w:rPr>
              <w:t>Interaction</w:t>
            </w:r>
          </w:p>
          <w:p w14:paraId="4D8418FD" w14:textId="77777777" w:rsidR="00EE6994" w:rsidRPr="00EE6994" w:rsidRDefault="00EE6994" w:rsidP="003B0B17">
            <w:pPr>
              <w:pStyle w:val="ListParagraph"/>
              <w:numPr>
                <w:ilvl w:val="0"/>
                <w:numId w:val="119"/>
              </w:numPr>
              <w:pBdr>
                <w:top w:val="nil"/>
                <w:left w:val="nil"/>
                <w:bottom w:val="nil"/>
                <w:right w:val="nil"/>
                <w:between w:val="nil"/>
              </w:pBdr>
              <w:spacing w:before="0"/>
              <w:ind w:left="420" w:hanging="270"/>
              <w:rPr>
                <w:rFonts w:eastAsia="Calibri" w:cs="Arial"/>
                <w:color w:val="0F0D29"/>
              </w:rPr>
            </w:pPr>
            <w:r w:rsidRPr="00EE6994">
              <w:rPr>
                <w:rFonts w:eastAsia="Calibri" w:cs="Arial"/>
                <w:color w:val="0F0D29"/>
                <w:highlight w:val="white"/>
              </w:rPr>
              <w:t>Teaming &amp; collaboration</w:t>
            </w:r>
          </w:p>
          <w:p w14:paraId="5FBF92FA" w14:textId="77777777" w:rsidR="00EE6994" w:rsidRPr="00EE6994" w:rsidRDefault="00EE6994" w:rsidP="003B0B17">
            <w:pPr>
              <w:pStyle w:val="ListParagraph"/>
              <w:numPr>
                <w:ilvl w:val="0"/>
                <w:numId w:val="119"/>
              </w:numPr>
              <w:pBdr>
                <w:top w:val="nil"/>
                <w:left w:val="nil"/>
                <w:bottom w:val="nil"/>
                <w:right w:val="nil"/>
                <w:between w:val="nil"/>
              </w:pBdr>
              <w:spacing w:before="0"/>
              <w:ind w:left="420" w:hanging="270"/>
              <w:rPr>
                <w:rFonts w:eastAsia="Calibri" w:cs="Arial"/>
                <w:color w:val="0F0D29"/>
              </w:rPr>
            </w:pPr>
            <w:r w:rsidRPr="00EE6994">
              <w:rPr>
                <w:rFonts w:eastAsia="Calibri" w:cs="Arial"/>
                <w:color w:val="0F0D29"/>
                <w:highlight w:val="white"/>
              </w:rPr>
              <w:t>Transition.</w:t>
            </w:r>
          </w:p>
        </w:tc>
      </w:tr>
      <w:tr w:rsidR="00EE6994" w:rsidRPr="00591073" w14:paraId="222BA9D6" w14:textId="77777777">
        <w:trPr>
          <w:cnfStyle w:val="000000010000" w:firstRow="0" w:lastRow="0" w:firstColumn="0" w:lastColumn="0" w:oddVBand="0" w:evenVBand="0" w:oddHBand="0" w:evenHBand="1" w:firstRowFirstColumn="0" w:firstRowLastColumn="0" w:lastRowFirstColumn="0" w:lastRowLastColumn="0"/>
          <w:trHeight w:val="239"/>
        </w:trPr>
        <w:tc>
          <w:tcPr>
            <w:tcW w:w="1199" w:type="dxa"/>
          </w:tcPr>
          <w:p w14:paraId="7F0DB0BA" w14:textId="77777777" w:rsidR="00EE6994" w:rsidRPr="00EE6994" w:rsidRDefault="00EE6994">
            <w:pPr>
              <w:rPr>
                <w:rFonts w:cs="Arial"/>
                <w:b/>
              </w:rPr>
            </w:pPr>
            <w:r w:rsidRPr="00EE6994">
              <w:rPr>
                <w:rFonts w:cs="Arial"/>
                <w:b/>
              </w:rPr>
              <w:t xml:space="preserve">What processes, indicators and tools to gather evidence of </w:t>
            </w:r>
            <w:r w:rsidRPr="00EE6994">
              <w:rPr>
                <w:rFonts w:cs="Arial"/>
                <w:b/>
              </w:rPr>
              <w:lastRenderedPageBreak/>
              <w:t>implementation are applied?</w:t>
            </w:r>
          </w:p>
        </w:tc>
        <w:tc>
          <w:tcPr>
            <w:tcW w:w="2185" w:type="dxa"/>
          </w:tcPr>
          <w:p w14:paraId="4B41C535" w14:textId="77777777" w:rsidR="00EE6994" w:rsidRPr="00EE6994" w:rsidRDefault="00EE6994">
            <w:pPr>
              <w:rPr>
                <w:rFonts w:cs="Arial"/>
              </w:rPr>
            </w:pPr>
            <w:r w:rsidRPr="00EE6994">
              <w:rPr>
                <w:rFonts w:cs="Arial"/>
              </w:rPr>
              <w:lastRenderedPageBreak/>
              <w:t xml:space="preserve">The aim is to develop programs and investments consistent with the National Agreement on Closing the Gap and collect data on developmental </w:t>
            </w:r>
            <w:r w:rsidRPr="00EE6994">
              <w:rPr>
                <w:rFonts w:cs="Arial"/>
              </w:rPr>
              <w:lastRenderedPageBreak/>
              <w:t>outcomes on the Australian Early Development Census.</w:t>
            </w:r>
          </w:p>
          <w:p w14:paraId="353762D6" w14:textId="77777777" w:rsidR="00EE6994" w:rsidRPr="00EE6994" w:rsidRDefault="00EE6994">
            <w:pPr>
              <w:rPr>
                <w:rFonts w:cs="Arial"/>
              </w:rPr>
            </w:pPr>
          </w:p>
          <w:p w14:paraId="28D78AC1" w14:textId="77777777" w:rsidR="00EE6994" w:rsidRPr="00EE6994" w:rsidRDefault="00EE6994">
            <w:pPr>
              <w:rPr>
                <w:rFonts w:cs="Arial"/>
              </w:rPr>
            </w:pPr>
            <w:r w:rsidRPr="00EE6994">
              <w:rPr>
                <w:rFonts w:cs="Arial"/>
              </w:rPr>
              <w:t xml:space="preserve">Closing the Gap reforms aim to have local data systems for early childhood outcomes (e.g., Connected Beginnings). </w:t>
            </w:r>
          </w:p>
        </w:tc>
        <w:tc>
          <w:tcPr>
            <w:tcW w:w="2186" w:type="dxa"/>
          </w:tcPr>
          <w:p w14:paraId="6FF2CDE0" w14:textId="77777777" w:rsidR="00EE6994" w:rsidRPr="00EE6994" w:rsidRDefault="00EE6994">
            <w:pPr>
              <w:pBdr>
                <w:top w:val="nil"/>
                <w:left w:val="nil"/>
                <w:bottom w:val="nil"/>
                <w:right w:val="nil"/>
                <w:between w:val="nil"/>
              </w:pBdr>
              <w:rPr>
                <w:rFonts w:cs="Arial"/>
                <w:color w:val="0F0D29"/>
              </w:rPr>
            </w:pPr>
            <w:r w:rsidRPr="00EE6994">
              <w:rPr>
                <w:rFonts w:cs="Arial"/>
                <w:color w:val="000000"/>
                <w:highlight w:val="white"/>
              </w:rPr>
              <w:lastRenderedPageBreak/>
              <w:t>The current guidelines do not provide resources to gather evidence of implementation.  </w:t>
            </w:r>
          </w:p>
        </w:tc>
        <w:tc>
          <w:tcPr>
            <w:tcW w:w="2185" w:type="dxa"/>
          </w:tcPr>
          <w:p w14:paraId="50D0FA51" w14:textId="0F236439" w:rsidR="00EE6994" w:rsidRPr="00EE6994" w:rsidRDefault="00EE6994">
            <w:pPr>
              <w:pBdr>
                <w:top w:val="nil"/>
                <w:left w:val="nil"/>
                <w:bottom w:val="nil"/>
                <w:right w:val="nil"/>
                <w:between w:val="nil"/>
              </w:pBdr>
              <w:spacing w:after="240"/>
              <w:rPr>
                <w:rFonts w:cs="Arial"/>
                <w:color w:val="000000"/>
              </w:rPr>
            </w:pPr>
            <w:r w:rsidRPr="00EE6994">
              <w:rPr>
                <w:rFonts w:cs="Arial"/>
                <w:color w:val="000000"/>
              </w:rPr>
              <w:t xml:space="preserve">Self-reflection exercises (Stop to think), narratives of child and family experiences, noted practical examples for </w:t>
            </w:r>
            <w:r w:rsidRPr="00EE6994">
              <w:rPr>
                <w:rFonts w:cs="Arial"/>
                <w:color w:val="000000"/>
              </w:rPr>
              <w:lastRenderedPageBreak/>
              <w:t>each recommended practice.</w:t>
            </w:r>
          </w:p>
        </w:tc>
        <w:tc>
          <w:tcPr>
            <w:tcW w:w="2186" w:type="dxa"/>
          </w:tcPr>
          <w:p w14:paraId="7C1FDD7F" w14:textId="77777777" w:rsidR="00EE6994" w:rsidRPr="00EE6994" w:rsidRDefault="00EE6994">
            <w:pPr>
              <w:pBdr>
                <w:top w:val="nil"/>
                <w:left w:val="nil"/>
                <w:bottom w:val="nil"/>
                <w:right w:val="nil"/>
                <w:between w:val="nil"/>
              </w:pBdr>
              <w:rPr>
                <w:rFonts w:cs="Arial"/>
                <w:color w:val="0F0D29"/>
              </w:rPr>
            </w:pPr>
            <w:r w:rsidRPr="00EE6994">
              <w:rPr>
                <w:rFonts w:cs="Arial"/>
                <w:color w:val="0F0D29"/>
              </w:rPr>
              <w:lastRenderedPageBreak/>
              <w:t>Each practice principle has examples and reflective questions.</w:t>
            </w:r>
          </w:p>
        </w:tc>
        <w:tc>
          <w:tcPr>
            <w:tcW w:w="2185" w:type="dxa"/>
          </w:tcPr>
          <w:p w14:paraId="6D815CCD" w14:textId="77777777" w:rsidR="00EE6994" w:rsidRPr="00EE6994" w:rsidRDefault="00EE6994">
            <w:pPr>
              <w:pBdr>
                <w:top w:val="nil"/>
                <w:left w:val="nil"/>
                <w:bottom w:val="nil"/>
                <w:right w:val="nil"/>
                <w:between w:val="nil"/>
              </w:pBdr>
              <w:rPr>
                <w:rFonts w:eastAsia="Calibri" w:cs="Arial"/>
                <w:color w:val="0F0D29"/>
              </w:rPr>
            </w:pPr>
            <w:r w:rsidRPr="00EE6994">
              <w:rPr>
                <w:rFonts w:eastAsia="Calibri" w:cs="Arial"/>
                <w:color w:val="0F0D29"/>
              </w:rPr>
              <w:t>The Early Years Foundation Stage Profile for assessment</w:t>
            </w:r>
          </w:p>
          <w:p w14:paraId="16D2147E" w14:textId="77777777" w:rsidR="00EE6994" w:rsidRPr="00EE6994" w:rsidRDefault="00EE6994">
            <w:pPr>
              <w:pBdr>
                <w:top w:val="nil"/>
                <w:left w:val="nil"/>
                <w:bottom w:val="nil"/>
                <w:right w:val="nil"/>
                <w:between w:val="nil"/>
              </w:pBdr>
              <w:rPr>
                <w:rFonts w:eastAsia="Calibri" w:cs="Arial"/>
                <w:color w:val="0F0D29"/>
              </w:rPr>
            </w:pPr>
          </w:p>
          <w:p w14:paraId="1468EE88" w14:textId="77777777" w:rsidR="00EE6994" w:rsidRPr="00EE6994" w:rsidRDefault="00EE6994">
            <w:pPr>
              <w:pBdr>
                <w:top w:val="nil"/>
                <w:left w:val="nil"/>
                <w:bottom w:val="nil"/>
                <w:right w:val="nil"/>
                <w:between w:val="nil"/>
              </w:pBdr>
              <w:rPr>
                <w:rFonts w:eastAsia="Calibri" w:cs="Arial"/>
                <w:color w:val="0F0D29"/>
              </w:rPr>
            </w:pPr>
            <w:r w:rsidRPr="00EE6994">
              <w:rPr>
                <w:rFonts w:eastAsia="Calibri" w:cs="Arial"/>
                <w:color w:val="0F0D29"/>
              </w:rPr>
              <w:lastRenderedPageBreak/>
              <w:t>Curriculum guidance- Development matters for practitioners.</w:t>
            </w:r>
          </w:p>
        </w:tc>
        <w:tc>
          <w:tcPr>
            <w:tcW w:w="2186" w:type="dxa"/>
          </w:tcPr>
          <w:p w14:paraId="18939932" w14:textId="77777777" w:rsidR="00EE6994" w:rsidRPr="00EE6994" w:rsidRDefault="00EE6994" w:rsidP="003B0B17">
            <w:pPr>
              <w:pStyle w:val="ListParagraph"/>
              <w:numPr>
                <w:ilvl w:val="0"/>
                <w:numId w:val="119"/>
              </w:numPr>
              <w:pBdr>
                <w:top w:val="nil"/>
                <w:left w:val="nil"/>
                <w:bottom w:val="nil"/>
                <w:right w:val="nil"/>
                <w:between w:val="nil"/>
              </w:pBdr>
              <w:spacing w:before="0"/>
              <w:ind w:left="240" w:hanging="240"/>
              <w:rPr>
                <w:rFonts w:eastAsia="Calibri" w:cs="Arial"/>
                <w:color w:val="0F0D29"/>
              </w:rPr>
            </w:pPr>
            <w:r w:rsidRPr="00EE6994">
              <w:rPr>
                <w:rFonts w:eastAsia="Calibri" w:cs="Arial"/>
                <w:color w:val="0F0D29"/>
              </w:rPr>
              <w:lastRenderedPageBreak/>
              <w:t>Performance Checklists for practitioners</w:t>
            </w:r>
          </w:p>
          <w:p w14:paraId="7168D912" w14:textId="77777777" w:rsidR="00EE6994" w:rsidRPr="00EE6994" w:rsidRDefault="00EE6994" w:rsidP="003B0B17">
            <w:pPr>
              <w:pStyle w:val="ListParagraph"/>
              <w:numPr>
                <w:ilvl w:val="0"/>
                <w:numId w:val="119"/>
              </w:numPr>
              <w:pBdr>
                <w:top w:val="nil"/>
                <w:left w:val="nil"/>
                <w:bottom w:val="nil"/>
                <w:right w:val="nil"/>
                <w:between w:val="nil"/>
              </w:pBdr>
              <w:spacing w:before="0"/>
              <w:ind w:left="240" w:hanging="240"/>
              <w:rPr>
                <w:rFonts w:eastAsia="Calibri" w:cs="Arial"/>
                <w:color w:val="0F0D29"/>
              </w:rPr>
            </w:pPr>
            <w:r w:rsidRPr="00EE6994">
              <w:rPr>
                <w:rFonts w:eastAsia="Calibri" w:cs="Arial"/>
                <w:color w:val="0F0D29"/>
              </w:rPr>
              <w:t>Practice Guides for practitioners and families</w:t>
            </w:r>
          </w:p>
          <w:p w14:paraId="5E5C736F" w14:textId="77777777" w:rsidR="00EE6994" w:rsidRPr="00EE6994" w:rsidRDefault="00EE6994" w:rsidP="003B0B17">
            <w:pPr>
              <w:pStyle w:val="ListParagraph"/>
              <w:numPr>
                <w:ilvl w:val="0"/>
                <w:numId w:val="119"/>
              </w:numPr>
              <w:pBdr>
                <w:top w:val="nil"/>
                <w:left w:val="nil"/>
                <w:bottom w:val="nil"/>
                <w:right w:val="nil"/>
                <w:between w:val="nil"/>
              </w:pBdr>
              <w:spacing w:before="0"/>
              <w:ind w:left="240" w:hanging="240"/>
              <w:rPr>
                <w:rFonts w:eastAsia="Calibri" w:cs="Arial"/>
                <w:color w:val="0F0D29"/>
              </w:rPr>
            </w:pPr>
            <w:r w:rsidRPr="00EE6994">
              <w:rPr>
                <w:rFonts w:eastAsia="Calibri" w:cs="Arial"/>
                <w:color w:val="0F0D29"/>
              </w:rPr>
              <w:t xml:space="preserve">Guidelines for Selecting </w:t>
            </w:r>
            <w:r w:rsidRPr="00EE6994">
              <w:rPr>
                <w:rFonts w:eastAsia="Calibri" w:cs="Arial"/>
                <w:color w:val="0F0D29"/>
              </w:rPr>
              <w:lastRenderedPageBreak/>
              <w:t>Checklists and Practice Guides</w:t>
            </w:r>
          </w:p>
          <w:p w14:paraId="1BC558BF" w14:textId="77777777" w:rsidR="00EE6994" w:rsidRPr="00EE6994" w:rsidRDefault="00EE6994" w:rsidP="003B0B17">
            <w:pPr>
              <w:pStyle w:val="ListParagraph"/>
              <w:numPr>
                <w:ilvl w:val="0"/>
                <w:numId w:val="119"/>
              </w:numPr>
              <w:pBdr>
                <w:top w:val="nil"/>
                <w:left w:val="nil"/>
                <w:bottom w:val="nil"/>
                <w:right w:val="nil"/>
                <w:between w:val="nil"/>
              </w:pBdr>
              <w:spacing w:before="0"/>
              <w:ind w:left="240" w:hanging="240"/>
              <w:rPr>
                <w:rFonts w:eastAsia="Calibri" w:cs="Arial"/>
                <w:color w:val="0F0D29"/>
              </w:rPr>
            </w:pPr>
            <w:r w:rsidRPr="00EE6994">
              <w:rPr>
                <w:rFonts w:eastAsia="Calibri" w:cs="Arial"/>
                <w:color w:val="0F0D29"/>
              </w:rPr>
              <w:t>Resources for Professional Development Providers</w:t>
            </w:r>
          </w:p>
          <w:p w14:paraId="7CEA4EAE" w14:textId="77777777" w:rsidR="00EE6994" w:rsidRPr="00EE6994" w:rsidRDefault="00EE6994" w:rsidP="003B0B17">
            <w:pPr>
              <w:pStyle w:val="ListParagraph"/>
              <w:numPr>
                <w:ilvl w:val="0"/>
                <w:numId w:val="119"/>
              </w:numPr>
              <w:pBdr>
                <w:top w:val="nil"/>
                <w:left w:val="nil"/>
                <w:bottom w:val="nil"/>
                <w:right w:val="nil"/>
                <w:between w:val="nil"/>
              </w:pBdr>
              <w:spacing w:before="0"/>
              <w:ind w:left="240" w:hanging="240"/>
              <w:rPr>
                <w:rFonts w:eastAsia="Calibri" w:cs="Arial"/>
                <w:color w:val="0F0D29"/>
              </w:rPr>
            </w:pPr>
            <w:r w:rsidRPr="00EE6994">
              <w:rPr>
                <w:rFonts w:eastAsia="Calibri" w:cs="Arial"/>
                <w:color w:val="0F0D29"/>
              </w:rPr>
              <w:t>Guide to Statewide Implementation and Scale-up of Recommended Practices </w:t>
            </w:r>
          </w:p>
          <w:p w14:paraId="43D96B5D" w14:textId="77777777" w:rsidR="00EE6994" w:rsidRPr="00EE6994" w:rsidRDefault="00EE6994" w:rsidP="003B0B17">
            <w:pPr>
              <w:pStyle w:val="ListParagraph"/>
              <w:numPr>
                <w:ilvl w:val="0"/>
                <w:numId w:val="119"/>
              </w:numPr>
              <w:pBdr>
                <w:top w:val="nil"/>
                <w:left w:val="nil"/>
                <w:bottom w:val="nil"/>
                <w:right w:val="nil"/>
                <w:between w:val="nil"/>
              </w:pBdr>
              <w:spacing w:before="0"/>
              <w:ind w:left="240" w:hanging="240"/>
              <w:rPr>
                <w:rFonts w:eastAsia="Calibri" w:cs="Arial"/>
                <w:color w:val="0F0D29"/>
              </w:rPr>
            </w:pPr>
            <w:r w:rsidRPr="00EE6994">
              <w:rPr>
                <w:rFonts w:eastAsia="Calibri" w:cs="Arial"/>
                <w:color w:val="0F0D29"/>
              </w:rPr>
              <w:t>State Leadership Team Benchmarks of Quality</w:t>
            </w:r>
          </w:p>
          <w:p w14:paraId="06F895E5" w14:textId="77777777" w:rsidR="00EE6994" w:rsidRPr="00EE6994" w:rsidRDefault="00EE6994" w:rsidP="003B0B17">
            <w:pPr>
              <w:pStyle w:val="ListParagraph"/>
              <w:numPr>
                <w:ilvl w:val="0"/>
                <w:numId w:val="119"/>
              </w:numPr>
              <w:pBdr>
                <w:top w:val="nil"/>
                <w:left w:val="nil"/>
                <w:bottom w:val="nil"/>
                <w:right w:val="nil"/>
                <w:between w:val="nil"/>
              </w:pBdr>
              <w:spacing w:before="0"/>
              <w:ind w:left="240" w:hanging="240"/>
              <w:rPr>
                <w:rFonts w:eastAsia="Calibri" w:cs="Arial"/>
                <w:color w:val="0F0D29"/>
              </w:rPr>
            </w:pPr>
            <w:r w:rsidRPr="00EE6994">
              <w:rPr>
                <w:rFonts w:eastAsia="Calibri" w:cs="Arial"/>
                <w:color w:val="0F0D29"/>
              </w:rPr>
              <w:t>Benchmarks of Quality for Classroom-Based Programs and Home-Visiting Programs</w:t>
            </w:r>
          </w:p>
          <w:p w14:paraId="099B3422" w14:textId="77777777" w:rsidR="00EE6994" w:rsidRPr="00EE6994" w:rsidRDefault="00EE6994" w:rsidP="003B0B17">
            <w:pPr>
              <w:pStyle w:val="ListParagraph"/>
              <w:numPr>
                <w:ilvl w:val="0"/>
                <w:numId w:val="119"/>
              </w:numPr>
              <w:pBdr>
                <w:top w:val="nil"/>
                <w:left w:val="nil"/>
                <w:bottom w:val="nil"/>
                <w:right w:val="nil"/>
                <w:between w:val="nil"/>
              </w:pBdr>
              <w:spacing w:before="0"/>
              <w:ind w:left="240" w:hanging="240"/>
              <w:rPr>
                <w:rFonts w:eastAsia="Calibri" w:cs="Arial"/>
                <w:color w:val="0F0D29"/>
              </w:rPr>
            </w:pPr>
            <w:r w:rsidRPr="00EE6994">
              <w:rPr>
                <w:rFonts w:eastAsia="Calibri" w:cs="Arial"/>
                <w:color w:val="0F0D29"/>
              </w:rPr>
              <w:t>Reaching Potentials through Recommended Practices Observation Scales  </w:t>
            </w:r>
          </w:p>
        </w:tc>
      </w:tr>
      <w:tr w:rsidR="00EE6994" w:rsidRPr="00591073" w14:paraId="37618EDB" w14:textId="77777777">
        <w:trPr>
          <w:cnfStyle w:val="000000100000" w:firstRow="0" w:lastRow="0" w:firstColumn="0" w:lastColumn="0" w:oddVBand="0" w:evenVBand="0" w:oddHBand="1" w:evenHBand="0" w:firstRowFirstColumn="0" w:firstRowLastColumn="0" w:lastRowFirstColumn="0" w:lastRowLastColumn="0"/>
          <w:trHeight w:val="239"/>
        </w:trPr>
        <w:tc>
          <w:tcPr>
            <w:tcW w:w="1199" w:type="dxa"/>
          </w:tcPr>
          <w:p w14:paraId="001F340A" w14:textId="77777777" w:rsidR="00EE6994" w:rsidRPr="00EE6994" w:rsidRDefault="00EE6994">
            <w:pPr>
              <w:pBdr>
                <w:top w:val="nil"/>
                <w:left w:val="nil"/>
                <w:bottom w:val="nil"/>
                <w:right w:val="nil"/>
                <w:between w:val="nil"/>
              </w:pBdr>
              <w:rPr>
                <w:rFonts w:cs="Arial"/>
                <w:b/>
                <w:color w:val="000000"/>
              </w:rPr>
            </w:pPr>
            <w:r w:rsidRPr="00EE6994">
              <w:rPr>
                <w:rFonts w:cs="Arial"/>
                <w:b/>
                <w:color w:val="000000"/>
              </w:rPr>
              <w:lastRenderedPageBreak/>
              <w:t>How is new evidence integrated into the framework?  </w:t>
            </w:r>
          </w:p>
          <w:p w14:paraId="481C0713" w14:textId="77777777" w:rsidR="00EE6994" w:rsidRPr="00EE6994" w:rsidRDefault="00EE6994">
            <w:pPr>
              <w:rPr>
                <w:rFonts w:cs="Arial"/>
                <w:b/>
              </w:rPr>
            </w:pPr>
          </w:p>
        </w:tc>
        <w:tc>
          <w:tcPr>
            <w:tcW w:w="2185" w:type="dxa"/>
          </w:tcPr>
          <w:p w14:paraId="76483A85" w14:textId="77777777" w:rsidR="00EE6994" w:rsidRPr="00EE6994" w:rsidRDefault="00EE6994">
            <w:pPr>
              <w:rPr>
                <w:rFonts w:cs="Arial"/>
              </w:rPr>
            </w:pPr>
            <w:r w:rsidRPr="00EE6994">
              <w:rPr>
                <w:rFonts w:cs="Arial"/>
              </w:rPr>
              <w:lastRenderedPageBreak/>
              <w:t>Through:</w:t>
            </w:r>
          </w:p>
          <w:p w14:paraId="4BF9E7A4" w14:textId="77777777" w:rsidR="00EE6994" w:rsidRPr="00EE6994" w:rsidRDefault="00EE6994">
            <w:pPr>
              <w:rPr>
                <w:rFonts w:cs="Arial"/>
              </w:rPr>
            </w:pPr>
            <w:r w:rsidRPr="00EE6994">
              <w:rPr>
                <w:rFonts w:cs="Arial"/>
              </w:rPr>
              <w:t>The review of strategies and action and implementation plans associated with frameworks.</w:t>
            </w:r>
          </w:p>
          <w:p w14:paraId="4D386B00" w14:textId="77777777" w:rsidR="00EE6994" w:rsidRPr="00EE6994" w:rsidRDefault="00EE6994">
            <w:pPr>
              <w:rPr>
                <w:rFonts w:cs="Arial"/>
              </w:rPr>
            </w:pPr>
            <w:r w:rsidRPr="00EE6994">
              <w:rPr>
                <w:rFonts w:cs="Arial"/>
              </w:rPr>
              <w:lastRenderedPageBreak/>
              <w:t xml:space="preserve">Continuous quality improvement systems in Local Aboriginal and Torres Strait Islander community-controlled health organisations. </w:t>
            </w:r>
          </w:p>
        </w:tc>
        <w:tc>
          <w:tcPr>
            <w:tcW w:w="2186" w:type="dxa"/>
          </w:tcPr>
          <w:p w14:paraId="086DB279" w14:textId="77777777" w:rsidR="00EE6994" w:rsidRPr="00EE6994" w:rsidRDefault="00EE6994">
            <w:pPr>
              <w:rPr>
                <w:rFonts w:cs="Arial"/>
              </w:rPr>
            </w:pPr>
            <w:r w:rsidRPr="00EE6994">
              <w:rPr>
                <w:rFonts w:cs="Arial"/>
              </w:rPr>
              <w:lastRenderedPageBreak/>
              <w:t xml:space="preserve">The framework integrates extensive research with information sought from the sector through national consultations and </w:t>
            </w:r>
            <w:r w:rsidRPr="00EE6994">
              <w:rPr>
                <w:rFonts w:cs="Arial"/>
              </w:rPr>
              <w:lastRenderedPageBreak/>
              <w:t xml:space="preserve">submissions. The </w:t>
            </w:r>
            <w:r w:rsidRPr="00EE6994">
              <w:rPr>
                <w:rFonts w:cs="Arial"/>
                <w:color w:val="000000"/>
                <w:highlight w:val="white"/>
              </w:rPr>
              <w:t>Department of Social Services has funded an independent review of current best practice in ECI to inform nationally consistent guidance. </w:t>
            </w:r>
            <w:r w:rsidRPr="00EE6994">
              <w:rPr>
                <w:rFonts w:cs="Arial"/>
                <w:color w:val="000000"/>
              </w:rPr>
              <w:t> </w:t>
            </w:r>
          </w:p>
          <w:p w14:paraId="73648CC4" w14:textId="77777777" w:rsidR="00EE6994" w:rsidRPr="00EE6994" w:rsidRDefault="00EE6994">
            <w:pPr>
              <w:rPr>
                <w:rFonts w:cs="Arial"/>
              </w:rPr>
            </w:pPr>
            <w:r w:rsidRPr="00EE6994">
              <w:rPr>
                <w:rFonts w:cs="Arial"/>
              </w:rPr>
              <w:t> </w:t>
            </w:r>
          </w:p>
          <w:p w14:paraId="73793FF9" w14:textId="77777777" w:rsidR="00EE6994" w:rsidRPr="00EE6994" w:rsidRDefault="00EE6994">
            <w:pPr>
              <w:rPr>
                <w:rFonts w:cs="Arial"/>
              </w:rPr>
            </w:pPr>
          </w:p>
        </w:tc>
        <w:tc>
          <w:tcPr>
            <w:tcW w:w="2185" w:type="dxa"/>
          </w:tcPr>
          <w:p w14:paraId="0D982E91" w14:textId="77777777" w:rsidR="00EE6994" w:rsidRPr="00EE6994" w:rsidRDefault="00EE6994">
            <w:pPr>
              <w:pBdr>
                <w:top w:val="nil"/>
                <w:left w:val="nil"/>
                <w:bottom w:val="nil"/>
                <w:right w:val="nil"/>
                <w:between w:val="nil"/>
              </w:pBdr>
              <w:spacing w:after="240"/>
              <w:rPr>
                <w:rFonts w:cs="Arial"/>
                <w:color w:val="000000"/>
              </w:rPr>
            </w:pPr>
            <w:r w:rsidRPr="00EE6994">
              <w:rPr>
                <w:rFonts w:cs="Arial"/>
                <w:color w:val="000000"/>
              </w:rPr>
              <w:lastRenderedPageBreak/>
              <w:t xml:space="preserve">The framework integrates extensive research on child learning and development, parenting, family supports, natural </w:t>
            </w:r>
            <w:r w:rsidRPr="00EE6994">
              <w:rPr>
                <w:rFonts w:cs="Arial"/>
                <w:color w:val="000000"/>
              </w:rPr>
              <w:lastRenderedPageBreak/>
              <w:t>contexts, community resources, and implementation around the family-centred approach. The framework has been revised once.</w:t>
            </w:r>
          </w:p>
          <w:p w14:paraId="223F34F0" w14:textId="77777777" w:rsidR="00EE6994" w:rsidRPr="00EE6994" w:rsidRDefault="00EE6994">
            <w:pPr>
              <w:rPr>
                <w:rFonts w:cs="Arial"/>
              </w:rPr>
            </w:pPr>
          </w:p>
        </w:tc>
        <w:tc>
          <w:tcPr>
            <w:tcW w:w="2186" w:type="dxa"/>
          </w:tcPr>
          <w:p w14:paraId="6DDEA0DE" w14:textId="77777777" w:rsidR="00EE6994" w:rsidRPr="00EE6994" w:rsidRDefault="00EE6994">
            <w:pPr>
              <w:rPr>
                <w:rFonts w:cs="Arial"/>
              </w:rPr>
            </w:pPr>
            <w:r w:rsidRPr="00EE6994">
              <w:rPr>
                <w:rFonts w:cs="Arial"/>
              </w:rPr>
              <w:lastRenderedPageBreak/>
              <w:t xml:space="preserve">It is not clear how new evidence is integrated into the framework.   However, there are links to a broad range of current articles </w:t>
            </w:r>
            <w:r w:rsidRPr="00EE6994">
              <w:rPr>
                <w:rFonts w:cs="Arial"/>
              </w:rPr>
              <w:lastRenderedPageBreak/>
              <w:t xml:space="preserve">related to each of the guiding principles on the He Pikorua website. </w:t>
            </w:r>
          </w:p>
          <w:p w14:paraId="10CE6202" w14:textId="77777777" w:rsidR="00EE6994" w:rsidRPr="00EE6994" w:rsidRDefault="00EE6994">
            <w:pPr>
              <w:ind w:left="135"/>
              <w:rPr>
                <w:rFonts w:cs="Arial"/>
              </w:rPr>
            </w:pPr>
          </w:p>
          <w:p w14:paraId="589295DB" w14:textId="77777777" w:rsidR="00EE6994" w:rsidRPr="00EE6994" w:rsidRDefault="00EE6994">
            <w:pPr>
              <w:rPr>
                <w:rFonts w:cs="Arial"/>
              </w:rPr>
            </w:pPr>
          </w:p>
        </w:tc>
        <w:tc>
          <w:tcPr>
            <w:tcW w:w="2185" w:type="dxa"/>
          </w:tcPr>
          <w:p w14:paraId="0A8BD611" w14:textId="77777777" w:rsidR="00EE6994" w:rsidRPr="00EE6994" w:rsidRDefault="00EE6994">
            <w:pPr>
              <w:rPr>
                <w:rFonts w:cs="Arial"/>
              </w:rPr>
            </w:pPr>
            <w:r w:rsidRPr="00EE6994">
              <w:rPr>
                <w:rFonts w:cs="Arial"/>
              </w:rPr>
              <w:lastRenderedPageBreak/>
              <w:t xml:space="preserve">The goal is to use the best available evidence on what works to support a range of needs, from universal support, through SEND </w:t>
            </w:r>
            <w:r w:rsidRPr="00EE6994">
              <w:rPr>
                <w:rFonts w:cs="Arial"/>
              </w:rPr>
              <w:lastRenderedPageBreak/>
              <w:t>Support, to the more specialist support. However, it is not clear how evidence is integrated into the framework</w:t>
            </w:r>
          </w:p>
        </w:tc>
        <w:tc>
          <w:tcPr>
            <w:tcW w:w="2186" w:type="dxa"/>
          </w:tcPr>
          <w:p w14:paraId="31A0060B" w14:textId="77777777" w:rsidR="00EE6994" w:rsidRPr="00EE6994" w:rsidRDefault="00EE6994">
            <w:pPr>
              <w:rPr>
                <w:rFonts w:cs="Arial"/>
              </w:rPr>
            </w:pPr>
            <w:r w:rsidRPr="00EE6994">
              <w:rPr>
                <w:rFonts w:cs="Arial"/>
              </w:rPr>
              <w:lastRenderedPageBreak/>
              <w:t>An action plan is formulated with the following components:</w:t>
            </w:r>
          </w:p>
          <w:p w14:paraId="6314B2DA" w14:textId="77777777" w:rsidR="00EE6994" w:rsidRPr="00EE6994" w:rsidRDefault="00EE6994" w:rsidP="003B0B17">
            <w:pPr>
              <w:pStyle w:val="ListParagraph"/>
              <w:numPr>
                <w:ilvl w:val="0"/>
                <w:numId w:val="120"/>
              </w:numPr>
              <w:pBdr>
                <w:top w:val="nil"/>
                <w:left w:val="nil"/>
                <w:bottom w:val="nil"/>
                <w:right w:val="nil"/>
                <w:between w:val="nil"/>
              </w:pBdr>
              <w:spacing w:before="0"/>
              <w:ind w:left="240" w:hanging="240"/>
              <w:rPr>
                <w:rFonts w:cs="Arial"/>
                <w:color w:val="0F0D29"/>
              </w:rPr>
            </w:pPr>
            <w:r w:rsidRPr="00EE6994">
              <w:rPr>
                <w:rFonts w:cs="Arial"/>
                <w:color w:val="0F0D29"/>
              </w:rPr>
              <w:t xml:space="preserve">A national recommended </w:t>
            </w:r>
            <w:r w:rsidRPr="00EE6994">
              <w:rPr>
                <w:rFonts w:cs="Arial"/>
                <w:color w:val="0F0D29"/>
              </w:rPr>
              <w:lastRenderedPageBreak/>
              <w:t>practices commission</w:t>
            </w:r>
          </w:p>
          <w:p w14:paraId="2C1E53C0" w14:textId="77777777" w:rsidR="00EE6994" w:rsidRPr="00EE6994" w:rsidRDefault="00EE6994" w:rsidP="003B0B17">
            <w:pPr>
              <w:pStyle w:val="ListParagraph"/>
              <w:numPr>
                <w:ilvl w:val="0"/>
                <w:numId w:val="120"/>
              </w:numPr>
              <w:pBdr>
                <w:top w:val="nil"/>
                <w:left w:val="nil"/>
                <w:bottom w:val="nil"/>
                <w:right w:val="nil"/>
                <w:between w:val="nil"/>
              </w:pBdr>
              <w:spacing w:before="0"/>
              <w:ind w:left="240" w:hanging="240"/>
              <w:rPr>
                <w:rFonts w:cs="Arial"/>
                <w:color w:val="0F0D29"/>
              </w:rPr>
            </w:pPr>
            <w:r w:rsidRPr="00EE6994">
              <w:rPr>
                <w:rFonts w:cs="Arial"/>
                <w:color w:val="0F0D29"/>
              </w:rPr>
              <w:t>Revision of recommended practices</w:t>
            </w:r>
          </w:p>
          <w:p w14:paraId="227FBE93" w14:textId="77777777" w:rsidR="00EE6994" w:rsidRPr="00EE6994" w:rsidRDefault="00EE6994" w:rsidP="003B0B17">
            <w:pPr>
              <w:pStyle w:val="ListParagraph"/>
              <w:numPr>
                <w:ilvl w:val="0"/>
                <w:numId w:val="120"/>
              </w:numPr>
              <w:pBdr>
                <w:top w:val="nil"/>
                <w:left w:val="nil"/>
                <w:bottom w:val="nil"/>
                <w:right w:val="nil"/>
                <w:between w:val="nil"/>
              </w:pBdr>
              <w:spacing w:before="0"/>
              <w:ind w:left="240" w:hanging="240"/>
              <w:rPr>
                <w:rFonts w:cs="Arial"/>
                <w:color w:val="0F0D29"/>
              </w:rPr>
            </w:pPr>
            <w:r w:rsidRPr="00EE6994">
              <w:rPr>
                <w:rFonts w:cs="Arial"/>
                <w:color w:val="0F0D29"/>
              </w:rPr>
              <w:t>Multiple platforms for access to practices by providers working with children and families.</w:t>
            </w:r>
          </w:p>
          <w:p w14:paraId="19BECE5E" w14:textId="77777777" w:rsidR="00EE6994" w:rsidRPr="00EE6994" w:rsidRDefault="00EE6994" w:rsidP="003B0B17">
            <w:pPr>
              <w:pStyle w:val="ListParagraph"/>
              <w:numPr>
                <w:ilvl w:val="0"/>
                <w:numId w:val="120"/>
              </w:numPr>
              <w:pBdr>
                <w:top w:val="nil"/>
                <w:left w:val="nil"/>
                <w:bottom w:val="nil"/>
                <w:right w:val="nil"/>
                <w:between w:val="nil"/>
              </w:pBdr>
              <w:spacing w:before="0"/>
              <w:ind w:left="240" w:hanging="240"/>
              <w:rPr>
                <w:rFonts w:cs="Arial"/>
                <w:color w:val="0F0D29"/>
              </w:rPr>
            </w:pPr>
            <w:r w:rsidRPr="00EE6994">
              <w:rPr>
                <w:rFonts w:cs="Arial"/>
                <w:color w:val="0F0D29"/>
              </w:rPr>
              <w:t>ensuring ongoing access to practices and developing a plan to continually update both the practices and the supporting materials and make resources available to professionals and family members.</w:t>
            </w:r>
          </w:p>
          <w:p w14:paraId="47FFB222" w14:textId="77777777" w:rsidR="00EE6994" w:rsidRPr="00EE6994" w:rsidRDefault="00EE6994">
            <w:pPr>
              <w:rPr>
                <w:rFonts w:cs="Arial"/>
              </w:rPr>
            </w:pPr>
            <w:r w:rsidRPr="00EE6994">
              <w:rPr>
                <w:rFonts w:cs="Arial"/>
              </w:rPr>
              <w:t xml:space="preserve">The Commission created an Evidence Synthesis Group (ESG) to develop a system for identifying and summarizing the status of the best-available evidence in support of the 2014 practices. This system will inform </w:t>
            </w:r>
            <w:r w:rsidRPr="00EE6994">
              <w:rPr>
                <w:rFonts w:cs="Arial"/>
              </w:rPr>
              <w:lastRenderedPageBreak/>
              <w:t>updates or revisions to the practices.</w:t>
            </w:r>
          </w:p>
        </w:tc>
      </w:tr>
      <w:tr w:rsidR="00EE6994" w:rsidRPr="00591073" w14:paraId="1B735109" w14:textId="77777777">
        <w:trPr>
          <w:cnfStyle w:val="000000010000" w:firstRow="0" w:lastRow="0" w:firstColumn="0" w:lastColumn="0" w:oddVBand="0" w:evenVBand="0" w:oddHBand="0" w:evenHBand="1" w:firstRowFirstColumn="0" w:firstRowLastColumn="0" w:lastRowFirstColumn="0" w:lastRowLastColumn="0"/>
          <w:trHeight w:val="239"/>
        </w:trPr>
        <w:tc>
          <w:tcPr>
            <w:tcW w:w="1199" w:type="dxa"/>
          </w:tcPr>
          <w:p w14:paraId="34B22C7E" w14:textId="77777777" w:rsidR="00EE6994" w:rsidRPr="00EE6994" w:rsidRDefault="00EE6994">
            <w:pPr>
              <w:rPr>
                <w:rFonts w:cs="Arial"/>
                <w:b/>
              </w:rPr>
            </w:pPr>
            <w:r w:rsidRPr="00EE6994">
              <w:rPr>
                <w:rFonts w:cs="Arial"/>
                <w:b/>
              </w:rPr>
              <w:lastRenderedPageBreak/>
              <w:t>What are the perceived strengths, weaknesses, and challenges?</w:t>
            </w:r>
          </w:p>
        </w:tc>
        <w:tc>
          <w:tcPr>
            <w:tcW w:w="2185" w:type="dxa"/>
          </w:tcPr>
          <w:p w14:paraId="3261BBCF" w14:textId="77777777" w:rsidR="00EE6994" w:rsidRPr="00EE6994" w:rsidRDefault="00EE6994">
            <w:pPr>
              <w:rPr>
                <w:rFonts w:cs="Arial"/>
                <w:u w:val="single"/>
              </w:rPr>
            </w:pPr>
            <w:r w:rsidRPr="00EE6994">
              <w:rPr>
                <w:rFonts w:cs="Arial"/>
                <w:u w:val="single"/>
              </w:rPr>
              <w:t>Strengths</w:t>
            </w:r>
          </w:p>
          <w:p w14:paraId="6A6ECC76" w14:textId="77777777" w:rsidR="00EE6994" w:rsidRPr="00EE6994" w:rsidRDefault="00EE6994" w:rsidP="003B0B17">
            <w:pPr>
              <w:pStyle w:val="ListParagraph"/>
              <w:numPr>
                <w:ilvl w:val="0"/>
                <w:numId w:val="128"/>
              </w:numPr>
              <w:pBdr>
                <w:top w:val="nil"/>
                <w:left w:val="nil"/>
                <w:bottom w:val="nil"/>
                <w:right w:val="nil"/>
                <w:between w:val="nil"/>
              </w:pBdr>
              <w:spacing w:before="0"/>
              <w:ind w:left="240" w:hanging="240"/>
              <w:rPr>
                <w:rFonts w:cs="Arial"/>
                <w:color w:val="0F0D29"/>
              </w:rPr>
            </w:pPr>
            <w:r w:rsidRPr="00EE6994">
              <w:rPr>
                <w:rFonts w:cs="Arial"/>
                <w:color w:val="0F0D29"/>
              </w:rPr>
              <w:t xml:space="preserve">The Strategy takes holistic perspectives that recognise social, historical and political determinants and which foster self-determination, service integration and collaboration, tailored and intersectional approaches, and are strength-based and healing-focused. At all times children, families and community and connection to culture are at the heart. </w:t>
            </w:r>
          </w:p>
          <w:p w14:paraId="37A6CA05" w14:textId="77777777" w:rsidR="00EE6994" w:rsidRPr="00EE6994" w:rsidRDefault="00EE6994" w:rsidP="003B0B17">
            <w:pPr>
              <w:pStyle w:val="ListParagraph"/>
              <w:numPr>
                <w:ilvl w:val="0"/>
                <w:numId w:val="128"/>
              </w:numPr>
              <w:pBdr>
                <w:top w:val="nil"/>
                <w:left w:val="nil"/>
                <w:bottom w:val="nil"/>
                <w:right w:val="nil"/>
                <w:between w:val="nil"/>
              </w:pBdr>
              <w:spacing w:before="0"/>
              <w:ind w:left="240" w:hanging="240"/>
              <w:rPr>
                <w:rFonts w:cs="Arial"/>
                <w:color w:val="0F0D29"/>
              </w:rPr>
            </w:pPr>
            <w:r w:rsidRPr="00EE6994">
              <w:rPr>
                <w:rFonts w:cs="Arial"/>
                <w:color w:val="0F0D29"/>
              </w:rPr>
              <w:t xml:space="preserve">Aboriginal and Torres Strait Islander ways of knowing, being and doing inform the Framework and Strategy. </w:t>
            </w:r>
          </w:p>
          <w:p w14:paraId="14A10506" w14:textId="77777777" w:rsidR="00EE6994" w:rsidRPr="00EE6994" w:rsidRDefault="00EE6994" w:rsidP="003B0B17">
            <w:pPr>
              <w:pStyle w:val="ListParagraph"/>
              <w:numPr>
                <w:ilvl w:val="0"/>
                <w:numId w:val="128"/>
              </w:numPr>
              <w:pBdr>
                <w:top w:val="nil"/>
                <w:left w:val="nil"/>
                <w:bottom w:val="nil"/>
                <w:right w:val="nil"/>
                <w:between w:val="nil"/>
              </w:pBdr>
              <w:spacing w:before="0"/>
              <w:ind w:left="240" w:hanging="240"/>
              <w:rPr>
                <w:rFonts w:cs="Arial"/>
                <w:color w:val="0F0D29"/>
              </w:rPr>
            </w:pPr>
            <w:r w:rsidRPr="00EE6994">
              <w:rPr>
                <w:rFonts w:cs="Arial"/>
                <w:color w:val="0F0D29"/>
              </w:rPr>
              <w:lastRenderedPageBreak/>
              <w:t xml:space="preserve">The Framework and Strategy are consistent with other frameworks that guide decision-making and service delivery for Aboriginal and Torres Strait Islander peoples. Frameworks such as the SEWB model are long-lived and remain fundamental and influential. Implementation is evolving over time, but the has survived. </w:t>
            </w:r>
          </w:p>
          <w:p w14:paraId="004A7D8B" w14:textId="77777777" w:rsidR="00EE6994" w:rsidRPr="00EE6994" w:rsidRDefault="00EE6994" w:rsidP="003B0B17">
            <w:pPr>
              <w:pStyle w:val="ListParagraph"/>
              <w:numPr>
                <w:ilvl w:val="0"/>
                <w:numId w:val="128"/>
              </w:numPr>
              <w:pBdr>
                <w:top w:val="nil"/>
                <w:left w:val="nil"/>
                <w:bottom w:val="nil"/>
                <w:right w:val="nil"/>
                <w:between w:val="nil"/>
              </w:pBdr>
              <w:spacing w:before="0"/>
              <w:ind w:left="240" w:hanging="240"/>
              <w:rPr>
                <w:rFonts w:cs="Arial"/>
                <w:color w:val="0F0D29"/>
              </w:rPr>
            </w:pPr>
            <w:r w:rsidRPr="00EE6994">
              <w:rPr>
                <w:rFonts w:cs="Arial"/>
                <w:color w:val="0F0D29"/>
              </w:rPr>
              <w:t>There are existing indicators and systems for measuring and reporting progress against nationally established targets.</w:t>
            </w:r>
          </w:p>
          <w:p w14:paraId="44BEE01D" w14:textId="77777777" w:rsidR="00EE6994" w:rsidRPr="00EE6994" w:rsidRDefault="00EE6994">
            <w:pPr>
              <w:ind w:left="-65"/>
              <w:rPr>
                <w:rFonts w:cs="Arial"/>
              </w:rPr>
            </w:pPr>
            <w:r w:rsidRPr="00EE6994">
              <w:rPr>
                <w:rFonts w:cs="Arial"/>
                <w:u w:val="single"/>
              </w:rPr>
              <w:t>Weaknesses/Challenges</w:t>
            </w:r>
          </w:p>
          <w:p w14:paraId="69A88F3A" w14:textId="77777777" w:rsidR="00EE6994" w:rsidRPr="00EE6994" w:rsidRDefault="00EE6994" w:rsidP="003B0B17">
            <w:pPr>
              <w:pStyle w:val="ListParagraph"/>
              <w:numPr>
                <w:ilvl w:val="0"/>
                <w:numId w:val="127"/>
              </w:numPr>
              <w:pBdr>
                <w:top w:val="nil"/>
                <w:left w:val="nil"/>
                <w:bottom w:val="nil"/>
                <w:right w:val="nil"/>
                <w:between w:val="nil"/>
              </w:pBdr>
              <w:spacing w:before="0"/>
              <w:ind w:left="240" w:hanging="240"/>
              <w:rPr>
                <w:rFonts w:cs="Arial"/>
                <w:color w:val="0F0D29"/>
              </w:rPr>
            </w:pPr>
            <w:r w:rsidRPr="00EE6994">
              <w:rPr>
                <w:rFonts w:cs="Arial"/>
                <w:color w:val="0F0D29"/>
              </w:rPr>
              <w:t xml:space="preserve">Moving from principles and </w:t>
            </w:r>
            <w:r w:rsidRPr="00EE6994">
              <w:rPr>
                <w:rFonts w:cs="Arial"/>
                <w:color w:val="0F0D29"/>
              </w:rPr>
              <w:lastRenderedPageBreak/>
              <w:t xml:space="preserve">evidence to practice requires additional investment in locally led codesign and in adapting implementation to local circumstances. </w:t>
            </w:r>
          </w:p>
          <w:p w14:paraId="028B925E" w14:textId="77777777" w:rsidR="00EE6994" w:rsidRPr="00EE6994" w:rsidRDefault="00EE6994" w:rsidP="003B0B17">
            <w:pPr>
              <w:pStyle w:val="ListParagraph"/>
              <w:numPr>
                <w:ilvl w:val="0"/>
                <w:numId w:val="127"/>
              </w:numPr>
              <w:pBdr>
                <w:top w:val="nil"/>
                <w:left w:val="nil"/>
                <w:bottom w:val="nil"/>
                <w:right w:val="nil"/>
                <w:between w:val="nil"/>
              </w:pBdr>
              <w:spacing w:before="0"/>
              <w:ind w:left="240" w:hanging="240"/>
              <w:rPr>
                <w:rFonts w:cs="Arial"/>
                <w:color w:val="0F0D29"/>
              </w:rPr>
            </w:pPr>
            <w:r w:rsidRPr="00EE6994">
              <w:rPr>
                <w:rFonts w:cs="Arial"/>
                <w:color w:val="0F0D29"/>
              </w:rPr>
              <w:t xml:space="preserve">Systems transformation is slow, and needs action at all levels </w:t>
            </w:r>
          </w:p>
          <w:p w14:paraId="3F7AE203" w14:textId="77777777" w:rsidR="00EE6994" w:rsidRPr="00EE6994" w:rsidRDefault="00EE6994" w:rsidP="003B0B17">
            <w:pPr>
              <w:pStyle w:val="ListParagraph"/>
              <w:numPr>
                <w:ilvl w:val="0"/>
                <w:numId w:val="127"/>
              </w:numPr>
              <w:pBdr>
                <w:top w:val="nil"/>
                <w:left w:val="nil"/>
                <w:bottom w:val="nil"/>
                <w:right w:val="nil"/>
                <w:between w:val="nil"/>
              </w:pBdr>
              <w:spacing w:before="0"/>
              <w:ind w:left="240" w:hanging="240"/>
              <w:rPr>
                <w:rFonts w:cs="Arial"/>
                <w:color w:val="0F0D29"/>
              </w:rPr>
            </w:pPr>
            <w:r w:rsidRPr="00EE6994">
              <w:rPr>
                <w:rFonts w:cs="Arial"/>
                <w:color w:val="0F0D29"/>
              </w:rPr>
              <w:t>Trauma-aware, healing-informed approaches require non-Indigenous services and their humans to address the historical and contemporary injustice inherent in post-colonial Australia. This is uncomfortable, and seemingly unpopular.</w:t>
            </w:r>
          </w:p>
          <w:p w14:paraId="683D59F7" w14:textId="77777777" w:rsidR="00EE6994" w:rsidRPr="00EE6994" w:rsidRDefault="00EE6994">
            <w:pPr>
              <w:rPr>
                <w:rFonts w:cs="Arial"/>
                <w:u w:val="single"/>
              </w:rPr>
            </w:pPr>
          </w:p>
        </w:tc>
        <w:tc>
          <w:tcPr>
            <w:tcW w:w="2186" w:type="dxa"/>
          </w:tcPr>
          <w:p w14:paraId="14B15783" w14:textId="77777777" w:rsidR="00EE6994" w:rsidRPr="00EE6994" w:rsidRDefault="00EE6994">
            <w:pPr>
              <w:rPr>
                <w:rFonts w:cs="Arial"/>
                <w:u w:val="single"/>
              </w:rPr>
            </w:pPr>
            <w:r w:rsidRPr="00EE6994">
              <w:rPr>
                <w:rFonts w:cs="Arial"/>
                <w:u w:val="single"/>
              </w:rPr>
              <w:lastRenderedPageBreak/>
              <w:t>Strengths</w:t>
            </w:r>
          </w:p>
          <w:p w14:paraId="7276FCF3" w14:textId="77777777" w:rsidR="00EE6994" w:rsidRPr="00EE6994" w:rsidRDefault="00EE6994" w:rsidP="003B0B17">
            <w:pPr>
              <w:pStyle w:val="ListParagraph"/>
              <w:numPr>
                <w:ilvl w:val="0"/>
                <w:numId w:val="122"/>
              </w:numPr>
              <w:pBdr>
                <w:top w:val="nil"/>
                <w:left w:val="nil"/>
                <w:bottom w:val="nil"/>
                <w:right w:val="nil"/>
                <w:between w:val="nil"/>
              </w:pBdr>
              <w:spacing w:before="0"/>
              <w:rPr>
                <w:rFonts w:cs="Arial"/>
                <w:color w:val="000000"/>
                <w:highlight w:val="white"/>
              </w:rPr>
            </w:pPr>
            <w:r w:rsidRPr="00EE6994">
              <w:rPr>
                <w:rFonts w:cs="Arial"/>
                <w:color w:val="000000"/>
                <w:highlight w:val="white"/>
              </w:rPr>
              <w:t>Clear key best practices and rationale for each one </w:t>
            </w:r>
          </w:p>
          <w:p w14:paraId="59D2F79A" w14:textId="77777777" w:rsidR="00EE6994" w:rsidRPr="00EE6994" w:rsidRDefault="00EE6994" w:rsidP="003B0B17">
            <w:pPr>
              <w:pStyle w:val="ListParagraph"/>
              <w:numPr>
                <w:ilvl w:val="0"/>
                <w:numId w:val="122"/>
              </w:numPr>
              <w:pBdr>
                <w:top w:val="nil"/>
                <w:left w:val="nil"/>
                <w:bottom w:val="nil"/>
                <w:right w:val="nil"/>
                <w:between w:val="nil"/>
              </w:pBdr>
              <w:spacing w:before="0"/>
              <w:rPr>
                <w:rFonts w:cs="Arial"/>
                <w:color w:val="000000"/>
                <w:highlight w:val="white"/>
              </w:rPr>
            </w:pPr>
            <w:r w:rsidRPr="00EE6994">
              <w:rPr>
                <w:rFonts w:cs="Arial"/>
                <w:color w:val="000000"/>
                <w:highlight w:val="white"/>
              </w:rPr>
              <w:t>Accessible for practitioners – free and online </w:t>
            </w:r>
          </w:p>
          <w:p w14:paraId="0D71BC6B" w14:textId="77777777" w:rsidR="00EE6994" w:rsidRPr="00EE6994" w:rsidRDefault="00EE6994" w:rsidP="003B0B17">
            <w:pPr>
              <w:pStyle w:val="ListParagraph"/>
              <w:numPr>
                <w:ilvl w:val="0"/>
                <w:numId w:val="122"/>
              </w:numPr>
              <w:pBdr>
                <w:top w:val="nil"/>
                <w:left w:val="nil"/>
                <w:bottom w:val="nil"/>
                <w:right w:val="nil"/>
                <w:between w:val="nil"/>
              </w:pBdr>
              <w:spacing w:before="0"/>
              <w:rPr>
                <w:rFonts w:cs="Arial"/>
                <w:color w:val="0F0D29"/>
              </w:rPr>
            </w:pPr>
            <w:r w:rsidRPr="00EE6994">
              <w:rPr>
                <w:rFonts w:cs="Arial"/>
                <w:color w:val="000000"/>
              </w:rPr>
              <w:t>Online training modules available.</w:t>
            </w:r>
          </w:p>
          <w:p w14:paraId="5F5616CE" w14:textId="77777777" w:rsidR="00EE6994" w:rsidRPr="00EE6994" w:rsidRDefault="00EE6994">
            <w:pPr>
              <w:pStyle w:val="ListParagraph"/>
              <w:pBdr>
                <w:top w:val="nil"/>
                <w:left w:val="nil"/>
                <w:bottom w:val="nil"/>
                <w:right w:val="nil"/>
                <w:between w:val="nil"/>
              </w:pBdr>
              <w:ind w:left="360"/>
              <w:rPr>
                <w:rFonts w:cs="Arial"/>
                <w:color w:val="0F0D29"/>
              </w:rPr>
            </w:pPr>
          </w:p>
          <w:p w14:paraId="04B5D70C" w14:textId="77777777" w:rsidR="00EE6994" w:rsidRPr="00EE6994" w:rsidRDefault="00EE6994">
            <w:pPr>
              <w:rPr>
                <w:rFonts w:cs="Arial"/>
              </w:rPr>
            </w:pPr>
            <w:r w:rsidRPr="00EE6994">
              <w:rPr>
                <w:rFonts w:cs="Arial"/>
                <w:u w:val="single"/>
              </w:rPr>
              <w:t>Weaknesses/ Challenges</w:t>
            </w:r>
          </w:p>
          <w:p w14:paraId="4F07A4A6" w14:textId="77777777" w:rsidR="00EE6994" w:rsidRPr="00EE6994" w:rsidRDefault="00EE6994" w:rsidP="003B0B17">
            <w:pPr>
              <w:pStyle w:val="ListParagraph"/>
              <w:numPr>
                <w:ilvl w:val="0"/>
                <w:numId w:val="121"/>
              </w:numPr>
              <w:pBdr>
                <w:top w:val="nil"/>
                <w:left w:val="nil"/>
                <w:bottom w:val="nil"/>
                <w:right w:val="nil"/>
                <w:between w:val="nil"/>
              </w:pBdr>
              <w:spacing w:before="0"/>
              <w:rPr>
                <w:rFonts w:cs="Arial"/>
                <w:color w:val="000000"/>
                <w:highlight w:val="white"/>
              </w:rPr>
            </w:pPr>
            <w:r w:rsidRPr="00EE6994">
              <w:rPr>
                <w:rFonts w:cs="Arial"/>
                <w:color w:val="000000"/>
                <w:highlight w:val="white"/>
              </w:rPr>
              <w:t>Limited translation of resources for parents</w:t>
            </w:r>
          </w:p>
          <w:p w14:paraId="73446478" w14:textId="77777777" w:rsidR="00EE6994" w:rsidRPr="00EE6994" w:rsidRDefault="00EE6994" w:rsidP="003B0B17">
            <w:pPr>
              <w:pStyle w:val="ListParagraph"/>
              <w:numPr>
                <w:ilvl w:val="0"/>
                <w:numId w:val="121"/>
              </w:numPr>
              <w:pBdr>
                <w:top w:val="nil"/>
                <w:left w:val="nil"/>
                <w:bottom w:val="nil"/>
                <w:right w:val="nil"/>
                <w:between w:val="nil"/>
              </w:pBdr>
              <w:spacing w:before="0"/>
              <w:rPr>
                <w:rFonts w:cs="Arial"/>
                <w:color w:val="000000"/>
                <w:highlight w:val="white"/>
              </w:rPr>
            </w:pPr>
            <w:r w:rsidRPr="00EE6994">
              <w:rPr>
                <w:rFonts w:cs="Arial"/>
                <w:color w:val="000000"/>
              </w:rPr>
              <w:t>Lack of explicit links to Early Years Framework</w:t>
            </w:r>
            <w:r w:rsidRPr="00EE6994">
              <w:rPr>
                <w:rFonts w:cs="Arial"/>
                <w:color w:val="000000"/>
                <w:highlight w:val="white"/>
              </w:rPr>
              <w:t> </w:t>
            </w:r>
          </w:p>
          <w:p w14:paraId="21CF4C94" w14:textId="77777777" w:rsidR="00EE6994" w:rsidRPr="00EE6994" w:rsidRDefault="00EE6994" w:rsidP="003B0B17">
            <w:pPr>
              <w:pStyle w:val="ListParagraph"/>
              <w:numPr>
                <w:ilvl w:val="0"/>
                <w:numId w:val="121"/>
              </w:numPr>
              <w:pBdr>
                <w:top w:val="nil"/>
                <w:left w:val="nil"/>
                <w:bottom w:val="nil"/>
                <w:right w:val="nil"/>
                <w:between w:val="nil"/>
              </w:pBdr>
              <w:spacing w:before="0"/>
              <w:rPr>
                <w:rFonts w:cs="Arial"/>
                <w:color w:val="000000"/>
                <w:highlight w:val="white"/>
              </w:rPr>
            </w:pPr>
            <w:r w:rsidRPr="00EE6994">
              <w:rPr>
                <w:rFonts w:cs="Arial"/>
                <w:color w:val="000000"/>
                <w:highlight w:val="white"/>
              </w:rPr>
              <w:t>Implementation – lack of technical assistance and job embedded learning</w:t>
            </w:r>
          </w:p>
          <w:p w14:paraId="28B97C58" w14:textId="77777777" w:rsidR="00EE6994" w:rsidRPr="00EE6994" w:rsidRDefault="00EE6994" w:rsidP="003B0B17">
            <w:pPr>
              <w:pStyle w:val="ListParagraph"/>
              <w:numPr>
                <w:ilvl w:val="0"/>
                <w:numId w:val="121"/>
              </w:numPr>
              <w:pBdr>
                <w:top w:val="nil"/>
                <w:left w:val="nil"/>
                <w:bottom w:val="nil"/>
                <w:right w:val="nil"/>
                <w:between w:val="nil"/>
              </w:pBdr>
              <w:spacing w:before="0"/>
              <w:rPr>
                <w:rFonts w:cs="Arial"/>
                <w:color w:val="000000"/>
                <w:highlight w:val="white"/>
              </w:rPr>
            </w:pPr>
            <w:r w:rsidRPr="00EE6994">
              <w:rPr>
                <w:rFonts w:cs="Arial"/>
                <w:color w:val="000000"/>
                <w:highlight w:val="white"/>
              </w:rPr>
              <w:t>Changing policy context</w:t>
            </w:r>
          </w:p>
          <w:p w14:paraId="6EE406BF" w14:textId="77777777" w:rsidR="00EE6994" w:rsidRPr="00EE6994" w:rsidRDefault="00EE6994" w:rsidP="003B0B17">
            <w:pPr>
              <w:pStyle w:val="ListParagraph"/>
              <w:numPr>
                <w:ilvl w:val="0"/>
                <w:numId w:val="121"/>
              </w:numPr>
              <w:pBdr>
                <w:top w:val="nil"/>
                <w:left w:val="nil"/>
                <w:bottom w:val="nil"/>
                <w:right w:val="nil"/>
                <w:between w:val="nil"/>
              </w:pBdr>
              <w:spacing w:before="0"/>
              <w:rPr>
                <w:rFonts w:cs="Arial"/>
                <w:color w:val="000000"/>
                <w:highlight w:val="white"/>
              </w:rPr>
            </w:pPr>
            <w:r w:rsidRPr="00EE6994">
              <w:rPr>
                <w:rFonts w:cs="Arial"/>
                <w:color w:val="000000"/>
                <w:highlight w:val="white"/>
              </w:rPr>
              <w:lastRenderedPageBreak/>
              <w:t>Integration with current reviews. </w:t>
            </w:r>
          </w:p>
          <w:p w14:paraId="3CE3B1DE" w14:textId="77777777" w:rsidR="00EE6994" w:rsidRPr="00EE6994" w:rsidRDefault="00EE6994" w:rsidP="003B0B17">
            <w:pPr>
              <w:pStyle w:val="ListParagraph"/>
              <w:numPr>
                <w:ilvl w:val="0"/>
                <w:numId w:val="121"/>
              </w:numPr>
              <w:pBdr>
                <w:top w:val="nil"/>
                <w:left w:val="nil"/>
                <w:bottom w:val="nil"/>
                <w:right w:val="nil"/>
                <w:between w:val="nil"/>
              </w:pBdr>
              <w:spacing w:before="0"/>
              <w:rPr>
                <w:rFonts w:cs="Arial"/>
                <w:color w:val="000000"/>
                <w:highlight w:val="white"/>
              </w:rPr>
            </w:pPr>
            <w:r w:rsidRPr="00EE6994">
              <w:rPr>
                <w:rFonts w:cs="Arial"/>
                <w:color w:val="0F0D29"/>
              </w:rPr>
              <w:t>Specific guidance on how to implement the principles.</w:t>
            </w:r>
          </w:p>
        </w:tc>
        <w:tc>
          <w:tcPr>
            <w:tcW w:w="2185" w:type="dxa"/>
          </w:tcPr>
          <w:p w14:paraId="062B5B75" w14:textId="77777777" w:rsidR="00EE6994" w:rsidRPr="00EE6994" w:rsidRDefault="00EE6994">
            <w:pPr>
              <w:rPr>
                <w:rFonts w:cs="Arial"/>
              </w:rPr>
            </w:pPr>
            <w:r w:rsidRPr="00EE6994">
              <w:rPr>
                <w:rFonts w:cs="Arial"/>
                <w:u w:val="single"/>
              </w:rPr>
              <w:lastRenderedPageBreak/>
              <w:t>Strengths </w:t>
            </w:r>
          </w:p>
          <w:p w14:paraId="486047C2" w14:textId="77777777" w:rsidR="00EE6994" w:rsidRPr="00EE6994" w:rsidRDefault="00EE6994">
            <w:pPr>
              <w:pBdr>
                <w:top w:val="nil"/>
                <w:left w:val="nil"/>
                <w:bottom w:val="nil"/>
                <w:right w:val="nil"/>
                <w:between w:val="nil"/>
              </w:pBdr>
              <w:rPr>
                <w:rFonts w:cs="Arial"/>
                <w:color w:val="000000"/>
              </w:rPr>
            </w:pPr>
            <w:r w:rsidRPr="00EE6994">
              <w:rPr>
                <w:rFonts w:cs="Arial"/>
                <w:color w:val="000000"/>
              </w:rPr>
              <w:t>A set of ECI recommended practices that integrates principles, research and values. </w:t>
            </w:r>
          </w:p>
          <w:p w14:paraId="30ADB66B" w14:textId="77777777" w:rsidR="00EE6994" w:rsidRPr="00EE6994" w:rsidRDefault="00EE6994">
            <w:pPr>
              <w:pBdr>
                <w:top w:val="nil"/>
                <w:left w:val="nil"/>
                <w:bottom w:val="nil"/>
                <w:right w:val="nil"/>
                <w:between w:val="nil"/>
              </w:pBdr>
              <w:rPr>
                <w:rFonts w:cs="Arial"/>
                <w:color w:val="000000"/>
              </w:rPr>
            </w:pPr>
          </w:p>
          <w:p w14:paraId="133BF1A7" w14:textId="77777777" w:rsidR="00EE6994" w:rsidRPr="00EE6994" w:rsidRDefault="00EE6994">
            <w:pPr>
              <w:rPr>
                <w:rFonts w:cs="Arial"/>
              </w:rPr>
            </w:pPr>
            <w:r w:rsidRPr="00EE6994">
              <w:rPr>
                <w:rFonts w:cs="Arial"/>
                <w:u w:val="single"/>
              </w:rPr>
              <w:t>Weaknesses/ Challenges</w:t>
            </w:r>
          </w:p>
          <w:p w14:paraId="7DB251C8" w14:textId="77777777" w:rsidR="00EE6994" w:rsidRPr="00EE6994" w:rsidRDefault="00EE6994" w:rsidP="003B0B17">
            <w:pPr>
              <w:pStyle w:val="ListParagraph"/>
              <w:numPr>
                <w:ilvl w:val="0"/>
                <w:numId w:val="129"/>
              </w:numPr>
              <w:pBdr>
                <w:top w:val="nil"/>
                <w:left w:val="nil"/>
                <w:bottom w:val="nil"/>
                <w:right w:val="nil"/>
                <w:between w:val="nil"/>
              </w:pBdr>
              <w:spacing w:before="0"/>
              <w:rPr>
                <w:rFonts w:cs="Arial"/>
                <w:color w:val="000000"/>
              </w:rPr>
            </w:pPr>
            <w:r w:rsidRPr="00EE6994">
              <w:rPr>
                <w:rFonts w:cs="Arial"/>
                <w:color w:val="000000"/>
              </w:rPr>
              <w:t>Limited practical resources in the implementation of the framework.</w:t>
            </w:r>
          </w:p>
          <w:p w14:paraId="3CF855C0" w14:textId="77777777" w:rsidR="00EE6994" w:rsidRPr="00EE6994" w:rsidRDefault="00EE6994" w:rsidP="003B0B17">
            <w:pPr>
              <w:pStyle w:val="ListParagraph"/>
              <w:numPr>
                <w:ilvl w:val="0"/>
                <w:numId w:val="129"/>
              </w:numPr>
              <w:pBdr>
                <w:top w:val="nil"/>
                <w:left w:val="nil"/>
                <w:bottom w:val="nil"/>
                <w:right w:val="nil"/>
                <w:between w:val="nil"/>
              </w:pBdr>
              <w:spacing w:before="0"/>
              <w:rPr>
                <w:rFonts w:cs="Arial"/>
                <w:color w:val="000000"/>
              </w:rPr>
            </w:pPr>
            <w:r w:rsidRPr="00EE6994">
              <w:rPr>
                <w:rFonts w:cs="Arial"/>
                <w:color w:val="000000"/>
              </w:rPr>
              <w:t>No evidence of impact</w:t>
            </w:r>
          </w:p>
          <w:p w14:paraId="1DFE7667" w14:textId="77777777" w:rsidR="00EE6994" w:rsidRPr="00EE6994" w:rsidRDefault="00EE6994" w:rsidP="003B0B17">
            <w:pPr>
              <w:pStyle w:val="ListParagraph"/>
              <w:numPr>
                <w:ilvl w:val="0"/>
                <w:numId w:val="129"/>
              </w:numPr>
              <w:pBdr>
                <w:top w:val="nil"/>
                <w:left w:val="nil"/>
                <w:bottom w:val="nil"/>
                <w:right w:val="nil"/>
                <w:between w:val="nil"/>
              </w:pBdr>
              <w:spacing w:before="0"/>
              <w:rPr>
                <w:rFonts w:cs="Arial"/>
                <w:color w:val="000000"/>
              </w:rPr>
            </w:pPr>
            <w:r w:rsidRPr="00EE6994">
              <w:rPr>
                <w:rFonts w:cs="Arial"/>
                <w:color w:val="000000"/>
              </w:rPr>
              <w:t>Inconsistent application of ECI principles recommended practices across European jurisdictions.</w:t>
            </w:r>
          </w:p>
          <w:p w14:paraId="4611041E" w14:textId="77777777" w:rsidR="00EE6994" w:rsidRPr="00EE6994" w:rsidRDefault="00EE6994" w:rsidP="003B0B17">
            <w:pPr>
              <w:pStyle w:val="ListParagraph"/>
              <w:numPr>
                <w:ilvl w:val="0"/>
                <w:numId w:val="129"/>
              </w:numPr>
              <w:pBdr>
                <w:top w:val="nil"/>
                <w:left w:val="nil"/>
                <w:bottom w:val="nil"/>
                <w:right w:val="nil"/>
                <w:between w:val="nil"/>
              </w:pBdr>
              <w:spacing w:before="0"/>
              <w:rPr>
                <w:rFonts w:cs="Arial"/>
                <w:color w:val="000000"/>
              </w:rPr>
            </w:pPr>
            <w:r w:rsidRPr="00EE6994">
              <w:rPr>
                <w:rFonts w:cs="Arial"/>
                <w:color w:val="000000"/>
              </w:rPr>
              <w:t>Incorporation of new research evidence into recommended practices is unclear.</w:t>
            </w:r>
          </w:p>
          <w:p w14:paraId="15D7BD4E" w14:textId="77777777" w:rsidR="00EE6994" w:rsidRPr="00EE6994" w:rsidRDefault="00EE6994">
            <w:pPr>
              <w:pBdr>
                <w:top w:val="nil"/>
                <w:left w:val="nil"/>
                <w:bottom w:val="nil"/>
                <w:right w:val="nil"/>
                <w:between w:val="nil"/>
              </w:pBdr>
              <w:ind w:left="720"/>
              <w:rPr>
                <w:rFonts w:cs="Arial"/>
                <w:color w:val="000000"/>
              </w:rPr>
            </w:pPr>
          </w:p>
        </w:tc>
        <w:tc>
          <w:tcPr>
            <w:tcW w:w="2186" w:type="dxa"/>
          </w:tcPr>
          <w:p w14:paraId="10861AFA" w14:textId="77777777" w:rsidR="00EE6994" w:rsidRPr="00EE6994" w:rsidRDefault="00EE6994">
            <w:pPr>
              <w:pBdr>
                <w:top w:val="nil"/>
                <w:left w:val="nil"/>
                <w:bottom w:val="nil"/>
                <w:right w:val="nil"/>
                <w:between w:val="nil"/>
              </w:pBdr>
              <w:rPr>
                <w:rFonts w:cs="Arial"/>
                <w:color w:val="000000"/>
                <w:u w:val="single"/>
              </w:rPr>
            </w:pPr>
            <w:r w:rsidRPr="00EE6994">
              <w:rPr>
                <w:rFonts w:cs="Arial"/>
                <w:color w:val="000000"/>
                <w:u w:val="single"/>
              </w:rPr>
              <w:lastRenderedPageBreak/>
              <w:t>Strengths </w:t>
            </w:r>
          </w:p>
          <w:p w14:paraId="03C5A0CC" w14:textId="77777777" w:rsidR="00EE6994" w:rsidRPr="00EE6994" w:rsidRDefault="00EE6994" w:rsidP="003B0B17">
            <w:pPr>
              <w:pStyle w:val="ListParagraph"/>
              <w:numPr>
                <w:ilvl w:val="0"/>
                <w:numId w:val="126"/>
              </w:numPr>
              <w:pBdr>
                <w:top w:val="nil"/>
                <w:left w:val="nil"/>
                <w:bottom w:val="nil"/>
                <w:right w:val="nil"/>
                <w:between w:val="nil"/>
              </w:pBdr>
              <w:spacing w:before="0"/>
              <w:rPr>
                <w:rFonts w:cs="Arial"/>
                <w:color w:val="0F0D29"/>
              </w:rPr>
            </w:pPr>
            <w:r w:rsidRPr="00EE6994">
              <w:rPr>
                <w:rFonts w:cs="Arial"/>
                <w:color w:val="0F0D29"/>
              </w:rPr>
              <w:t>Clear practice principles</w:t>
            </w:r>
          </w:p>
          <w:p w14:paraId="4FB65985" w14:textId="77777777" w:rsidR="00EE6994" w:rsidRPr="00EE6994" w:rsidRDefault="00EE6994" w:rsidP="003B0B17">
            <w:pPr>
              <w:pStyle w:val="ListParagraph"/>
              <w:numPr>
                <w:ilvl w:val="0"/>
                <w:numId w:val="126"/>
              </w:numPr>
              <w:pBdr>
                <w:top w:val="nil"/>
                <w:left w:val="nil"/>
                <w:bottom w:val="nil"/>
                <w:right w:val="nil"/>
                <w:between w:val="nil"/>
              </w:pBdr>
              <w:spacing w:before="0"/>
              <w:rPr>
                <w:rFonts w:cs="Arial"/>
                <w:color w:val="0F0D29"/>
              </w:rPr>
            </w:pPr>
            <w:r w:rsidRPr="00EE6994">
              <w:rPr>
                <w:rFonts w:cs="Arial"/>
                <w:color w:val="0F0D29"/>
              </w:rPr>
              <w:t>Strong focus on embedding culturally affirming and responsive practice</w:t>
            </w:r>
          </w:p>
          <w:p w14:paraId="219531FD" w14:textId="77777777" w:rsidR="00EE6994" w:rsidRPr="00EE6994" w:rsidRDefault="00EE6994" w:rsidP="003B0B17">
            <w:pPr>
              <w:pStyle w:val="ListParagraph"/>
              <w:numPr>
                <w:ilvl w:val="0"/>
                <w:numId w:val="126"/>
              </w:numPr>
              <w:pBdr>
                <w:top w:val="nil"/>
                <w:left w:val="nil"/>
                <w:bottom w:val="nil"/>
                <w:right w:val="nil"/>
                <w:between w:val="nil"/>
              </w:pBdr>
              <w:spacing w:before="0"/>
              <w:rPr>
                <w:rFonts w:cs="Arial"/>
                <w:color w:val="0F0D29"/>
              </w:rPr>
            </w:pPr>
            <w:r w:rsidRPr="00EE6994">
              <w:rPr>
                <w:rFonts w:cs="Arial"/>
                <w:color w:val="0F0D29"/>
              </w:rPr>
              <w:t>Situated in ecological model</w:t>
            </w:r>
          </w:p>
          <w:p w14:paraId="73AB753F" w14:textId="77777777" w:rsidR="00EE6994" w:rsidRPr="00EE6994" w:rsidRDefault="00EE6994" w:rsidP="003B0B17">
            <w:pPr>
              <w:pStyle w:val="ListParagraph"/>
              <w:numPr>
                <w:ilvl w:val="0"/>
                <w:numId w:val="126"/>
              </w:numPr>
              <w:pBdr>
                <w:top w:val="nil"/>
                <w:left w:val="nil"/>
                <w:bottom w:val="nil"/>
                <w:right w:val="nil"/>
                <w:between w:val="nil"/>
              </w:pBdr>
              <w:spacing w:before="0"/>
              <w:rPr>
                <w:rFonts w:cs="Arial"/>
                <w:color w:val="0F0D29"/>
              </w:rPr>
            </w:pPr>
            <w:r w:rsidRPr="00EE6994">
              <w:rPr>
                <w:rFonts w:cs="Arial"/>
                <w:color w:val="0F0D29"/>
              </w:rPr>
              <w:t>Examples of what principles look like in practice.</w:t>
            </w:r>
          </w:p>
          <w:p w14:paraId="13BDF6E3" w14:textId="77777777" w:rsidR="00EE6994" w:rsidRPr="00EE6994" w:rsidRDefault="00EE6994">
            <w:pPr>
              <w:pStyle w:val="ListParagraph"/>
              <w:pBdr>
                <w:top w:val="nil"/>
                <w:left w:val="nil"/>
                <w:bottom w:val="nil"/>
                <w:right w:val="nil"/>
                <w:between w:val="nil"/>
              </w:pBdr>
              <w:ind w:left="360"/>
              <w:rPr>
                <w:rFonts w:cs="Arial"/>
                <w:color w:val="0F0D29"/>
              </w:rPr>
            </w:pPr>
          </w:p>
          <w:p w14:paraId="79B525D2" w14:textId="77777777" w:rsidR="00EE6994" w:rsidRPr="00EE6994" w:rsidRDefault="00EE6994">
            <w:pPr>
              <w:pBdr>
                <w:top w:val="nil"/>
                <w:left w:val="nil"/>
                <w:bottom w:val="nil"/>
                <w:right w:val="nil"/>
                <w:between w:val="nil"/>
              </w:pBdr>
              <w:rPr>
                <w:rFonts w:cs="Arial"/>
                <w:color w:val="000000"/>
                <w:u w:val="single"/>
              </w:rPr>
            </w:pPr>
            <w:r w:rsidRPr="00EE6994">
              <w:rPr>
                <w:rFonts w:cs="Arial"/>
                <w:color w:val="000000"/>
                <w:u w:val="single"/>
              </w:rPr>
              <w:t>Weaknesses/ Challenges </w:t>
            </w:r>
          </w:p>
          <w:p w14:paraId="3578F4CE" w14:textId="77777777" w:rsidR="00EE6994" w:rsidRPr="00EE6994" w:rsidRDefault="00EE6994" w:rsidP="003B0B17">
            <w:pPr>
              <w:numPr>
                <w:ilvl w:val="0"/>
                <w:numId w:val="125"/>
              </w:numPr>
              <w:pBdr>
                <w:top w:val="nil"/>
                <w:left w:val="nil"/>
                <w:bottom w:val="nil"/>
                <w:right w:val="nil"/>
                <w:between w:val="nil"/>
              </w:pBdr>
              <w:spacing w:before="0"/>
              <w:rPr>
                <w:rFonts w:cs="Arial"/>
                <w:color w:val="000000"/>
              </w:rPr>
            </w:pPr>
            <w:r w:rsidRPr="00EE6994">
              <w:rPr>
                <w:rFonts w:cs="Arial"/>
                <w:color w:val="000000"/>
              </w:rPr>
              <w:t>Lack of clearly articulated child, family and community outcomes</w:t>
            </w:r>
          </w:p>
          <w:p w14:paraId="7C5464EA" w14:textId="77777777" w:rsidR="00EE6994" w:rsidRPr="00EE6994" w:rsidRDefault="00EE6994" w:rsidP="003B0B17">
            <w:pPr>
              <w:numPr>
                <w:ilvl w:val="0"/>
                <w:numId w:val="125"/>
              </w:numPr>
              <w:pBdr>
                <w:top w:val="nil"/>
                <w:left w:val="nil"/>
                <w:bottom w:val="nil"/>
                <w:right w:val="nil"/>
                <w:between w:val="nil"/>
              </w:pBdr>
              <w:spacing w:before="0"/>
              <w:rPr>
                <w:rFonts w:cs="Arial"/>
                <w:color w:val="000000"/>
              </w:rPr>
            </w:pPr>
            <w:r w:rsidRPr="00EE6994">
              <w:rPr>
                <w:rFonts w:cs="Arial"/>
                <w:color w:val="000000"/>
              </w:rPr>
              <w:t>Translation of resources for families and educators</w:t>
            </w:r>
          </w:p>
          <w:p w14:paraId="4CB05C4B" w14:textId="77777777" w:rsidR="00EE6994" w:rsidRPr="00EE6994" w:rsidRDefault="00EE6994" w:rsidP="003B0B17">
            <w:pPr>
              <w:numPr>
                <w:ilvl w:val="0"/>
                <w:numId w:val="125"/>
              </w:numPr>
              <w:pBdr>
                <w:top w:val="nil"/>
                <w:left w:val="nil"/>
                <w:bottom w:val="nil"/>
                <w:right w:val="nil"/>
                <w:between w:val="nil"/>
              </w:pBdr>
              <w:spacing w:before="0"/>
              <w:rPr>
                <w:rFonts w:cs="Arial"/>
                <w:color w:val="000000"/>
              </w:rPr>
            </w:pPr>
            <w:r w:rsidRPr="00EE6994">
              <w:rPr>
                <w:rFonts w:cs="Arial"/>
                <w:color w:val="000000"/>
              </w:rPr>
              <w:t xml:space="preserve">Translation of resources for </w:t>
            </w:r>
            <w:r w:rsidRPr="00EE6994">
              <w:rPr>
                <w:rFonts w:cs="Arial"/>
                <w:color w:val="000000"/>
              </w:rPr>
              <w:lastRenderedPageBreak/>
              <w:t>families and educators</w:t>
            </w:r>
          </w:p>
          <w:p w14:paraId="24D189AE" w14:textId="77777777" w:rsidR="00EE6994" w:rsidRPr="00EE6994" w:rsidRDefault="00EE6994" w:rsidP="003B0B17">
            <w:pPr>
              <w:numPr>
                <w:ilvl w:val="0"/>
                <w:numId w:val="125"/>
              </w:numPr>
              <w:pBdr>
                <w:top w:val="nil"/>
                <w:left w:val="nil"/>
                <w:bottom w:val="nil"/>
                <w:right w:val="nil"/>
                <w:between w:val="nil"/>
              </w:pBdr>
              <w:spacing w:before="0"/>
              <w:rPr>
                <w:rFonts w:cs="Arial"/>
                <w:color w:val="000000"/>
              </w:rPr>
            </w:pPr>
            <w:r w:rsidRPr="00EE6994">
              <w:rPr>
                <w:rFonts w:cs="Arial"/>
                <w:color w:val="000000"/>
              </w:rPr>
              <w:t>Lack of plan to review and update. </w:t>
            </w:r>
          </w:p>
          <w:p w14:paraId="159BA949" w14:textId="77777777" w:rsidR="00EE6994" w:rsidRPr="00EE6994" w:rsidRDefault="00EE6994" w:rsidP="003B0B17">
            <w:pPr>
              <w:numPr>
                <w:ilvl w:val="0"/>
                <w:numId w:val="125"/>
              </w:numPr>
              <w:pBdr>
                <w:top w:val="nil"/>
                <w:left w:val="nil"/>
                <w:bottom w:val="nil"/>
                <w:right w:val="nil"/>
                <w:between w:val="nil"/>
              </w:pBdr>
              <w:spacing w:before="0"/>
              <w:rPr>
                <w:rFonts w:cs="Arial"/>
                <w:color w:val="000000"/>
              </w:rPr>
            </w:pPr>
            <w:r w:rsidRPr="00EE6994">
              <w:rPr>
                <w:rFonts w:cs="Arial"/>
                <w:color w:val="000000"/>
              </w:rPr>
              <w:t>Implementation – technical assistance. and job embedded learning. </w:t>
            </w:r>
          </w:p>
          <w:p w14:paraId="0FBA1D87" w14:textId="77777777" w:rsidR="00EE6994" w:rsidRPr="00EE6994" w:rsidRDefault="00EE6994">
            <w:pPr>
              <w:rPr>
                <w:rFonts w:cs="Arial"/>
                <w:u w:val="single"/>
              </w:rPr>
            </w:pPr>
          </w:p>
        </w:tc>
        <w:tc>
          <w:tcPr>
            <w:tcW w:w="2185" w:type="dxa"/>
          </w:tcPr>
          <w:p w14:paraId="720B8CDF" w14:textId="77777777" w:rsidR="00EE6994" w:rsidRPr="00EE6994" w:rsidRDefault="00EE6994">
            <w:pPr>
              <w:rPr>
                <w:rFonts w:cs="Arial"/>
                <w:u w:val="single"/>
              </w:rPr>
            </w:pPr>
            <w:r w:rsidRPr="00EE6994">
              <w:rPr>
                <w:rFonts w:cs="Arial"/>
                <w:u w:val="single"/>
              </w:rPr>
              <w:lastRenderedPageBreak/>
              <w:t xml:space="preserve">Strengths </w:t>
            </w:r>
          </w:p>
          <w:p w14:paraId="40283621" w14:textId="77777777" w:rsidR="00EE6994" w:rsidRPr="00EE6994" w:rsidRDefault="00EE6994" w:rsidP="003B0B17">
            <w:pPr>
              <w:pStyle w:val="ListParagraph"/>
              <w:numPr>
                <w:ilvl w:val="0"/>
                <w:numId w:val="134"/>
              </w:numPr>
              <w:spacing w:before="0"/>
              <w:rPr>
                <w:rFonts w:cs="Arial"/>
              </w:rPr>
            </w:pPr>
            <w:r w:rsidRPr="00EE6994">
              <w:rPr>
                <w:rFonts w:cs="Arial"/>
              </w:rPr>
              <w:t xml:space="preserve">Establishment of policy directions that include knowledge related to evidence-base practice. </w:t>
            </w:r>
          </w:p>
          <w:p w14:paraId="61B17836" w14:textId="77777777" w:rsidR="00EE6994" w:rsidRPr="00EE6994" w:rsidRDefault="00EE6994" w:rsidP="003B0B17">
            <w:pPr>
              <w:pStyle w:val="ListParagraph"/>
              <w:numPr>
                <w:ilvl w:val="0"/>
                <w:numId w:val="134"/>
              </w:numPr>
              <w:spacing w:before="0"/>
              <w:rPr>
                <w:rFonts w:cs="Arial"/>
              </w:rPr>
            </w:pPr>
            <w:r w:rsidRPr="00EE6994">
              <w:rPr>
                <w:rFonts w:cs="Arial"/>
              </w:rPr>
              <w:t>Focus on an integrated view of children’s early years encompassing education, health and social care sectors.</w:t>
            </w:r>
          </w:p>
          <w:p w14:paraId="705DA2DB" w14:textId="77777777" w:rsidR="00EE6994" w:rsidRPr="00EE6994" w:rsidRDefault="00EE6994">
            <w:pPr>
              <w:rPr>
                <w:rFonts w:cs="Arial"/>
              </w:rPr>
            </w:pPr>
          </w:p>
          <w:p w14:paraId="533D9355" w14:textId="77777777" w:rsidR="00EE6994" w:rsidRPr="00EE6994" w:rsidRDefault="00EE6994">
            <w:pPr>
              <w:rPr>
                <w:rFonts w:cs="Arial"/>
                <w:u w:val="single"/>
              </w:rPr>
            </w:pPr>
            <w:r w:rsidRPr="00EE6994">
              <w:rPr>
                <w:rFonts w:cs="Arial"/>
                <w:u w:val="single"/>
              </w:rPr>
              <w:t xml:space="preserve">Weaknesses/ Challenges </w:t>
            </w:r>
          </w:p>
          <w:p w14:paraId="7C4A13BE" w14:textId="77777777" w:rsidR="00EE6994" w:rsidRPr="00EE6994" w:rsidRDefault="00EE6994" w:rsidP="003B0B17">
            <w:pPr>
              <w:pStyle w:val="ListParagraph"/>
              <w:numPr>
                <w:ilvl w:val="0"/>
                <w:numId w:val="135"/>
              </w:numPr>
              <w:spacing w:before="0"/>
              <w:rPr>
                <w:rFonts w:cs="Arial"/>
              </w:rPr>
            </w:pPr>
            <w:r w:rsidRPr="00EE6994">
              <w:rPr>
                <w:rFonts w:cs="Arial"/>
              </w:rPr>
              <w:t>No evidence of evidence-based framework as such</w:t>
            </w:r>
          </w:p>
          <w:p w14:paraId="40E4677E" w14:textId="77777777" w:rsidR="00EE6994" w:rsidRPr="00EE6994" w:rsidRDefault="00EE6994" w:rsidP="003B0B17">
            <w:pPr>
              <w:pStyle w:val="ListParagraph"/>
              <w:numPr>
                <w:ilvl w:val="0"/>
                <w:numId w:val="135"/>
              </w:numPr>
              <w:spacing w:before="0"/>
              <w:rPr>
                <w:rFonts w:cs="Arial"/>
              </w:rPr>
            </w:pPr>
            <w:r w:rsidRPr="00EE6994">
              <w:rPr>
                <w:rFonts w:cs="Arial"/>
              </w:rPr>
              <w:t>No clarity in the meaning of evidence-based practice.</w:t>
            </w:r>
          </w:p>
          <w:p w14:paraId="15633633" w14:textId="77777777" w:rsidR="00EE6994" w:rsidRPr="00EE6994" w:rsidRDefault="00EE6994" w:rsidP="003B0B17">
            <w:pPr>
              <w:pStyle w:val="ListParagraph"/>
              <w:numPr>
                <w:ilvl w:val="0"/>
                <w:numId w:val="135"/>
              </w:numPr>
              <w:spacing w:before="0"/>
              <w:rPr>
                <w:rFonts w:cs="Arial"/>
              </w:rPr>
            </w:pPr>
            <w:r w:rsidRPr="00EE6994">
              <w:rPr>
                <w:rFonts w:cs="Arial"/>
              </w:rPr>
              <w:t xml:space="preserve">SEND supports focus on children. </w:t>
            </w:r>
            <w:r w:rsidRPr="00EE6994">
              <w:rPr>
                <w:rFonts w:cs="Arial"/>
              </w:rPr>
              <w:lastRenderedPageBreak/>
              <w:t xml:space="preserve">Family outcomes are not addressed. </w:t>
            </w:r>
          </w:p>
          <w:p w14:paraId="1A230BCF" w14:textId="77777777" w:rsidR="00EE6994" w:rsidRPr="00EE6994" w:rsidRDefault="00EE6994" w:rsidP="003B0B17">
            <w:pPr>
              <w:pStyle w:val="ListParagraph"/>
              <w:numPr>
                <w:ilvl w:val="0"/>
                <w:numId w:val="135"/>
              </w:numPr>
              <w:spacing w:before="0"/>
              <w:rPr>
                <w:rFonts w:cs="Arial"/>
              </w:rPr>
            </w:pPr>
            <w:r w:rsidRPr="00EE6994">
              <w:rPr>
                <w:rFonts w:cs="Arial"/>
              </w:rPr>
              <w:t xml:space="preserve">Development and implementation guidelines for a specific framework targeting children with disabilities in the early years are not available. </w:t>
            </w:r>
          </w:p>
          <w:p w14:paraId="4D88D067" w14:textId="77777777" w:rsidR="00EE6994" w:rsidRPr="00EE6994" w:rsidRDefault="00EE6994">
            <w:pPr>
              <w:rPr>
                <w:rFonts w:cs="Arial"/>
                <w:u w:val="single"/>
              </w:rPr>
            </w:pPr>
          </w:p>
        </w:tc>
        <w:tc>
          <w:tcPr>
            <w:tcW w:w="2186" w:type="dxa"/>
          </w:tcPr>
          <w:p w14:paraId="14AFCED8" w14:textId="77777777" w:rsidR="00EE6994" w:rsidRPr="00EE6994" w:rsidRDefault="00EE6994">
            <w:pPr>
              <w:rPr>
                <w:rFonts w:cs="Arial"/>
              </w:rPr>
            </w:pPr>
            <w:r w:rsidRPr="00EE6994">
              <w:rPr>
                <w:rFonts w:cs="Arial"/>
                <w:u w:val="single"/>
              </w:rPr>
              <w:lastRenderedPageBreak/>
              <w:t>Strengths</w:t>
            </w:r>
          </w:p>
          <w:p w14:paraId="379EFCA0" w14:textId="77777777" w:rsidR="00EE6994" w:rsidRPr="00EE6994" w:rsidRDefault="00EE6994" w:rsidP="003B0B17">
            <w:pPr>
              <w:pStyle w:val="ListParagraph"/>
              <w:numPr>
                <w:ilvl w:val="0"/>
                <w:numId w:val="124"/>
              </w:numPr>
              <w:pBdr>
                <w:top w:val="nil"/>
                <w:left w:val="nil"/>
                <w:bottom w:val="nil"/>
                <w:right w:val="nil"/>
                <w:between w:val="nil"/>
              </w:pBdr>
              <w:spacing w:before="0"/>
              <w:rPr>
                <w:rFonts w:cs="Arial"/>
                <w:color w:val="0F0D29"/>
              </w:rPr>
            </w:pPr>
            <w:r w:rsidRPr="00EE6994">
              <w:rPr>
                <w:rFonts w:cs="Arial"/>
                <w:color w:val="0F0D29"/>
              </w:rPr>
              <w:t>Process for review Early Childhood Technical Assistance Centre</w:t>
            </w:r>
          </w:p>
          <w:p w14:paraId="694E5CE4" w14:textId="77777777" w:rsidR="00EE6994" w:rsidRPr="00EE6994" w:rsidRDefault="00EE6994" w:rsidP="003B0B17">
            <w:pPr>
              <w:pStyle w:val="ListParagraph"/>
              <w:numPr>
                <w:ilvl w:val="0"/>
                <w:numId w:val="124"/>
              </w:numPr>
              <w:pBdr>
                <w:top w:val="nil"/>
                <w:left w:val="nil"/>
                <w:bottom w:val="nil"/>
                <w:right w:val="nil"/>
                <w:between w:val="nil"/>
              </w:pBdr>
              <w:spacing w:before="0"/>
              <w:rPr>
                <w:rFonts w:cs="Arial"/>
                <w:color w:val="0F0D29"/>
              </w:rPr>
            </w:pPr>
            <w:r w:rsidRPr="00EE6994">
              <w:rPr>
                <w:rFonts w:cs="Arial"/>
                <w:color w:val="0F0D29"/>
              </w:rPr>
              <w:t>Professional, family and professional development provider resources are available</w:t>
            </w:r>
          </w:p>
          <w:p w14:paraId="7E4E7DB4" w14:textId="77777777" w:rsidR="00EE6994" w:rsidRPr="00EE6994" w:rsidRDefault="00EE6994">
            <w:pPr>
              <w:pStyle w:val="ListParagraph"/>
              <w:pBdr>
                <w:top w:val="nil"/>
                <w:left w:val="nil"/>
                <w:bottom w:val="nil"/>
                <w:right w:val="nil"/>
                <w:between w:val="nil"/>
              </w:pBdr>
              <w:ind w:left="360"/>
              <w:rPr>
                <w:rFonts w:cs="Arial"/>
                <w:color w:val="0F0D29"/>
              </w:rPr>
            </w:pPr>
          </w:p>
          <w:p w14:paraId="24394B4B" w14:textId="77777777" w:rsidR="00EE6994" w:rsidRPr="00EE6994" w:rsidRDefault="00EE6994">
            <w:pPr>
              <w:rPr>
                <w:rFonts w:cs="Arial"/>
              </w:rPr>
            </w:pPr>
            <w:r w:rsidRPr="00EE6994">
              <w:rPr>
                <w:rFonts w:cs="Arial"/>
                <w:u w:val="single"/>
              </w:rPr>
              <w:t>Weaknesses/ Challenges</w:t>
            </w:r>
          </w:p>
          <w:p w14:paraId="450A3B1C" w14:textId="77777777" w:rsidR="00EE6994" w:rsidRPr="00EE6994" w:rsidRDefault="00EE6994" w:rsidP="003B0B17">
            <w:pPr>
              <w:pStyle w:val="ListParagraph"/>
              <w:numPr>
                <w:ilvl w:val="0"/>
                <w:numId w:val="123"/>
              </w:numPr>
              <w:pBdr>
                <w:top w:val="nil"/>
                <w:left w:val="nil"/>
                <w:bottom w:val="nil"/>
                <w:right w:val="nil"/>
                <w:between w:val="nil"/>
              </w:pBdr>
              <w:spacing w:before="0"/>
              <w:rPr>
                <w:rFonts w:cs="Arial"/>
                <w:color w:val="0F0D29"/>
              </w:rPr>
            </w:pPr>
            <w:r w:rsidRPr="00EE6994">
              <w:rPr>
                <w:rFonts w:cs="Arial"/>
                <w:color w:val="0F0D29"/>
              </w:rPr>
              <w:t>Federal funding is not sufficient to implement programs as intended without added support at State level</w:t>
            </w:r>
          </w:p>
          <w:p w14:paraId="348A8A39" w14:textId="77777777" w:rsidR="00EE6994" w:rsidRPr="00EE6994" w:rsidRDefault="00EE6994" w:rsidP="003B0B17">
            <w:pPr>
              <w:pStyle w:val="ListParagraph"/>
              <w:numPr>
                <w:ilvl w:val="0"/>
                <w:numId w:val="123"/>
              </w:numPr>
              <w:pBdr>
                <w:top w:val="nil"/>
                <w:left w:val="nil"/>
                <w:bottom w:val="nil"/>
                <w:right w:val="nil"/>
                <w:between w:val="nil"/>
              </w:pBdr>
              <w:spacing w:before="0"/>
              <w:rPr>
                <w:rFonts w:cs="Arial"/>
                <w:color w:val="0F0D29"/>
              </w:rPr>
            </w:pPr>
            <w:r w:rsidRPr="00EE6994">
              <w:rPr>
                <w:rFonts w:cs="Arial"/>
                <w:color w:val="0F0D29"/>
              </w:rPr>
              <w:t>Ensuring resources are available from practitioner to leadership levels</w:t>
            </w:r>
          </w:p>
          <w:p w14:paraId="41E57982" w14:textId="77777777" w:rsidR="00EE6994" w:rsidRPr="00EE6994" w:rsidRDefault="00EE6994" w:rsidP="003B0B17">
            <w:pPr>
              <w:pStyle w:val="ListParagraph"/>
              <w:numPr>
                <w:ilvl w:val="0"/>
                <w:numId w:val="123"/>
              </w:numPr>
              <w:pBdr>
                <w:top w:val="nil"/>
                <w:left w:val="nil"/>
                <w:bottom w:val="nil"/>
                <w:right w:val="nil"/>
                <w:between w:val="nil"/>
              </w:pBdr>
              <w:spacing w:before="0"/>
              <w:rPr>
                <w:rFonts w:cs="Arial"/>
                <w:color w:val="0F0D29"/>
              </w:rPr>
            </w:pPr>
            <w:r w:rsidRPr="00EE6994">
              <w:rPr>
                <w:rFonts w:cs="Arial"/>
                <w:color w:val="0F0D29"/>
              </w:rPr>
              <w:lastRenderedPageBreak/>
              <w:t>Tension between identifying recommended practices and evidence-informed approaches or models.</w:t>
            </w:r>
          </w:p>
        </w:tc>
      </w:tr>
    </w:tbl>
    <w:p w14:paraId="31F893D2" w14:textId="77777777" w:rsidR="00EE6994" w:rsidRDefault="00EE6994" w:rsidP="00EE6994">
      <w:pPr>
        <w:pBdr>
          <w:top w:val="nil"/>
          <w:left w:val="nil"/>
          <w:bottom w:val="nil"/>
          <w:right w:val="nil"/>
          <w:between w:val="nil"/>
        </w:pBdr>
        <w:spacing w:line="360" w:lineRule="auto"/>
        <w:rPr>
          <w:b/>
          <w:color w:val="000000"/>
        </w:rPr>
      </w:pPr>
    </w:p>
    <w:p w14:paraId="284BB90E" w14:textId="77777777" w:rsidR="00EE6994" w:rsidRDefault="00EE6994" w:rsidP="00EE6994">
      <w:pPr>
        <w:pBdr>
          <w:top w:val="nil"/>
          <w:left w:val="nil"/>
          <w:bottom w:val="nil"/>
          <w:right w:val="nil"/>
          <w:between w:val="nil"/>
        </w:pBdr>
        <w:spacing w:line="360" w:lineRule="auto"/>
        <w:rPr>
          <w:b/>
          <w:color w:val="000000"/>
        </w:rPr>
      </w:pPr>
    </w:p>
    <w:p w14:paraId="0EFA3ED8" w14:textId="6E7A76E1" w:rsidR="00045112" w:rsidRDefault="001151BF" w:rsidP="001151BF">
      <w:pPr>
        <w:pStyle w:val="Caption"/>
        <w:keepNext/>
      </w:pPr>
      <w:bookmarkStart w:id="62" w:name="_Toc177725001"/>
      <w:bookmarkStart w:id="63" w:name="_Toc177727321"/>
      <w:r w:rsidRPr="009C4157">
        <w:rPr>
          <w:b/>
          <w:bCs/>
        </w:rPr>
        <w:lastRenderedPageBreak/>
        <w:t xml:space="preserve">Table </w:t>
      </w:r>
      <w:r w:rsidR="00627239" w:rsidRPr="009C4157">
        <w:rPr>
          <w:b/>
          <w:bCs/>
        </w:rPr>
        <w:fldChar w:fldCharType="begin"/>
      </w:r>
      <w:r w:rsidR="00627239" w:rsidRPr="009C4157">
        <w:rPr>
          <w:b/>
          <w:bCs/>
        </w:rPr>
        <w:instrText xml:space="preserve"> SEQ Table \* ARABIC </w:instrText>
      </w:r>
      <w:r w:rsidR="00627239" w:rsidRPr="009C4157">
        <w:rPr>
          <w:b/>
          <w:bCs/>
        </w:rPr>
        <w:fldChar w:fldCharType="separate"/>
      </w:r>
      <w:r w:rsidR="00303407">
        <w:rPr>
          <w:b/>
          <w:bCs/>
          <w:noProof/>
        </w:rPr>
        <w:t>3</w:t>
      </w:r>
      <w:r w:rsidR="00627239" w:rsidRPr="009C4157">
        <w:rPr>
          <w:b/>
          <w:bCs/>
          <w:noProof/>
        </w:rPr>
        <w:fldChar w:fldCharType="end"/>
      </w:r>
      <w:r w:rsidRPr="009C4157">
        <w:rPr>
          <w:b/>
          <w:bCs/>
        </w:rPr>
        <w:t>.</w:t>
      </w:r>
      <w:r w:rsidRPr="00DE7EDD">
        <w:t xml:space="preserve"> Scoping review results</w:t>
      </w:r>
      <w:bookmarkEnd w:id="62"/>
      <w:bookmarkEnd w:id="63"/>
    </w:p>
    <w:tbl>
      <w:tblPr>
        <w:tblW w:w="14317" w:type="dxa"/>
        <w:tblInd w:w="-5" w:type="dxa"/>
        <w:tblBorders>
          <w:top w:val="single" w:sz="4" w:space="0" w:color="E7E6E6"/>
          <w:left w:val="single" w:sz="4" w:space="0" w:color="000000"/>
          <w:bottom w:val="single" w:sz="4" w:space="0" w:color="E7E6E6"/>
          <w:right w:val="single" w:sz="4" w:space="0" w:color="000000"/>
          <w:insideH w:val="single" w:sz="4" w:space="0" w:color="E7E6E6"/>
          <w:insideV w:val="single" w:sz="4" w:space="0" w:color="000000"/>
        </w:tblBorders>
        <w:tblLayout w:type="fixed"/>
        <w:tblLook w:val="0400" w:firstRow="0" w:lastRow="0" w:firstColumn="0" w:lastColumn="0" w:noHBand="0" w:noVBand="1"/>
      </w:tblPr>
      <w:tblGrid>
        <w:gridCol w:w="1800"/>
        <w:gridCol w:w="3129"/>
        <w:gridCol w:w="3129"/>
        <w:gridCol w:w="3129"/>
        <w:gridCol w:w="3130"/>
      </w:tblGrid>
      <w:tr w:rsidR="00045112" w:rsidRPr="00C2232D" w14:paraId="4707A11D" w14:textId="77777777" w:rsidTr="00B42C33">
        <w:trPr>
          <w:tblHeader/>
        </w:trPr>
        <w:tc>
          <w:tcPr>
            <w:tcW w:w="1800" w:type="dxa"/>
            <w:tcBorders>
              <w:bottom w:val="nil"/>
            </w:tcBorders>
            <w:shd w:val="clear" w:color="auto" w:fill="0C2C74"/>
          </w:tcPr>
          <w:p w14:paraId="31498E48" w14:textId="77777777" w:rsidR="00045112" w:rsidRPr="00045112" w:rsidRDefault="00045112">
            <w:pPr>
              <w:pBdr>
                <w:top w:val="nil"/>
                <w:left w:val="nil"/>
                <w:bottom w:val="nil"/>
                <w:right w:val="nil"/>
                <w:between w:val="nil"/>
              </w:pBdr>
              <w:jc w:val="center"/>
              <w:rPr>
                <w:rFonts w:cs="Arial"/>
                <w:b/>
                <w:color w:val="F8F8F8"/>
                <w:sz w:val="20"/>
                <w:szCs w:val="20"/>
              </w:rPr>
            </w:pPr>
            <w:r w:rsidRPr="00045112">
              <w:rPr>
                <w:rFonts w:cs="Arial"/>
                <w:b/>
                <w:color w:val="F8F8F8"/>
                <w:sz w:val="20"/>
                <w:szCs w:val="20"/>
              </w:rPr>
              <w:t>Author, date country</w:t>
            </w:r>
          </w:p>
        </w:tc>
        <w:tc>
          <w:tcPr>
            <w:tcW w:w="3129" w:type="dxa"/>
            <w:tcBorders>
              <w:bottom w:val="nil"/>
            </w:tcBorders>
            <w:shd w:val="clear" w:color="auto" w:fill="0C2C74"/>
          </w:tcPr>
          <w:p w14:paraId="6DE42144" w14:textId="77777777" w:rsidR="00045112" w:rsidRPr="00045112" w:rsidRDefault="00045112">
            <w:pPr>
              <w:pBdr>
                <w:top w:val="nil"/>
                <w:left w:val="nil"/>
                <w:bottom w:val="nil"/>
                <w:right w:val="nil"/>
                <w:between w:val="nil"/>
              </w:pBdr>
              <w:jc w:val="center"/>
              <w:rPr>
                <w:rFonts w:cs="Arial"/>
                <w:b/>
                <w:color w:val="F8F8F8"/>
                <w:sz w:val="20"/>
                <w:szCs w:val="20"/>
              </w:rPr>
            </w:pPr>
            <w:r w:rsidRPr="00045112">
              <w:rPr>
                <w:rFonts w:cs="Arial"/>
                <w:b/>
                <w:color w:val="F8F8F8"/>
                <w:sz w:val="20"/>
                <w:szCs w:val="20"/>
              </w:rPr>
              <w:t>Aim</w:t>
            </w:r>
          </w:p>
        </w:tc>
        <w:tc>
          <w:tcPr>
            <w:tcW w:w="3129" w:type="dxa"/>
            <w:tcBorders>
              <w:bottom w:val="nil"/>
            </w:tcBorders>
            <w:shd w:val="clear" w:color="auto" w:fill="0C2C74"/>
          </w:tcPr>
          <w:p w14:paraId="63DD27FC" w14:textId="77777777" w:rsidR="00045112" w:rsidRPr="00045112" w:rsidRDefault="00045112">
            <w:pPr>
              <w:pBdr>
                <w:top w:val="nil"/>
                <w:left w:val="nil"/>
                <w:bottom w:val="nil"/>
                <w:right w:val="nil"/>
                <w:between w:val="nil"/>
              </w:pBdr>
              <w:jc w:val="center"/>
              <w:rPr>
                <w:rFonts w:cs="Arial"/>
                <w:b/>
                <w:color w:val="F8F8F8"/>
                <w:sz w:val="20"/>
                <w:szCs w:val="20"/>
              </w:rPr>
            </w:pPr>
            <w:r w:rsidRPr="00045112">
              <w:rPr>
                <w:rFonts w:cs="Arial"/>
                <w:b/>
                <w:color w:val="F8F8F8"/>
                <w:sz w:val="20"/>
                <w:szCs w:val="20"/>
              </w:rPr>
              <w:t>Method</w:t>
            </w:r>
          </w:p>
        </w:tc>
        <w:tc>
          <w:tcPr>
            <w:tcW w:w="3129" w:type="dxa"/>
            <w:tcBorders>
              <w:bottom w:val="nil"/>
            </w:tcBorders>
            <w:shd w:val="clear" w:color="auto" w:fill="0C2C74"/>
          </w:tcPr>
          <w:p w14:paraId="3653D92C" w14:textId="77777777" w:rsidR="00045112" w:rsidRPr="00045112" w:rsidRDefault="00045112">
            <w:pPr>
              <w:pBdr>
                <w:top w:val="nil"/>
                <w:left w:val="nil"/>
                <w:bottom w:val="nil"/>
                <w:right w:val="nil"/>
                <w:between w:val="nil"/>
              </w:pBdr>
              <w:jc w:val="center"/>
              <w:rPr>
                <w:rFonts w:cs="Arial"/>
                <w:b/>
                <w:color w:val="F8F8F8"/>
                <w:sz w:val="20"/>
                <w:szCs w:val="20"/>
              </w:rPr>
            </w:pPr>
            <w:r w:rsidRPr="00045112">
              <w:rPr>
                <w:rFonts w:cs="Arial"/>
                <w:b/>
                <w:color w:val="F8F8F8"/>
                <w:sz w:val="20"/>
                <w:szCs w:val="20"/>
              </w:rPr>
              <w:t>Key findings</w:t>
            </w:r>
          </w:p>
        </w:tc>
        <w:tc>
          <w:tcPr>
            <w:tcW w:w="3130" w:type="dxa"/>
            <w:tcBorders>
              <w:bottom w:val="nil"/>
            </w:tcBorders>
            <w:shd w:val="clear" w:color="auto" w:fill="0C2C74"/>
          </w:tcPr>
          <w:p w14:paraId="49BF32AB" w14:textId="77777777" w:rsidR="00045112" w:rsidRPr="00045112" w:rsidRDefault="00045112">
            <w:pPr>
              <w:pBdr>
                <w:top w:val="nil"/>
                <w:left w:val="nil"/>
                <w:bottom w:val="nil"/>
                <w:right w:val="nil"/>
                <w:between w:val="nil"/>
              </w:pBdr>
              <w:jc w:val="center"/>
              <w:rPr>
                <w:rFonts w:cs="Arial"/>
                <w:b/>
                <w:color w:val="F8F8F8"/>
                <w:sz w:val="20"/>
                <w:szCs w:val="20"/>
              </w:rPr>
            </w:pPr>
            <w:r w:rsidRPr="00045112">
              <w:rPr>
                <w:rFonts w:cs="Arial"/>
                <w:b/>
                <w:color w:val="F8F8F8"/>
                <w:sz w:val="20"/>
                <w:szCs w:val="20"/>
              </w:rPr>
              <w:t>Implications for an Australian framework</w:t>
            </w:r>
          </w:p>
        </w:tc>
      </w:tr>
      <w:tr w:rsidR="00045112" w:rsidRPr="00045112" w14:paraId="5B58ACF3" w14:textId="77777777" w:rsidTr="00B42C33">
        <w:tc>
          <w:tcPr>
            <w:tcW w:w="1800" w:type="dxa"/>
            <w:tcBorders>
              <w:top w:val="nil"/>
              <w:left w:val="nil"/>
              <w:bottom w:val="nil"/>
              <w:right w:val="nil"/>
            </w:tcBorders>
          </w:tcPr>
          <w:p w14:paraId="0ABCAAF5"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Bartolo et al. (2016).</w:t>
            </w:r>
          </w:p>
          <w:p w14:paraId="02F72F2E"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Denmark</w:t>
            </w:r>
          </w:p>
        </w:tc>
        <w:tc>
          <w:tcPr>
            <w:tcW w:w="3129" w:type="dxa"/>
            <w:tcBorders>
              <w:top w:val="nil"/>
              <w:left w:val="nil"/>
              <w:bottom w:val="nil"/>
              <w:right w:val="nil"/>
            </w:tcBorders>
          </w:tcPr>
          <w:p w14:paraId="5FD9B7B3"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 xml:space="preserve">To identify, analyse and promote the main characteristics of quality inclusive pre-primary education for all children from three years of age to the start of primary education across 32 European countries. </w:t>
            </w:r>
          </w:p>
        </w:tc>
        <w:tc>
          <w:tcPr>
            <w:tcW w:w="3129" w:type="dxa"/>
            <w:tcBorders>
              <w:top w:val="nil"/>
              <w:left w:val="nil"/>
              <w:bottom w:val="nil"/>
              <w:right w:val="nil"/>
            </w:tcBorders>
          </w:tcPr>
          <w:p w14:paraId="3E692C84"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An inductive thematic data analysis method was used, whereby themes or issues were derived from European practitioners’ descriptions (perceptions and practices) of inclusive early childhood education provisions.</w:t>
            </w:r>
          </w:p>
        </w:tc>
        <w:tc>
          <w:tcPr>
            <w:tcW w:w="3129" w:type="dxa"/>
            <w:tcBorders>
              <w:top w:val="nil"/>
              <w:left w:val="nil"/>
              <w:bottom w:val="nil"/>
              <w:right w:val="nil"/>
            </w:tcBorders>
          </w:tcPr>
          <w:p w14:paraId="63DD904E"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Five themes were identified:</w:t>
            </w:r>
          </w:p>
          <w:p w14:paraId="45F5DDB2" w14:textId="77777777" w:rsidR="00045112" w:rsidRPr="00045112" w:rsidRDefault="00045112" w:rsidP="003B0B17">
            <w:pPr>
              <w:numPr>
                <w:ilvl w:val="0"/>
                <w:numId w:val="142"/>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Child belongingness, engagement and learning</w:t>
            </w:r>
          </w:p>
          <w:p w14:paraId="0446DBF2" w14:textId="77777777" w:rsidR="00045112" w:rsidRPr="00045112" w:rsidRDefault="00045112" w:rsidP="003B0B17">
            <w:pPr>
              <w:numPr>
                <w:ilvl w:val="0"/>
                <w:numId w:val="142"/>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Five major processes including positive interaction with adults; involvement in play and daily activities; a child centred approach; personalized assessment for learning; and accommodations adaptations and support</w:t>
            </w:r>
          </w:p>
          <w:p w14:paraId="2D708412" w14:textId="77777777" w:rsidR="00045112" w:rsidRPr="00045112" w:rsidRDefault="00045112" w:rsidP="003B0B17">
            <w:pPr>
              <w:numPr>
                <w:ilvl w:val="0"/>
                <w:numId w:val="142"/>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Structural factors within the early childhood education (ECE) setting including warm welcome for every child and family; family involvement within the early childhood education ECE setting; a holistic curriculum designed for all children’s needs; an environment designed for all children; staff who are appropriately qualified; a culturally-responsive social and physical environment; inclusive leadership committed to respect and engagement for all individuals; collaboration and shared responsibility among all stakeholders.</w:t>
            </w:r>
          </w:p>
          <w:p w14:paraId="50876002" w14:textId="77777777" w:rsidR="00045112" w:rsidRPr="00045112" w:rsidRDefault="00045112" w:rsidP="003B0B17">
            <w:pPr>
              <w:numPr>
                <w:ilvl w:val="0"/>
                <w:numId w:val="142"/>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lastRenderedPageBreak/>
              <w:t>Structural factors in the community, including ECE setting-families collaboration; Inservice training for ECE staff; wider community commitment and support for all children; interdisciplinary and interagency cooperation of services; and transitions between home and the ECE setting.</w:t>
            </w:r>
          </w:p>
          <w:p w14:paraId="747B12C7" w14:textId="77777777" w:rsidR="00045112" w:rsidRPr="00045112" w:rsidRDefault="00045112" w:rsidP="003B0B17">
            <w:pPr>
              <w:numPr>
                <w:ilvl w:val="0"/>
                <w:numId w:val="142"/>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Structural factors operating at the macro-system level consisting of a rights-based approach to ECE; Provision of mainstream ECE access for all; setting up regional/national standards for all teachers and other ECE staff.</w:t>
            </w:r>
          </w:p>
          <w:p w14:paraId="308C4545" w14:textId="77777777" w:rsidR="00045112" w:rsidRPr="00045112" w:rsidRDefault="00045112" w:rsidP="003B0B17">
            <w:pPr>
              <w:numPr>
                <w:ilvl w:val="0"/>
                <w:numId w:val="142"/>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Governance and funding systems</w:t>
            </w:r>
          </w:p>
          <w:p w14:paraId="104A2DFA" w14:textId="77777777" w:rsidR="00045112" w:rsidRPr="00045112" w:rsidRDefault="00045112" w:rsidP="003B0B17">
            <w:pPr>
              <w:numPr>
                <w:ilvl w:val="0"/>
                <w:numId w:val="142"/>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Procedures for regular monitoring and evaluation</w:t>
            </w:r>
          </w:p>
        </w:tc>
        <w:tc>
          <w:tcPr>
            <w:tcW w:w="3130" w:type="dxa"/>
            <w:tcBorders>
              <w:top w:val="nil"/>
              <w:left w:val="nil"/>
              <w:bottom w:val="nil"/>
              <w:right w:val="nil"/>
            </w:tcBorders>
          </w:tcPr>
          <w:p w14:paraId="08D2955C"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lastRenderedPageBreak/>
              <w:t>The resulting formulation of an ecosystem model of inclusive early childhood education can be seen as a blueprint for the development of frameworks for specific practices.</w:t>
            </w:r>
          </w:p>
          <w:p w14:paraId="11B88D1E" w14:textId="77777777" w:rsidR="00045112" w:rsidRPr="00045112" w:rsidRDefault="00045112">
            <w:pPr>
              <w:pBdr>
                <w:top w:val="nil"/>
                <w:left w:val="nil"/>
                <w:bottom w:val="nil"/>
                <w:right w:val="nil"/>
                <w:between w:val="nil"/>
              </w:pBdr>
              <w:rPr>
                <w:rFonts w:cs="Arial"/>
                <w:color w:val="000000"/>
                <w:sz w:val="20"/>
                <w:szCs w:val="20"/>
              </w:rPr>
            </w:pPr>
          </w:p>
          <w:p w14:paraId="700A6F31"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 xml:space="preserve">The conceptualisation of outcomes, processes, and structures highlight model elements that contribute to an understanding of the various levels of influence on child belonginess, engagement and learning. </w:t>
            </w:r>
          </w:p>
        </w:tc>
      </w:tr>
      <w:tr w:rsidR="00045112" w:rsidRPr="00045112" w14:paraId="15D93CC7" w14:textId="77777777" w:rsidTr="00B42C33">
        <w:tc>
          <w:tcPr>
            <w:tcW w:w="1800" w:type="dxa"/>
            <w:tcBorders>
              <w:top w:val="nil"/>
              <w:left w:val="nil"/>
              <w:bottom w:val="nil"/>
              <w:right w:val="nil"/>
            </w:tcBorders>
          </w:tcPr>
          <w:p w14:paraId="73EFD3BF"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Carpenter et al. (2009).</w:t>
            </w:r>
          </w:p>
          <w:p w14:paraId="529B2EB0"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England</w:t>
            </w:r>
          </w:p>
        </w:tc>
        <w:tc>
          <w:tcPr>
            <w:tcW w:w="3129" w:type="dxa"/>
            <w:tcBorders>
              <w:top w:val="nil"/>
              <w:left w:val="nil"/>
              <w:bottom w:val="nil"/>
              <w:right w:val="nil"/>
            </w:tcBorders>
          </w:tcPr>
          <w:p w14:paraId="265AE9C9"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To describe examples of evidence-based ECI practice and developments in Europe.</w:t>
            </w:r>
          </w:p>
        </w:tc>
        <w:tc>
          <w:tcPr>
            <w:tcW w:w="3129" w:type="dxa"/>
            <w:tcBorders>
              <w:top w:val="nil"/>
              <w:left w:val="nil"/>
              <w:bottom w:val="nil"/>
              <w:right w:val="nil"/>
            </w:tcBorders>
          </w:tcPr>
          <w:p w14:paraId="08C78151"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Across 16 chapters, and drawing from a large body of literature, European researchers report on specific ECI programs in their own countries of origin, emphasising various aspects of ECI principles and practice.</w:t>
            </w:r>
          </w:p>
          <w:p w14:paraId="68B8A3DD" w14:textId="77777777" w:rsidR="00045112" w:rsidRPr="00045112" w:rsidRDefault="00045112">
            <w:pPr>
              <w:pBdr>
                <w:top w:val="nil"/>
                <w:left w:val="nil"/>
                <w:bottom w:val="nil"/>
                <w:right w:val="nil"/>
                <w:between w:val="nil"/>
              </w:pBdr>
              <w:rPr>
                <w:rFonts w:cs="Arial"/>
                <w:color w:val="000000"/>
                <w:sz w:val="20"/>
                <w:szCs w:val="20"/>
              </w:rPr>
            </w:pPr>
          </w:p>
        </w:tc>
        <w:tc>
          <w:tcPr>
            <w:tcW w:w="3129" w:type="dxa"/>
            <w:tcBorders>
              <w:top w:val="nil"/>
              <w:left w:val="nil"/>
              <w:bottom w:val="nil"/>
              <w:right w:val="nil"/>
            </w:tcBorders>
          </w:tcPr>
          <w:p w14:paraId="0E735245"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ECI practice is highlighted in regard to:</w:t>
            </w:r>
          </w:p>
          <w:p w14:paraId="7927D3A4" w14:textId="77777777" w:rsidR="00045112" w:rsidRPr="00045112" w:rsidRDefault="00045112" w:rsidP="003B0B17">
            <w:pPr>
              <w:numPr>
                <w:ilvl w:val="0"/>
                <w:numId w:val="144"/>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Transdisciplinary teamwork</w:t>
            </w:r>
          </w:p>
          <w:p w14:paraId="07EF2BB9" w14:textId="77777777" w:rsidR="00045112" w:rsidRPr="00045112" w:rsidRDefault="00045112" w:rsidP="003B0B17">
            <w:pPr>
              <w:numPr>
                <w:ilvl w:val="0"/>
                <w:numId w:val="144"/>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Training curriculum of staff in specific ECI areas</w:t>
            </w:r>
          </w:p>
          <w:p w14:paraId="7D6D1652" w14:textId="77777777" w:rsidR="00045112" w:rsidRPr="00045112" w:rsidRDefault="00045112" w:rsidP="003B0B17">
            <w:pPr>
              <w:numPr>
                <w:ilvl w:val="0"/>
                <w:numId w:val="144"/>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Individualised intervention plan</w:t>
            </w:r>
          </w:p>
          <w:p w14:paraId="5CFE37E1" w14:textId="77777777" w:rsidR="00045112" w:rsidRPr="00045112" w:rsidRDefault="00045112" w:rsidP="003B0B17">
            <w:pPr>
              <w:numPr>
                <w:ilvl w:val="0"/>
                <w:numId w:val="144"/>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The family as focus for planning and delivery of ECI services</w:t>
            </w:r>
          </w:p>
          <w:p w14:paraId="1FB2A8C1" w14:textId="77777777" w:rsidR="00045112" w:rsidRPr="00045112" w:rsidRDefault="00045112" w:rsidP="003B0B17">
            <w:pPr>
              <w:numPr>
                <w:ilvl w:val="0"/>
                <w:numId w:val="144"/>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Parenting</w:t>
            </w:r>
          </w:p>
          <w:p w14:paraId="2400AAD0" w14:textId="77777777" w:rsidR="00045112" w:rsidRPr="00045112" w:rsidRDefault="00045112" w:rsidP="003B0B17">
            <w:pPr>
              <w:numPr>
                <w:ilvl w:val="0"/>
                <w:numId w:val="144"/>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lastRenderedPageBreak/>
              <w:t>Strength-based approaches</w:t>
            </w:r>
          </w:p>
          <w:p w14:paraId="48A5B7F7" w14:textId="77777777" w:rsidR="00045112" w:rsidRPr="00045112" w:rsidRDefault="00045112" w:rsidP="003B0B17">
            <w:pPr>
              <w:numPr>
                <w:ilvl w:val="0"/>
                <w:numId w:val="144"/>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Child and family development and well-being</w:t>
            </w:r>
          </w:p>
          <w:p w14:paraId="188F66BC" w14:textId="77777777" w:rsidR="00045112" w:rsidRPr="00045112" w:rsidRDefault="00045112" w:rsidP="003B0B17">
            <w:pPr>
              <w:numPr>
                <w:ilvl w:val="0"/>
                <w:numId w:val="144"/>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Parent-professional partnerships</w:t>
            </w:r>
          </w:p>
        </w:tc>
        <w:tc>
          <w:tcPr>
            <w:tcW w:w="3130" w:type="dxa"/>
            <w:tcBorders>
              <w:top w:val="nil"/>
              <w:left w:val="nil"/>
              <w:bottom w:val="nil"/>
              <w:right w:val="nil"/>
            </w:tcBorders>
          </w:tcPr>
          <w:p w14:paraId="5064F245"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lastRenderedPageBreak/>
              <w:t>ECI practice areas are underscored, indicating the existence of an established body of work in ECI which is informed by services and programs on the ground, and that have served the establishment of recommended practices.</w:t>
            </w:r>
          </w:p>
          <w:p w14:paraId="4BAF0ED7" w14:textId="77777777" w:rsidR="00045112" w:rsidRPr="00045112" w:rsidRDefault="00045112">
            <w:pPr>
              <w:pBdr>
                <w:top w:val="nil"/>
                <w:left w:val="nil"/>
                <w:bottom w:val="nil"/>
                <w:right w:val="nil"/>
                <w:between w:val="nil"/>
              </w:pBdr>
              <w:rPr>
                <w:rFonts w:cs="Arial"/>
                <w:color w:val="000000"/>
                <w:sz w:val="20"/>
                <w:szCs w:val="20"/>
              </w:rPr>
            </w:pPr>
          </w:p>
        </w:tc>
      </w:tr>
      <w:tr w:rsidR="00045112" w:rsidRPr="00045112" w14:paraId="11B04A1B" w14:textId="77777777" w:rsidTr="00B42C33">
        <w:tc>
          <w:tcPr>
            <w:tcW w:w="1800" w:type="dxa"/>
            <w:tcBorders>
              <w:top w:val="nil"/>
              <w:left w:val="nil"/>
              <w:bottom w:val="nil"/>
              <w:right w:val="nil"/>
            </w:tcBorders>
          </w:tcPr>
          <w:p w14:paraId="49FD5CA2"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Carvalho et al. (2019).</w:t>
            </w:r>
          </w:p>
          <w:p w14:paraId="17D7917D"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Portugal</w:t>
            </w:r>
          </w:p>
        </w:tc>
        <w:tc>
          <w:tcPr>
            <w:tcW w:w="3129" w:type="dxa"/>
            <w:tcBorders>
              <w:top w:val="nil"/>
              <w:left w:val="nil"/>
              <w:bottom w:val="nil"/>
              <w:right w:val="nil"/>
            </w:tcBorders>
          </w:tcPr>
          <w:p w14:paraId="43F52BB2"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To provide a useful tool for professionals and others at various system levels, who seek to respond to the multiple complexities involved in early childhood intervention practice.</w:t>
            </w:r>
          </w:p>
        </w:tc>
        <w:tc>
          <w:tcPr>
            <w:tcW w:w="3129" w:type="dxa"/>
            <w:tcBorders>
              <w:top w:val="nil"/>
              <w:left w:val="nil"/>
              <w:bottom w:val="nil"/>
              <w:right w:val="nil"/>
            </w:tcBorders>
          </w:tcPr>
          <w:p w14:paraId="2F9A29DA"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 xml:space="preserve">The set of recommended practices is based on a substantial revision of the foundations and theoretical models, including systemic, developmental, bioecological and transactional perspectives as well as the family-centred approach. </w:t>
            </w:r>
          </w:p>
        </w:tc>
        <w:tc>
          <w:tcPr>
            <w:tcW w:w="3129" w:type="dxa"/>
            <w:tcBorders>
              <w:top w:val="nil"/>
              <w:left w:val="nil"/>
              <w:bottom w:val="nil"/>
              <w:right w:val="nil"/>
            </w:tcBorders>
          </w:tcPr>
          <w:p w14:paraId="48445009"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Family-centred practice is considered the main intervention tool, and grounded on the ECI integrated model, which consists of:</w:t>
            </w:r>
          </w:p>
          <w:p w14:paraId="7FBF39D0" w14:textId="77777777" w:rsidR="00045112" w:rsidRPr="00045112" w:rsidRDefault="00045112" w:rsidP="003B0B17">
            <w:pPr>
              <w:numPr>
                <w:ilvl w:val="0"/>
                <w:numId w:val="146"/>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the promotion of children’s learning opportunities in family and community life</w:t>
            </w:r>
          </w:p>
          <w:p w14:paraId="6619EAE1" w14:textId="77777777" w:rsidR="00045112" w:rsidRPr="00045112" w:rsidRDefault="00045112" w:rsidP="003B0B17">
            <w:pPr>
              <w:numPr>
                <w:ilvl w:val="0"/>
                <w:numId w:val="146"/>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parenting support, including information, skills, knowledge emotional and instrumental supports</w:t>
            </w:r>
          </w:p>
          <w:p w14:paraId="0B549F6B" w14:textId="77777777" w:rsidR="00045112" w:rsidRPr="00045112" w:rsidRDefault="00045112" w:rsidP="003B0B17">
            <w:pPr>
              <w:numPr>
                <w:ilvl w:val="0"/>
                <w:numId w:val="146"/>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the mobilization and integration of formal and informal family and community resources.</w:t>
            </w:r>
          </w:p>
          <w:p w14:paraId="48749201" w14:textId="77777777" w:rsidR="00045112" w:rsidRPr="00045112" w:rsidRDefault="00045112">
            <w:pPr>
              <w:pBdr>
                <w:top w:val="nil"/>
                <w:left w:val="nil"/>
                <w:bottom w:val="nil"/>
                <w:right w:val="nil"/>
                <w:between w:val="nil"/>
              </w:pBdr>
              <w:ind w:left="-6"/>
              <w:contextualSpacing/>
              <w:rPr>
                <w:rFonts w:cs="Arial"/>
                <w:color w:val="000000"/>
                <w:sz w:val="20"/>
                <w:szCs w:val="20"/>
              </w:rPr>
            </w:pPr>
          </w:p>
          <w:p w14:paraId="3B120ACD" w14:textId="77777777" w:rsidR="00045112" w:rsidRPr="00045112" w:rsidRDefault="00045112">
            <w:pPr>
              <w:pBdr>
                <w:top w:val="nil"/>
                <w:left w:val="nil"/>
                <w:bottom w:val="nil"/>
                <w:right w:val="nil"/>
                <w:between w:val="nil"/>
              </w:pBdr>
              <w:ind w:left="-6"/>
              <w:contextualSpacing/>
              <w:rPr>
                <w:rFonts w:cs="Arial"/>
                <w:color w:val="000000"/>
                <w:sz w:val="20"/>
                <w:szCs w:val="20"/>
              </w:rPr>
            </w:pPr>
            <w:r w:rsidRPr="00045112">
              <w:rPr>
                <w:rFonts w:cs="Arial"/>
                <w:color w:val="000000"/>
                <w:sz w:val="20"/>
                <w:szCs w:val="20"/>
              </w:rPr>
              <w:t xml:space="preserve">Aspects of ECI implementation are also noted such as intersectoral and transdisciplinary collaboration, program evaluation, and training and supervision of staff. </w:t>
            </w:r>
          </w:p>
        </w:tc>
        <w:tc>
          <w:tcPr>
            <w:tcW w:w="3130" w:type="dxa"/>
            <w:tcBorders>
              <w:top w:val="nil"/>
              <w:left w:val="nil"/>
              <w:bottom w:val="nil"/>
              <w:right w:val="nil"/>
            </w:tcBorders>
          </w:tcPr>
          <w:p w14:paraId="3E353D87"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Family-centred practice is at the centre of recommended practices, where the family is the main focus of intervention and support. This stresses the fundamental significance of the family in ECI service provision.</w:t>
            </w:r>
          </w:p>
          <w:p w14:paraId="1B8642D4" w14:textId="77777777" w:rsidR="00045112" w:rsidRPr="00045112" w:rsidRDefault="00045112">
            <w:pPr>
              <w:pBdr>
                <w:top w:val="nil"/>
                <w:left w:val="nil"/>
                <w:bottom w:val="nil"/>
                <w:right w:val="nil"/>
                <w:between w:val="nil"/>
              </w:pBdr>
              <w:contextualSpacing/>
              <w:rPr>
                <w:rFonts w:cs="Arial"/>
                <w:color w:val="000000"/>
                <w:sz w:val="20"/>
                <w:szCs w:val="20"/>
              </w:rPr>
            </w:pPr>
          </w:p>
          <w:p w14:paraId="08BE903E"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The consideration of aspects of implementation of ECI recommended practices is an important addition to the development of policy and research directions.</w:t>
            </w:r>
          </w:p>
        </w:tc>
      </w:tr>
      <w:tr w:rsidR="00045112" w:rsidRPr="00045112" w14:paraId="0BBE7A3F" w14:textId="77777777" w:rsidTr="00B42C33">
        <w:tc>
          <w:tcPr>
            <w:tcW w:w="1800" w:type="dxa"/>
            <w:tcBorders>
              <w:top w:val="nil"/>
              <w:left w:val="nil"/>
              <w:bottom w:val="nil"/>
              <w:right w:val="nil"/>
            </w:tcBorders>
          </w:tcPr>
          <w:p w14:paraId="3317AE66"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 xml:space="preserve">Division for Early Childhood (2014). </w:t>
            </w:r>
          </w:p>
          <w:p w14:paraId="2E8A4890"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222222"/>
                <w:sz w:val="20"/>
                <w:szCs w:val="20"/>
                <w:highlight w:val="white"/>
              </w:rPr>
              <w:t>USA</w:t>
            </w:r>
            <w:r w:rsidRPr="00045112">
              <w:rPr>
                <w:rFonts w:cs="Arial"/>
                <w:color w:val="000000"/>
                <w:sz w:val="20"/>
                <w:szCs w:val="20"/>
              </w:rPr>
              <w:t xml:space="preserve"> </w:t>
            </w:r>
          </w:p>
          <w:p w14:paraId="0A0E770F" w14:textId="77777777" w:rsidR="00045112" w:rsidRPr="00045112" w:rsidRDefault="00045112">
            <w:pPr>
              <w:pBdr>
                <w:top w:val="nil"/>
                <w:left w:val="nil"/>
                <w:bottom w:val="nil"/>
                <w:right w:val="nil"/>
                <w:between w:val="nil"/>
              </w:pBdr>
              <w:rPr>
                <w:rFonts w:cs="Arial"/>
                <w:color w:val="000000"/>
                <w:sz w:val="20"/>
                <w:szCs w:val="20"/>
              </w:rPr>
            </w:pPr>
          </w:p>
          <w:p w14:paraId="67FA3D82" w14:textId="77777777" w:rsidR="00045112" w:rsidRPr="00045112" w:rsidRDefault="00045112">
            <w:pPr>
              <w:pBdr>
                <w:top w:val="nil"/>
                <w:left w:val="nil"/>
                <w:bottom w:val="nil"/>
                <w:right w:val="nil"/>
                <w:between w:val="nil"/>
              </w:pBdr>
              <w:rPr>
                <w:rFonts w:cs="Arial"/>
                <w:color w:val="222222"/>
                <w:sz w:val="20"/>
                <w:szCs w:val="20"/>
                <w:highlight w:val="white"/>
              </w:rPr>
            </w:pPr>
          </w:p>
        </w:tc>
        <w:tc>
          <w:tcPr>
            <w:tcW w:w="3129" w:type="dxa"/>
            <w:tcBorders>
              <w:top w:val="nil"/>
              <w:left w:val="nil"/>
              <w:bottom w:val="nil"/>
              <w:right w:val="nil"/>
            </w:tcBorders>
          </w:tcPr>
          <w:p w14:paraId="061693E0"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lastRenderedPageBreak/>
              <w:t xml:space="preserve">To </w:t>
            </w:r>
            <w:r w:rsidRPr="00045112">
              <w:rPr>
                <w:rFonts w:cs="Arial"/>
                <w:color w:val="000000"/>
                <w:sz w:val="20"/>
                <w:szCs w:val="20"/>
                <w:highlight w:val="white"/>
              </w:rPr>
              <w:t xml:space="preserve">bridge the gap between research and practice by highlighting practices that have been shown through research to result in better outcomes for young children with disabilities, their families, and practitioners </w:t>
            </w:r>
            <w:r w:rsidRPr="00045112">
              <w:rPr>
                <w:rFonts w:cs="Arial"/>
                <w:color w:val="000000"/>
                <w:sz w:val="20"/>
                <w:szCs w:val="20"/>
                <w:highlight w:val="white"/>
              </w:rPr>
              <w:lastRenderedPageBreak/>
              <w:t>in early intervention/early childhood special education.</w:t>
            </w:r>
          </w:p>
          <w:p w14:paraId="2B339E37" w14:textId="77777777" w:rsidR="00045112" w:rsidRPr="00045112" w:rsidRDefault="00045112">
            <w:pPr>
              <w:pBdr>
                <w:top w:val="nil"/>
                <w:left w:val="nil"/>
                <w:bottom w:val="nil"/>
                <w:right w:val="nil"/>
                <w:between w:val="nil"/>
              </w:pBdr>
              <w:rPr>
                <w:rFonts w:cs="Arial"/>
                <w:color w:val="000000"/>
                <w:sz w:val="20"/>
                <w:szCs w:val="20"/>
              </w:rPr>
            </w:pPr>
          </w:p>
        </w:tc>
        <w:tc>
          <w:tcPr>
            <w:tcW w:w="3129" w:type="dxa"/>
            <w:tcBorders>
              <w:top w:val="nil"/>
              <w:left w:val="nil"/>
              <w:bottom w:val="nil"/>
              <w:right w:val="nil"/>
            </w:tcBorders>
          </w:tcPr>
          <w:p w14:paraId="76497367" w14:textId="77777777" w:rsidR="00045112" w:rsidRPr="00045112" w:rsidRDefault="00045112">
            <w:pPr>
              <w:rPr>
                <w:rFonts w:cs="Arial"/>
                <w:sz w:val="20"/>
                <w:szCs w:val="20"/>
              </w:rPr>
            </w:pPr>
            <w:r w:rsidRPr="00045112">
              <w:rPr>
                <w:rFonts w:cs="Arial"/>
                <w:sz w:val="20"/>
                <w:szCs w:val="20"/>
              </w:rPr>
              <w:lastRenderedPageBreak/>
              <w:t>To the extent possible, the evidence base for these practices comes from studies that:</w:t>
            </w:r>
          </w:p>
          <w:p w14:paraId="7ADD24EF" w14:textId="77777777" w:rsidR="00045112" w:rsidRPr="00045112" w:rsidRDefault="00045112" w:rsidP="003B0B17">
            <w:pPr>
              <w:numPr>
                <w:ilvl w:val="0"/>
                <w:numId w:val="147"/>
              </w:numPr>
              <w:pBdr>
                <w:top w:val="nil"/>
                <w:left w:val="nil"/>
                <w:bottom w:val="nil"/>
                <w:right w:val="nil"/>
                <w:between w:val="nil"/>
              </w:pBdr>
              <w:spacing w:before="0" w:line="276" w:lineRule="auto"/>
              <w:rPr>
                <w:rFonts w:eastAsia="Calibri" w:cs="Arial"/>
                <w:color w:val="0F0D29"/>
                <w:sz w:val="20"/>
                <w:szCs w:val="20"/>
              </w:rPr>
            </w:pPr>
            <w:r w:rsidRPr="00045112">
              <w:rPr>
                <w:rFonts w:eastAsia="Calibri" w:cs="Arial"/>
                <w:color w:val="0F0D29"/>
                <w:sz w:val="20"/>
                <w:szCs w:val="20"/>
              </w:rPr>
              <w:t xml:space="preserve">use methodologically sound and high-quality designs </w:t>
            </w:r>
          </w:p>
          <w:p w14:paraId="10DEE208" w14:textId="77777777" w:rsidR="00045112" w:rsidRPr="00045112" w:rsidRDefault="00045112" w:rsidP="003B0B17">
            <w:pPr>
              <w:numPr>
                <w:ilvl w:val="0"/>
                <w:numId w:val="147"/>
              </w:numPr>
              <w:pBdr>
                <w:top w:val="nil"/>
                <w:left w:val="nil"/>
                <w:bottom w:val="nil"/>
                <w:right w:val="nil"/>
                <w:between w:val="nil"/>
              </w:pBdr>
              <w:spacing w:before="0" w:line="276" w:lineRule="auto"/>
              <w:rPr>
                <w:rFonts w:eastAsia="Calibri" w:cs="Arial"/>
                <w:color w:val="0F0D29"/>
                <w:sz w:val="20"/>
                <w:szCs w:val="20"/>
              </w:rPr>
            </w:pPr>
            <w:r w:rsidRPr="00045112">
              <w:rPr>
                <w:rFonts w:eastAsia="Calibri" w:cs="Arial"/>
                <w:color w:val="0F0D29"/>
                <w:sz w:val="20"/>
                <w:szCs w:val="20"/>
              </w:rPr>
              <w:lastRenderedPageBreak/>
              <w:t>are reported in the research literature, published in peer-reviewed journals, and replicated by a variety of researchers and research team</w:t>
            </w:r>
          </w:p>
          <w:p w14:paraId="51921476"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demonstrate positive effects on child and family outcomes.</w:t>
            </w:r>
          </w:p>
        </w:tc>
        <w:tc>
          <w:tcPr>
            <w:tcW w:w="3129" w:type="dxa"/>
            <w:tcBorders>
              <w:top w:val="nil"/>
              <w:left w:val="nil"/>
              <w:bottom w:val="nil"/>
              <w:right w:val="nil"/>
            </w:tcBorders>
          </w:tcPr>
          <w:p w14:paraId="6C27DE9D" w14:textId="77777777" w:rsidR="00045112" w:rsidRPr="00045112" w:rsidRDefault="00045112">
            <w:pPr>
              <w:rPr>
                <w:rFonts w:cs="Arial"/>
                <w:sz w:val="20"/>
                <w:szCs w:val="20"/>
                <w:highlight w:val="white"/>
              </w:rPr>
            </w:pPr>
            <w:r w:rsidRPr="00045112">
              <w:rPr>
                <w:rFonts w:cs="Arial"/>
                <w:sz w:val="20"/>
                <w:szCs w:val="20"/>
                <w:highlight w:val="white"/>
              </w:rPr>
              <w:lastRenderedPageBreak/>
              <w:t xml:space="preserve">The DEC Recommended Practices include eight domains: </w:t>
            </w:r>
          </w:p>
          <w:p w14:paraId="50940E84" w14:textId="77777777" w:rsidR="00045112" w:rsidRPr="00045112" w:rsidRDefault="00045112" w:rsidP="003B0B17">
            <w:pPr>
              <w:numPr>
                <w:ilvl w:val="0"/>
                <w:numId w:val="145"/>
              </w:numPr>
              <w:pBdr>
                <w:top w:val="nil"/>
                <w:left w:val="nil"/>
                <w:bottom w:val="nil"/>
                <w:right w:val="nil"/>
                <w:between w:val="nil"/>
              </w:pBdr>
              <w:spacing w:before="0"/>
              <w:rPr>
                <w:rFonts w:eastAsia="Calibri" w:cs="Arial"/>
                <w:color w:val="0F0D29"/>
                <w:sz w:val="20"/>
                <w:szCs w:val="20"/>
                <w:highlight w:val="white"/>
              </w:rPr>
            </w:pPr>
            <w:r w:rsidRPr="00045112">
              <w:rPr>
                <w:rFonts w:eastAsia="Calibri" w:cs="Arial"/>
                <w:color w:val="0F0D29"/>
                <w:sz w:val="20"/>
                <w:szCs w:val="20"/>
                <w:highlight w:val="white"/>
              </w:rPr>
              <w:t>Leadership</w:t>
            </w:r>
          </w:p>
          <w:p w14:paraId="5AFDC3EE" w14:textId="77777777" w:rsidR="00045112" w:rsidRPr="00045112" w:rsidRDefault="00045112" w:rsidP="003B0B17">
            <w:pPr>
              <w:numPr>
                <w:ilvl w:val="0"/>
                <w:numId w:val="145"/>
              </w:numPr>
              <w:pBdr>
                <w:top w:val="nil"/>
                <w:left w:val="nil"/>
                <w:bottom w:val="nil"/>
                <w:right w:val="nil"/>
                <w:between w:val="nil"/>
              </w:pBdr>
              <w:spacing w:before="0"/>
              <w:rPr>
                <w:rFonts w:eastAsia="Calibri" w:cs="Arial"/>
                <w:color w:val="0F0D29"/>
                <w:sz w:val="20"/>
                <w:szCs w:val="20"/>
                <w:highlight w:val="white"/>
              </w:rPr>
            </w:pPr>
            <w:r w:rsidRPr="00045112">
              <w:rPr>
                <w:rFonts w:eastAsia="Calibri" w:cs="Arial"/>
                <w:color w:val="0F0D29"/>
                <w:sz w:val="20"/>
                <w:szCs w:val="20"/>
                <w:highlight w:val="white"/>
              </w:rPr>
              <w:t>Assessment</w:t>
            </w:r>
          </w:p>
          <w:p w14:paraId="54526377" w14:textId="77777777" w:rsidR="00045112" w:rsidRPr="00045112" w:rsidRDefault="00045112" w:rsidP="003B0B17">
            <w:pPr>
              <w:numPr>
                <w:ilvl w:val="0"/>
                <w:numId w:val="145"/>
              </w:numPr>
              <w:pBdr>
                <w:top w:val="nil"/>
                <w:left w:val="nil"/>
                <w:bottom w:val="nil"/>
                <w:right w:val="nil"/>
                <w:between w:val="nil"/>
              </w:pBdr>
              <w:spacing w:before="0"/>
              <w:rPr>
                <w:rFonts w:eastAsia="Calibri" w:cs="Arial"/>
                <w:color w:val="0F0D29"/>
                <w:sz w:val="20"/>
                <w:szCs w:val="20"/>
                <w:highlight w:val="white"/>
              </w:rPr>
            </w:pPr>
            <w:r w:rsidRPr="00045112">
              <w:rPr>
                <w:rFonts w:eastAsia="Calibri" w:cs="Arial"/>
                <w:color w:val="0F0D29"/>
                <w:sz w:val="20"/>
                <w:szCs w:val="20"/>
                <w:highlight w:val="white"/>
              </w:rPr>
              <w:t>Environment</w:t>
            </w:r>
          </w:p>
          <w:p w14:paraId="77BEBC8B" w14:textId="77777777" w:rsidR="00045112" w:rsidRPr="00045112" w:rsidRDefault="00045112" w:rsidP="003B0B17">
            <w:pPr>
              <w:numPr>
                <w:ilvl w:val="0"/>
                <w:numId w:val="145"/>
              </w:numPr>
              <w:pBdr>
                <w:top w:val="nil"/>
                <w:left w:val="nil"/>
                <w:bottom w:val="nil"/>
                <w:right w:val="nil"/>
                <w:between w:val="nil"/>
              </w:pBdr>
              <w:spacing w:before="0"/>
              <w:rPr>
                <w:rFonts w:eastAsia="Calibri" w:cs="Arial"/>
                <w:color w:val="0F0D29"/>
                <w:sz w:val="20"/>
                <w:szCs w:val="20"/>
                <w:highlight w:val="white"/>
              </w:rPr>
            </w:pPr>
            <w:r w:rsidRPr="00045112">
              <w:rPr>
                <w:rFonts w:eastAsia="Calibri" w:cs="Arial"/>
                <w:color w:val="0F0D29"/>
                <w:sz w:val="20"/>
                <w:szCs w:val="20"/>
                <w:highlight w:val="white"/>
              </w:rPr>
              <w:lastRenderedPageBreak/>
              <w:t>Family</w:t>
            </w:r>
          </w:p>
          <w:p w14:paraId="6B542B69" w14:textId="77777777" w:rsidR="00045112" w:rsidRPr="00045112" w:rsidRDefault="00045112" w:rsidP="003B0B17">
            <w:pPr>
              <w:numPr>
                <w:ilvl w:val="0"/>
                <w:numId w:val="145"/>
              </w:numPr>
              <w:pBdr>
                <w:top w:val="nil"/>
                <w:left w:val="nil"/>
                <w:bottom w:val="nil"/>
                <w:right w:val="nil"/>
                <w:between w:val="nil"/>
              </w:pBdr>
              <w:spacing w:before="0"/>
              <w:rPr>
                <w:rFonts w:eastAsia="Calibri" w:cs="Arial"/>
                <w:color w:val="0F0D29"/>
                <w:sz w:val="20"/>
                <w:szCs w:val="20"/>
                <w:highlight w:val="white"/>
              </w:rPr>
            </w:pPr>
            <w:r w:rsidRPr="00045112">
              <w:rPr>
                <w:rFonts w:eastAsia="Calibri" w:cs="Arial"/>
                <w:color w:val="0F0D29"/>
                <w:sz w:val="20"/>
                <w:szCs w:val="20"/>
                <w:highlight w:val="white"/>
              </w:rPr>
              <w:t>Instruction</w:t>
            </w:r>
          </w:p>
          <w:p w14:paraId="17125235" w14:textId="77777777" w:rsidR="00045112" w:rsidRPr="00045112" w:rsidRDefault="00045112" w:rsidP="003B0B17">
            <w:pPr>
              <w:numPr>
                <w:ilvl w:val="0"/>
                <w:numId w:val="145"/>
              </w:numPr>
              <w:pBdr>
                <w:top w:val="nil"/>
                <w:left w:val="nil"/>
                <w:bottom w:val="nil"/>
                <w:right w:val="nil"/>
                <w:between w:val="nil"/>
              </w:pBdr>
              <w:spacing w:before="0"/>
              <w:rPr>
                <w:rFonts w:eastAsia="Calibri" w:cs="Arial"/>
                <w:color w:val="0F0D29"/>
                <w:sz w:val="20"/>
                <w:szCs w:val="20"/>
                <w:highlight w:val="white"/>
              </w:rPr>
            </w:pPr>
            <w:r w:rsidRPr="00045112">
              <w:rPr>
                <w:rFonts w:eastAsia="Calibri" w:cs="Arial"/>
                <w:color w:val="0F0D29"/>
                <w:sz w:val="20"/>
                <w:szCs w:val="20"/>
                <w:highlight w:val="white"/>
              </w:rPr>
              <w:t>Interaction</w:t>
            </w:r>
          </w:p>
          <w:p w14:paraId="34E886DC" w14:textId="77777777" w:rsidR="00045112" w:rsidRPr="00045112" w:rsidRDefault="00045112" w:rsidP="003B0B17">
            <w:pPr>
              <w:numPr>
                <w:ilvl w:val="0"/>
                <w:numId w:val="145"/>
              </w:numPr>
              <w:pBdr>
                <w:top w:val="nil"/>
                <w:left w:val="nil"/>
                <w:bottom w:val="nil"/>
                <w:right w:val="nil"/>
                <w:between w:val="nil"/>
              </w:pBdr>
              <w:spacing w:before="0"/>
              <w:rPr>
                <w:rFonts w:eastAsia="Calibri" w:cs="Arial"/>
                <w:color w:val="0F0D29"/>
                <w:sz w:val="20"/>
                <w:szCs w:val="20"/>
                <w:highlight w:val="white"/>
              </w:rPr>
            </w:pPr>
            <w:r w:rsidRPr="00045112">
              <w:rPr>
                <w:rFonts w:eastAsia="Calibri" w:cs="Arial"/>
                <w:color w:val="0F0D29"/>
                <w:sz w:val="20"/>
                <w:szCs w:val="20"/>
                <w:highlight w:val="white"/>
              </w:rPr>
              <w:t xml:space="preserve">Teaming and collaboration </w:t>
            </w:r>
          </w:p>
          <w:p w14:paraId="578A63F6" w14:textId="77777777" w:rsidR="00045112" w:rsidRPr="00045112" w:rsidRDefault="00045112" w:rsidP="003B0B17">
            <w:pPr>
              <w:numPr>
                <w:ilvl w:val="0"/>
                <w:numId w:val="145"/>
              </w:numPr>
              <w:pBdr>
                <w:top w:val="nil"/>
                <w:left w:val="nil"/>
                <w:bottom w:val="nil"/>
                <w:right w:val="nil"/>
                <w:between w:val="nil"/>
              </w:pBdr>
              <w:spacing w:before="0"/>
              <w:rPr>
                <w:rFonts w:eastAsia="Calibri" w:cs="Arial"/>
                <w:color w:val="0F0D29"/>
                <w:sz w:val="20"/>
                <w:szCs w:val="20"/>
                <w:highlight w:val="white"/>
              </w:rPr>
            </w:pPr>
            <w:r w:rsidRPr="00045112">
              <w:rPr>
                <w:rFonts w:eastAsia="Calibri" w:cs="Arial"/>
                <w:color w:val="0F0D29"/>
                <w:sz w:val="20"/>
                <w:szCs w:val="20"/>
                <w:highlight w:val="white"/>
              </w:rPr>
              <w:t xml:space="preserve">Transition </w:t>
            </w:r>
          </w:p>
        </w:tc>
        <w:tc>
          <w:tcPr>
            <w:tcW w:w="3130" w:type="dxa"/>
            <w:tcBorders>
              <w:top w:val="nil"/>
              <w:left w:val="nil"/>
              <w:bottom w:val="nil"/>
              <w:right w:val="nil"/>
            </w:tcBorders>
          </w:tcPr>
          <w:p w14:paraId="7329BD7D" w14:textId="77777777" w:rsidR="00045112" w:rsidRPr="00045112" w:rsidRDefault="00045112">
            <w:pPr>
              <w:rPr>
                <w:rFonts w:cs="Arial"/>
                <w:sz w:val="20"/>
                <w:szCs w:val="20"/>
              </w:rPr>
            </w:pPr>
            <w:r w:rsidRPr="00045112">
              <w:rPr>
                <w:rFonts w:cs="Arial"/>
                <w:sz w:val="20"/>
                <w:szCs w:val="20"/>
              </w:rPr>
              <w:lastRenderedPageBreak/>
              <w:t>DEC has demonstrated the importance of:</w:t>
            </w:r>
          </w:p>
          <w:p w14:paraId="23575E8C" w14:textId="77777777" w:rsidR="00045112" w:rsidRPr="00045112" w:rsidRDefault="00045112" w:rsidP="003B0B17">
            <w:pPr>
              <w:pStyle w:val="ListParagraph"/>
              <w:numPr>
                <w:ilvl w:val="0"/>
                <w:numId w:val="152"/>
              </w:numPr>
              <w:spacing w:before="0"/>
              <w:rPr>
                <w:rFonts w:cs="Arial"/>
                <w:sz w:val="20"/>
                <w:szCs w:val="20"/>
              </w:rPr>
            </w:pPr>
            <w:r w:rsidRPr="00045112">
              <w:rPr>
                <w:rFonts w:eastAsia="Calibri" w:cs="Arial"/>
                <w:color w:val="0F0D29"/>
                <w:sz w:val="20"/>
                <w:szCs w:val="20"/>
              </w:rPr>
              <w:t>having a federally funded technical assistance centre to support implementation</w:t>
            </w:r>
          </w:p>
          <w:p w14:paraId="69D2D72E" w14:textId="77777777" w:rsidR="00045112" w:rsidRPr="00045112" w:rsidRDefault="00045112" w:rsidP="003B0B17">
            <w:pPr>
              <w:pStyle w:val="ListParagraph"/>
              <w:numPr>
                <w:ilvl w:val="0"/>
                <w:numId w:val="152"/>
              </w:numPr>
              <w:spacing w:before="0"/>
              <w:rPr>
                <w:rFonts w:cs="Arial"/>
                <w:sz w:val="20"/>
                <w:szCs w:val="20"/>
              </w:rPr>
            </w:pPr>
            <w:r w:rsidRPr="00045112">
              <w:rPr>
                <w:rFonts w:eastAsia="Calibri" w:cs="Arial"/>
                <w:color w:val="0F0D29"/>
                <w:sz w:val="20"/>
                <w:szCs w:val="20"/>
              </w:rPr>
              <w:lastRenderedPageBreak/>
              <w:t>developing a plan to continually update practices and the supporting resources for professionals and family members</w:t>
            </w:r>
          </w:p>
          <w:p w14:paraId="5895F400" w14:textId="77777777" w:rsidR="00045112" w:rsidRPr="00045112" w:rsidRDefault="00045112" w:rsidP="003B0B17">
            <w:pPr>
              <w:pStyle w:val="ListParagraph"/>
              <w:numPr>
                <w:ilvl w:val="0"/>
                <w:numId w:val="152"/>
              </w:numPr>
              <w:spacing w:before="0"/>
              <w:rPr>
                <w:rFonts w:cs="Arial"/>
                <w:sz w:val="20"/>
                <w:szCs w:val="20"/>
              </w:rPr>
            </w:pPr>
            <w:r w:rsidRPr="00045112">
              <w:rPr>
                <w:rFonts w:cs="Arial"/>
                <w:color w:val="000000"/>
                <w:sz w:val="20"/>
                <w:szCs w:val="20"/>
                <w:highlight w:val="white"/>
              </w:rPr>
              <w:t xml:space="preserve">aligning with the National Association for the Education of Young Children (NAEYC) </w:t>
            </w:r>
            <w:hyperlink r:id="rId52">
              <w:r w:rsidRPr="00045112">
                <w:rPr>
                  <w:rFonts w:cs="Arial"/>
                  <w:color w:val="3592CF"/>
                  <w:sz w:val="20"/>
                  <w:szCs w:val="20"/>
                  <w:highlight w:val="white"/>
                  <w:u w:val="single"/>
                </w:rPr>
                <w:t>Developmentally Appropriate Practices</w:t>
              </w:r>
            </w:hyperlink>
            <w:r w:rsidRPr="00045112">
              <w:rPr>
                <w:rFonts w:cs="Arial"/>
                <w:color w:val="000000"/>
                <w:sz w:val="20"/>
                <w:szCs w:val="20"/>
                <w:highlight w:val="white"/>
              </w:rPr>
              <w:t xml:space="preserve"> that relate to the promotion of learning and development for </w:t>
            </w:r>
            <w:r w:rsidRPr="00045112">
              <w:rPr>
                <w:rFonts w:cs="Arial"/>
                <w:i/>
                <w:color w:val="000000"/>
                <w:sz w:val="20"/>
                <w:szCs w:val="20"/>
                <w:highlight w:val="white"/>
              </w:rPr>
              <w:t xml:space="preserve">all </w:t>
            </w:r>
            <w:r w:rsidRPr="00045112">
              <w:rPr>
                <w:rFonts w:cs="Arial"/>
                <w:color w:val="000000"/>
                <w:sz w:val="20"/>
                <w:szCs w:val="20"/>
                <w:highlight w:val="white"/>
              </w:rPr>
              <w:t>children.</w:t>
            </w:r>
          </w:p>
        </w:tc>
      </w:tr>
      <w:tr w:rsidR="00045112" w:rsidRPr="00045112" w14:paraId="4E761127" w14:textId="77777777" w:rsidTr="00B42C33">
        <w:tc>
          <w:tcPr>
            <w:tcW w:w="1800" w:type="dxa"/>
            <w:tcBorders>
              <w:top w:val="nil"/>
              <w:left w:val="nil"/>
              <w:bottom w:val="nil"/>
              <w:right w:val="nil"/>
            </w:tcBorders>
          </w:tcPr>
          <w:p w14:paraId="256478FD"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lastRenderedPageBreak/>
              <w:t xml:space="preserve">Early Childhood Intervention Australia (2016). </w:t>
            </w:r>
          </w:p>
          <w:p w14:paraId="1A823AEF"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Australia.</w:t>
            </w:r>
          </w:p>
          <w:p w14:paraId="111B9F12" w14:textId="77777777" w:rsidR="00045112" w:rsidRPr="00045112" w:rsidRDefault="00045112">
            <w:pPr>
              <w:pBdr>
                <w:top w:val="nil"/>
                <w:left w:val="nil"/>
                <w:bottom w:val="nil"/>
                <w:right w:val="nil"/>
                <w:between w:val="nil"/>
              </w:pBdr>
              <w:rPr>
                <w:rFonts w:cs="Arial"/>
                <w:color w:val="000000"/>
                <w:sz w:val="20"/>
                <w:szCs w:val="20"/>
              </w:rPr>
            </w:pPr>
          </w:p>
          <w:p w14:paraId="6BB22A83" w14:textId="77777777" w:rsidR="00045112" w:rsidRPr="00045112" w:rsidRDefault="00045112">
            <w:pPr>
              <w:pBdr>
                <w:top w:val="nil"/>
                <w:left w:val="nil"/>
                <w:bottom w:val="nil"/>
                <w:right w:val="nil"/>
                <w:between w:val="nil"/>
              </w:pBdr>
              <w:rPr>
                <w:rFonts w:cs="Arial"/>
                <w:color w:val="222222"/>
                <w:sz w:val="20"/>
                <w:szCs w:val="20"/>
                <w:highlight w:val="white"/>
              </w:rPr>
            </w:pPr>
          </w:p>
        </w:tc>
        <w:tc>
          <w:tcPr>
            <w:tcW w:w="3129" w:type="dxa"/>
            <w:tcBorders>
              <w:top w:val="nil"/>
              <w:left w:val="nil"/>
              <w:bottom w:val="nil"/>
              <w:right w:val="nil"/>
            </w:tcBorders>
          </w:tcPr>
          <w:p w14:paraId="2D15CD8A"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To provide support for universal and equitable high quality Early Childhood Intervention based on best practice for children with disability and/or developmental delay whether they attend government, non-government, large, small, sole non-for-profit service providers or private providers, anywhere in Australia</w:t>
            </w:r>
          </w:p>
        </w:tc>
        <w:tc>
          <w:tcPr>
            <w:tcW w:w="3129" w:type="dxa"/>
            <w:tcBorders>
              <w:top w:val="nil"/>
              <w:left w:val="nil"/>
              <w:bottom w:val="nil"/>
              <w:right w:val="nil"/>
            </w:tcBorders>
          </w:tcPr>
          <w:p w14:paraId="387AFAD4" w14:textId="77777777" w:rsidR="00045112" w:rsidRPr="00045112" w:rsidRDefault="00045112">
            <w:pPr>
              <w:rPr>
                <w:rFonts w:cs="Arial"/>
                <w:sz w:val="20"/>
                <w:szCs w:val="20"/>
              </w:rPr>
            </w:pPr>
            <w:r w:rsidRPr="00045112">
              <w:rPr>
                <w:rFonts w:cs="Arial"/>
                <w:sz w:val="20"/>
                <w:szCs w:val="20"/>
              </w:rPr>
              <w:t xml:space="preserve">The guidelines were developed through a review of the literature, consultations with the sector and submissions from key stakeholders. An initial discussion paper was developed as pre-reading for the consultations. </w:t>
            </w:r>
          </w:p>
        </w:tc>
        <w:tc>
          <w:tcPr>
            <w:tcW w:w="3129" w:type="dxa"/>
            <w:tcBorders>
              <w:top w:val="nil"/>
              <w:left w:val="nil"/>
              <w:bottom w:val="nil"/>
              <w:right w:val="nil"/>
            </w:tcBorders>
          </w:tcPr>
          <w:p w14:paraId="60F56CBB" w14:textId="77777777" w:rsidR="00045112" w:rsidRPr="00045112" w:rsidRDefault="00045112">
            <w:pPr>
              <w:spacing w:after="0"/>
              <w:contextualSpacing/>
              <w:rPr>
                <w:rFonts w:cs="Arial"/>
                <w:sz w:val="20"/>
                <w:szCs w:val="20"/>
              </w:rPr>
            </w:pPr>
            <w:r w:rsidRPr="00045112">
              <w:rPr>
                <w:rFonts w:cs="Arial"/>
                <w:sz w:val="20"/>
                <w:szCs w:val="20"/>
              </w:rPr>
              <w:t>The guidelines provide eight principles under 4 quality areas.</w:t>
            </w:r>
          </w:p>
          <w:p w14:paraId="42593A58" w14:textId="77777777" w:rsidR="00045112" w:rsidRPr="00045112" w:rsidRDefault="00045112">
            <w:pPr>
              <w:spacing w:after="0"/>
              <w:contextualSpacing/>
              <w:rPr>
                <w:rFonts w:cs="Arial"/>
                <w:sz w:val="20"/>
                <w:szCs w:val="20"/>
              </w:rPr>
            </w:pPr>
            <w:r w:rsidRPr="00045112">
              <w:rPr>
                <w:rFonts w:cs="Arial"/>
                <w:sz w:val="20"/>
                <w:szCs w:val="20"/>
              </w:rPr>
              <w:t>1: Family</w:t>
            </w:r>
          </w:p>
          <w:p w14:paraId="742017D5" w14:textId="77777777" w:rsidR="00045112" w:rsidRPr="00045112" w:rsidRDefault="00045112" w:rsidP="003B0B17">
            <w:pPr>
              <w:numPr>
                <w:ilvl w:val="0"/>
                <w:numId w:val="137"/>
              </w:numPr>
              <w:pBdr>
                <w:top w:val="nil"/>
                <w:left w:val="nil"/>
                <w:bottom w:val="nil"/>
                <w:right w:val="nil"/>
                <w:between w:val="nil"/>
              </w:pBdr>
              <w:spacing w:before="0" w:after="0"/>
              <w:contextualSpacing/>
              <w:rPr>
                <w:rFonts w:eastAsia="Calibri" w:cs="Arial"/>
                <w:color w:val="0F0D29"/>
                <w:sz w:val="20"/>
                <w:szCs w:val="20"/>
              </w:rPr>
            </w:pPr>
            <w:r w:rsidRPr="00045112">
              <w:rPr>
                <w:rFonts w:eastAsia="Calibri" w:cs="Arial"/>
                <w:color w:val="0F0D29"/>
                <w:sz w:val="20"/>
                <w:szCs w:val="20"/>
              </w:rPr>
              <w:t xml:space="preserve">Family-Centred and Strengths-Based Practice </w:t>
            </w:r>
          </w:p>
          <w:p w14:paraId="0E3F4CBB" w14:textId="77777777" w:rsidR="00045112" w:rsidRPr="00045112" w:rsidRDefault="00045112" w:rsidP="003B0B17">
            <w:pPr>
              <w:numPr>
                <w:ilvl w:val="0"/>
                <w:numId w:val="137"/>
              </w:numPr>
              <w:pBdr>
                <w:top w:val="nil"/>
                <w:left w:val="nil"/>
                <w:bottom w:val="nil"/>
                <w:right w:val="nil"/>
                <w:between w:val="nil"/>
              </w:pBdr>
              <w:spacing w:before="0" w:after="0"/>
              <w:contextualSpacing/>
              <w:rPr>
                <w:rFonts w:eastAsia="Calibri" w:cs="Arial"/>
                <w:color w:val="0F0D29"/>
                <w:sz w:val="20"/>
                <w:szCs w:val="20"/>
              </w:rPr>
            </w:pPr>
            <w:r w:rsidRPr="00045112">
              <w:rPr>
                <w:rFonts w:eastAsia="Calibri" w:cs="Arial"/>
                <w:color w:val="0F0D29"/>
                <w:sz w:val="20"/>
                <w:szCs w:val="20"/>
              </w:rPr>
              <w:t xml:space="preserve">Culturally Responsive Practice </w:t>
            </w:r>
          </w:p>
          <w:p w14:paraId="2D6F4946" w14:textId="77777777" w:rsidR="00045112" w:rsidRPr="00045112" w:rsidRDefault="00045112">
            <w:pPr>
              <w:spacing w:after="0"/>
              <w:contextualSpacing/>
              <w:rPr>
                <w:rFonts w:cs="Arial"/>
                <w:sz w:val="20"/>
                <w:szCs w:val="20"/>
              </w:rPr>
            </w:pPr>
            <w:r w:rsidRPr="00045112">
              <w:rPr>
                <w:rFonts w:cs="Arial"/>
                <w:sz w:val="20"/>
                <w:szCs w:val="20"/>
              </w:rPr>
              <w:t>2: Inclusion</w:t>
            </w:r>
          </w:p>
          <w:p w14:paraId="215AC3C5" w14:textId="77777777" w:rsidR="00045112" w:rsidRPr="00045112" w:rsidRDefault="00045112" w:rsidP="003B0B17">
            <w:pPr>
              <w:numPr>
                <w:ilvl w:val="0"/>
                <w:numId w:val="139"/>
              </w:numPr>
              <w:pBdr>
                <w:top w:val="nil"/>
                <w:left w:val="nil"/>
                <w:bottom w:val="nil"/>
                <w:right w:val="nil"/>
                <w:between w:val="nil"/>
              </w:pBdr>
              <w:spacing w:before="0" w:after="0"/>
              <w:contextualSpacing/>
              <w:rPr>
                <w:rFonts w:eastAsia="Calibri" w:cs="Arial"/>
                <w:color w:val="0F0D29"/>
                <w:sz w:val="20"/>
                <w:szCs w:val="20"/>
              </w:rPr>
            </w:pPr>
            <w:r w:rsidRPr="00045112">
              <w:rPr>
                <w:rFonts w:eastAsia="Calibri" w:cs="Arial"/>
                <w:color w:val="0F0D29"/>
                <w:sz w:val="20"/>
                <w:szCs w:val="20"/>
              </w:rPr>
              <w:t>Inclusive and Participatory Practice</w:t>
            </w:r>
          </w:p>
          <w:p w14:paraId="32151F07" w14:textId="77777777" w:rsidR="00045112" w:rsidRPr="00045112" w:rsidRDefault="00045112" w:rsidP="003B0B17">
            <w:pPr>
              <w:numPr>
                <w:ilvl w:val="0"/>
                <w:numId w:val="139"/>
              </w:numPr>
              <w:pBdr>
                <w:top w:val="nil"/>
                <w:left w:val="nil"/>
                <w:bottom w:val="nil"/>
                <w:right w:val="nil"/>
                <w:between w:val="nil"/>
              </w:pBdr>
              <w:spacing w:before="0" w:after="0"/>
              <w:contextualSpacing/>
              <w:rPr>
                <w:rFonts w:eastAsia="Calibri" w:cs="Arial"/>
                <w:color w:val="0F0D29"/>
                <w:sz w:val="20"/>
                <w:szCs w:val="20"/>
              </w:rPr>
            </w:pPr>
            <w:r w:rsidRPr="00045112">
              <w:rPr>
                <w:rFonts w:eastAsia="Calibri" w:cs="Arial"/>
                <w:color w:val="0F0D29"/>
                <w:sz w:val="20"/>
                <w:szCs w:val="20"/>
              </w:rPr>
              <w:t>Engaging the Child in Natural Environments</w:t>
            </w:r>
          </w:p>
          <w:p w14:paraId="6F542DCD" w14:textId="77777777" w:rsidR="00045112" w:rsidRPr="00045112" w:rsidRDefault="00045112">
            <w:pPr>
              <w:spacing w:after="0"/>
              <w:contextualSpacing/>
              <w:rPr>
                <w:rFonts w:cs="Arial"/>
                <w:sz w:val="20"/>
                <w:szCs w:val="20"/>
              </w:rPr>
            </w:pPr>
            <w:r w:rsidRPr="00045112">
              <w:rPr>
                <w:rFonts w:cs="Arial"/>
                <w:sz w:val="20"/>
                <w:szCs w:val="20"/>
              </w:rPr>
              <w:t>3: Teamwork</w:t>
            </w:r>
          </w:p>
          <w:p w14:paraId="0B6DFEA6" w14:textId="77777777" w:rsidR="00045112" w:rsidRPr="00045112" w:rsidRDefault="00045112" w:rsidP="003B0B17">
            <w:pPr>
              <w:numPr>
                <w:ilvl w:val="0"/>
                <w:numId w:val="138"/>
              </w:numPr>
              <w:pBdr>
                <w:top w:val="nil"/>
                <w:left w:val="nil"/>
                <w:bottom w:val="nil"/>
                <w:right w:val="nil"/>
                <w:between w:val="nil"/>
              </w:pBdr>
              <w:spacing w:before="0" w:after="0"/>
              <w:contextualSpacing/>
              <w:rPr>
                <w:rFonts w:eastAsia="Calibri" w:cs="Arial"/>
                <w:color w:val="0F0D29"/>
                <w:sz w:val="20"/>
                <w:szCs w:val="20"/>
              </w:rPr>
            </w:pPr>
            <w:r w:rsidRPr="00045112">
              <w:rPr>
                <w:rFonts w:eastAsia="Calibri" w:cs="Arial"/>
                <w:color w:val="0F0D29"/>
                <w:sz w:val="20"/>
                <w:szCs w:val="20"/>
              </w:rPr>
              <w:t xml:space="preserve">Collaborative Teamwork Practice </w:t>
            </w:r>
          </w:p>
          <w:p w14:paraId="15CECC72" w14:textId="77777777" w:rsidR="00045112" w:rsidRPr="00045112" w:rsidRDefault="00045112" w:rsidP="003B0B17">
            <w:pPr>
              <w:numPr>
                <w:ilvl w:val="0"/>
                <w:numId w:val="138"/>
              </w:numPr>
              <w:pBdr>
                <w:top w:val="nil"/>
                <w:left w:val="nil"/>
                <w:bottom w:val="nil"/>
                <w:right w:val="nil"/>
                <w:between w:val="nil"/>
              </w:pBdr>
              <w:spacing w:before="0" w:after="0"/>
              <w:contextualSpacing/>
              <w:rPr>
                <w:rFonts w:eastAsia="Calibri" w:cs="Arial"/>
                <w:color w:val="0F0D29"/>
                <w:sz w:val="20"/>
                <w:szCs w:val="20"/>
              </w:rPr>
            </w:pPr>
            <w:r w:rsidRPr="00045112">
              <w:rPr>
                <w:rFonts w:eastAsia="Calibri" w:cs="Arial"/>
                <w:color w:val="0F0D29"/>
                <w:sz w:val="20"/>
                <w:szCs w:val="20"/>
              </w:rPr>
              <w:t xml:space="preserve">Capacity-Building Practice </w:t>
            </w:r>
          </w:p>
          <w:p w14:paraId="3985F659" w14:textId="77777777" w:rsidR="00045112" w:rsidRPr="00045112" w:rsidRDefault="00045112">
            <w:pPr>
              <w:spacing w:after="0"/>
              <w:contextualSpacing/>
              <w:rPr>
                <w:rFonts w:cs="Arial"/>
                <w:sz w:val="20"/>
                <w:szCs w:val="20"/>
              </w:rPr>
            </w:pPr>
            <w:r w:rsidRPr="00045112">
              <w:rPr>
                <w:rFonts w:cs="Arial"/>
                <w:sz w:val="20"/>
                <w:szCs w:val="20"/>
              </w:rPr>
              <w:t>4: Universal Principles</w:t>
            </w:r>
          </w:p>
          <w:p w14:paraId="6348925D" w14:textId="77777777" w:rsidR="00045112" w:rsidRPr="00045112" w:rsidRDefault="00045112" w:rsidP="003B0B17">
            <w:pPr>
              <w:numPr>
                <w:ilvl w:val="0"/>
                <w:numId w:val="149"/>
              </w:numPr>
              <w:pBdr>
                <w:top w:val="nil"/>
                <w:left w:val="nil"/>
                <w:bottom w:val="nil"/>
                <w:right w:val="nil"/>
                <w:between w:val="nil"/>
              </w:pBdr>
              <w:spacing w:before="0" w:after="0"/>
              <w:contextualSpacing/>
              <w:rPr>
                <w:rFonts w:eastAsia="Calibri" w:cs="Arial"/>
                <w:color w:val="0F0D29"/>
                <w:sz w:val="20"/>
                <w:szCs w:val="20"/>
              </w:rPr>
            </w:pPr>
            <w:r w:rsidRPr="00045112">
              <w:rPr>
                <w:rFonts w:eastAsia="Calibri" w:cs="Arial"/>
                <w:color w:val="0F0D29"/>
                <w:sz w:val="20"/>
                <w:szCs w:val="20"/>
              </w:rPr>
              <w:t xml:space="preserve">Evidence Base, Standards, Accountability and Practice </w:t>
            </w:r>
          </w:p>
          <w:p w14:paraId="7223F869" w14:textId="77777777" w:rsidR="00045112" w:rsidRPr="00045112" w:rsidRDefault="00045112" w:rsidP="003B0B17">
            <w:pPr>
              <w:numPr>
                <w:ilvl w:val="0"/>
                <w:numId w:val="149"/>
              </w:numPr>
              <w:pBdr>
                <w:top w:val="nil"/>
                <w:left w:val="nil"/>
                <w:bottom w:val="nil"/>
                <w:right w:val="nil"/>
                <w:between w:val="nil"/>
              </w:pBdr>
              <w:spacing w:before="0" w:after="0"/>
              <w:contextualSpacing/>
              <w:rPr>
                <w:rFonts w:eastAsia="Calibri" w:cs="Arial"/>
                <w:color w:val="0F0D29"/>
                <w:sz w:val="20"/>
                <w:szCs w:val="20"/>
                <w:highlight w:val="white"/>
              </w:rPr>
            </w:pPr>
            <w:r w:rsidRPr="00045112">
              <w:rPr>
                <w:rFonts w:eastAsia="Calibri" w:cs="Arial"/>
                <w:color w:val="0F0D29"/>
                <w:sz w:val="20"/>
                <w:szCs w:val="20"/>
              </w:rPr>
              <w:t>Outcome Based Approach</w:t>
            </w:r>
          </w:p>
        </w:tc>
        <w:tc>
          <w:tcPr>
            <w:tcW w:w="3130" w:type="dxa"/>
            <w:tcBorders>
              <w:top w:val="nil"/>
              <w:left w:val="nil"/>
              <w:bottom w:val="nil"/>
              <w:right w:val="nil"/>
            </w:tcBorders>
          </w:tcPr>
          <w:p w14:paraId="68FDD34C"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 xml:space="preserve">Some professional development activities have supported implementation, though this has been limited. </w:t>
            </w:r>
          </w:p>
          <w:p w14:paraId="6C9FEDE3"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 xml:space="preserve">Australia has experienced a dramatic and changing policy context that has highlighted the need for </w:t>
            </w:r>
            <w:r w:rsidRPr="00045112">
              <w:rPr>
                <w:rFonts w:cs="Arial"/>
                <w:sz w:val="20"/>
                <w:szCs w:val="20"/>
              </w:rPr>
              <w:t>integration with current reviews.</w:t>
            </w:r>
          </w:p>
        </w:tc>
      </w:tr>
      <w:tr w:rsidR="00045112" w:rsidRPr="00045112" w14:paraId="62FB407E" w14:textId="77777777" w:rsidTr="00B42C33">
        <w:tc>
          <w:tcPr>
            <w:tcW w:w="1800" w:type="dxa"/>
            <w:tcBorders>
              <w:top w:val="nil"/>
              <w:left w:val="nil"/>
              <w:bottom w:val="nil"/>
              <w:right w:val="nil"/>
            </w:tcBorders>
          </w:tcPr>
          <w:p w14:paraId="227CF064"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lastRenderedPageBreak/>
              <w:t xml:space="preserve">Green et al. (2016). Australia </w:t>
            </w:r>
          </w:p>
        </w:tc>
        <w:tc>
          <w:tcPr>
            <w:tcW w:w="3129" w:type="dxa"/>
            <w:tcBorders>
              <w:top w:val="nil"/>
              <w:left w:val="nil"/>
              <w:bottom w:val="nil"/>
              <w:right w:val="nil"/>
            </w:tcBorders>
          </w:tcPr>
          <w:p w14:paraId="2E1F0365"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To describe the Aboriginal and Torres Strait Islander carer journey of accessing support and services.</w:t>
            </w:r>
          </w:p>
        </w:tc>
        <w:tc>
          <w:tcPr>
            <w:tcW w:w="3129" w:type="dxa"/>
            <w:tcBorders>
              <w:top w:val="nil"/>
              <w:left w:val="nil"/>
              <w:bottom w:val="nil"/>
              <w:right w:val="nil"/>
            </w:tcBorders>
          </w:tcPr>
          <w:p w14:paraId="76D21613"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Qualitative design involved semi-structured interviews with nineteen parents and carers of Aboriginal children aged 0–8 years attending a child developmental clinic at a metropolitan area Aboriginal health service in Eastern Australia. Interpretive phenomenological analysis was applied to transcribed verbatim accounts.</w:t>
            </w:r>
          </w:p>
        </w:tc>
        <w:tc>
          <w:tcPr>
            <w:tcW w:w="3129" w:type="dxa"/>
            <w:tcBorders>
              <w:top w:val="nil"/>
              <w:left w:val="nil"/>
              <w:bottom w:val="nil"/>
              <w:right w:val="nil"/>
            </w:tcBorders>
          </w:tcPr>
          <w:p w14:paraId="74A5D5AE"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The ‘journey’ metaphor was used to describe carers’ pathway of accessing supports and services at the community, service and policy levels:</w:t>
            </w:r>
          </w:p>
          <w:p w14:paraId="19035AF1" w14:textId="77777777" w:rsidR="00045112" w:rsidRPr="00045112" w:rsidRDefault="00045112" w:rsidP="003B0B17">
            <w:pPr>
              <w:numPr>
                <w:ilvl w:val="0"/>
                <w:numId w:val="136"/>
              </w:numPr>
              <w:pBdr>
                <w:top w:val="nil"/>
                <w:left w:val="nil"/>
                <w:bottom w:val="nil"/>
                <w:right w:val="nil"/>
                <w:between w:val="nil"/>
              </w:pBdr>
              <w:spacing w:before="0"/>
              <w:ind w:left="223" w:hanging="219"/>
              <w:contextualSpacing/>
              <w:rPr>
                <w:rFonts w:cs="Arial"/>
                <w:color w:val="000000"/>
                <w:sz w:val="20"/>
                <w:szCs w:val="20"/>
              </w:rPr>
            </w:pPr>
            <w:r w:rsidRPr="00045112">
              <w:rPr>
                <w:rFonts w:cs="Arial"/>
                <w:color w:val="000000"/>
                <w:sz w:val="20"/>
                <w:szCs w:val="20"/>
              </w:rPr>
              <w:t>Need for ‘increased signage’ within communities via community education, information and awareness</w:t>
            </w:r>
          </w:p>
          <w:p w14:paraId="30C4843A" w14:textId="77777777" w:rsidR="00045112" w:rsidRPr="00045112" w:rsidRDefault="00045112" w:rsidP="003B0B17">
            <w:pPr>
              <w:numPr>
                <w:ilvl w:val="0"/>
                <w:numId w:val="136"/>
              </w:numPr>
              <w:pBdr>
                <w:top w:val="nil"/>
                <w:left w:val="nil"/>
                <w:bottom w:val="nil"/>
                <w:right w:val="nil"/>
                <w:between w:val="nil"/>
              </w:pBdr>
              <w:spacing w:before="0"/>
              <w:ind w:left="223" w:hanging="219"/>
              <w:contextualSpacing/>
              <w:rPr>
                <w:rFonts w:cs="Arial"/>
                <w:color w:val="000000"/>
                <w:sz w:val="20"/>
                <w:szCs w:val="20"/>
              </w:rPr>
            </w:pPr>
            <w:r w:rsidRPr="00045112">
              <w:rPr>
                <w:rFonts w:cs="Arial"/>
                <w:color w:val="000000"/>
                <w:sz w:val="20"/>
                <w:szCs w:val="20"/>
              </w:rPr>
              <w:t>Wrong way signs, roundabouts and roadblocks encountered when accessing services</w:t>
            </w:r>
          </w:p>
          <w:p w14:paraId="7E117324" w14:textId="77777777" w:rsidR="00045112" w:rsidRPr="00045112" w:rsidRDefault="00045112" w:rsidP="003B0B17">
            <w:pPr>
              <w:numPr>
                <w:ilvl w:val="0"/>
                <w:numId w:val="136"/>
              </w:numPr>
              <w:pBdr>
                <w:top w:val="nil"/>
                <w:left w:val="nil"/>
                <w:bottom w:val="nil"/>
                <w:right w:val="nil"/>
                <w:between w:val="nil"/>
              </w:pBdr>
              <w:spacing w:before="0"/>
              <w:ind w:left="223" w:hanging="219"/>
              <w:contextualSpacing/>
              <w:rPr>
                <w:rFonts w:cs="Arial"/>
                <w:color w:val="000000"/>
                <w:sz w:val="20"/>
                <w:szCs w:val="20"/>
              </w:rPr>
            </w:pPr>
            <w:r w:rsidRPr="00045112">
              <w:rPr>
                <w:rFonts w:cs="Arial"/>
                <w:color w:val="000000"/>
                <w:sz w:val="20"/>
                <w:szCs w:val="20"/>
              </w:rPr>
              <w:t>Alternate routes can facilitate the journey</w:t>
            </w:r>
          </w:p>
          <w:p w14:paraId="7E7B369E" w14:textId="77777777" w:rsidR="00045112" w:rsidRPr="00045112" w:rsidRDefault="00045112" w:rsidP="003B0B17">
            <w:pPr>
              <w:numPr>
                <w:ilvl w:val="0"/>
                <w:numId w:val="136"/>
              </w:numPr>
              <w:pBdr>
                <w:top w:val="nil"/>
                <w:left w:val="nil"/>
                <w:bottom w:val="nil"/>
                <w:right w:val="nil"/>
                <w:between w:val="nil"/>
              </w:pBdr>
              <w:spacing w:before="0"/>
              <w:ind w:left="223" w:hanging="219"/>
              <w:contextualSpacing/>
              <w:rPr>
                <w:rFonts w:cs="Arial"/>
                <w:color w:val="000000"/>
                <w:sz w:val="20"/>
                <w:szCs w:val="20"/>
              </w:rPr>
            </w:pPr>
            <w:r w:rsidRPr="00045112">
              <w:rPr>
                <w:rFonts w:cs="Arial"/>
                <w:color w:val="000000"/>
                <w:sz w:val="20"/>
                <w:szCs w:val="20"/>
              </w:rPr>
              <w:t>Incompatibility of inflexible bureaucratic road rules and lived realities</w:t>
            </w:r>
          </w:p>
        </w:tc>
        <w:tc>
          <w:tcPr>
            <w:tcW w:w="3130" w:type="dxa"/>
            <w:tcBorders>
              <w:top w:val="nil"/>
              <w:left w:val="nil"/>
              <w:bottom w:val="nil"/>
              <w:right w:val="nil"/>
            </w:tcBorders>
          </w:tcPr>
          <w:p w14:paraId="57EB460E"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Recognition of the diversity of meaning of disability in Aboriginal and Torres Strait Islander contexts is critical to effective service provision.</w:t>
            </w:r>
          </w:p>
          <w:p w14:paraId="77EB6E42"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The Aboriginal community is a key resource in supporting families that requires investment and increased capacity.</w:t>
            </w:r>
          </w:p>
          <w:p w14:paraId="1DF1DEC0"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The introduction of services such as ‘patient’ navigators as well as a team-based approach may be key to bridging the gaps between carers and service systems.</w:t>
            </w:r>
          </w:p>
        </w:tc>
      </w:tr>
      <w:tr w:rsidR="00045112" w:rsidRPr="00045112" w14:paraId="42850E5D" w14:textId="77777777" w:rsidTr="00B42C33">
        <w:tc>
          <w:tcPr>
            <w:tcW w:w="1800" w:type="dxa"/>
            <w:tcBorders>
              <w:top w:val="nil"/>
              <w:left w:val="nil"/>
              <w:bottom w:val="nil"/>
              <w:right w:val="nil"/>
            </w:tcBorders>
          </w:tcPr>
          <w:p w14:paraId="5BE60C52"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Guralnick, M. (2023). USA</w:t>
            </w:r>
          </w:p>
          <w:p w14:paraId="23738ADF" w14:textId="77777777" w:rsidR="00045112" w:rsidRPr="00045112" w:rsidRDefault="00045112">
            <w:pPr>
              <w:pBdr>
                <w:top w:val="nil"/>
                <w:left w:val="nil"/>
                <w:bottom w:val="nil"/>
                <w:right w:val="nil"/>
                <w:between w:val="nil"/>
              </w:pBdr>
              <w:rPr>
                <w:rFonts w:cs="Arial"/>
                <w:color w:val="222222"/>
                <w:sz w:val="20"/>
                <w:szCs w:val="20"/>
                <w:highlight w:val="white"/>
              </w:rPr>
            </w:pPr>
          </w:p>
          <w:p w14:paraId="22A341C3" w14:textId="77777777" w:rsidR="00045112" w:rsidRPr="00045112" w:rsidRDefault="00045112">
            <w:pPr>
              <w:pBdr>
                <w:top w:val="nil"/>
                <w:left w:val="nil"/>
                <w:bottom w:val="nil"/>
                <w:right w:val="nil"/>
                <w:between w:val="nil"/>
              </w:pBdr>
              <w:rPr>
                <w:rFonts w:cs="Arial"/>
                <w:color w:val="222222"/>
                <w:sz w:val="20"/>
                <w:szCs w:val="20"/>
                <w:highlight w:val="white"/>
              </w:rPr>
            </w:pPr>
          </w:p>
        </w:tc>
        <w:tc>
          <w:tcPr>
            <w:tcW w:w="3129" w:type="dxa"/>
            <w:tcBorders>
              <w:top w:val="nil"/>
              <w:left w:val="nil"/>
              <w:bottom w:val="nil"/>
              <w:right w:val="nil"/>
            </w:tcBorders>
          </w:tcPr>
          <w:p w14:paraId="6C1EAAE2" w14:textId="77777777" w:rsidR="00045112" w:rsidRPr="00045112" w:rsidRDefault="00045112">
            <w:pPr>
              <w:pBdr>
                <w:top w:val="nil"/>
                <w:left w:val="nil"/>
                <w:bottom w:val="nil"/>
                <w:right w:val="nil"/>
                <w:between w:val="nil"/>
              </w:pBdr>
              <w:rPr>
                <w:rFonts w:cs="Arial"/>
                <w:b/>
                <w:color w:val="FF0000"/>
                <w:sz w:val="20"/>
                <w:szCs w:val="20"/>
              </w:rPr>
            </w:pPr>
            <w:r w:rsidRPr="00045112">
              <w:rPr>
                <w:rFonts w:cs="Arial"/>
                <w:color w:val="000000"/>
                <w:sz w:val="20"/>
                <w:szCs w:val="20"/>
              </w:rPr>
              <w:t xml:space="preserve">To present a framework for the creation of a fully inclusive and comprehensive ECI system with a primary focus on family patterns of interaction: The Developmental Systems Approach with a corresponding Practice Model. </w:t>
            </w:r>
          </w:p>
        </w:tc>
        <w:tc>
          <w:tcPr>
            <w:tcW w:w="3129" w:type="dxa"/>
            <w:tcBorders>
              <w:top w:val="nil"/>
              <w:left w:val="nil"/>
              <w:bottom w:val="nil"/>
              <w:right w:val="nil"/>
            </w:tcBorders>
          </w:tcPr>
          <w:p w14:paraId="6F8E8028"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 xml:space="preserve">The framework draws upon concepts, processes, and advances from several fields and integrates </w:t>
            </w:r>
          </w:p>
          <w:p w14:paraId="48D7797D" w14:textId="77777777" w:rsidR="00045112" w:rsidRPr="00045112" w:rsidRDefault="00045112">
            <w:pPr>
              <w:pBdr>
                <w:top w:val="nil"/>
                <w:left w:val="nil"/>
                <w:bottom w:val="nil"/>
                <w:right w:val="nil"/>
                <w:between w:val="nil"/>
              </w:pBdr>
              <w:rPr>
                <w:rFonts w:cs="Arial"/>
                <w:b/>
                <w:color w:val="FF0000"/>
                <w:sz w:val="20"/>
                <w:szCs w:val="20"/>
              </w:rPr>
            </w:pPr>
            <w:r w:rsidRPr="00045112">
              <w:rPr>
                <w:rFonts w:cs="Arial"/>
                <w:color w:val="000000"/>
                <w:sz w:val="20"/>
                <w:szCs w:val="20"/>
              </w:rPr>
              <w:t>developmental science, intervention science, and implementation science.</w:t>
            </w:r>
          </w:p>
        </w:tc>
        <w:tc>
          <w:tcPr>
            <w:tcW w:w="3129" w:type="dxa"/>
            <w:tcBorders>
              <w:top w:val="nil"/>
              <w:left w:val="nil"/>
              <w:bottom w:val="nil"/>
              <w:right w:val="nil"/>
            </w:tcBorders>
          </w:tcPr>
          <w:p w14:paraId="0D5C8D1A"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The Developmental Systems Approach consists of three interconnected levels that characterize:</w:t>
            </w:r>
          </w:p>
          <w:p w14:paraId="329DC602" w14:textId="77777777" w:rsidR="00045112" w:rsidRPr="00045112" w:rsidRDefault="00045112" w:rsidP="003B0B17">
            <w:pPr>
              <w:numPr>
                <w:ilvl w:val="0"/>
                <w:numId w:val="148"/>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children’s social and cognitive competence with connections to children’s functional goals;</w:t>
            </w:r>
          </w:p>
          <w:p w14:paraId="69C210F8" w14:textId="77777777" w:rsidR="00045112" w:rsidRPr="00045112" w:rsidRDefault="00045112" w:rsidP="003B0B17">
            <w:pPr>
              <w:numPr>
                <w:ilvl w:val="0"/>
                <w:numId w:val="148"/>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a family’s pattern of interactions capable of supporting the development of those child competencies and goals;</w:t>
            </w:r>
          </w:p>
          <w:p w14:paraId="5511D68E" w14:textId="77777777" w:rsidR="00045112" w:rsidRPr="00045112" w:rsidRDefault="00045112" w:rsidP="003B0B17">
            <w:pPr>
              <w:numPr>
                <w:ilvl w:val="0"/>
                <w:numId w:val="148"/>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the resources needed by families to support family patterns of interaction.</w:t>
            </w:r>
          </w:p>
        </w:tc>
        <w:tc>
          <w:tcPr>
            <w:tcW w:w="3130" w:type="dxa"/>
            <w:tcBorders>
              <w:top w:val="nil"/>
              <w:left w:val="nil"/>
              <w:bottom w:val="nil"/>
              <w:right w:val="nil"/>
            </w:tcBorders>
          </w:tcPr>
          <w:p w14:paraId="2860E4F9"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 xml:space="preserve">The Developmental Systems Approach and accompanying Practice Model consolidates our understanding of the importance of family patterns of interaction and family centred practices in ECI. </w:t>
            </w:r>
          </w:p>
          <w:p w14:paraId="283CE0B3" w14:textId="77777777" w:rsidR="00045112" w:rsidRPr="00045112" w:rsidRDefault="00045112">
            <w:pPr>
              <w:pBdr>
                <w:top w:val="nil"/>
                <w:left w:val="nil"/>
                <w:bottom w:val="nil"/>
                <w:right w:val="nil"/>
                <w:between w:val="nil"/>
              </w:pBdr>
              <w:rPr>
                <w:rFonts w:cs="Arial"/>
                <w:b/>
                <w:color w:val="FF0000"/>
                <w:sz w:val="20"/>
                <w:szCs w:val="20"/>
              </w:rPr>
            </w:pPr>
            <w:r w:rsidRPr="00045112">
              <w:rPr>
                <w:rFonts w:cs="Arial"/>
                <w:color w:val="000000"/>
                <w:sz w:val="20"/>
                <w:szCs w:val="20"/>
              </w:rPr>
              <w:t xml:space="preserve">The importance of integrating developmental, intervention, and implementation science into an ECI framework is highlighted. </w:t>
            </w:r>
          </w:p>
        </w:tc>
      </w:tr>
      <w:tr w:rsidR="00045112" w:rsidRPr="00045112" w14:paraId="6D19A285" w14:textId="77777777" w:rsidTr="00B42C33">
        <w:tc>
          <w:tcPr>
            <w:tcW w:w="1800" w:type="dxa"/>
            <w:tcBorders>
              <w:top w:val="nil"/>
              <w:left w:val="nil"/>
              <w:bottom w:val="nil"/>
              <w:right w:val="nil"/>
            </w:tcBorders>
          </w:tcPr>
          <w:p w14:paraId="0584EFBD"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lastRenderedPageBreak/>
              <w:t>McCarthy &amp; Guerin (2020).</w:t>
            </w:r>
          </w:p>
          <w:p w14:paraId="57EDD2FE"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Ireland</w:t>
            </w:r>
          </w:p>
        </w:tc>
        <w:tc>
          <w:tcPr>
            <w:tcW w:w="3129" w:type="dxa"/>
            <w:tcBorders>
              <w:top w:val="nil"/>
              <w:left w:val="nil"/>
              <w:bottom w:val="nil"/>
              <w:right w:val="nil"/>
            </w:tcBorders>
          </w:tcPr>
          <w:p w14:paraId="59C42FFD"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To identify the key processes and outcomes of family-centred care (FCC) in early intervention (EI) settings and the factors that impact FCC as reported in quantitative and qualitative literature.</w:t>
            </w:r>
          </w:p>
        </w:tc>
        <w:tc>
          <w:tcPr>
            <w:tcW w:w="3129" w:type="dxa"/>
            <w:tcBorders>
              <w:top w:val="nil"/>
              <w:left w:val="nil"/>
              <w:bottom w:val="nil"/>
              <w:right w:val="nil"/>
            </w:tcBorders>
          </w:tcPr>
          <w:p w14:paraId="5671F552" w14:textId="77777777" w:rsidR="00045112" w:rsidRPr="00045112" w:rsidRDefault="00045112">
            <w:pPr>
              <w:rPr>
                <w:rFonts w:cs="Arial"/>
                <w:sz w:val="20"/>
                <w:szCs w:val="20"/>
              </w:rPr>
            </w:pPr>
            <w:r w:rsidRPr="00045112">
              <w:rPr>
                <w:rFonts w:cs="Arial"/>
                <w:sz w:val="20"/>
                <w:szCs w:val="20"/>
              </w:rPr>
              <w:t>A systematic review explored the processes and outcomes of FCC delivered to children aged 0–6 years with disabilities/suspected disabilities and families as part of EI or early services. The search procedure was informed by the PRISMA guidelines. Narrative analysis of data was also performed.</w:t>
            </w:r>
          </w:p>
        </w:tc>
        <w:tc>
          <w:tcPr>
            <w:tcW w:w="3129" w:type="dxa"/>
            <w:tcBorders>
              <w:top w:val="nil"/>
              <w:left w:val="nil"/>
              <w:bottom w:val="nil"/>
              <w:right w:val="nil"/>
            </w:tcBorders>
          </w:tcPr>
          <w:p w14:paraId="6CDD20A8"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The majority of studies (90.5%) outlined the processes of FCC, while 59.5% of studies explored outcomes. A thematic analysis yielded:</w:t>
            </w:r>
          </w:p>
          <w:p w14:paraId="7A3AAD03"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FCC processes defined as:</w:t>
            </w:r>
          </w:p>
          <w:p w14:paraId="380C4028" w14:textId="77777777" w:rsidR="00045112" w:rsidRPr="00045112" w:rsidRDefault="00045112" w:rsidP="003B0B17">
            <w:pPr>
              <w:numPr>
                <w:ilvl w:val="0"/>
                <w:numId w:val="15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service operations</w:t>
            </w:r>
          </w:p>
          <w:p w14:paraId="4905FFF2" w14:textId="77777777" w:rsidR="00045112" w:rsidRPr="00045112" w:rsidRDefault="00045112" w:rsidP="003B0B17">
            <w:pPr>
              <w:numPr>
                <w:ilvl w:val="0"/>
                <w:numId w:val="15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participatory caregiving</w:t>
            </w:r>
          </w:p>
          <w:p w14:paraId="0638B059" w14:textId="77777777" w:rsidR="00045112" w:rsidRPr="00045112" w:rsidRDefault="00045112" w:rsidP="003B0B17">
            <w:pPr>
              <w:numPr>
                <w:ilvl w:val="0"/>
                <w:numId w:val="15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communicating information and coaching</w:t>
            </w:r>
          </w:p>
          <w:p w14:paraId="47D1FA1B" w14:textId="77777777" w:rsidR="00045112" w:rsidRPr="00045112" w:rsidRDefault="00045112" w:rsidP="003B0B17">
            <w:pPr>
              <w:numPr>
                <w:ilvl w:val="0"/>
                <w:numId w:val="15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 xml:space="preserve">relational caregiving </w:t>
            </w:r>
          </w:p>
          <w:p w14:paraId="5D74CB5A" w14:textId="77777777" w:rsidR="00045112" w:rsidRPr="00045112" w:rsidRDefault="00045112" w:rsidP="003B0B17">
            <w:pPr>
              <w:numPr>
                <w:ilvl w:val="0"/>
                <w:numId w:val="15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child focused activities</w:t>
            </w:r>
          </w:p>
          <w:p w14:paraId="64AA2AF6" w14:textId="77777777" w:rsidR="00045112" w:rsidRPr="00045112" w:rsidRDefault="00045112" w:rsidP="003B0B17">
            <w:pPr>
              <w:numPr>
                <w:ilvl w:val="0"/>
                <w:numId w:val="15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professional competency and development and support</w:t>
            </w:r>
          </w:p>
          <w:p w14:paraId="6F3F1574" w14:textId="77777777" w:rsidR="00045112" w:rsidRPr="00045112" w:rsidRDefault="00045112" w:rsidP="003B0B17">
            <w:pPr>
              <w:numPr>
                <w:ilvl w:val="0"/>
                <w:numId w:val="15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psychological support</w:t>
            </w:r>
          </w:p>
          <w:p w14:paraId="6226E72B" w14:textId="77777777" w:rsidR="00045112" w:rsidRPr="00045112" w:rsidRDefault="00045112" w:rsidP="003B0B17">
            <w:pPr>
              <w:numPr>
                <w:ilvl w:val="0"/>
                <w:numId w:val="15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support network and community integration.</w:t>
            </w:r>
          </w:p>
          <w:p w14:paraId="097F4958" w14:textId="77777777" w:rsidR="00045112" w:rsidRPr="00045112" w:rsidRDefault="00045112">
            <w:pPr>
              <w:pBdr>
                <w:top w:val="nil"/>
                <w:left w:val="nil"/>
                <w:bottom w:val="nil"/>
                <w:right w:val="nil"/>
                <w:between w:val="nil"/>
              </w:pBdr>
              <w:ind w:left="-65"/>
              <w:contextualSpacing/>
              <w:rPr>
                <w:rFonts w:cs="Arial"/>
                <w:color w:val="000000"/>
                <w:sz w:val="20"/>
                <w:szCs w:val="20"/>
              </w:rPr>
            </w:pPr>
            <w:r w:rsidRPr="00045112">
              <w:rPr>
                <w:rFonts w:cs="Arial"/>
                <w:color w:val="000000"/>
                <w:sz w:val="20"/>
                <w:szCs w:val="20"/>
              </w:rPr>
              <w:t>Outcomes, including:</w:t>
            </w:r>
          </w:p>
          <w:p w14:paraId="732D7DF2" w14:textId="77777777" w:rsidR="00045112" w:rsidRPr="00045112" w:rsidRDefault="00045112" w:rsidP="003B0B17">
            <w:pPr>
              <w:numPr>
                <w:ilvl w:val="0"/>
                <w:numId w:val="150"/>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child development</w:t>
            </w:r>
          </w:p>
          <w:p w14:paraId="3345A9F8" w14:textId="77777777" w:rsidR="00045112" w:rsidRPr="00045112" w:rsidRDefault="00045112" w:rsidP="003B0B17">
            <w:pPr>
              <w:numPr>
                <w:ilvl w:val="0"/>
                <w:numId w:val="150"/>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parent/family/development</w:t>
            </w:r>
          </w:p>
          <w:p w14:paraId="12966F14" w14:textId="77777777" w:rsidR="00045112" w:rsidRPr="00045112" w:rsidRDefault="00045112" w:rsidP="003B0B17">
            <w:pPr>
              <w:numPr>
                <w:ilvl w:val="0"/>
                <w:numId w:val="150"/>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attainment of family goals</w:t>
            </w:r>
          </w:p>
          <w:p w14:paraId="30301FE5" w14:textId="77777777" w:rsidR="00045112" w:rsidRPr="00045112" w:rsidRDefault="00045112" w:rsidP="003B0B17">
            <w:pPr>
              <w:numPr>
                <w:ilvl w:val="0"/>
                <w:numId w:val="150"/>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quality of life</w:t>
            </w:r>
          </w:p>
          <w:p w14:paraId="41444E90" w14:textId="77777777" w:rsidR="00045112" w:rsidRPr="00045112" w:rsidRDefault="00045112" w:rsidP="003B0B17">
            <w:pPr>
              <w:numPr>
                <w:ilvl w:val="0"/>
                <w:numId w:val="150"/>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parent satisfaction</w:t>
            </w:r>
          </w:p>
          <w:p w14:paraId="7486B0E4" w14:textId="77777777" w:rsidR="00045112" w:rsidRPr="00045112" w:rsidRDefault="00045112" w:rsidP="003B0B17">
            <w:pPr>
              <w:numPr>
                <w:ilvl w:val="0"/>
                <w:numId w:val="150"/>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community engagement</w:t>
            </w:r>
          </w:p>
          <w:p w14:paraId="6E3D1F13" w14:textId="77777777" w:rsidR="00045112" w:rsidRPr="00045112" w:rsidRDefault="00045112" w:rsidP="003B0B17">
            <w:pPr>
              <w:numPr>
                <w:ilvl w:val="0"/>
                <w:numId w:val="150"/>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parent-professional collaboration</w:t>
            </w:r>
          </w:p>
          <w:p w14:paraId="39DE0CAC" w14:textId="77777777" w:rsidR="00045112" w:rsidRPr="00045112" w:rsidRDefault="00045112">
            <w:pPr>
              <w:pBdr>
                <w:top w:val="nil"/>
                <w:left w:val="nil"/>
                <w:bottom w:val="nil"/>
                <w:right w:val="nil"/>
                <w:between w:val="nil"/>
              </w:pBdr>
              <w:ind w:left="-65"/>
              <w:contextualSpacing/>
              <w:rPr>
                <w:rFonts w:cs="Arial"/>
                <w:color w:val="000000"/>
                <w:sz w:val="20"/>
                <w:szCs w:val="20"/>
              </w:rPr>
            </w:pPr>
            <w:r w:rsidRPr="00045112">
              <w:rPr>
                <w:rFonts w:cs="Arial"/>
                <w:color w:val="000000"/>
                <w:sz w:val="20"/>
                <w:szCs w:val="20"/>
              </w:rPr>
              <w:t>Factors impacting FCC:</w:t>
            </w:r>
          </w:p>
          <w:p w14:paraId="1698E433" w14:textId="77777777" w:rsidR="00045112" w:rsidRPr="00045112" w:rsidRDefault="00045112" w:rsidP="003B0B17">
            <w:pPr>
              <w:numPr>
                <w:ilvl w:val="0"/>
                <w:numId w:val="14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Service operations and resources</w:t>
            </w:r>
          </w:p>
          <w:p w14:paraId="02773779" w14:textId="77777777" w:rsidR="00045112" w:rsidRPr="00045112" w:rsidRDefault="00045112" w:rsidP="003B0B17">
            <w:pPr>
              <w:numPr>
                <w:ilvl w:val="0"/>
                <w:numId w:val="14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Service location and logistics</w:t>
            </w:r>
          </w:p>
          <w:p w14:paraId="3297C040" w14:textId="77777777" w:rsidR="00045112" w:rsidRPr="00045112" w:rsidRDefault="00045112" w:rsidP="003B0B17">
            <w:pPr>
              <w:numPr>
                <w:ilvl w:val="0"/>
                <w:numId w:val="14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Child and family characteristic</w:t>
            </w:r>
          </w:p>
          <w:p w14:paraId="02B71FF0" w14:textId="77777777" w:rsidR="00045112" w:rsidRPr="00045112" w:rsidRDefault="00045112" w:rsidP="003B0B17">
            <w:pPr>
              <w:numPr>
                <w:ilvl w:val="0"/>
                <w:numId w:val="14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Family resources</w:t>
            </w:r>
          </w:p>
          <w:p w14:paraId="4650E5A5" w14:textId="77777777" w:rsidR="00045112" w:rsidRPr="00045112" w:rsidRDefault="00045112" w:rsidP="003B0B17">
            <w:pPr>
              <w:numPr>
                <w:ilvl w:val="0"/>
                <w:numId w:val="14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lastRenderedPageBreak/>
              <w:t>Professional characteristic</w:t>
            </w:r>
          </w:p>
          <w:p w14:paraId="2886D246" w14:textId="77777777" w:rsidR="00045112" w:rsidRPr="00045112" w:rsidRDefault="00045112" w:rsidP="003B0B17">
            <w:pPr>
              <w:numPr>
                <w:ilvl w:val="0"/>
                <w:numId w:val="141"/>
              </w:numPr>
              <w:pBdr>
                <w:top w:val="nil"/>
                <w:left w:val="nil"/>
                <w:bottom w:val="nil"/>
                <w:right w:val="nil"/>
                <w:between w:val="nil"/>
              </w:pBdr>
              <w:spacing w:before="0"/>
              <w:contextualSpacing/>
              <w:rPr>
                <w:rFonts w:eastAsia="Calibri" w:cs="Arial"/>
                <w:color w:val="000000"/>
                <w:sz w:val="20"/>
                <w:szCs w:val="20"/>
              </w:rPr>
            </w:pPr>
            <w:r w:rsidRPr="00045112">
              <w:rPr>
                <w:rFonts w:eastAsia="Calibri" w:cs="Arial"/>
                <w:color w:val="000000"/>
                <w:sz w:val="20"/>
                <w:szCs w:val="20"/>
              </w:rPr>
              <w:t>Parent attitudes, engagement and agency.</w:t>
            </w:r>
          </w:p>
        </w:tc>
        <w:tc>
          <w:tcPr>
            <w:tcW w:w="3130" w:type="dxa"/>
            <w:tcBorders>
              <w:top w:val="nil"/>
              <w:left w:val="nil"/>
              <w:bottom w:val="nil"/>
              <w:right w:val="nil"/>
            </w:tcBorders>
          </w:tcPr>
          <w:p w14:paraId="573D7E0D"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lastRenderedPageBreak/>
              <w:t>The study provides important grounds for the conceptualization of FCC processes, outcomes and factors affecting it. This can in turn support the development of a framework for the implementation of family-centred practice and the various contexts of influence.</w:t>
            </w:r>
          </w:p>
        </w:tc>
      </w:tr>
      <w:tr w:rsidR="00045112" w:rsidRPr="00045112" w14:paraId="0807B66D" w14:textId="77777777" w:rsidTr="00B42C33">
        <w:tc>
          <w:tcPr>
            <w:tcW w:w="1800" w:type="dxa"/>
            <w:tcBorders>
              <w:top w:val="nil"/>
              <w:left w:val="nil"/>
              <w:bottom w:val="nil"/>
              <w:right w:val="nil"/>
            </w:tcBorders>
          </w:tcPr>
          <w:p w14:paraId="0B7CB471" w14:textId="77777777" w:rsidR="00045112" w:rsidRPr="00045112" w:rsidRDefault="00045112">
            <w:pPr>
              <w:pBdr>
                <w:top w:val="nil"/>
                <w:left w:val="nil"/>
                <w:bottom w:val="nil"/>
                <w:right w:val="nil"/>
                <w:between w:val="nil"/>
              </w:pBdr>
              <w:rPr>
                <w:rFonts w:cs="Arial"/>
                <w:color w:val="222222"/>
                <w:sz w:val="20"/>
                <w:szCs w:val="20"/>
                <w:highlight w:val="white"/>
              </w:rPr>
            </w:pPr>
            <w:r w:rsidRPr="00045112">
              <w:rPr>
                <w:rFonts w:cs="Arial"/>
                <w:color w:val="222222"/>
                <w:sz w:val="20"/>
                <w:szCs w:val="20"/>
                <w:highlight w:val="white"/>
              </w:rPr>
              <w:t>Smith et al. (2015). USA</w:t>
            </w:r>
          </w:p>
          <w:p w14:paraId="4A230AB9" w14:textId="77777777" w:rsidR="00045112" w:rsidRPr="00045112" w:rsidRDefault="00045112">
            <w:pPr>
              <w:pBdr>
                <w:top w:val="nil"/>
                <w:left w:val="nil"/>
                <w:bottom w:val="nil"/>
                <w:right w:val="nil"/>
                <w:between w:val="nil"/>
              </w:pBdr>
              <w:rPr>
                <w:rFonts w:cs="Arial"/>
                <w:color w:val="222222"/>
                <w:sz w:val="20"/>
                <w:szCs w:val="20"/>
                <w:highlight w:val="white"/>
              </w:rPr>
            </w:pPr>
          </w:p>
          <w:p w14:paraId="3D5F3379" w14:textId="77777777" w:rsidR="00045112" w:rsidRPr="00045112" w:rsidRDefault="00045112">
            <w:pPr>
              <w:pBdr>
                <w:top w:val="nil"/>
                <w:left w:val="nil"/>
                <w:bottom w:val="nil"/>
                <w:right w:val="nil"/>
                <w:between w:val="nil"/>
              </w:pBdr>
              <w:rPr>
                <w:rFonts w:cs="Arial"/>
                <w:b/>
                <w:color w:val="FF0000"/>
                <w:sz w:val="20"/>
                <w:szCs w:val="20"/>
              </w:rPr>
            </w:pPr>
          </w:p>
        </w:tc>
        <w:tc>
          <w:tcPr>
            <w:tcW w:w="3129" w:type="dxa"/>
            <w:tcBorders>
              <w:top w:val="nil"/>
              <w:left w:val="nil"/>
              <w:bottom w:val="nil"/>
              <w:right w:val="nil"/>
            </w:tcBorders>
          </w:tcPr>
          <w:p w14:paraId="084681C0"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 xml:space="preserve">To provide a guide for implementing widespread use of evidence-based practices for improving the outcomes for young children with or at-risk for delays or disabilities and their families to support state-wide systems change. </w:t>
            </w:r>
          </w:p>
          <w:p w14:paraId="13EC5F98" w14:textId="77777777" w:rsidR="00045112" w:rsidRPr="00045112" w:rsidRDefault="00045112">
            <w:pPr>
              <w:pBdr>
                <w:top w:val="nil"/>
                <w:left w:val="nil"/>
                <w:bottom w:val="nil"/>
                <w:right w:val="nil"/>
                <w:between w:val="nil"/>
              </w:pBdr>
              <w:rPr>
                <w:rFonts w:cs="Arial"/>
                <w:b/>
                <w:color w:val="FF0000"/>
                <w:sz w:val="20"/>
                <w:szCs w:val="20"/>
              </w:rPr>
            </w:pPr>
            <w:r w:rsidRPr="00045112">
              <w:rPr>
                <w:rFonts w:cs="Arial"/>
                <w:color w:val="000000"/>
                <w:sz w:val="20"/>
                <w:szCs w:val="20"/>
              </w:rPr>
              <w:t>The evidence-based practices are the Division for Early Childhood (DEC) Recommended Practices.</w:t>
            </w:r>
          </w:p>
        </w:tc>
        <w:tc>
          <w:tcPr>
            <w:tcW w:w="3129" w:type="dxa"/>
            <w:tcBorders>
              <w:top w:val="nil"/>
              <w:left w:val="nil"/>
              <w:bottom w:val="nil"/>
              <w:right w:val="nil"/>
            </w:tcBorders>
          </w:tcPr>
          <w:p w14:paraId="6E1C1093" w14:textId="77777777" w:rsidR="00045112" w:rsidRPr="00045112" w:rsidRDefault="00045112">
            <w:pPr>
              <w:rPr>
                <w:rFonts w:cs="Arial"/>
                <w:sz w:val="20"/>
                <w:szCs w:val="20"/>
              </w:rPr>
            </w:pPr>
            <w:r w:rsidRPr="00045112">
              <w:rPr>
                <w:rFonts w:cs="Arial"/>
                <w:sz w:val="20"/>
                <w:szCs w:val="20"/>
              </w:rPr>
              <w:t xml:space="preserve">The Guide details three elements that are instrumental in the process of planning and sustaining the high-fidelity implementation of the DEC Recommended Practices: </w:t>
            </w:r>
          </w:p>
          <w:p w14:paraId="45B4C6BF" w14:textId="77777777" w:rsidR="00045112" w:rsidRPr="00045112" w:rsidRDefault="00045112" w:rsidP="003B0B17">
            <w:pPr>
              <w:numPr>
                <w:ilvl w:val="0"/>
                <w:numId w:val="140"/>
              </w:numPr>
              <w:pBdr>
                <w:top w:val="nil"/>
                <w:left w:val="nil"/>
                <w:bottom w:val="nil"/>
                <w:right w:val="nil"/>
                <w:between w:val="nil"/>
              </w:pBdr>
              <w:spacing w:before="0" w:line="276" w:lineRule="auto"/>
              <w:rPr>
                <w:rFonts w:eastAsia="Calibri" w:cs="Arial"/>
                <w:color w:val="0F0D29"/>
                <w:sz w:val="20"/>
                <w:szCs w:val="20"/>
              </w:rPr>
            </w:pPr>
            <w:r w:rsidRPr="00045112">
              <w:rPr>
                <w:rFonts w:eastAsia="Calibri" w:cs="Arial"/>
                <w:color w:val="0F0D29"/>
                <w:sz w:val="20"/>
                <w:szCs w:val="20"/>
              </w:rPr>
              <w:t xml:space="preserve">Stages of Implementation </w:t>
            </w:r>
          </w:p>
          <w:p w14:paraId="43396414" w14:textId="77777777" w:rsidR="00045112" w:rsidRPr="00045112" w:rsidRDefault="00045112" w:rsidP="003B0B17">
            <w:pPr>
              <w:numPr>
                <w:ilvl w:val="0"/>
                <w:numId w:val="140"/>
              </w:numPr>
              <w:pBdr>
                <w:top w:val="nil"/>
                <w:left w:val="nil"/>
                <w:bottom w:val="nil"/>
                <w:right w:val="nil"/>
                <w:between w:val="nil"/>
              </w:pBdr>
              <w:spacing w:before="0" w:line="276" w:lineRule="auto"/>
              <w:rPr>
                <w:rFonts w:eastAsia="Calibri" w:cs="Arial"/>
                <w:color w:val="0F0D29"/>
                <w:sz w:val="20"/>
                <w:szCs w:val="20"/>
              </w:rPr>
            </w:pPr>
            <w:r w:rsidRPr="00045112">
              <w:rPr>
                <w:rFonts w:eastAsia="Calibri" w:cs="Arial"/>
                <w:color w:val="0F0D29"/>
                <w:sz w:val="20"/>
                <w:szCs w:val="20"/>
              </w:rPr>
              <w:t xml:space="preserve">Structures needed for high-fidelity implementation </w:t>
            </w:r>
          </w:p>
          <w:p w14:paraId="0BC1332D" w14:textId="77777777" w:rsidR="00045112" w:rsidRPr="00045112" w:rsidRDefault="00045112" w:rsidP="003B0B17">
            <w:pPr>
              <w:numPr>
                <w:ilvl w:val="0"/>
                <w:numId w:val="140"/>
              </w:numPr>
              <w:pBdr>
                <w:top w:val="nil"/>
                <w:left w:val="nil"/>
                <w:bottom w:val="nil"/>
                <w:right w:val="nil"/>
                <w:between w:val="nil"/>
              </w:pBdr>
              <w:spacing w:before="0" w:line="276" w:lineRule="auto"/>
              <w:rPr>
                <w:rFonts w:eastAsia="Calibri" w:cs="Arial"/>
                <w:color w:val="0F0D29"/>
                <w:sz w:val="20"/>
                <w:szCs w:val="20"/>
              </w:rPr>
            </w:pPr>
            <w:r w:rsidRPr="00045112">
              <w:rPr>
                <w:rFonts w:eastAsia="Calibri" w:cs="Arial"/>
                <w:color w:val="0F0D29"/>
                <w:sz w:val="20"/>
                <w:szCs w:val="20"/>
              </w:rPr>
              <w:t>Planning and monitoring the implementation process—the State Benchmarks of Quality.</w:t>
            </w:r>
          </w:p>
          <w:p w14:paraId="0DD50C02" w14:textId="77777777" w:rsidR="00045112" w:rsidRPr="00045112" w:rsidRDefault="00045112">
            <w:pPr>
              <w:pBdr>
                <w:top w:val="nil"/>
                <w:left w:val="nil"/>
                <w:bottom w:val="nil"/>
                <w:right w:val="nil"/>
                <w:between w:val="nil"/>
              </w:pBdr>
              <w:rPr>
                <w:rFonts w:cs="Arial"/>
                <w:b/>
                <w:color w:val="FF0000"/>
                <w:sz w:val="20"/>
                <w:szCs w:val="20"/>
              </w:rPr>
            </w:pPr>
          </w:p>
        </w:tc>
        <w:tc>
          <w:tcPr>
            <w:tcW w:w="3129" w:type="dxa"/>
            <w:tcBorders>
              <w:top w:val="nil"/>
              <w:left w:val="nil"/>
              <w:bottom w:val="nil"/>
              <w:right w:val="nil"/>
            </w:tcBorders>
          </w:tcPr>
          <w:p w14:paraId="413A6738"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The guide presents a comprehensive approach to the stages and structures of effective implementation, including systems-wide supports and data-based decision making required to provide evidence-informed recommended practices. The importance of implementation and practice fidelity is highlighted.</w:t>
            </w:r>
          </w:p>
        </w:tc>
        <w:tc>
          <w:tcPr>
            <w:tcW w:w="3130" w:type="dxa"/>
            <w:tcBorders>
              <w:top w:val="nil"/>
              <w:left w:val="nil"/>
              <w:bottom w:val="nil"/>
              <w:right w:val="nil"/>
            </w:tcBorders>
          </w:tcPr>
          <w:p w14:paraId="7896958C"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 xml:space="preserve">Implications include the importance of a federally funded technical assistance centre to support the implementation of evidence informed recommended practices and outcomes for children and families.  </w:t>
            </w:r>
          </w:p>
          <w:p w14:paraId="43F423A1" w14:textId="77777777" w:rsidR="00045112" w:rsidRPr="00045112" w:rsidRDefault="00045112">
            <w:pPr>
              <w:pBdr>
                <w:top w:val="nil"/>
                <w:left w:val="nil"/>
                <w:bottom w:val="nil"/>
                <w:right w:val="nil"/>
                <w:between w:val="nil"/>
              </w:pBdr>
              <w:rPr>
                <w:rFonts w:cs="Arial"/>
                <w:color w:val="000000"/>
                <w:sz w:val="20"/>
                <w:szCs w:val="20"/>
              </w:rPr>
            </w:pPr>
          </w:p>
        </w:tc>
      </w:tr>
      <w:tr w:rsidR="00045112" w:rsidRPr="00045112" w14:paraId="0D700247" w14:textId="77777777" w:rsidTr="00B42C33">
        <w:tc>
          <w:tcPr>
            <w:tcW w:w="1800" w:type="dxa"/>
            <w:tcBorders>
              <w:top w:val="nil"/>
              <w:left w:val="nil"/>
              <w:bottom w:val="nil"/>
              <w:right w:val="nil"/>
            </w:tcBorders>
          </w:tcPr>
          <w:p w14:paraId="2AEE2C65"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Stayton et al., (2023). USA</w:t>
            </w:r>
          </w:p>
          <w:p w14:paraId="0E29EC65" w14:textId="77777777" w:rsidR="00045112" w:rsidRPr="00045112" w:rsidRDefault="00045112">
            <w:pPr>
              <w:pBdr>
                <w:top w:val="nil"/>
                <w:left w:val="nil"/>
                <w:bottom w:val="nil"/>
                <w:right w:val="nil"/>
                <w:between w:val="nil"/>
              </w:pBdr>
              <w:rPr>
                <w:rFonts w:cs="Arial"/>
                <w:b/>
                <w:color w:val="FF0000"/>
                <w:sz w:val="20"/>
                <w:szCs w:val="20"/>
              </w:rPr>
            </w:pPr>
          </w:p>
          <w:p w14:paraId="795EA007" w14:textId="77777777" w:rsidR="00045112" w:rsidRPr="00045112" w:rsidRDefault="00045112">
            <w:pPr>
              <w:pBdr>
                <w:top w:val="nil"/>
                <w:left w:val="nil"/>
                <w:bottom w:val="nil"/>
                <w:right w:val="nil"/>
                <w:between w:val="nil"/>
              </w:pBdr>
              <w:rPr>
                <w:rFonts w:cs="Arial"/>
                <w:color w:val="222222"/>
                <w:sz w:val="20"/>
                <w:szCs w:val="20"/>
                <w:highlight w:val="white"/>
              </w:rPr>
            </w:pPr>
          </w:p>
        </w:tc>
        <w:tc>
          <w:tcPr>
            <w:tcW w:w="3129" w:type="dxa"/>
            <w:tcBorders>
              <w:top w:val="nil"/>
              <w:left w:val="nil"/>
              <w:bottom w:val="nil"/>
              <w:right w:val="nil"/>
            </w:tcBorders>
          </w:tcPr>
          <w:p w14:paraId="3E2E155E"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To develop Initial Practice-based Professional Preparation Standards for EI/ECSE t</w:t>
            </w:r>
            <w:r w:rsidRPr="00045112">
              <w:rPr>
                <w:rFonts w:eastAsia="Times New Roman" w:cs="Arial"/>
                <w:color w:val="000000"/>
                <w:sz w:val="20"/>
                <w:szCs w:val="20"/>
              </w:rPr>
              <w:t>o support</w:t>
            </w:r>
            <w:r w:rsidRPr="00045112">
              <w:rPr>
                <w:rFonts w:cs="Arial"/>
                <w:color w:val="000000"/>
                <w:sz w:val="20"/>
                <w:szCs w:val="20"/>
              </w:rPr>
              <w:t xml:space="preserve"> a comprehensive, coordinated personnel development system.</w:t>
            </w:r>
          </w:p>
        </w:tc>
        <w:tc>
          <w:tcPr>
            <w:tcW w:w="3129" w:type="dxa"/>
            <w:tcBorders>
              <w:top w:val="nil"/>
              <w:left w:val="nil"/>
              <w:bottom w:val="nil"/>
              <w:right w:val="nil"/>
            </w:tcBorders>
          </w:tcPr>
          <w:p w14:paraId="08F6957D" w14:textId="77777777" w:rsidR="00045112" w:rsidRPr="00045112" w:rsidRDefault="00045112">
            <w:pPr>
              <w:pBdr>
                <w:top w:val="nil"/>
                <w:left w:val="nil"/>
                <w:bottom w:val="nil"/>
                <w:right w:val="nil"/>
                <w:between w:val="nil"/>
              </w:pBdr>
              <w:contextualSpacing/>
              <w:rPr>
                <w:rFonts w:cs="Arial"/>
                <w:color w:val="000000"/>
                <w:sz w:val="20"/>
                <w:szCs w:val="20"/>
              </w:rPr>
            </w:pPr>
            <w:r w:rsidRPr="00045112">
              <w:rPr>
                <w:rFonts w:cs="Arial"/>
                <w:color w:val="000000"/>
                <w:sz w:val="20"/>
                <w:szCs w:val="20"/>
              </w:rPr>
              <w:t>An iterative process with support from the Early Childhood Personnel Center (ECPC) was used to develop the Standards, which included:</w:t>
            </w:r>
          </w:p>
          <w:p w14:paraId="76D183D2"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t xml:space="preserve">forming a 15-member Standards Development Task Force </w:t>
            </w:r>
          </w:p>
          <w:p w14:paraId="5EBAFDF5"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t>reviewing related research and Standards</w:t>
            </w:r>
          </w:p>
          <w:p w14:paraId="46AD84C8"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t xml:space="preserve">brainstorming content areas through listening sessions </w:t>
            </w:r>
          </w:p>
          <w:p w14:paraId="09CBD243"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t>requesting input from the field through a public survey</w:t>
            </w:r>
          </w:p>
          <w:p w14:paraId="6B4E1381"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lastRenderedPageBreak/>
              <w:t>using results to make further revisions to the Standards and components, and inform initial drafts of supporting explanations</w:t>
            </w:r>
          </w:p>
          <w:p w14:paraId="2D4F1A6D"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t>requesting a review from the CEC Professional Standards and Practices Committee, who referred them to the CEC Board of Directors, who then recommended review by the Council for the Accreditation of Educator Preparation Standards Committee</w:t>
            </w:r>
          </w:p>
          <w:p w14:paraId="4EB583EA"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t xml:space="preserve">conducting additional listening sessions and a second public survey </w:t>
            </w:r>
          </w:p>
          <w:p w14:paraId="24928A51"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t xml:space="preserve">reviewing summaries of feedback </w:t>
            </w:r>
          </w:p>
          <w:p w14:paraId="24D104E4"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t xml:space="preserve">submitting the edited Standards, components, rubrics, glossary and supporting explanations </w:t>
            </w:r>
          </w:p>
          <w:p w14:paraId="01B572E7" w14:textId="77777777" w:rsidR="00045112" w:rsidRPr="00045112" w:rsidRDefault="00045112" w:rsidP="003B0B17">
            <w:pPr>
              <w:numPr>
                <w:ilvl w:val="0"/>
                <w:numId w:val="143"/>
              </w:numPr>
              <w:pBdr>
                <w:top w:val="nil"/>
                <w:left w:val="nil"/>
                <w:bottom w:val="nil"/>
                <w:right w:val="nil"/>
                <w:between w:val="nil"/>
              </w:pBdr>
              <w:spacing w:before="0"/>
              <w:ind w:left="340" w:hanging="270"/>
              <w:contextualSpacing/>
              <w:rPr>
                <w:rFonts w:cs="Arial"/>
                <w:color w:val="0F0D29"/>
                <w:sz w:val="20"/>
                <w:szCs w:val="20"/>
              </w:rPr>
            </w:pPr>
            <w:r w:rsidRPr="00045112">
              <w:rPr>
                <w:rFonts w:cs="Arial"/>
                <w:color w:val="0F0D29"/>
                <w:sz w:val="20"/>
                <w:szCs w:val="20"/>
              </w:rPr>
              <w:t xml:space="preserve">drafting, reviewing, and editing knowledge bases and performance indicators for each standard and component </w:t>
            </w:r>
          </w:p>
        </w:tc>
        <w:tc>
          <w:tcPr>
            <w:tcW w:w="3129" w:type="dxa"/>
            <w:tcBorders>
              <w:top w:val="nil"/>
              <w:left w:val="nil"/>
              <w:bottom w:val="nil"/>
              <w:right w:val="nil"/>
            </w:tcBorders>
          </w:tcPr>
          <w:p w14:paraId="2905B3C1"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lastRenderedPageBreak/>
              <w:t xml:space="preserve">The final </w:t>
            </w:r>
            <w:r w:rsidRPr="00045112">
              <w:rPr>
                <w:rFonts w:cs="Arial"/>
                <w:sz w:val="20"/>
                <w:szCs w:val="20"/>
              </w:rPr>
              <w:t xml:space="preserve">EI/ECSE </w:t>
            </w:r>
            <w:r w:rsidRPr="00045112">
              <w:rPr>
                <w:rFonts w:cs="Arial"/>
                <w:color w:val="000000"/>
                <w:sz w:val="20"/>
                <w:szCs w:val="20"/>
              </w:rPr>
              <w:t xml:space="preserve">Standards include: </w:t>
            </w:r>
          </w:p>
          <w:p w14:paraId="5ACDB08E" w14:textId="77777777" w:rsidR="00045112" w:rsidRPr="00045112" w:rsidRDefault="00045112">
            <w:pPr>
              <w:pBdr>
                <w:top w:val="nil"/>
                <w:left w:val="nil"/>
                <w:bottom w:val="nil"/>
                <w:right w:val="nil"/>
                <w:between w:val="nil"/>
              </w:pBdr>
              <w:rPr>
                <w:rFonts w:cs="Arial"/>
                <w:sz w:val="20"/>
                <w:szCs w:val="20"/>
              </w:rPr>
            </w:pPr>
            <w:r w:rsidRPr="00045112">
              <w:rPr>
                <w:rFonts w:cs="Arial"/>
                <w:sz w:val="20"/>
                <w:szCs w:val="20"/>
              </w:rPr>
              <w:t>1: Child Development and Early Learning</w:t>
            </w:r>
          </w:p>
          <w:p w14:paraId="1FFB2655"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2: Partnering with Families</w:t>
            </w:r>
          </w:p>
          <w:p w14:paraId="00FA5031" w14:textId="77777777" w:rsidR="00045112" w:rsidRPr="00045112" w:rsidRDefault="00045112">
            <w:pPr>
              <w:pBdr>
                <w:top w:val="nil"/>
                <w:left w:val="nil"/>
                <w:bottom w:val="nil"/>
                <w:right w:val="nil"/>
                <w:between w:val="nil"/>
              </w:pBdr>
              <w:rPr>
                <w:rFonts w:cs="Arial"/>
                <w:sz w:val="20"/>
                <w:szCs w:val="20"/>
              </w:rPr>
            </w:pPr>
            <w:r w:rsidRPr="00045112">
              <w:rPr>
                <w:rFonts w:cs="Arial"/>
                <w:sz w:val="20"/>
                <w:szCs w:val="20"/>
              </w:rPr>
              <w:t>3: Collaboration and Teaming</w:t>
            </w:r>
          </w:p>
          <w:p w14:paraId="1DE31BF4" w14:textId="77777777" w:rsidR="00045112" w:rsidRPr="00045112" w:rsidRDefault="00045112">
            <w:pPr>
              <w:pBdr>
                <w:top w:val="nil"/>
                <w:left w:val="nil"/>
                <w:bottom w:val="nil"/>
                <w:right w:val="nil"/>
                <w:between w:val="nil"/>
              </w:pBdr>
              <w:rPr>
                <w:rFonts w:cs="Arial"/>
                <w:sz w:val="20"/>
                <w:szCs w:val="20"/>
              </w:rPr>
            </w:pPr>
            <w:r w:rsidRPr="00045112">
              <w:rPr>
                <w:rFonts w:cs="Arial"/>
                <w:sz w:val="20"/>
                <w:szCs w:val="20"/>
              </w:rPr>
              <w:t>4: Assessment Processes</w:t>
            </w:r>
          </w:p>
          <w:p w14:paraId="2CB4234E"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5: Application of Curriculum Frameworks in the Planning of</w:t>
            </w:r>
            <w:r w:rsidRPr="00045112">
              <w:rPr>
                <w:rFonts w:cs="Arial"/>
                <w:sz w:val="20"/>
                <w:szCs w:val="20"/>
              </w:rPr>
              <w:t xml:space="preserve"> </w:t>
            </w:r>
            <w:r w:rsidRPr="00045112">
              <w:rPr>
                <w:rFonts w:cs="Arial"/>
                <w:color w:val="000000"/>
                <w:sz w:val="20"/>
                <w:szCs w:val="20"/>
              </w:rPr>
              <w:t>Meaningful Learning Experience</w:t>
            </w:r>
          </w:p>
          <w:p w14:paraId="15BB2724"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lastRenderedPageBreak/>
              <w:t>6: Using Responsive and Reciprocal Interactions, Interventions, and Instruction</w:t>
            </w:r>
          </w:p>
          <w:p w14:paraId="47D949F6"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7: Professional and Ethical Practice</w:t>
            </w:r>
          </w:p>
          <w:p w14:paraId="75F73533" w14:textId="77777777" w:rsidR="00045112" w:rsidRPr="00045112" w:rsidRDefault="00045112">
            <w:pPr>
              <w:pBdr>
                <w:top w:val="nil"/>
                <w:left w:val="nil"/>
                <w:bottom w:val="nil"/>
                <w:right w:val="nil"/>
                <w:between w:val="nil"/>
              </w:pBdr>
              <w:rPr>
                <w:rFonts w:cs="Arial"/>
                <w:color w:val="000000"/>
                <w:sz w:val="20"/>
                <w:szCs w:val="20"/>
              </w:rPr>
            </w:pPr>
            <w:r w:rsidRPr="00045112">
              <w:rPr>
                <w:rFonts w:cs="Arial"/>
                <w:color w:val="000000"/>
                <w:sz w:val="20"/>
                <w:szCs w:val="20"/>
              </w:rPr>
              <w:t>8: Field and Clinical Experience</w:t>
            </w:r>
          </w:p>
          <w:p w14:paraId="27C0CB0F" w14:textId="77777777" w:rsidR="00045112" w:rsidRPr="00045112" w:rsidRDefault="00045112">
            <w:pPr>
              <w:pBdr>
                <w:top w:val="nil"/>
                <w:left w:val="nil"/>
                <w:bottom w:val="nil"/>
                <w:right w:val="nil"/>
                <w:between w:val="nil"/>
              </w:pBdr>
              <w:rPr>
                <w:rFonts w:cs="Arial"/>
                <w:color w:val="000000"/>
                <w:sz w:val="20"/>
                <w:szCs w:val="20"/>
              </w:rPr>
            </w:pPr>
          </w:p>
        </w:tc>
        <w:tc>
          <w:tcPr>
            <w:tcW w:w="3130" w:type="dxa"/>
            <w:tcBorders>
              <w:top w:val="nil"/>
              <w:left w:val="nil"/>
              <w:bottom w:val="nil"/>
              <w:right w:val="nil"/>
            </w:tcBorders>
          </w:tcPr>
          <w:p w14:paraId="2A3AB6B9" w14:textId="77777777" w:rsidR="00045112" w:rsidRPr="00045112" w:rsidRDefault="00045112">
            <w:pPr>
              <w:rPr>
                <w:rFonts w:cs="Arial"/>
                <w:sz w:val="20"/>
                <w:szCs w:val="20"/>
              </w:rPr>
            </w:pPr>
            <w:r w:rsidRPr="00045112">
              <w:rPr>
                <w:rFonts w:cs="Arial"/>
                <w:sz w:val="20"/>
                <w:szCs w:val="20"/>
              </w:rPr>
              <w:lastRenderedPageBreak/>
              <w:t xml:space="preserve">For the first time, the EI/ECSE field in the USA has a set of stand-alone professional Standards. </w:t>
            </w:r>
          </w:p>
          <w:p w14:paraId="29809A7F" w14:textId="77777777" w:rsidR="00045112" w:rsidRPr="00045112" w:rsidRDefault="00045112">
            <w:pPr>
              <w:rPr>
                <w:rFonts w:cs="Arial"/>
                <w:sz w:val="20"/>
                <w:szCs w:val="20"/>
              </w:rPr>
            </w:pPr>
          </w:p>
          <w:p w14:paraId="45B3B1F5" w14:textId="77777777" w:rsidR="00045112" w:rsidRPr="00045112" w:rsidRDefault="00045112">
            <w:pPr>
              <w:rPr>
                <w:rFonts w:cs="Arial"/>
                <w:sz w:val="20"/>
                <w:szCs w:val="20"/>
              </w:rPr>
            </w:pPr>
            <w:r w:rsidRPr="00045112">
              <w:rPr>
                <w:rFonts w:cs="Arial"/>
                <w:sz w:val="20"/>
                <w:szCs w:val="20"/>
              </w:rPr>
              <w:t xml:space="preserve">Australia has previously developed National Guidelines for Best Practice in ECI (ECIA Vic/Tas, 2016), that are projected to be reviewed in 2024. However, we have not </w:t>
            </w:r>
            <w:r w:rsidRPr="00045112">
              <w:rPr>
                <w:rFonts w:cs="Arial"/>
                <w:sz w:val="20"/>
                <w:szCs w:val="20"/>
              </w:rPr>
              <w:lastRenderedPageBreak/>
              <w:t xml:space="preserve">developed national professional Standards for the ECI sector. </w:t>
            </w:r>
          </w:p>
          <w:p w14:paraId="19BEEA35" w14:textId="77777777" w:rsidR="00045112" w:rsidRPr="00045112" w:rsidRDefault="00045112">
            <w:pPr>
              <w:rPr>
                <w:rFonts w:cs="Arial"/>
                <w:sz w:val="20"/>
                <w:szCs w:val="20"/>
              </w:rPr>
            </w:pPr>
          </w:p>
          <w:p w14:paraId="4C2BC3CD" w14:textId="77777777" w:rsidR="00045112" w:rsidRPr="00045112" w:rsidRDefault="00045112">
            <w:pPr>
              <w:rPr>
                <w:rFonts w:cs="Arial"/>
                <w:color w:val="000000"/>
                <w:sz w:val="20"/>
                <w:szCs w:val="20"/>
              </w:rPr>
            </w:pPr>
            <w:r w:rsidRPr="00045112">
              <w:rPr>
                <w:rFonts w:cs="Arial"/>
                <w:sz w:val="20"/>
                <w:szCs w:val="20"/>
              </w:rPr>
              <w:t xml:space="preserve">This article outlines the </w:t>
            </w:r>
            <w:r w:rsidRPr="00045112">
              <w:rPr>
                <w:rFonts w:cs="Arial"/>
                <w:color w:val="000000"/>
                <w:sz w:val="20"/>
                <w:szCs w:val="20"/>
              </w:rPr>
              <w:t xml:space="preserve">EI/ECSE Standards and describes the process of how they were developed. In doing so, the article provides guidance of how to approach the development of Standards for ECI practitioners in an Australian context to support preservice training, in-service learning and support, program accreditation, cross disciplinary collaboration, and opportunities for research and development. </w:t>
            </w:r>
          </w:p>
          <w:p w14:paraId="4603736D" w14:textId="77777777" w:rsidR="00045112" w:rsidRPr="00045112" w:rsidRDefault="00045112">
            <w:pPr>
              <w:pBdr>
                <w:top w:val="nil"/>
                <w:left w:val="nil"/>
                <w:bottom w:val="nil"/>
                <w:right w:val="nil"/>
                <w:between w:val="nil"/>
              </w:pBdr>
              <w:rPr>
                <w:rFonts w:cs="Arial"/>
                <w:color w:val="000000"/>
                <w:sz w:val="20"/>
                <w:szCs w:val="20"/>
              </w:rPr>
            </w:pPr>
          </w:p>
        </w:tc>
      </w:tr>
    </w:tbl>
    <w:p w14:paraId="7C0718C9" w14:textId="681BD654" w:rsidR="00EE6994" w:rsidRPr="00045112" w:rsidRDefault="00EE6994" w:rsidP="00EE6994">
      <w:pPr>
        <w:spacing w:after="160"/>
        <w:rPr>
          <w:rFonts w:eastAsia="Times New Roman" w:cs="Arial"/>
          <w:b/>
          <w:szCs w:val="22"/>
          <w:lang w:eastAsia="en-AU"/>
        </w:rPr>
      </w:pPr>
      <w:r w:rsidRPr="00045112">
        <w:rPr>
          <w:rFonts w:cs="Arial"/>
        </w:rPr>
        <w:lastRenderedPageBreak/>
        <w:br w:type="page"/>
      </w:r>
    </w:p>
    <w:p w14:paraId="388B9A80" w14:textId="77777777" w:rsidR="00840466" w:rsidRDefault="00840466" w:rsidP="00840466">
      <w:pPr>
        <w:pStyle w:val="Heading2"/>
        <w:sectPr w:rsidR="00840466" w:rsidSect="00DB730E">
          <w:pgSz w:w="16838" w:h="11906" w:orient="landscape"/>
          <w:pgMar w:top="1440" w:right="1440" w:bottom="1440" w:left="1440" w:header="709" w:footer="709" w:gutter="0"/>
          <w:cols w:space="708"/>
          <w:titlePg/>
          <w:docGrid w:linePitch="360"/>
        </w:sectPr>
      </w:pPr>
    </w:p>
    <w:p w14:paraId="43A36447" w14:textId="77777777" w:rsidR="00D40484" w:rsidRPr="00D40484" w:rsidRDefault="00D40484" w:rsidP="00840466">
      <w:pPr>
        <w:pStyle w:val="Heading2"/>
      </w:pPr>
      <w:bookmarkStart w:id="64" w:name="_Toc177730844"/>
      <w:r w:rsidRPr="00D40484">
        <w:lastRenderedPageBreak/>
        <w:t>Summary and discussion</w:t>
      </w:r>
      <w:bookmarkEnd w:id="64"/>
      <w:r w:rsidRPr="00D40484">
        <w:t xml:space="preserve"> </w:t>
      </w:r>
    </w:p>
    <w:p w14:paraId="6E4AE2CA" w14:textId="77777777" w:rsidR="00D40484" w:rsidRPr="00D40484" w:rsidRDefault="00D40484" w:rsidP="00D40484">
      <w:pPr>
        <w:rPr>
          <w:rFonts w:cs="Arial"/>
          <w:color w:val="000000" w:themeColor="text1"/>
          <w:lang w:val="en-US"/>
        </w:rPr>
      </w:pPr>
      <w:r w:rsidRPr="00D40484">
        <w:rPr>
          <w:rFonts w:cs="Arial"/>
          <w:color w:val="000000" w:themeColor="text1"/>
          <w:lang w:val="en-US"/>
        </w:rPr>
        <w:t>Key issues emanating from the review of the literature and publicly available documents across jurisdictions are integrated in this section. Considerations about the purpose of ECI and its relevance to the definition of best practice are addressed. This is followed by a discussion of the principles and practices pivotal to the development of a best practice ECI framework. Issues associated with the implementation of an ECI framework are then discussed. Finally, implications for each of the aspects associated with the development of an ECI Best Practice Framework are drawn.</w:t>
      </w:r>
    </w:p>
    <w:p w14:paraId="49EB47E8" w14:textId="77777777" w:rsidR="00D40484" w:rsidRPr="00840466" w:rsidRDefault="00D40484" w:rsidP="00D40484">
      <w:pPr>
        <w:rPr>
          <w:rFonts w:cs="Arial"/>
          <w:b/>
          <w:bCs/>
          <w:color w:val="000000" w:themeColor="text1"/>
          <w:lang w:val="en-US"/>
        </w:rPr>
      </w:pPr>
      <w:r w:rsidRPr="00840466">
        <w:rPr>
          <w:rFonts w:cs="Arial"/>
          <w:b/>
          <w:bCs/>
          <w:color w:val="000000" w:themeColor="text1"/>
          <w:lang w:val="en-US"/>
        </w:rPr>
        <w:t>Aim of ECI and definition of Best Practice</w:t>
      </w:r>
    </w:p>
    <w:p w14:paraId="6232781B" w14:textId="77777777" w:rsidR="00D40484" w:rsidRPr="00D40484" w:rsidRDefault="00D40484" w:rsidP="00D40484">
      <w:pPr>
        <w:rPr>
          <w:rFonts w:cs="Arial"/>
          <w:color w:val="000000" w:themeColor="text1"/>
          <w:lang w:val="en-US"/>
        </w:rPr>
      </w:pPr>
      <w:r w:rsidRPr="00D40484">
        <w:rPr>
          <w:rFonts w:cs="Arial"/>
          <w:color w:val="000000" w:themeColor="text1"/>
          <w:lang w:val="en-US"/>
        </w:rPr>
        <w:t xml:space="preserve">Early childhood intervention (ECI) as a field has greatly evolved and expanded over the last 40 years, including its aims and their position in regard to a definition of ECI best practice. This is all the more evident when the ECI body of knowledge across jurisdictions is examined, highlighting two key issues: 1) a range of perspectives about what constitutes ECI and what its aims are, including the extent to which these are described; and 2) a diversity of terminologies and differing stages of development within the overall service system for all young children. </w:t>
      </w:r>
    </w:p>
    <w:p w14:paraId="45368212" w14:textId="38972701" w:rsidR="00D40484" w:rsidRPr="00D40484" w:rsidRDefault="00D40484" w:rsidP="00D40484">
      <w:pPr>
        <w:rPr>
          <w:rFonts w:cs="Arial"/>
          <w:color w:val="000000" w:themeColor="text1"/>
          <w:lang w:val="en-US"/>
        </w:rPr>
      </w:pPr>
      <w:r w:rsidRPr="00D40484">
        <w:rPr>
          <w:rFonts w:cs="Arial"/>
          <w:color w:val="000000" w:themeColor="text1"/>
          <w:lang w:val="en-US"/>
        </w:rPr>
        <w:t xml:space="preserve">Importantly, some ECI approaches and guidelines are embedded within early years frameworks as is the case in New Zealand, and Aboriginal and Torres Strait Islander contexts; whereas others are differentiated such as those in Australia, the USA, some European countries (see Carvalho et al., 2019) and aspects of service provision in UK-England for children with special needs and disability. There is value in both approaches as stated by Olusanya et al (2024), who in their proposal for a global disability-focused early childhood development strategy, put forward a model which considers the implementation of disability-inclusive early childhood development programs alongside dedicated disability-focused early childhood development programs to optimise access to services for children with disability. </w:t>
      </w:r>
    </w:p>
    <w:p w14:paraId="5728B358" w14:textId="77777777" w:rsidR="00D40484" w:rsidRPr="00D40484" w:rsidRDefault="00D40484" w:rsidP="00D40484">
      <w:pPr>
        <w:rPr>
          <w:rFonts w:cs="Arial"/>
          <w:color w:val="000000" w:themeColor="text1"/>
          <w:lang w:val="en-US"/>
        </w:rPr>
      </w:pPr>
      <w:r w:rsidRPr="00D40484">
        <w:rPr>
          <w:rFonts w:cs="Arial"/>
          <w:color w:val="000000" w:themeColor="text1"/>
          <w:lang w:val="en-US"/>
        </w:rPr>
        <w:t xml:space="preserve">Also evident is that, while children and families are at the centre of ECI policy and practice, the extent to which these emphasise capacity building for children, families or both also varies across frameworks. Conversely, inclusion in natural environments, family-centred practice, and strength-based approaches appear to be common elements to all frameworks; however, the aim of ECI services and supports does not always seem to be predicated on those foundations (see ECI aim in ECTA, 2024 as an example). Overall, it can be argued that as the aim of ECI lacks precision, its alignment with ECI service structures and operations, and the implications for the definition of best practice is not smooth across most jurisdictions. </w:t>
      </w:r>
    </w:p>
    <w:p w14:paraId="4F7529C2" w14:textId="77777777" w:rsidR="00D40484" w:rsidRPr="00D40484" w:rsidRDefault="00D40484" w:rsidP="00D40484">
      <w:pPr>
        <w:rPr>
          <w:rFonts w:cs="Arial"/>
          <w:color w:val="000000" w:themeColor="text1"/>
          <w:lang w:val="en-US"/>
        </w:rPr>
      </w:pPr>
      <w:r w:rsidRPr="00D40484">
        <w:rPr>
          <w:rFonts w:cs="Arial"/>
          <w:color w:val="000000" w:themeColor="text1"/>
          <w:lang w:val="en-US"/>
        </w:rPr>
        <w:t xml:space="preserve">These reflections are important to note as they underscore the extent to which service systems have kept pace with current research evidence in ECI, which has identified best practice definitions, recommended features, structures, systems and models that work best to support children with developmental concerns, delays, or disability (Dunst, 2016; Guralnick, 2023). Despite extensive work in this area at the research level, the translation of research evidence and policies into practice and models of support and intervention has been inconsistent across jurisdictions, whereby the focus has tended to favour the enunciation of best practice principles alone or the enactment of legislative mandates and procedures. Nevertheless, it is possible that practitioners may well keep abreast of new evidence and incorporate it in their work with children and families and develop professional expertise consistent with the definition of best practice. </w:t>
      </w:r>
    </w:p>
    <w:p w14:paraId="5CCFDBCE" w14:textId="77777777" w:rsidR="00D40484" w:rsidRPr="00D40484" w:rsidRDefault="00D40484" w:rsidP="00D40484">
      <w:pPr>
        <w:rPr>
          <w:rFonts w:cs="Arial"/>
          <w:color w:val="000000" w:themeColor="text1"/>
          <w:lang w:val="en-US"/>
        </w:rPr>
      </w:pPr>
      <w:r w:rsidRPr="00D40484">
        <w:rPr>
          <w:rFonts w:cs="Arial"/>
          <w:color w:val="000000" w:themeColor="text1"/>
          <w:lang w:val="en-US"/>
        </w:rPr>
        <w:t>A case in point is the definition of best practice adopted in Australia that has been characterised as ‘evidence-informed’. It focuses on the decision process integrating available research, family and professional wisdom (Buysse &amp; Wesley, 2006). This process is critical to the implementation of ECI best practice; however, operational procedures associated with legislative mandates such as the National Disability Insurance Scheme (NDIS) have challenged this process (Commonwealth of Australia, 2023). In this context, the limited availability of a unified set of resources, tools and practice standards for professionals and families has also precluded the systemic execution of best practice. This necessitates what Dunst et al. (2018) describe as ‘knowledge management’ and ‘product development’, which are ideally based on conceptual models, and that will, in turn, support and increase the use of evidence-informed ECI practices among all concerned.</w:t>
      </w:r>
    </w:p>
    <w:p w14:paraId="6300D236" w14:textId="2D304FFE" w:rsidR="00DB730E" w:rsidRDefault="00D40484" w:rsidP="00D40484">
      <w:pPr>
        <w:rPr>
          <w:rFonts w:cs="Arial"/>
          <w:color w:val="000000" w:themeColor="text1"/>
          <w:lang w:val="en-US"/>
        </w:rPr>
      </w:pPr>
      <w:r w:rsidRPr="00D40484">
        <w:rPr>
          <w:rFonts w:cs="Arial"/>
          <w:color w:val="000000" w:themeColor="text1"/>
          <w:lang w:val="en-US"/>
        </w:rPr>
        <w:t>The development of ECI best practice guidelines is only one essential component of an all-encompassing ECI framework. As Olusanya et al (2024) assert, legislative support, family involvement, coordination across agencies, performance indicators, workforce recruitment and training, as well as funding mechanisms and monitoring systems must be also considered. The consideration of these components in the development of ECI frameworks has also been inconsistent across jurisdictions. The US system is the most comprehensive jurisdiction in its delineation of systems, practices and outcomes for children with developmental concerns, delays, or disability and their families.</w:t>
      </w:r>
    </w:p>
    <w:p w14:paraId="5F750055" w14:textId="77777777" w:rsidR="00BB61BD" w:rsidRDefault="00BB61BD" w:rsidP="00D40484">
      <w:pPr>
        <w:rPr>
          <w:rFonts w:cs="Arial"/>
          <w:color w:val="000000" w:themeColor="text1"/>
          <w:lang w:val="en-US"/>
        </w:rPr>
      </w:pPr>
    </w:p>
    <w:p w14:paraId="14BA001D" w14:textId="77777777" w:rsidR="00BB61BD" w:rsidRDefault="00BB61BD" w:rsidP="00D40484">
      <w:pPr>
        <w:rPr>
          <w:rFonts w:cs="Arial"/>
          <w:color w:val="000000" w:themeColor="text1"/>
          <w:lang w:val="en-US"/>
        </w:rPr>
      </w:pPr>
    </w:p>
    <w:p w14:paraId="13357C8E" w14:textId="77777777" w:rsidR="00BB61BD" w:rsidRDefault="00BB61BD" w:rsidP="00D40484">
      <w:pPr>
        <w:rPr>
          <w:rFonts w:cs="Arial"/>
          <w:color w:val="000000" w:themeColor="text1"/>
          <w:lang w:val="en-US"/>
        </w:rPr>
      </w:pPr>
    </w:p>
    <w:p w14:paraId="16AF8870" w14:textId="77777777" w:rsidR="00BB61BD" w:rsidRDefault="00BB61BD" w:rsidP="00D40484">
      <w:pPr>
        <w:rPr>
          <w:rFonts w:cs="Arial"/>
          <w:color w:val="000000" w:themeColor="text1"/>
          <w:lang w:val="en-US"/>
        </w:rPr>
      </w:pPr>
    </w:p>
    <w:p w14:paraId="34037596" w14:textId="77777777" w:rsidR="00BB61BD" w:rsidRDefault="00BB61BD" w:rsidP="00D40484">
      <w:pPr>
        <w:rPr>
          <w:rFonts w:cs="Arial"/>
          <w:color w:val="000000" w:themeColor="text1"/>
          <w:lang w:val="en-US"/>
        </w:rPr>
      </w:pPr>
    </w:p>
    <w:p w14:paraId="63AA391E" w14:textId="77777777" w:rsidR="00BB61BD" w:rsidRDefault="00BB61BD" w:rsidP="00D40484">
      <w:pPr>
        <w:rPr>
          <w:rFonts w:cs="Arial"/>
          <w:color w:val="000000" w:themeColor="text1"/>
          <w:lang w:val="en-US"/>
        </w:rPr>
      </w:pPr>
    </w:p>
    <w:p w14:paraId="7CA59F41" w14:textId="77777777" w:rsidR="00BB61BD" w:rsidRDefault="00BB61BD" w:rsidP="00D40484">
      <w:pPr>
        <w:rPr>
          <w:rFonts w:cs="Arial"/>
          <w:color w:val="000000" w:themeColor="text1"/>
          <w:lang w:val="en-US"/>
        </w:rPr>
      </w:pPr>
    </w:p>
    <w:p w14:paraId="149C89B3" w14:textId="77777777" w:rsidR="00BB61BD" w:rsidRDefault="00BB61BD" w:rsidP="00D40484">
      <w:pPr>
        <w:rPr>
          <w:rFonts w:cs="Arial"/>
          <w:color w:val="000000" w:themeColor="text1"/>
          <w:lang w:val="en-US"/>
        </w:rPr>
      </w:pPr>
    </w:p>
    <w:p w14:paraId="4C0235D4" w14:textId="77777777" w:rsidR="00BB61BD" w:rsidRDefault="00BB61BD" w:rsidP="00D40484">
      <w:pPr>
        <w:rPr>
          <w:rFonts w:cs="Arial"/>
          <w:color w:val="000000" w:themeColor="text1"/>
          <w:lang w:val="en-US"/>
        </w:rPr>
      </w:pPr>
    </w:p>
    <w:p w14:paraId="76B60391" w14:textId="77777777" w:rsidR="00BB61BD" w:rsidRDefault="00BB61BD" w:rsidP="00D40484">
      <w:pPr>
        <w:rPr>
          <w:rFonts w:cs="Arial"/>
          <w:color w:val="000000" w:themeColor="text1"/>
          <w:lang w:val="en-US"/>
        </w:rPr>
      </w:pPr>
    </w:p>
    <w:p w14:paraId="71ACA94B" w14:textId="77777777" w:rsidR="00BB61BD" w:rsidRDefault="00BB61BD" w:rsidP="00D40484">
      <w:pPr>
        <w:rPr>
          <w:rFonts w:cs="Arial"/>
          <w:color w:val="000000" w:themeColor="text1"/>
          <w:lang w:val="en-US"/>
        </w:rPr>
      </w:pPr>
    </w:p>
    <w:p w14:paraId="57C97B91" w14:textId="77777777" w:rsidR="00BB61BD" w:rsidRDefault="00BB61BD" w:rsidP="00D40484">
      <w:pPr>
        <w:rPr>
          <w:rFonts w:cs="Arial"/>
          <w:color w:val="000000" w:themeColor="text1"/>
          <w:lang w:val="en-US"/>
        </w:rPr>
      </w:pPr>
    </w:p>
    <w:p w14:paraId="0C43FE23" w14:textId="77777777" w:rsidR="00BB61BD" w:rsidRDefault="00BB61BD" w:rsidP="00D40484">
      <w:pPr>
        <w:rPr>
          <w:rFonts w:cs="Arial"/>
          <w:color w:val="000000" w:themeColor="text1"/>
          <w:lang w:val="en-US"/>
        </w:rPr>
      </w:pPr>
    </w:p>
    <w:p w14:paraId="6E487A2C" w14:textId="77777777" w:rsidR="00BB61BD" w:rsidRDefault="00BB61BD" w:rsidP="00D40484">
      <w:pPr>
        <w:rPr>
          <w:rFonts w:cs="Arial"/>
          <w:color w:val="000000" w:themeColor="text1"/>
          <w:lang w:val="en-US"/>
        </w:rPr>
      </w:pPr>
    </w:p>
    <w:p w14:paraId="75E4C5D3" w14:textId="77777777" w:rsidR="00BB61BD" w:rsidRDefault="00BB61BD" w:rsidP="00D40484">
      <w:pPr>
        <w:rPr>
          <w:rFonts w:cs="Arial"/>
          <w:color w:val="000000" w:themeColor="text1"/>
          <w:lang w:val="en-US"/>
        </w:rPr>
      </w:pPr>
    </w:p>
    <w:p w14:paraId="0BDDEB30" w14:textId="77777777" w:rsidR="00BB61BD" w:rsidRDefault="00BB61BD" w:rsidP="00D40484">
      <w:pPr>
        <w:rPr>
          <w:rFonts w:cs="Arial"/>
          <w:color w:val="000000" w:themeColor="text1"/>
          <w:lang w:val="en-US"/>
        </w:rPr>
      </w:pPr>
    </w:p>
    <w:p w14:paraId="61999E34" w14:textId="77777777" w:rsidR="00BB61BD" w:rsidRDefault="00BB61BD" w:rsidP="00D40484">
      <w:pPr>
        <w:rPr>
          <w:rFonts w:cs="Arial"/>
          <w:color w:val="000000" w:themeColor="text1"/>
          <w:lang w:val="en-US"/>
        </w:rPr>
      </w:pPr>
    </w:p>
    <w:p w14:paraId="73906812" w14:textId="77777777" w:rsidR="00BB61BD" w:rsidRDefault="00BB61BD" w:rsidP="00D40484">
      <w:pPr>
        <w:rPr>
          <w:rFonts w:cs="Arial"/>
          <w:color w:val="000000" w:themeColor="text1"/>
          <w:lang w:val="en-US"/>
        </w:rPr>
      </w:pPr>
    </w:p>
    <w:p w14:paraId="2A91EF22" w14:textId="348F86EA" w:rsidR="00BB61BD" w:rsidRPr="00BB61BD" w:rsidRDefault="00BB61BD" w:rsidP="00BB61BD">
      <w:pPr>
        <w:rPr>
          <w:rFonts w:cs="Arial"/>
          <w:b/>
          <w:bCs/>
          <w:color w:val="0C2C74"/>
          <w:lang w:val="en-US"/>
        </w:rPr>
      </w:pPr>
      <w:r>
        <w:rPr>
          <w:rFonts w:cs="Arial"/>
          <w:b/>
          <w:bCs/>
          <w:noProof/>
          <w:color w:val="0C2C74"/>
          <w:lang w:val="en-US"/>
        </w:rPr>
        <mc:AlternateContent>
          <mc:Choice Requires="wps">
            <w:drawing>
              <wp:anchor distT="0" distB="0" distL="114300" distR="114300" simplePos="0" relativeHeight="251668480" behindDoc="1" locked="1" layoutInCell="1" allowOverlap="1" wp14:anchorId="013784B2" wp14:editId="5980BEEA">
                <wp:simplePos x="0" y="0"/>
                <wp:positionH relativeFrom="column">
                  <wp:posOffset>-492760</wp:posOffset>
                </wp:positionH>
                <wp:positionV relativeFrom="page">
                  <wp:posOffset>759460</wp:posOffset>
                </wp:positionV>
                <wp:extent cx="6724650" cy="6259830"/>
                <wp:effectExtent l="0" t="0" r="6350" b="1270"/>
                <wp:wrapNone/>
                <wp:docPr id="1612975619"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0" cy="6259830"/>
                        </a:xfrm>
                        <a:prstGeom prst="rect">
                          <a:avLst/>
                        </a:prstGeom>
                        <a:solidFill>
                          <a:srgbClr val="8087A3">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A7B65" id="Rectangle 4" o:spid="_x0000_s1026" alt="&quot;&quot;" style="position:absolute;margin-left:-38.8pt;margin-top:59.8pt;width:529.5pt;height:49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" fillcolor="#8087a3" stroked="f" strokeweight="1pt">
                <v:fill opacity="19789f"/>
                <w10:wrap anchory="page"/>
                <w10:anchorlock/>
              </v:rect>
            </w:pict>
          </mc:Fallback>
        </mc:AlternateContent>
      </w:r>
      <w:r w:rsidRPr="00BB61BD">
        <w:rPr>
          <w:rFonts w:cs="Arial"/>
          <w:b/>
          <w:bCs/>
          <w:color w:val="0C2C74"/>
          <w:lang w:val="en-US"/>
        </w:rPr>
        <w:t xml:space="preserve">Implications </w:t>
      </w:r>
    </w:p>
    <w:p w14:paraId="3B8FA965" w14:textId="77777777" w:rsidR="00BB61BD" w:rsidRPr="00BB61BD" w:rsidRDefault="00BB61BD" w:rsidP="00BB61BD">
      <w:pPr>
        <w:rPr>
          <w:rFonts w:cs="Arial"/>
          <w:color w:val="000000" w:themeColor="text1"/>
          <w:lang w:val="en-US"/>
        </w:rPr>
      </w:pPr>
      <w:r w:rsidRPr="00BB61BD">
        <w:rPr>
          <w:rFonts w:cs="Arial"/>
          <w:color w:val="000000" w:themeColor="text1"/>
          <w:lang w:val="en-US"/>
        </w:rPr>
        <w:t>It is recommended that the ECI Best Practice Framework:</w:t>
      </w:r>
    </w:p>
    <w:p w14:paraId="11624A75" w14:textId="621904EF" w:rsidR="00BB61BD" w:rsidRPr="00BB61BD" w:rsidRDefault="00BB61BD" w:rsidP="003B0B17">
      <w:pPr>
        <w:pStyle w:val="ListParagraph"/>
        <w:numPr>
          <w:ilvl w:val="0"/>
          <w:numId w:val="153"/>
        </w:numPr>
        <w:ind w:hanging="357"/>
        <w:contextualSpacing w:val="0"/>
        <w:rPr>
          <w:rFonts w:cs="Arial"/>
          <w:color w:val="000000" w:themeColor="text1"/>
          <w:lang w:val="en-US"/>
        </w:rPr>
      </w:pPr>
      <w:r w:rsidRPr="00BB61BD">
        <w:rPr>
          <w:rFonts w:cs="Arial"/>
          <w:color w:val="000000" w:themeColor="text1"/>
          <w:lang w:val="en-US"/>
        </w:rPr>
        <w:t>specifies clear definitions of ECI, its aim and best practice, including the terminology used to describe these concepts and others associated with the development of an ECI framework. The commonality in language and meaning will be an important factor in the effective implementation of the ECI framework</w:t>
      </w:r>
    </w:p>
    <w:p w14:paraId="02CF17EA" w14:textId="74DF3570" w:rsidR="00BB61BD" w:rsidRPr="00BB61BD" w:rsidRDefault="00BB61BD" w:rsidP="003B0B17">
      <w:pPr>
        <w:pStyle w:val="ListParagraph"/>
        <w:numPr>
          <w:ilvl w:val="0"/>
          <w:numId w:val="153"/>
        </w:numPr>
        <w:ind w:hanging="357"/>
        <w:contextualSpacing w:val="0"/>
        <w:rPr>
          <w:rFonts w:cs="Arial"/>
          <w:color w:val="000000" w:themeColor="text1"/>
          <w:lang w:val="en-US"/>
        </w:rPr>
      </w:pPr>
      <w:r w:rsidRPr="00BB61BD">
        <w:rPr>
          <w:rFonts w:cs="Arial"/>
          <w:color w:val="000000" w:themeColor="text1"/>
          <w:lang w:val="en-US"/>
        </w:rPr>
        <w:t>identifies and develops tools and resources that directly support family members and professionals in:</w:t>
      </w:r>
    </w:p>
    <w:p w14:paraId="5DD52254" w14:textId="32120A1E" w:rsidR="00BB61BD" w:rsidRPr="00BB61BD" w:rsidRDefault="00BB61BD" w:rsidP="003B0B17">
      <w:pPr>
        <w:pStyle w:val="ListParagraph"/>
        <w:numPr>
          <w:ilvl w:val="1"/>
          <w:numId w:val="153"/>
        </w:numPr>
        <w:ind w:hanging="357"/>
        <w:contextualSpacing w:val="0"/>
        <w:rPr>
          <w:rFonts w:cs="Arial"/>
          <w:color w:val="000000" w:themeColor="text1"/>
          <w:lang w:val="en-US"/>
        </w:rPr>
      </w:pPr>
      <w:r w:rsidRPr="00BB61BD">
        <w:rPr>
          <w:rFonts w:cs="Arial"/>
          <w:color w:val="000000" w:themeColor="text1"/>
          <w:lang w:val="en-US"/>
        </w:rPr>
        <w:t>the decision-making process needed to plan and select best practices; and</w:t>
      </w:r>
    </w:p>
    <w:p w14:paraId="5492E4CE" w14:textId="791AE11C" w:rsidR="00BB61BD" w:rsidRPr="00BB61BD" w:rsidRDefault="00BB61BD" w:rsidP="003B0B17">
      <w:pPr>
        <w:pStyle w:val="ListParagraph"/>
        <w:numPr>
          <w:ilvl w:val="1"/>
          <w:numId w:val="153"/>
        </w:numPr>
        <w:ind w:hanging="357"/>
        <w:contextualSpacing w:val="0"/>
        <w:rPr>
          <w:rFonts w:cs="Arial"/>
          <w:color w:val="000000" w:themeColor="text1"/>
          <w:lang w:val="en-US"/>
        </w:rPr>
      </w:pPr>
      <w:r w:rsidRPr="00BB61BD">
        <w:rPr>
          <w:rFonts w:cs="Arial"/>
          <w:color w:val="000000" w:themeColor="text1"/>
          <w:lang w:val="en-US"/>
        </w:rPr>
        <w:t>the implementation of evidence-informed practices</w:t>
      </w:r>
    </w:p>
    <w:p w14:paraId="2260A015" w14:textId="173AE290" w:rsidR="00BB61BD" w:rsidRPr="00BB61BD" w:rsidRDefault="00BB61BD" w:rsidP="003B0B17">
      <w:pPr>
        <w:pStyle w:val="ListParagraph"/>
        <w:numPr>
          <w:ilvl w:val="0"/>
          <w:numId w:val="153"/>
        </w:numPr>
        <w:ind w:hanging="357"/>
        <w:contextualSpacing w:val="0"/>
        <w:rPr>
          <w:rFonts w:cs="Arial"/>
          <w:color w:val="000000" w:themeColor="text1"/>
          <w:lang w:val="en-US"/>
        </w:rPr>
      </w:pPr>
      <w:r w:rsidRPr="00BB61BD">
        <w:rPr>
          <w:rFonts w:cs="Arial"/>
          <w:color w:val="000000" w:themeColor="text1"/>
          <w:lang w:val="en-US"/>
        </w:rPr>
        <w:t>delineates system and practice frameworks at different levels, which support the effective execution of an ECI framework, the aim of ECI and the implementation of best practice. These include but are not limited to:</w:t>
      </w:r>
    </w:p>
    <w:p w14:paraId="6FEA1906" w14:textId="656BA3F2" w:rsidR="00BB61BD" w:rsidRPr="00BB61BD" w:rsidRDefault="00BB61BD" w:rsidP="003B0B17">
      <w:pPr>
        <w:pStyle w:val="ListParagraph"/>
        <w:numPr>
          <w:ilvl w:val="1"/>
          <w:numId w:val="153"/>
        </w:numPr>
        <w:ind w:hanging="357"/>
        <w:contextualSpacing w:val="0"/>
        <w:rPr>
          <w:rFonts w:cs="Arial"/>
          <w:color w:val="000000" w:themeColor="text1"/>
          <w:lang w:val="en-US"/>
        </w:rPr>
      </w:pPr>
      <w:r w:rsidRPr="00BB61BD">
        <w:rPr>
          <w:rFonts w:cs="Arial"/>
          <w:color w:val="000000" w:themeColor="text1"/>
          <w:lang w:val="en-US"/>
        </w:rPr>
        <w:t>an overarching early years framework for all children, with a gradient of support tailored to the diversity of children with developmental concerns, delays or disabilities and their families (e.g., Nurturing Care). This fits well with the current discussion on foundational supports, particularly for outcomes for Aboriginal and Torres Strait Islander children and families</w:t>
      </w:r>
    </w:p>
    <w:p w14:paraId="02CEDB64" w14:textId="6D7D55CD" w:rsidR="00BB61BD" w:rsidRPr="00BB61BD" w:rsidRDefault="00BB61BD" w:rsidP="003B0B17">
      <w:pPr>
        <w:pStyle w:val="ListParagraph"/>
        <w:numPr>
          <w:ilvl w:val="1"/>
          <w:numId w:val="153"/>
        </w:numPr>
        <w:ind w:hanging="357"/>
        <w:contextualSpacing w:val="0"/>
        <w:rPr>
          <w:rFonts w:cs="Arial"/>
          <w:color w:val="000000" w:themeColor="text1"/>
          <w:lang w:val="en-US"/>
        </w:rPr>
      </w:pPr>
      <w:r w:rsidRPr="00BB61BD">
        <w:rPr>
          <w:rFonts w:cs="Arial"/>
          <w:color w:val="000000" w:themeColor="text1"/>
          <w:lang w:val="en-US"/>
        </w:rPr>
        <w:t>a framework for children with developmental concerns, delays, or disabilities and their families (e.g., Guralnick, 2023; Dunst, 2005).</w:t>
      </w:r>
    </w:p>
    <w:p w14:paraId="54C3477F" w14:textId="7C517FF9" w:rsidR="00BB61BD" w:rsidRPr="00BB61BD" w:rsidRDefault="00BB61BD" w:rsidP="003B0B17">
      <w:pPr>
        <w:pStyle w:val="ListParagraph"/>
        <w:numPr>
          <w:ilvl w:val="1"/>
          <w:numId w:val="153"/>
        </w:numPr>
        <w:ind w:hanging="357"/>
        <w:contextualSpacing w:val="0"/>
        <w:rPr>
          <w:rFonts w:cs="Arial"/>
          <w:color w:val="000000" w:themeColor="text1"/>
          <w:lang w:val="en-US"/>
        </w:rPr>
      </w:pPr>
      <w:r w:rsidRPr="00BB61BD">
        <w:rPr>
          <w:rFonts w:cs="Arial"/>
          <w:color w:val="000000" w:themeColor="text1"/>
          <w:lang w:val="en-US"/>
        </w:rPr>
        <w:t>a systems framework for early childhood such as the Multi-tiered Systems of Support (Division for Early Childhood, 2021)</w:t>
      </w:r>
    </w:p>
    <w:p w14:paraId="17A85393" w14:textId="5DA75FE0" w:rsidR="00BB61BD" w:rsidRDefault="00BB61BD" w:rsidP="003B0B17">
      <w:pPr>
        <w:pStyle w:val="ListParagraph"/>
        <w:numPr>
          <w:ilvl w:val="1"/>
          <w:numId w:val="153"/>
        </w:numPr>
        <w:ind w:hanging="357"/>
        <w:contextualSpacing w:val="0"/>
        <w:rPr>
          <w:rFonts w:cs="Arial"/>
          <w:color w:val="000000" w:themeColor="text1"/>
          <w:lang w:val="en-US"/>
        </w:rPr>
      </w:pPr>
      <w:r w:rsidRPr="00BB61BD">
        <w:rPr>
          <w:rFonts w:cs="Arial"/>
          <w:color w:val="000000" w:themeColor="text1"/>
          <w:lang w:val="en-US"/>
        </w:rPr>
        <w:t>research based models of intervention, e.g., Routines-based Model (McWilliam, 2010) Family Strengths in Constructing Learning Experiences (Keilty, 2020); SCERTS (Prizant et al., 2003)</w:t>
      </w:r>
    </w:p>
    <w:p w14:paraId="2F75666F" w14:textId="77777777" w:rsidR="00BB61BD" w:rsidRDefault="00BB61BD" w:rsidP="00BB61BD">
      <w:pPr>
        <w:rPr>
          <w:rFonts w:cs="Arial"/>
          <w:color w:val="000000" w:themeColor="text1"/>
          <w:lang w:val="en-US"/>
        </w:rPr>
      </w:pPr>
    </w:p>
    <w:p w14:paraId="613F9E2E" w14:textId="77777777" w:rsidR="00BB61BD" w:rsidRDefault="00BB61BD" w:rsidP="00BB61BD">
      <w:pPr>
        <w:rPr>
          <w:rFonts w:cs="Arial"/>
          <w:color w:val="000000" w:themeColor="text1"/>
          <w:lang w:val="en-US"/>
        </w:rPr>
      </w:pPr>
    </w:p>
    <w:p w14:paraId="431E644F" w14:textId="77777777" w:rsidR="00CC7EC9" w:rsidRPr="00CC7EC9" w:rsidRDefault="00CC7EC9" w:rsidP="00CC7EC9">
      <w:pPr>
        <w:pStyle w:val="Heading2"/>
      </w:pPr>
      <w:bookmarkStart w:id="65" w:name="_Toc177730845"/>
      <w:r w:rsidRPr="00CC7EC9">
        <w:t>Principles and practices</w:t>
      </w:r>
      <w:bookmarkEnd w:id="65"/>
    </w:p>
    <w:p w14:paraId="7FFB0AD4" w14:textId="77777777" w:rsidR="00CC7EC9" w:rsidRPr="00CC7EC9" w:rsidRDefault="00CC7EC9" w:rsidP="00CC7EC9">
      <w:pPr>
        <w:rPr>
          <w:rFonts w:cs="Arial"/>
          <w:color w:val="000000" w:themeColor="text1"/>
          <w:lang w:val="en-US"/>
        </w:rPr>
      </w:pPr>
      <w:r w:rsidRPr="00CC7EC9">
        <w:rPr>
          <w:rFonts w:cs="Arial"/>
          <w:color w:val="000000" w:themeColor="text1"/>
          <w:lang w:val="en-US"/>
        </w:rPr>
        <w:t xml:space="preserve">Key principles or recommended practices for ECI are provided across all jurisdictions. There are some commonalities and differences that are important to consider as we develop an ECI framework. But first, a note on terminology. The USA DEC Recommended Practices committed to using the term ‘recommended practices’ in favour of ‘best practice’ as they determined that what is best for one child may not be best for all children, and they recognised that practices should change over time as new strategies are found through research to be more effective (McLean, 2015). Most other jurisdictions, including Australia, use the term ‘best practice’. In Australia we also refer to quality areas, whereas other jurisdictions use terms such as guiding principles, practice principles, or domains.  </w:t>
      </w:r>
    </w:p>
    <w:p w14:paraId="5CDB68F1" w14:textId="77777777" w:rsidR="00CC7EC9" w:rsidRPr="00CC7EC9" w:rsidRDefault="00CC7EC9" w:rsidP="00CC7EC9">
      <w:pPr>
        <w:rPr>
          <w:rFonts w:cs="Arial"/>
          <w:color w:val="000000" w:themeColor="text1"/>
          <w:lang w:val="en-US"/>
        </w:rPr>
      </w:pPr>
    </w:p>
    <w:p w14:paraId="6855BE0A" w14:textId="77777777" w:rsidR="00CC7EC9" w:rsidRPr="00CC7EC9" w:rsidRDefault="00CC7EC9" w:rsidP="00CC7EC9">
      <w:pPr>
        <w:rPr>
          <w:rFonts w:cs="Arial"/>
          <w:color w:val="000000" w:themeColor="text1"/>
          <w:lang w:val="en-US"/>
        </w:rPr>
      </w:pPr>
      <w:r w:rsidRPr="00CC7EC9">
        <w:rPr>
          <w:rFonts w:cs="Arial"/>
          <w:color w:val="000000" w:themeColor="text1"/>
          <w:lang w:val="en-US"/>
        </w:rPr>
        <w:t>The National Aboriginal and Torres Strait Islander Early Childhood Strategy outlines a cascade of vision, guiding principles, goals and outcomes. Australia’s Early Years Learning Framework (EYLF) (Australian Government Department of Education, 2022) similarly has a cohesive set of eight principles, seven practices and five learning outcomes. In both instances, the principles sit within a broader framework associated with outcomes. Other jurisdictions, including Australia’s National Guidelines for Best Practice in ECI do not clearly link principles, practices and outcomes.</w:t>
      </w:r>
    </w:p>
    <w:p w14:paraId="0E1D345C" w14:textId="2086C73E" w:rsidR="00CC7EC9" w:rsidRPr="00CC7EC9" w:rsidRDefault="00CC7EC9" w:rsidP="00CC7EC9">
      <w:pPr>
        <w:rPr>
          <w:rFonts w:cs="Arial"/>
          <w:color w:val="000000" w:themeColor="text1"/>
          <w:lang w:val="en-US"/>
        </w:rPr>
      </w:pPr>
      <w:r w:rsidRPr="00CC7EC9">
        <w:rPr>
          <w:rFonts w:cs="Arial"/>
          <w:color w:val="000000" w:themeColor="text1"/>
          <w:lang w:val="en-US"/>
        </w:rPr>
        <w:t>Some jurisdictions have developed a conceptual framework that includes a selection of broader constructs or concepts that are considered critical to the development of a framework. For example, in New Zealand one of their guiding principles is utilising an ecological framework (Brofenbrenner, 1994). Other jurisdictions have a human rights perspective and have the Convention on the Rights of the Child (UN, 1989), the Convention on the Rights of Persons with Disabilities (UN, 2006) and the Declaration on the Rights of Indigenous Peoples (UN, 2007) as a foundation to their guideline or strategy.</w:t>
      </w:r>
    </w:p>
    <w:p w14:paraId="5587A6B2" w14:textId="0C8DC776" w:rsidR="00CC7EC9" w:rsidRPr="00CC7EC9" w:rsidRDefault="00CC7EC9" w:rsidP="00CC7EC9">
      <w:pPr>
        <w:rPr>
          <w:rFonts w:cs="Arial"/>
          <w:color w:val="000000" w:themeColor="text1"/>
          <w:lang w:val="en-US"/>
        </w:rPr>
      </w:pPr>
      <w:r w:rsidRPr="00CC7EC9">
        <w:rPr>
          <w:rFonts w:cs="Arial"/>
          <w:color w:val="000000" w:themeColor="text1"/>
          <w:lang w:val="en-US"/>
        </w:rPr>
        <w:t xml:space="preserve">The terms ‘principles’ and ‘practices’ are not clearly defined, and the terms are sometimes used interchangeably. For the purpose of this section, we include both principles and practices that appear in jurisdictional frameworks and are referred as such in the discussion below. </w:t>
      </w:r>
    </w:p>
    <w:p w14:paraId="5012E044" w14:textId="77777777" w:rsidR="00CC7EC9" w:rsidRPr="00826EEF" w:rsidRDefault="00CC7EC9" w:rsidP="00CC7EC9">
      <w:pPr>
        <w:rPr>
          <w:rFonts w:cs="Arial"/>
          <w:b/>
          <w:bCs/>
          <w:i/>
          <w:iCs/>
          <w:color w:val="000000" w:themeColor="text1"/>
          <w:lang w:val="en-US"/>
        </w:rPr>
      </w:pPr>
      <w:r w:rsidRPr="00826EEF">
        <w:rPr>
          <w:rFonts w:cs="Arial"/>
          <w:b/>
          <w:bCs/>
          <w:i/>
          <w:iCs/>
          <w:color w:val="000000" w:themeColor="text1"/>
          <w:lang w:val="en-US"/>
        </w:rPr>
        <w:t xml:space="preserve">Inclusion, natural environments, family-centred and strength-based </w:t>
      </w:r>
    </w:p>
    <w:p w14:paraId="7F32763A" w14:textId="77777777" w:rsidR="00CC7EC9" w:rsidRPr="00CC7EC9" w:rsidRDefault="00CC7EC9" w:rsidP="00CC7EC9">
      <w:pPr>
        <w:rPr>
          <w:rFonts w:cs="Arial"/>
          <w:color w:val="000000" w:themeColor="text1"/>
          <w:lang w:val="en-US"/>
        </w:rPr>
      </w:pPr>
      <w:r w:rsidRPr="00CC7EC9">
        <w:rPr>
          <w:rFonts w:cs="Arial"/>
          <w:color w:val="000000" w:themeColor="text1"/>
          <w:lang w:val="en-US"/>
        </w:rPr>
        <w:t>Inclusion, learning in natural (family and community) environments, family-centred and strength-based practices are reflected in the majority of the jurisdictional guidelines and are strongly supported in the literature (Cologon, 2014; Dunst et al., 2006; Dunst &amp; Trivette, 2010; Espe</w:t>
      </w:r>
      <w:r w:rsidRPr="00CC7EC9">
        <w:rPr>
          <w:rFonts w:ascii="Cambria Math" w:hAnsi="Cambria Math" w:cs="Cambria Math"/>
          <w:color w:val="000000" w:themeColor="text1"/>
          <w:lang w:val="en-US"/>
        </w:rPr>
        <w:t>‐</w:t>
      </w:r>
      <w:r w:rsidRPr="00CC7EC9">
        <w:rPr>
          <w:rFonts w:cs="Arial"/>
          <w:color w:val="000000" w:themeColor="text1"/>
          <w:lang w:val="en-US"/>
        </w:rPr>
        <w:t>Sherwindt, 2008; Guralnick &amp; Bruder, 2016; Hebbeler &amp; Spiker, 2016; McCarthy &amp; Guerin, 2022; Rouse, 2012; Steenberg et al., 2008; Webster, 2022; World Health Organization &amp; UNICEF, 2023). However, translation of these critical practices from theory to practice has been a significant challenge despite this strong evidence and theoretical base. This commonality between jurisdictional guidelines provides us with a clue for how we might progress the development of the ECI Best Practice Framework.</w:t>
      </w:r>
    </w:p>
    <w:p w14:paraId="4DEE93FE" w14:textId="77777777" w:rsidR="00CC7EC9" w:rsidRPr="00826EEF" w:rsidRDefault="00CC7EC9" w:rsidP="00CC7EC9">
      <w:pPr>
        <w:rPr>
          <w:rFonts w:cs="Arial"/>
          <w:b/>
          <w:bCs/>
          <w:i/>
          <w:iCs/>
          <w:color w:val="000000" w:themeColor="text1"/>
          <w:lang w:val="en-US"/>
        </w:rPr>
      </w:pPr>
      <w:r w:rsidRPr="00826EEF">
        <w:rPr>
          <w:rFonts w:cs="Arial"/>
          <w:b/>
          <w:bCs/>
          <w:i/>
          <w:iCs/>
          <w:color w:val="000000" w:themeColor="text1"/>
          <w:lang w:val="en-US"/>
        </w:rPr>
        <w:t xml:space="preserve">Child centred and positive interactions </w:t>
      </w:r>
    </w:p>
    <w:p w14:paraId="0C77C7F3" w14:textId="4B547337" w:rsidR="00CC7EC9" w:rsidRPr="00CC7EC9" w:rsidRDefault="00CC7EC9" w:rsidP="00CC7EC9">
      <w:pPr>
        <w:rPr>
          <w:rFonts w:cs="Arial"/>
          <w:color w:val="000000" w:themeColor="text1"/>
          <w:lang w:val="en-US"/>
        </w:rPr>
      </w:pPr>
      <w:r w:rsidRPr="00CC7EC9">
        <w:rPr>
          <w:rFonts w:cs="Arial"/>
          <w:color w:val="000000" w:themeColor="text1"/>
          <w:lang w:val="en-US"/>
        </w:rPr>
        <w:t xml:space="preserve">New Zealand has mokopuna (child) and whānau (family) centred practice as a practice principle. Other jurisdictions also focus on the child as well as their family. For example, the Framework to inform the development of a National Aboriginal and Torres Strait Islander Early Childhood Strategy highlights ‘protecting Aboriginal and Torres Strait Islander children’s right to thrive in culture’, and ‘applying a child-centred approach to the design of policies, programs and service systems’ (SNAICC &amp; NIAA, 2021). </w:t>
      </w:r>
    </w:p>
    <w:p w14:paraId="6A3E74BD" w14:textId="77777777" w:rsidR="00CC7EC9" w:rsidRPr="00CC7EC9" w:rsidRDefault="00CC7EC9" w:rsidP="00CC7EC9">
      <w:pPr>
        <w:rPr>
          <w:rFonts w:cs="Arial"/>
          <w:color w:val="000000" w:themeColor="text1"/>
          <w:lang w:val="en-US"/>
        </w:rPr>
      </w:pPr>
      <w:r w:rsidRPr="00CC7EC9">
        <w:rPr>
          <w:rFonts w:cs="Arial"/>
          <w:color w:val="000000" w:themeColor="text1"/>
          <w:lang w:val="en-US"/>
        </w:rPr>
        <w:t xml:space="preserve">This focus on the child as a principle is also evident in some jurisdictions, where other Australian frameworks such as the National guideline for supporting the learning, participation, and wellbeing of autistic children and their families in Australia (Trembath et al., 2022) include ‘child and family centred’ as one of the guiding principles. Furthermore, the guideline also includes the principle to ‘Honour childhood’.  This principle indicates that we should “honour the goals and activities of childhood including play, relationships, and personal discovery” (Trembath et al., p52). </w:t>
      </w:r>
    </w:p>
    <w:p w14:paraId="79117117" w14:textId="77777777" w:rsidR="00CC7EC9" w:rsidRPr="00CC7EC9" w:rsidRDefault="00CC7EC9" w:rsidP="00CC7EC9">
      <w:pPr>
        <w:rPr>
          <w:rFonts w:cs="Arial"/>
          <w:color w:val="000000" w:themeColor="text1"/>
          <w:lang w:val="en-US"/>
        </w:rPr>
      </w:pPr>
    </w:p>
    <w:p w14:paraId="2D2C77EB" w14:textId="01D4F561" w:rsidR="00CC7EC9" w:rsidRPr="00CC7EC9" w:rsidRDefault="00CC7EC9" w:rsidP="00CC7EC9">
      <w:pPr>
        <w:rPr>
          <w:rFonts w:cs="Arial"/>
          <w:color w:val="000000" w:themeColor="text1"/>
          <w:lang w:val="en-US"/>
        </w:rPr>
      </w:pPr>
      <w:r w:rsidRPr="00CC7EC9">
        <w:rPr>
          <w:rFonts w:cs="Arial"/>
          <w:color w:val="000000" w:themeColor="text1"/>
          <w:lang w:val="en-US"/>
        </w:rPr>
        <w:t xml:space="preserve">In the USA, ‘interactions’ is one of the seven recommended practices and raises the importance of sensitive and responsive interactional practices. Guralnick’s Developmental Systems Approach and accompanying Practice Model consolidates our understanding of the importance of promoting responsive caregiving and family patterns of interaction in ECI (Guralnick, 2023). Experiencing responsive interactions and caregiving in the early years has been found to be critical for later development and wellbeing. Specifically, responsive caregiving promotes the development of secure attachments and builds infants social-emotional and self-regulatory skills (Abraham et al., 2021; Feldman, 2021). </w:t>
      </w:r>
    </w:p>
    <w:p w14:paraId="1E012FE4" w14:textId="77777777" w:rsidR="00CC7EC9" w:rsidRPr="00826EEF" w:rsidRDefault="00CC7EC9" w:rsidP="00CC7EC9">
      <w:pPr>
        <w:rPr>
          <w:rFonts w:cs="Arial"/>
          <w:b/>
          <w:bCs/>
          <w:i/>
          <w:iCs/>
          <w:color w:val="000000" w:themeColor="text1"/>
          <w:lang w:val="en-US"/>
        </w:rPr>
      </w:pPr>
      <w:r w:rsidRPr="00826EEF">
        <w:rPr>
          <w:rFonts w:cs="Arial"/>
          <w:b/>
          <w:bCs/>
          <w:i/>
          <w:iCs/>
          <w:color w:val="000000" w:themeColor="text1"/>
          <w:lang w:val="en-US"/>
        </w:rPr>
        <w:t xml:space="preserve">Evidence-based </w:t>
      </w:r>
    </w:p>
    <w:p w14:paraId="2E96F62D" w14:textId="77777777" w:rsidR="00CC7EC9" w:rsidRPr="00CC7EC9" w:rsidRDefault="00CC7EC9" w:rsidP="00CC7EC9">
      <w:pPr>
        <w:rPr>
          <w:rFonts w:cs="Arial"/>
          <w:color w:val="000000" w:themeColor="text1"/>
          <w:lang w:val="en-US"/>
        </w:rPr>
      </w:pPr>
      <w:r w:rsidRPr="00CC7EC9">
        <w:rPr>
          <w:rFonts w:cs="Arial"/>
          <w:color w:val="000000" w:themeColor="text1"/>
          <w:lang w:val="en-US"/>
        </w:rPr>
        <w:t xml:space="preserve">The term ‘research-based practices’ is used to inform DEC Recommended Practices and is defined as “Practices that have been demonstrated to be effective and are supported by evidence in the research literature” (Odom et al., 2005). ‘Evidence- informed’ or ‘evidence-based’ practice principles are evident in New Zealand and Australian guidelines, including the Framework to inform the development of a National Aboriginal and Torres Strait Islander Early Childhood Strategy that highlights focusing on evidence-based design. In the Australian National Guidelines (2016) evidence-based practice sits alongside the broader concept of standards and accountability and also an outcomes-based approach as described in the following section. </w:t>
      </w:r>
    </w:p>
    <w:p w14:paraId="706EE699" w14:textId="77777777" w:rsidR="00CC7EC9" w:rsidRPr="00CC7EC9" w:rsidRDefault="00CC7EC9" w:rsidP="00CC7EC9">
      <w:pPr>
        <w:rPr>
          <w:rFonts w:cs="Arial"/>
          <w:color w:val="000000" w:themeColor="text1"/>
          <w:lang w:val="en-US"/>
        </w:rPr>
      </w:pPr>
      <w:r w:rsidRPr="00CC7EC9">
        <w:rPr>
          <w:rFonts w:cs="Arial"/>
          <w:color w:val="000000" w:themeColor="text1"/>
          <w:lang w:val="en-US"/>
        </w:rPr>
        <w:t>New Zealand’s He Pikorua guidelines describe evidence-informed practice as “a dynamic interaction between research and inquiry, practitioner and educator expertise, and the perspectives and experiences of whānau and mokopuna. We use approaches and interventions that are based on robust methodologies and sound evidence, and that align with mokopuna cultural perspectives and educational contexts” (Te Tāhuhu o te Mātauranga - Ministry of Education, 2020). This description not only highlights the triad of current research and perspectives of practitioners and families in their understanding of evidence informed practices, but also the integral nature of cultural perspectives.</w:t>
      </w:r>
    </w:p>
    <w:p w14:paraId="69917C02" w14:textId="77777777" w:rsidR="00CC7EC9" w:rsidRPr="00826EEF" w:rsidRDefault="00CC7EC9" w:rsidP="00CC7EC9">
      <w:pPr>
        <w:rPr>
          <w:rFonts w:cs="Arial"/>
          <w:b/>
          <w:bCs/>
          <w:i/>
          <w:iCs/>
          <w:color w:val="000000" w:themeColor="text1"/>
          <w:lang w:val="en-US"/>
        </w:rPr>
      </w:pPr>
      <w:r w:rsidRPr="00826EEF">
        <w:rPr>
          <w:rFonts w:cs="Arial"/>
          <w:b/>
          <w:bCs/>
          <w:i/>
          <w:iCs/>
          <w:color w:val="000000" w:themeColor="text1"/>
          <w:lang w:val="en-US"/>
        </w:rPr>
        <w:t xml:space="preserve">Culturally affirming </w:t>
      </w:r>
    </w:p>
    <w:p w14:paraId="343C605D" w14:textId="0D3A09BE" w:rsidR="00CC7EC9" w:rsidRPr="00CC7EC9" w:rsidRDefault="00CC7EC9" w:rsidP="00CC7EC9">
      <w:pPr>
        <w:rPr>
          <w:rFonts w:cs="Arial"/>
          <w:color w:val="000000" w:themeColor="text1"/>
          <w:lang w:val="en-US"/>
        </w:rPr>
      </w:pPr>
      <w:r w:rsidRPr="00CC7EC9">
        <w:rPr>
          <w:rFonts w:cs="Arial"/>
          <w:color w:val="000000" w:themeColor="text1"/>
          <w:lang w:val="en-US"/>
        </w:rPr>
        <w:t xml:space="preserve">Australia has identified cultural responsiveness as a practice area in the current National Guidelines. This practice focuses on practitioners being “aware of diversity and provide services and supports in flexible ways that are responsive to each family’s cultural, ethnic, racial, language and socioeconomic characteristics” (ECIA, 2016). </w:t>
      </w:r>
    </w:p>
    <w:p w14:paraId="0B499F23" w14:textId="77777777" w:rsidR="00CC7EC9" w:rsidRPr="00CC7EC9" w:rsidRDefault="00CC7EC9" w:rsidP="00CC7EC9">
      <w:pPr>
        <w:rPr>
          <w:rFonts w:cs="Arial"/>
          <w:color w:val="000000" w:themeColor="text1"/>
          <w:lang w:val="en-US"/>
        </w:rPr>
      </w:pPr>
      <w:r w:rsidRPr="00CC7EC9">
        <w:rPr>
          <w:rFonts w:cs="Arial"/>
          <w:color w:val="000000" w:themeColor="text1"/>
          <w:lang w:val="en-US"/>
        </w:rPr>
        <w:t xml:space="preserve">In New Zealand culturally affirming practice is a practice principle, but the He Pikorua practice framework is also culturally situated and grounded in The Treaty of Waitangi. It has been suggested that in Australia, any ECI framework must be informed and influenced by Aboriginal and Torres Strait Islander ways of knowing, being and doing (SNAICC 2024, consortium proposal). </w:t>
      </w:r>
    </w:p>
    <w:p w14:paraId="226AC2E8" w14:textId="77777777" w:rsidR="00CC7EC9" w:rsidRPr="00CC7EC9" w:rsidRDefault="00CC7EC9" w:rsidP="00CC7EC9">
      <w:pPr>
        <w:rPr>
          <w:rFonts w:cs="Arial"/>
          <w:color w:val="000000" w:themeColor="text1"/>
          <w:lang w:val="en-US"/>
        </w:rPr>
      </w:pPr>
      <w:r w:rsidRPr="00CC7EC9">
        <w:rPr>
          <w:rFonts w:cs="Arial"/>
          <w:color w:val="000000" w:themeColor="text1"/>
          <w:lang w:val="en-US"/>
        </w:rPr>
        <w:t xml:space="preserve">Furthermore, the review of the jurisdictional frameworks suggests that with some changes to language, the principles articulated in the Framework to inform the development of a National Aboriginal and Torres Strait Islander Early Childhood Strategy (NIAA, 2021) can be applied universally. The Framework to seeks to empower families and communities to bring children up strong and healthy in culture (NIAA, 2021).  The Framework highlights the current challenges facing Aboriginal and Torres Strait islander children and families due to a history of injustice and racism that remains embedded in laws, policies, and practices of our current society, systems and institutions and as such one of the guiding principles is ‘Eliminating systemic racism’. </w:t>
      </w:r>
    </w:p>
    <w:p w14:paraId="74C3F2CE" w14:textId="77777777" w:rsidR="00CC7EC9" w:rsidRPr="00826EEF" w:rsidRDefault="00CC7EC9" w:rsidP="00CC7EC9">
      <w:pPr>
        <w:rPr>
          <w:rFonts w:cs="Arial"/>
          <w:b/>
          <w:bCs/>
          <w:i/>
          <w:iCs/>
          <w:color w:val="000000" w:themeColor="text1"/>
          <w:lang w:val="en-US"/>
        </w:rPr>
      </w:pPr>
      <w:r w:rsidRPr="00826EEF">
        <w:rPr>
          <w:rFonts w:cs="Arial"/>
          <w:b/>
          <w:bCs/>
          <w:i/>
          <w:iCs/>
          <w:color w:val="000000" w:themeColor="text1"/>
          <w:lang w:val="en-US"/>
        </w:rPr>
        <w:t>Teamwork, partnerships and leadership</w:t>
      </w:r>
    </w:p>
    <w:p w14:paraId="5EC162A9" w14:textId="12EBE19D" w:rsidR="00CC7EC9" w:rsidRPr="00CC7EC9" w:rsidRDefault="00CC7EC9" w:rsidP="00CC7EC9">
      <w:pPr>
        <w:rPr>
          <w:rFonts w:cs="Arial"/>
          <w:color w:val="000000" w:themeColor="text1"/>
          <w:lang w:val="en-US"/>
        </w:rPr>
      </w:pPr>
      <w:r w:rsidRPr="00CC7EC9">
        <w:rPr>
          <w:rFonts w:cs="Arial"/>
          <w:color w:val="000000" w:themeColor="text1"/>
          <w:lang w:val="en-US"/>
        </w:rPr>
        <w:t>Australia’s National Guidelines for Best Practice in ECI details Teamwork as one of the four quality areas. Teamwork is described as comprising: a) collaborative teamwork practice where the family and professionals work together as a collaborative and integrated team around the child, with one team member nominated as a key worker, and b) capacity building practices that include building the capacity of the child, family, professionals and community through coaching and collaborative teamwork (ECIA, 2016). Other jurisdictions highlight capacity building practices and the ECI frameworks from Europe, New Zealand and the USA also include teaming, collaboration and partnership as recommended practices. These practices are strongly supported in the literature (Bartolo, et al., 2016; Carpenter et al., 2009; Carvalho et al., 2019; Shelden, &amp; Rush, 2010; 2022), and it is proposed that a team-based approach may be key to bridging the gaps between parents/carers of Aboriginal and Torres Strait Islander children with disability and service systems (Green et al., 2016). Further to this, the need for cross-jurisdictional collaboration across Commonwealth, State and Territory, and local levels to support the work in communities has been highlighted to address the issues experienced by Aboriginal and Torres Strait Islander children and families (Department of Education and the Department of Health and Aged Care, 2023). Interestingly, Bricker and colleagues (2022) recently proposed a system to operationalise the infra-structure and practices associated with teaming and collaboration practices in ECI.</w:t>
      </w:r>
    </w:p>
    <w:p w14:paraId="3BF2E73A" w14:textId="77777777" w:rsidR="00CC7EC9" w:rsidRPr="00CC7EC9" w:rsidRDefault="00CC7EC9" w:rsidP="00CC7EC9">
      <w:pPr>
        <w:rPr>
          <w:rFonts w:cs="Arial"/>
          <w:color w:val="000000" w:themeColor="text1"/>
          <w:lang w:val="en-US"/>
        </w:rPr>
      </w:pPr>
      <w:r w:rsidRPr="00CC7EC9">
        <w:rPr>
          <w:rFonts w:cs="Arial"/>
          <w:color w:val="000000" w:themeColor="text1"/>
          <w:lang w:val="en-US"/>
        </w:rPr>
        <w:t>DEC extends the notion of partnership to describe recommended practice for those in positions of leadership, with the proposition that leaders have a professional responsibility to create the conditions needed to support practitioners in implementing recommended practices. The leadership practices include promoting adherence to ECI recommended practices, standards and ethics, advocating for policies and resources that promote the implementation of recommended practices, and developing and implementing an evidence-based professional development system or approach, amongst others important practices (DEC, 2014). No other jurisdictional guidelines feature the role of leadership in creating the conditions needed to support practitioners in providing high quality ECI services.</w:t>
      </w:r>
    </w:p>
    <w:p w14:paraId="709D833E" w14:textId="77777777" w:rsidR="00CC7EC9" w:rsidRPr="00826EEF" w:rsidRDefault="00CC7EC9" w:rsidP="00CC7EC9">
      <w:pPr>
        <w:rPr>
          <w:rFonts w:cs="Arial"/>
          <w:b/>
          <w:bCs/>
          <w:i/>
          <w:iCs/>
          <w:color w:val="000000" w:themeColor="text1"/>
          <w:lang w:val="en-US"/>
        </w:rPr>
      </w:pPr>
      <w:r w:rsidRPr="00826EEF">
        <w:rPr>
          <w:rFonts w:cs="Arial"/>
          <w:b/>
          <w:bCs/>
          <w:i/>
          <w:iCs/>
          <w:color w:val="000000" w:themeColor="text1"/>
          <w:lang w:val="en-US"/>
        </w:rPr>
        <w:t>Assessment, Instruction, Transition and Eliminating systemic racism</w:t>
      </w:r>
    </w:p>
    <w:p w14:paraId="344FC65B" w14:textId="15AB877F" w:rsidR="00CC7EC9" w:rsidRPr="00CC7EC9" w:rsidRDefault="00CC7EC9" w:rsidP="00CC7EC9">
      <w:pPr>
        <w:rPr>
          <w:rFonts w:cs="Arial"/>
          <w:color w:val="000000" w:themeColor="text1"/>
          <w:lang w:val="en-US"/>
        </w:rPr>
      </w:pPr>
      <w:r w:rsidRPr="00CC7EC9">
        <w:rPr>
          <w:rFonts w:cs="Arial"/>
          <w:color w:val="000000" w:themeColor="text1"/>
          <w:lang w:val="en-US"/>
        </w:rPr>
        <w:t xml:space="preserve">Along with leadership, the USA stands alone in describing three further Recommended Practices - Assessment, Instruction and Transition. These practices apply a robust evidence base which warrants their inclusion in the DEC guidelines.  </w:t>
      </w:r>
    </w:p>
    <w:p w14:paraId="17905F11" w14:textId="7379553E" w:rsidR="00BB61BD" w:rsidRDefault="00CC7EC9" w:rsidP="00CC7EC9">
      <w:pPr>
        <w:rPr>
          <w:rFonts w:cs="Arial"/>
          <w:color w:val="000000" w:themeColor="text1"/>
          <w:lang w:val="en-US"/>
        </w:rPr>
      </w:pPr>
      <w:r w:rsidRPr="00CC7EC9">
        <w:rPr>
          <w:rFonts w:cs="Arial"/>
          <w:color w:val="000000" w:themeColor="text1"/>
          <w:lang w:val="en-US"/>
        </w:rPr>
        <w:t>The Framework to inform the development of a National Aboriginal and Torres Strait Islander Early Childhood Strategy includes ‘Eliminating systemic racism’ as a guiding principle. This is in line with the guiding principles described in the National Strategic Framework for Aboriginal and Torres Strait Islander Peoples’ Mental Health and Social and Emotional Wellbeing 2017-2023 (Commonwealth of Australia, 2017), that emphasises the holistic definition of health held by Aboriginal and Torres Strait Islander peoples and indicates that ‘Racism, stigma, environmental adversity and social disadvantage constitute ongoing stressors and have negative impacts on Aboriginal and Torres Strait Islander peoples’ mental health and wellbeing’.</w:t>
      </w:r>
    </w:p>
    <w:p w14:paraId="1D1A5470" w14:textId="77777777" w:rsidR="00BC767A" w:rsidRDefault="00BC767A" w:rsidP="00CC7EC9">
      <w:pPr>
        <w:rPr>
          <w:rFonts w:cs="Arial"/>
          <w:color w:val="000000" w:themeColor="text1"/>
          <w:lang w:val="en-US"/>
        </w:rPr>
      </w:pPr>
    </w:p>
    <w:p w14:paraId="4AB03F21" w14:textId="77777777" w:rsidR="00BC767A" w:rsidRDefault="00BC767A" w:rsidP="00CC7EC9">
      <w:pPr>
        <w:rPr>
          <w:rFonts w:cs="Arial"/>
          <w:color w:val="000000" w:themeColor="text1"/>
          <w:lang w:val="en-US"/>
        </w:rPr>
      </w:pPr>
    </w:p>
    <w:p w14:paraId="3FE4D450" w14:textId="77777777" w:rsidR="00BC767A" w:rsidRPr="00BC767A" w:rsidRDefault="00BC767A" w:rsidP="00BC767A">
      <w:pPr>
        <w:rPr>
          <w:rFonts w:cs="Arial"/>
          <w:b/>
          <w:bCs/>
          <w:color w:val="0C2C74"/>
          <w:lang w:val="en-US"/>
        </w:rPr>
      </w:pPr>
      <w:r w:rsidRPr="00BC767A">
        <w:rPr>
          <w:rFonts w:cs="Arial"/>
          <w:b/>
          <w:bCs/>
          <w:color w:val="0C2C74"/>
          <w:lang w:val="en-US"/>
        </w:rPr>
        <w:t>Implications</w:t>
      </w:r>
    </w:p>
    <w:p w14:paraId="48B1DD13" w14:textId="77777777" w:rsidR="00BC767A" w:rsidRPr="00BC767A" w:rsidRDefault="00BC767A" w:rsidP="00BC767A">
      <w:pPr>
        <w:rPr>
          <w:rFonts w:cs="Arial"/>
          <w:color w:val="000000" w:themeColor="text1"/>
          <w:lang w:val="en-US"/>
        </w:rPr>
      </w:pPr>
      <w:r w:rsidRPr="00BC767A">
        <w:rPr>
          <w:rFonts w:cs="Arial"/>
          <w:color w:val="000000" w:themeColor="text1"/>
          <w:lang w:val="en-US"/>
        </w:rPr>
        <w:t>It is recommended that the ECI Best Practice Framework:</w:t>
      </w:r>
    </w:p>
    <w:p w14:paraId="6A7AFDD6" w14:textId="0C504EA3" w:rsidR="00BC767A" w:rsidRPr="001C3A47" w:rsidRDefault="00BC767A" w:rsidP="003B0B17">
      <w:pPr>
        <w:pStyle w:val="ListParagraph"/>
        <w:numPr>
          <w:ilvl w:val="0"/>
          <w:numId w:val="154"/>
        </w:numPr>
        <w:ind w:left="714" w:hanging="357"/>
        <w:contextualSpacing w:val="0"/>
        <w:rPr>
          <w:rFonts w:cs="Arial"/>
          <w:color w:val="000000" w:themeColor="text1"/>
          <w:lang w:val="en-US"/>
        </w:rPr>
      </w:pPr>
      <w:r w:rsidRPr="001C3A47">
        <w:rPr>
          <w:rFonts w:cs="Arial"/>
          <w:color w:val="000000" w:themeColor="text1"/>
          <w:lang w:val="en-US"/>
        </w:rPr>
        <w:t xml:space="preserve">considers developing a conceptual foundation provided by broader Australian frameworks such as the Early Years Learning Framework (Australian Government Department of Education, 2022), and the National Aboriginal and Torres Strait Islander </w:t>
      </w:r>
      <w:r w:rsidR="001C3A47">
        <w:rPr>
          <w:rFonts w:cs="Arial"/>
          <w:b/>
          <w:bCs/>
          <w:noProof/>
          <w:color w:val="0C2C74"/>
          <w:lang w:val="en-US"/>
        </w:rPr>
        <mc:AlternateContent>
          <mc:Choice Requires="wps">
            <w:drawing>
              <wp:anchor distT="0" distB="0" distL="114300" distR="114300" simplePos="0" relativeHeight="251669504" behindDoc="1" locked="1" layoutInCell="1" allowOverlap="1" wp14:anchorId="7FE57736" wp14:editId="48DFC557">
                <wp:simplePos x="0" y="0"/>
                <wp:positionH relativeFrom="column">
                  <wp:posOffset>-496570</wp:posOffset>
                </wp:positionH>
                <wp:positionV relativeFrom="page">
                  <wp:posOffset>1685925</wp:posOffset>
                </wp:positionV>
                <wp:extent cx="6724650" cy="6259830"/>
                <wp:effectExtent l="0" t="0" r="6350" b="1270"/>
                <wp:wrapNone/>
                <wp:docPr id="134765972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0" cy="6259830"/>
                        </a:xfrm>
                        <a:prstGeom prst="rect">
                          <a:avLst/>
                        </a:prstGeom>
                        <a:solidFill>
                          <a:srgbClr val="8087A3">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FDF7A" id="Rectangle 4" o:spid="_x0000_s1026" alt="&quot;&quot;" style="position:absolute;margin-left:-39.1pt;margin-top:132.75pt;width:529.5pt;height:49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" fillcolor="#8087a3" stroked="f" strokeweight="1pt">
                <v:fill opacity="19789f"/>
                <w10:wrap anchory="page"/>
                <w10:anchorlock/>
              </v:rect>
            </w:pict>
          </mc:Fallback>
        </mc:AlternateContent>
      </w:r>
      <w:r w:rsidRPr="001C3A47">
        <w:rPr>
          <w:rFonts w:cs="Arial"/>
          <w:color w:val="000000" w:themeColor="text1"/>
          <w:lang w:val="en-US"/>
        </w:rPr>
        <w:t>Early Childhood Strategy (NIAA, 2021) and the Framework to inform the development of a national Aboriginal and Torres Strait Islander Early Childhood Strategy  (NIAA &amp; SNAICC, 2021)</w:t>
      </w:r>
    </w:p>
    <w:p w14:paraId="0B68F614" w14:textId="3A8C54B2" w:rsidR="00BC767A" w:rsidRPr="001C3A47" w:rsidRDefault="00BC767A" w:rsidP="003B0B17">
      <w:pPr>
        <w:pStyle w:val="ListParagraph"/>
        <w:numPr>
          <w:ilvl w:val="0"/>
          <w:numId w:val="154"/>
        </w:numPr>
        <w:ind w:left="714" w:hanging="357"/>
        <w:contextualSpacing w:val="0"/>
        <w:rPr>
          <w:rFonts w:cs="Arial"/>
          <w:color w:val="000000" w:themeColor="text1"/>
          <w:lang w:val="en-US"/>
        </w:rPr>
      </w:pPr>
      <w:r w:rsidRPr="001C3A47">
        <w:rPr>
          <w:rFonts w:cs="Arial"/>
          <w:color w:val="000000" w:themeColor="text1"/>
          <w:lang w:val="en-US"/>
        </w:rPr>
        <w:t>considers principles and practices that are included in guidelines across jurisdictions such as:</w:t>
      </w:r>
    </w:p>
    <w:p w14:paraId="54B50FFE" w14:textId="349A08B5" w:rsidR="00BC767A" w:rsidRPr="001C3A47" w:rsidRDefault="00BC767A" w:rsidP="003B0B17">
      <w:pPr>
        <w:pStyle w:val="ListParagraph"/>
        <w:numPr>
          <w:ilvl w:val="1"/>
          <w:numId w:val="154"/>
        </w:numPr>
        <w:contextualSpacing w:val="0"/>
        <w:rPr>
          <w:rFonts w:cs="Arial"/>
          <w:color w:val="000000" w:themeColor="text1"/>
          <w:lang w:val="en-US"/>
        </w:rPr>
      </w:pPr>
      <w:r w:rsidRPr="001C3A47">
        <w:rPr>
          <w:rFonts w:cs="Arial"/>
          <w:color w:val="000000" w:themeColor="text1"/>
          <w:lang w:val="en-US"/>
        </w:rPr>
        <w:t>those that are in most guidelines: e.g., inclusion, natural environments, family-centred and strength-based practices</w:t>
      </w:r>
    </w:p>
    <w:p w14:paraId="41335BFD" w14:textId="19C032FF" w:rsidR="00BC767A" w:rsidRPr="001C3A47" w:rsidRDefault="00BC767A" w:rsidP="003B0B17">
      <w:pPr>
        <w:pStyle w:val="ListParagraph"/>
        <w:numPr>
          <w:ilvl w:val="1"/>
          <w:numId w:val="154"/>
        </w:numPr>
        <w:contextualSpacing w:val="0"/>
        <w:rPr>
          <w:rFonts w:cs="Arial"/>
          <w:color w:val="000000" w:themeColor="text1"/>
          <w:lang w:val="en-US"/>
        </w:rPr>
      </w:pPr>
      <w:r w:rsidRPr="001C3A47">
        <w:rPr>
          <w:rFonts w:cs="Arial"/>
          <w:color w:val="000000" w:themeColor="text1"/>
          <w:lang w:val="en-US"/>
        </w:rPr>
        <w:t>those that are in some guidelines: e.g., child-centred, culturally affirming, teamwork and partnership, evidence-based and outcomes focused</w:t>
      </w:r>
    </w:p>
    <w:p w14:paraId="6A5CD525" w14:textId="612D1BC8" w:rsidR="00BC767A" w:rsidRPr="001C3A47" w:rsidRDefault="00BC767A" w:rsidP="003B0B17">
      <w:pPr>
        <w:pStyle w:val="ListParagraph"/>
        <w:numPr>
          <w:ilvl w:val="1"/>
          <w:numId w:val="154"/>
        </w:numPr>
        <w:contextualSpacing w:val="0"/>
        <w:rPr>
          <w:rFonts w:cs="Arial"/>
          <w:color w:val="000000" w:themeColor="text1"/>
          <w:lang w:val="en-US"/>
        </w:rPr>
      </w:pPr>
      <w:r w:rsidRPr="001C3A47">
        <w:rPr>
          <w:rFonts w:cs="Arial"/>
          <w:color w:val="000000" w:themeColor="text1"/>
          <w:lang w:val="en-US"/>
        </w:rPr>
        <w:t>those that are in one guideline: e.g., leadership, assessment, transition, instruction and eliminating systemic racism</w:t>
      </w:r>
    </w:p>
    <w:p w14:paraId="0669DD4A" w14:textId="1A8FB342" w:rsidR="00BC767A" w:rsidRPr="001C3A47" w:rsidRDefault="00BC767A" w:rsidP="003B0B17">
      <w:pPr>
        <w:pStyle w:val="ListParagraph"/>
        <w:numPr>
          <w:ilvl w:val="0"/>
          <w:numId w:val="154"/>
        </w:numPr>
        <w:ind w:left="714" w:hanging="357"/>
        <w:contextualSpacing w:val="0"/>
        <w:rPr>
          <w:rFonts w:cs="Arial"/>
          <w:color w:val="000000" w:themeColor="text1"/>
          <w:lang w:val="en-US"/>
        </w:rPr>
      </w:pPr>
      <w:r w:rsidRPr="001C3A47">
        <w:rPr>
          <w:rFonts w:cs="Arial"/>
          <w:color w:val="000000" w:themeColor="text1"/>
          <w:lang w:val="en-US"/>
        </w:rPr>
        <w:t>provides clear definitions about, and differentiation between, principles and practices.</w:t>
      </w:r>
    </w:p>
    <w:p w14:paraId="265B0220" w14:textId="15DC9829" w:rsidR="00BC767A" w:rsidRPr="001C3A47" w:rsidRDefault="00BC767A" w:rsidP="003B0B17">
      <w:pPr>
        <w:pStyle w:val="ListParagraph"/>
        <w:numPr>
          <w:ilvl w:val="0"/>
          <w:numId w:val="154"/>
        </w:numPr>
        <w:ind w:left="714" w:hanging="357"/>
        <w:contextualSpacing w:val="0"/>
        <w:rPr>
          <w:rFonts w:cs="Arial"/>
          <w:color w:val="000000" w:themeColor="text1"/>
          <w:lang w:val="en-US"/>
        </w:rPr>
      </w:pPr>
      <w:r w:rsidRPr="001C3A47">
        <w:rPr>
          <w:rFonts w:cs="Arial"/>
          <w:color w:val="000000" w:themeColor="text1"/>
          <w:lang w:val="en-US"/>
        </w:rPr>
        <w:t>examines the suitability of terms such as ‘intervention’ that has been the cause of some debate nationally and internationally</w:t>
      </w:r>
    </w:p>
    <w:p w14:paraId="0C6D5FD8" w14:textId="4AC624AD" w:rsidR="00BC767A" w:rsidRPr="001C3A47" w:rsidRDefault="00BC767A" w:rsidP="003B0B17">
      <w:pPr>
        <w:pStyle w:val="ListParagraph"/>
        <w:numPr>
          <w:ilvl w:val="0"/>
          <w:numId w:val="154"/>
        </w:numPr>
        <w:ind w:left="714" w:hanging="357"/>
        <w:contextualSpacing w:val="0"/>
        <w:rPr>
          <w:rFonts w:cs="Arial"/>
          <w:color w:val="000000" w:themeColor="text1"/>
          <w:lang w:val="en-US"/>
        </w:rPr>
      </w:pPr>
      <w:r w:rsidRPr="001C3A47">
        <w:rPr>
          <w:rFonts w:cs="Arial"/>
          <w:color w:val="000000" w:themeColor="text1"/>
          <w:lang w:val="en-US"/>
        </w:rPr>
        <w:t xml:space="preserve">ensures that the ECI framework, and corresponding principles and practices, are informed and influenced by Aboriginal and Torres Strait Islander ways of knowing, being and doing </w:t>
      </w:r>
    </w:p>
    <w:p w14:paraId="5B028941" w14:textId="2E79DB23" w:rsidR="00BC767A" w:rsidRPr="001C3A47" w:rsidRDefault="00BC767A" w:rsidP="003B0B17">
      <w:pPr>
        <w:pStyle w:val="ListParagraph"/>
        <w:numPr>
          <w:ilvl w:val="0"/>
          <w:numId w:val="154"/>
        </w:numPr>
        <w:ind w:left="714" w:hanging="357"/>
        <w:contextualSpacing w:val="0"/>
        <w:rPr>
          <w:rFonts w:cs="Arial"/>
          <w:color w:val="000000" w:themeColor="text1"/>
          <w:lang w:val="en-US"/>
        </w:rPr>
      </w:pPr>
      <w:r w:rsidRPr="001C3A47">
        <w:rPr>
          <w:rFonts w:cs="Arial"/>
          <w:color w:val="000000" w:themeColor="text1"/>
          <w:lang w:val="en-US"/>
        </w:rPr>
        <w:t>ensures that practices and principles are founded on an understanding of the importance of responsive interactions for children’s learning and development</w:t>
      </w:r>
    </w:p>
    <w:p w14:paraId="5798B8F9" w14:textId="13D8A2D6" w:rsidR="00BC767A" w:rsidRDefault="00BC767A" w:rsidP="003B0B17">
      <w:pPr>
        <w:pStyle w:val="ListParagraph"/>
        <w:numPr>
          <w:ilvl w:val="0"/>
          <w:numId w:val="154"/>
        </w:numPr>
        <w:ind w:left="714" w:hanging="357"/>
        <w:contextualSpacing w:val="0"/>
        <w:rPr>
          <w:rFonts w:cs="Arial"/>
          <w:color w:val="000000" w:themeColor="text1"/>
          <w:lang w:val="en-US"/>
        </w:rPr>
      </w:pPr>
      <w:r w:rsidRPr="001C3A47">
        <w:rPr>
          <w:rFonts w:cs="Arial"/>
          <w:color w:val="000000" w:themeColor="text1"/>
          <w:lang w:val="en-US"/>
        </w:rPr>
        <w:t>considers the role of leadership in creating the conditions needed to support practitioners in providing high quality services</w:t>
      </w:r>
    </w:p>
    <w:p w14:paraId="3131F868" w14:textId="77777777" w:rsidR="001C3A47" w:rsidRDefault="001C3A47" w:rsidP="001C3A47">
      <w:pPr>
        <w:rPr>
          <w:rFonts w:cs="Arial"/>
          <w:color w:val="000000" w:themeColor="text1"/>
          <w:lang w:val="en-US"/>
        </w:rPr>
      </w:pPr>
    </w:p>
    <w:p w14:paraId="6D509BD8" w14:textId="77777777" w:rsidR="001C3A47" w:rsidRDefault="001C3A47" w:rsidP="001C3A47">
      <w:pPr>
        <w:rPr>
          <w:rFonts w:cs="Arial"/>
          <w:color w:val="000000" w:themeColor="text1"/>
          <w:lang w:val="en-US"/>
        </w:rPr>
      </w:pPr>
    </w:p>
    <w:p w14:paraId="2F96D088" w14:textId="77777777" w:rsidR="001C3A47" w:rsidRDefault="001C3A47" w:rsidP="001C3A47">
      <w:pPr>
        <w:rPr>
          <w:rFonts w:cs="Arial"/>
          <w:color w:val="000000" w:themeColor="text1"/>
          <w:lang w:val="en-US"/>
        </w:rPr>
      </w:pPr>
    </w:p>
    <w:p w14:paraId="451898C8" w14:textId="77777777" w:rsidR="001C3A47" w:rsidRDefault="001C3A47" w:rsidP="001C3A47">
      <w:pPr>
        <w:rPr>
          <w:rFonts w:cs="Arial"/>
          <w:color w:val="000000" w:themeColor="text1"/>
          <w:lang w:val="en-US"/>
        </w:rPr>
      </w:pPr>
    </w:p>
    <w:p w14:paraId="248FA540" w14:textId="77777777" w:rsidR="001C3A47" w:rsidRDefault="001C3A47" w:rsidP="001C3A47">
      <w:pPr>
        <w:rPr>
          <w:rFonts w:cs="Arial"/>
          <w:color w:val="000000" w:themeColor="text1"/>
          <w:lang w:val="en-US"/>
        </w:rPr>
      </w:pPr>
    </w:p>
    <w:p w14:paraId="229CC948" w14:textId="77777777" w:rsidR="001C3A47" w:rsidRDefault="001C3A47" w:rsidP="001C3A47">
      <w:pPr>
        <w:rPr>
          <w:rFonts w:cs="Arial"/>
          <w:color w:val="000000" w:themeColor="text1"/>
          <w:lang w:val="en-US"/>
        </w:rPr>
      </w:pPr>
    </w:p>
    <w:p w14:paraId="55A5DC68" w14:textId="77777777" w:rsidR="001C3A47" w:rsidRDefault="001C3A47" w:rsidP="001C3A47">
      <w:pPr>
        <w:rPr>
          <w:rFonts w:cs="Arial"/>
          <w:color w:val="000000" w:themeColor="text1"/>
          <w:lang w:val="en-US"/>
        </w:rPr>
      </w:pPr>
    </w:p>
    <w:p w14:paraId="072ACB50" w14:textId="77777777" w:rsidR="001C3A47" w:rsidRDefault="001C3A47" w:rsidP="001C3A47">
      <w:pPr>
        <w:rPr>
          <w:rFonts w:cs="Arial"/>
          <w:color w:val="000000" w:themeColor="text1"/>
          <w:lang w:val="en-US"/>
        </w:rPr>
      </w:pPr>
    </w:p>
    <w:p w14:paraId="192718B4" w14:textId="77777777" w:rsidR="00420F2E" w:rsidRPr="00420F2E" w:rsidRDefault="00420F2E" w:rsidP="00420F2E">
      <w:pPr>
        <w:pStyle w:val="Heading2"/>
        <w:rPr>
          <w:lang w:val="en-US"/>
        </w:rPr>
      </w:pPr>
      <w:bookmarkStart w:id="66" w:name="_Toc177730846"/>
      <w:r w:rsidRPr="00420F2E">
        <w:rPr>
          <w:lang w:val="en-US"/>
        </w:rPr>
        <w:t>Outcomes of early childhood intervention</w:t>
      </w:r>
      <w:bookmarkEnd w:id="66"/>
      <w:r w:rsidRPr="00420F2E">
        <w:rPr>
          <w:lang w:val="en-US"/>
        </w:rPr>
        <w:t xml:space="preserve"> </w:t>
      </w:r>
    </w:p>
    <w:p w14:paraId="0BEB7FFE" w14:textId="77777777" w:rsidR="00420F2E" w:rsidRPr="00420F2E" w:rsidRDefault="00420F2E" w:rsidP="00420F2E">
      <w:pPr>
        <w:rPr>
          <w:rFonts w:cs="Arial"/>
          <w:b/>
          <w:bCs/>
          <w:i/>
          <w:iCs/>
          <w:color w:val="000000" w:themeColor="text1"/>
          <w:lang w:val="en-US"/>
        </w:rPr>
      </w:pPr>
      <w:r w:rsidRPr="00420F2E">
        <w:rPr>
          <w:rFonts w:cs="Arial"/>
          <w:b/>
          <w:bCs/>
          <w:i/>
          <w:iCs/>
          <w:color w:val="000000" w:themeColor="text1"/>
          <w:lang w:val="en-US"/>
        </w:rPr>
        <w:t>Conceptualisation of outcomes</w:t>
      </w:r>
    </w:p>
    <w:p w14:paraId="6499FB81" w14:textId="77777777" w:rsidR="00420F2E" w:rsidRPr="00420F2E" w:rsidRDefault="00420F2E" w:rsidP="00420F2E">
      <w:pPr>
        <w:rPr>
          <w:rFonts w:cs="Arial"/>
          <w:color w:val="000000" w:themeColor="text1"/>
          <w:lang w:val="en-US"/>
        </w:rPr>
      </w:pPr>
      <w:r w:rsidRPr="00420F2E">
        <w:rPr>
          <w:rFonts w:cs="Arial"/>
          <w:color w:val="000000" w:themeColor="text1"/>
          <w:lang w:val="en-US"/>
        </w:rPr>
        <w:t xml:space="preserve">The identification of outcomes for children with disability and their families, who participate in ECI programs, has long been a feature of ECI research (Bailey &amp; Bruder, 2005; Epley et al., 2011; Hebbeler et al., 2007). Despite these developments, the gap between empirically supported practices and the actual practices used by practitioners in the field, and the need for the establishment of processes to narrow the distance between them has remained a concern (Cook &amp; Odom, 2013; Odom, 2008). This observation is reflected in the considerable variation across jurisdictions, ranging from limited identification of outcomes to established systems and measurement of outcomes. </w:t>
      </w:r>
    </w:p>
    <w:p w14:paraId="0252619A" w14:textId="77777777" w:rsidR="00420F2E" w:rsidRPr="00420F2E" w:rsidRDefault="00420F2E" w:rsidP="00420F2E">
      <w:pPr>
        <w:rPr>
          <w:rFonts w:cs="Arial"/>
          <w:color w:val="000000" w:themeColor="text1"/>
          <w:lang w:val="en-US"/>
        </w:rPr>
      </w:pPr>
      <w:r w:rsidRPr="00420F2E">
        <w:rPr>
          <w:rFonts w:cs="Arial"/>
          <w:color w:val="000000" w:themeColor="text1"/>
          <w:lang w:val="en-US"/>
        </w:rPr>
        <w:t xml:space="preserve">Australia’s current ECI guidelines and the US recommended practices have adopted an outcome-based approach as an integral part of their ECI frameworks. Importantly, however, the Australian guidelines do not specify sets of outcomes compared to the US system, where they are clearly identified. Nevertheless, at a general level, they both align with contemporary ECI understandings, which focus on high quality functional outcomes for children (i.e., learning and participation in everyday environments); family outcomes (i.e., sustainability of everyday routines, advocacy skills; family and social supports) and community outcomes (i.e., engagement and participation in home and community). </w:t>
      </w:r>
    </w:p>
    <w:p w14:paraId="2D770D57" w14:textId="77777777" w:rsidR="00420F2E" w:rsidRPr="00420F2E" w:rsidRDefault="00420F2E" w:rsidP="00420F2E">
      <w:pPr>
        <w:rPr>
          <w:rFonts w:cs="Arial"/>
          <w:color w:val="000000" w:themeColor="text1"/>
          <w:lang w:val="en-US"/>
        </w:rPr>
      </w:pPr>
      <w:r w:rsidRPr="00420F2E">
        <w:rPr>
          <w:rFonts w:cs="Arial"/>
          <w:color w:val="000000" w:themeColor="text1"/>
          <w:lang w:val="en-US"/>
        </w:rPr>
        <w:t xml:space="preserve">In the literature, family outcomes have also been identified to include other aspects of children’s and families’ participation in ECI programs, such as quality of life (Bhopti et al., 2016), parent satisfaction and community engagement (McCarthy et al., 2021). The extent to which an outcome-based approach particularly for family- and community-related outcomes is understood, adopted, and used by professionals and families in service provision (e.g., information giving, planning, goal setting, ECI strategy implementation) remains unknown in the Australian context. Furthermore, how ECI best practices support child, family- and community- outcomes levels is also unclear. </w:t>
      </w:r>
    </w:p>
    <w:p w14:paraId="4B478585" w14:textId="77777777" w:rsidR="00420F2E" w:rsidRPr="00420F2E" w:rsidRDefault="00420F2E" w:rsidP="00420F2E">
      <w:pPr>
        <w:rPr>
          <w:rFonts w:cs="Arial"/>
          <w:color w:val="000000" w:themeColor="text1"/>
          <w:lang w:val="en-US"/>
        </w:rPr>
      </w:pPr>
      <w:r w:rsidRPr="00420F2E">
        <w:rPr>
          <w:rFonts w:cs="Arial"/>
          <w:color w:val="000000" w:themeColor="text1"/>
          <w:lang w:val="en-US"/>
        </w:rPr>
        <w:t>Other jurisdictions consider outcomes for children with disability as those for all young children and their families regardless of ability, emphasizing well-being, inclusive, participatory, and cultural experiences of families. This is particularly the case for New Zealand and Aboriginal and Torres Strait Islander contexts. European reports indicate the need to focus on learning and developmental outcomes (Carpenter, 2009) at the intervention level, while others specify outcomes in association with inclusion and active participation, being a critical element of ECI best practice.  The latter, in particular, identifies child belongingness, engagement and learning as key outcomes as part of Ecosystem Model of Inclusive Early Childhood Education (Bartolo et al., 2016). The UK England system focuses on learning, development, and health outcomes, adopting a typical developmental domain like approach to the identification of outcomes.  Family and community outcomes as such are not identified in these jurisdictions while consideration is given to the importance of family engagement and parent-professional collaborations.</w:t>
      </w:r>
    </w:p>
    <w:p w14:paraId="11DA11AA" w14:textId="77777777" w:rsidR="00420F2E" w:rsidRPr="00420F2E" w:rsidRDefault="00420F2E" w:rsidP="00420F2E">
      <w:pPr>
        <w:rPr>
          <w:rFonts w:cs="Arial"/>
          <w:b/>
          <w:bCs/>
          <w:i/>
          <w:iCs/>
          <w:color w:val="000000" w:themeColor="text1"/>
          <w:lang w:val="en-US"/>
        </w:rPr>
      </w:pPr>
      <w:r w:rsidRPr="00420F2E">
        <w:rPr>
          <w:rFonts w:cs="Arial"/>
          <w:b/>
          <w:bCs/>
          <w:i/>
          <w:iCs/>
          <w:color w:val="000000" w:themeColor="text1"/>
          <w:lang w:val="en-US"/>
        </w:rPr>
        <w:t>Measurement and tracking of outcomes</w:t>
      </w:r>
    </w:p>
    <w:p w14:paraId="75E47222" w14:textId="77777777" w:rsidR="00420F2E" w:rsidRPr="00420F2E" w:rsidRDefault="00420F2E" w:rsidP="00420F2E">
      <w:pPr>
        <w:rPr>
          <w:rFonts w:cs="Arial"/>
          <w:color w:val="000000" w:themeColor="text1"/>
          <w:lang w:val="en-US"/>
        </w:rPr>
      </w:pPr>
      <w:r w:rsidRPr="00420F2E">
        <w:rPr>
          <w:rFonts w:cs="Arial"/>
          <w:color w:val="000000" w:themeColor="text1"/>
          <w:lang w:val="en-US"/>
        </w:rPr>
        <w:t>A closely aligned theme with an outcome-based approach in ECI frameworks is the issue of measurement, a crucial component of ECI frameworks for purposes of evaluation and monitoring of process and intervention outcomes for children, families and communities (Guralnick, 2023). How the measurement of outcomes along these lines has been adopted across jurisdictions also presents large variation.  Notably, the US ECI system has created extensive measurement and data collection arrangements with the aim of quality improvement and accountability (ECTA, 2024). Progress on individual and system-wide outcomes are measured in order to make decisions about system and practice improvements. A series of steps to ensure quality data includes:</w:t>
      </w:r>
    </w:p>
    <w:p w14:paraId="57FB7836" w14:textId="1423D5B4" w:rsidR="00420F2E" w:rsidRPr="00420F2E" w:rsidRDefault="00420F2E" w:rsidP="003B0B17">
      <w:pPr>
        <w:pStyle w:val="ListParagraph"/>
        <w:numPr>
          <w:ilvl w:val="0"/>
          <w:numId w:val="155"/>
        </w:numPr>
        <w:ind w:left="714" w:hanging="357"/>
        <w:contextualSpacing w:val="0"/>
        <w:rPr>
          <w:rFonts w:cs="Arial"/>
          <w:color w:val="000000" w:themeColor="text1"/>
          <w:lang w:val="en-US"/>
        </w:rPr>
      </w:pPr>
      <w:r w:rsidRPr="00420F2E">
        <w:rPr>
          <w:rFonts w:cs="Arial"/>
          <w:color w:val="000000" w:themeColor="text1"/>
          <w:lang w:val="en-US"/>
        </w:rPr>
        <w:t>training and support for staff before and during data collection</w:t>
      </w:r>
    </w:p>
    <w:p w14:paraId="653FA52D" w14:textId="3DCA0912" w:rsidR="00420F2E" w:rsidRPr="00420F2E" w:rsidRDefault="00420F2E" w:rsidP="003B0B17">
      <w:pPr>
        <w:pStyle w:val="ListParagraph"/>
        <w:numPr>
          <w:ilvl w:val="0"/>
          <w:numId w:val="155"/>
        </w:numPr>
        <w:ind w:left="714" w:hanging="357"/>
        <w:contextualSpacing w:val="0"/>
        <w:rPr>
          <w:rFonts w:cs="Arial"/>
          <w:color w:val="000000" w:themeColor="text1"/>
          <w:lang w:val="en-US"/>
        </w:rPr>
      </w:pPr>
      <w:r w:rsidRPr="00420F2E">
        <w:rPr>
          <w:rFonts w:cs="Arial"/>
          <w:color w:val="000000" w:themeColor="text1"/>
          <w:lang w:val="en-US"/>
        </w:rPr>
        <w:t>a good data system and data entry procedures</w:t>
      </w:r>
    </w:p>
    <w:p w14:paraId="55B0AF53" w14:textId="22BDDD2E" w:rsidR="00420F2E" w:rsidRPr="00420F2E" w:rsidRDefault="00420F2E" w:rsidP="003B0B17">
      <w:pPr>
        <w:pStyle w:val="ListParagraph"/>
        <w:numPr>
          <w:ilvl w:val="0"/>
          <w:numId w:val="155"/>
        </w:numPr>
        <w:ind w:left="714" w:hanging="357"/>
        <w:contextualSpacing w:val="0"/>
        <w:rPr>
          <w:rFonts w:cs="Arial"/>
          <w:color w:val="000000" w:themeColor="text1"/>
          <w:lang w:val="en-US"/>
        </w:rPr>
      </w:pPr>
      <w:r w:rsidRPr="00420F2E">
        <w:rPr>
          <w:rFonts w:cs="Arial"/>
          <w:color w:val="000000" w:themeColor="text1"/>
          <w:lang w:val="en-US"/>
        </w:rPr>
        <w:t>ongoing supervision and feedback to implementers</w:t>
      </w:r>
    </w:p>
    <w:p w14:paraId="7642E648" w14:textId="68DAE3F5" w:rsidR="00420F2E" w:rsidRPr="00420F2E" w:rsidRDefault="00420F2E" w:rsidP="003B0B17">
      <w:pPr>
        <w:pStyle w:val="ListParagraph"/>
        <w:numPr>
          <w:ilvl w:val="0"/>
          <w:numId w:val="155"/>
        </w:numPr>
        <w:ind w:left="714" w:hanging="357"/>
        <w:contextualSpacing w:val="0"/>
        <w:rPr>
          <w:rFonts w:cs="Arial"/>
          <w:color w:val="000000" w:themeColor="text1"/>
          <w:lang w:val="en-US"/>
        </w:rPr>
      </w:pPr>
      <w:r w:rsidRPr="00420F2E">
        <w:rPr>
          <w:rFonts w:cs="Arial"/>
          <w:color w:val="000000" w:themeColor="text1"/>
          <w:lang w:val="en-US"/>
        </w:rPr>
        <w:t>analysis of the data after data collection</w:t>
      </w:r>
    </w:p>
    <w:p w14:paraId="7F893DE8" w14:textId="30681B53" w:rsidR="00420F2E" w:rsidRPr="00420F2E" w:rsidRDefault="00420F2E" w:rsidP="003B0B17">
      <w:pPr>
        <w:pStyle w:val="ListParagraph"/>
        <w:numPr>
          <w:ilvl w:val="0"/>
          <w:numId w:val="155"/>
        </w:numPr>
        <w:ind w:left="714" w:hanging="357"/>
        <w:contextualSpacing w:val="0"/>
        <w:rPr>
          <w:rFonts w:cs="Arial"/>
          <w:color w:val="000000" w:themeColor="text1"/>
          <w:lang w:val="en-US"/>
        </w:rPr>
      </w:pPr>
      <w:r w:rsidRPr="00420F2E">
        <w:rPr>
          <w:rFonts w:cs="Arial"/>
          <w:color w:val="000000" w:themeColor="text1"/>
          <w:lang w:val="en-US"/>
        </w:rPr>
        <w:t>validity checks</w:t>
      </w:r>
    </w:p>
    <w:p w14:paraId="49B4DE2F" w14:textId="3A542C3F" w:rsidR="001C3A47" w:rsidRDefault="00420F2E" w:rsidP="00420F2E">
      <w:pPr>
        <w:rPr>
          <w:rFonts w:cs="Arial"/>
          <w:color w:val="000000" w:themeColor="text1"/>
          <w:lang w:val="en-US"/>
        </w:rPr>
      </w:pPr>
      <w:r w:rsidRPr="00420F2E">
        <w:rPr>
          <w:rFonts w:cs="Arial"/>
          <w:color w:val="000000" w:themeColor="text1"/>
          <w:lang w:val="en-US"/>
        </w:rPr>
        <w:t>Australia does not count on a measurement system that is aligned with the ECI practice guidelines nor does the New Zealand framework. In regard to Aboriginal and Torres Strait Islander contexts, the National Agreement on Closing the Gap has four reform areas, one of which is related to data "...that Aboriginal and Torres Strait Islander people have access to, and the capability to use, locally-relevant data and information to set and monitor the implementation of efforts to close the gap, their priorities and drive their own development.” (2020). However, the extent to which this data is specific to the implementation of best practice for children with developmental concerns, delays or disability is not clearly evident.  The UK-England system consists of a measure which generates individual data for monitoring of child development for all birth</w:t>
      </w:r>
      <w:r w:rsidR="00BB1872">
        <w:rPr>
          <w:rFonts w:cs="Arial"/>
          <w:color w:val="000000" w:themeColor="text1"/>
          <w:lang w:val="en-US"/>
        </w:rPr>
        <w:t xml:space="preserve"> to </w:t>
      </w:r>
      <w:r w:rsidR="00BB1872" w:rsidRPr="00420F2E">
        <w:rPr>
          <w:rFonts w:cs="Arial"/>
          <w:color w:val="000000" w:themeColor="text1"/>
          <w:lang w:val="en-US"/>
        </w:rPr>
        <w:t>5-year-old</w:t>
      </w:r>
      <w:r w:rsidRPr="00420F2E">
        <w:rPr>
          <w:rFonts w:cs="Arial"/>
          <w:color w:val="000000" w:themeColor="text1"/>
          <w:lang w:val="en-US"/>
        </w:rPr>
        <w:t xml:space="preserve"> children, not specific to young children with disability nor targeted to an ECI practice framework.</w:t>
      </w:r>
    </w:p>
    <w:p w14:paraId="2916B5CA" w14:textId="77777777" w:rsidR="00CA2F6B" w:rsidRDefault="00CA2F6B" w:rsidP="00566735">
      <w:pPr>
        <w:rPr>
          <w:rFonts w:cs="Arial"/>
          <w:b/>
          <w:bCs/>
          <w:color w:val="0C2C74"/>
          <w:lang w:val="en-US"/>
        </w:rPr>
      </w:pPr>
    </w:p>
    <w:p w14:paraId="3EAA24F6" w14:textId="77777777" w:rsidR="00CA2F6B" w:rsidRDefault="00CA2F6B" w:rsidP="00566735">
      <w:pPr>
        <w:rPr>
          <w:rFonts w:cs="Arial"/>
          <w:b/>
          <w:bCs/>
          <w:color w:val="0C2C74"/>
          <w:lang w:val="en-US"/>
        </w:rPr>
      </w:pPr>
    </w:p>
    <w:p w14:paraId="07285C92" w14:textId="77777777" w:rsidR="00CA2F6B" w:rsidRDefault="00CA2F6B" w:rsidP="00566735">
      <w:pPr>
        <w:rPr>
          <w:rFonts w:cs="Arial"/>
          <w:b/>
          <w:bCs/>
          <w:color w:val="0C2C74"/>
          <w:lang w:val="en-US"/>
        </w:rPr>
      </w:pPr>
    </w:p>
    <w:p w14:paraId="27F111DE" w14:textId="77777777" w:rsidR="00CA2F6B" w:rsidRDefault="00CA2F6B" w:rsidP="00566735">
      <w:pPr>
        <w:rPr>
          <w:rFonts w:cs="Arial"/>
          <w:b/>
          <w:bCs/>
          <w:color w:val="0C2C74"/>
          <w:lang w:val="en-US"/>
        </w:rPr>
      </w:pPr>
    </w:p>
    <w:p w14:paraId="55872A58" w14:textId="77777777" w:rsidR="00CA2F6B" w:rsidRDefault="00CA2F6B" w:rsidP="00566735">
      <w:pPr>
        <w:rPr>
          <w:rFonts w:cs="Arial"/>
          <w:b/>
          <w:bCs/>
          <w:color w:val="0C2C74"/>
          <w:lang w:val="en-US"/>
        </w:rPr>
      </w:pPr>
    </w:p>
    <w:p w14:paraId="18D10D99" w14:textId="77777777" w:rsidR="00CA2F6B" w:rsidRDefault="00CA2F6B" w:rsidP="00566735">
      <w:pPr>
        <w:rPr>
          <w:rFonts w:cs="Arial"/>
          <w:b/>
          <w:bCs/>
          <w:color w:val="0C2C74"/>
          <w:lang w:val="en-US"/>
        </w:rPr>
      </w:pPr>
    </w:p>
    <w:p w14:paraId="47497B9F" w14:textId="77777777" w:rsidR="00CA2F6B" w:rsidRDefault="00CA2F6B" w:rsidP="00566735">
      <w:pPr>
        <w:rPr>
          <w:rFonts w:cs="Arial"/>
          <w:b/>
          <w:bCs/>
          <w:color w:val="0C2C74"/>
          <w:lang w:val="en-US"/>
        </w:rPr>
      </w:pPr>
    </w:p>
    <w:p w14:paraId="6540E1A7" w14:textId="77777777" w:rsidR="00CA2F6B" w:rsidRDefault="00CA2F6B" w:rsidP="00566735">
      <w:pPr>
        <w:rPr>
          <w:rFonts w:cs="Arial"/>
          <w:b/>
          <w:bCs/>
          <w:color w:val="0C2C74"/>
          <w:lang w:val="en-US"/>
        </w:rPr>
      </w:pPr>
    </w:p>
    <w:p w14:paraId="5DF68177" w14:textId="77777777" w:rsidR="00CA2F6B" w:rsidRDefault="00CA2F6B" w:rsidP="00566735">
      <w:pPr>
        <w:rPr>
          <w:rFonts w:cs="Arial"/>
          <w:b/>
          <w:bCs/>
          <w:color w:val="0C2C74"/>
          <w:lang w:val="en-US"/>
        </w:rPr>
      </w:pPr>
    </w:p>
    <w:p w14:paraId="060E5F2E" w14:textId="77777777" w:rsidR="00CA2F6B" w:rsidRDefault="00CA2F6B" w:rsidP="00566735">
      <w:pPr>
        <w:rPr>
          <w:rFonts w:cs="Arial"/>
          <w:b/>
          <w:bCs/>
          <w:color w:val="0C2C74"/>
          <w:lang w:val="en-US"/>
        </w:rPr>
      </w:pPr>
    </w:p>
    <w:p w14:paraId="18EB8994" w14:textId="77777777" w:rsidR="00CA2F6B" w:rsidRDefault="00CA2F6B" w:rsidP="00566735">
      <w:pPr>
        <w:rPr>
          <w:rFonts w:cs="Arial"/>
          <w:b/>
          <w:bCs/>
          <w:color w:val="0C2C74"/>
          <w:lang w:val="en-US"/>
        </w:rPr>
      </w:pPr>
    </w:p>
    <w:p w14:paraId="4FA5F0EB" w14:textId="77777777" w:rsidR="00CA2F6B" w:rsidRDefault="00CA2F6B" w:rsidP="00566735">
      <w:pPr>
        <w:rPr>
          <w:rFonts w:cs="Arial"/>
          <w:b/>
          <w:bCs/>
          <w:color w:val="0C2C74"/>
          <w:lang w:val="en-US"/>
        </w:rPr>
      </w:pPr>
    </w:p>
    <w:p w14:paraId="3CD7A045" w14:textId="77777777" w:rsidR="00CA2F6B" w:rsidRDefault="00CA2F6B" w:rsidP="00566735">
      <w:pPr>
        <w:rPr>
          <w:rFonts w:cs="Arial"/>
          <w:b/>
          <w:bCs/>
          <w:color w:val="0C2C74"/>
          <w:lang w:val="en-US"/>
        </w:rPr>
      </w:pPr>
    </w:p>
    <w:p w14:paraId="36BECD45" w14:textId="77777777" w:rsidR="00CA2F6B" w:rsidRDefault="00CA2F6B" w:rsidP="00566735">
      <w:pPr>
        <w:rPr>
          <w:rFonts w:cs="Arial"/>
          <w:b/>
          <w:bCs/>
          <w:color w:val="0C2C74"/>
          <w:lang w:val="en-US"/>
        </w:rPr>
      </w:pPr>
    </w:p>
    <w:p w14:paraId="2DD8D27E" w14:textId="77777777" w:rsidR="00CA2F6B" w:rsidRDefault="00CA2F6B" w:rsidP="00566735">
      <w:pPr>
        <w:rPr>
          <w:rFonts w:cs="Arial"/>
          <w:b/>
          <w:bCs/>
          <w:color w:val="0C2C74"/>
          <w:lang w:val="en-US"/>
        </w:rPr>
      </w:pPr>
    </w:p>
    <w:p w14:paraId="690DC83A" w14:textId="77777777" w:rsidR="00CA2F6B" w:rsidRDefault="00CA2F6B" w:rsidP="00566735">
      <w:pPr>
        <w:rPr>
          <w:rFonts w:cs="Arial"/>
          <w:b/>
          <w:bCs/>
          <w:color w:val="0C2C74"/>
          <w:lang w:val="en-US"/>
        </w:rPr>
      </w:pPr>
    </w:p>
    <w:p w14:paraId="10DD13CB" w14:textId="476B91C8" w:rsidR="00566735" w:rsidRPr="00566735" w:rsidRDefault="00CA2F6B" w:rsidP="00566735">
      <w:pPr>
        <w:rPr>
          <w:rFonts w:cs="Arial"/>
          <w:b/>
          <w:bCs/>
          <w:color w:val="0C2C74"/>
          <w:lang w:val="en-US"/>
        </w:rPr>
      </w:pPr>
      <w:r>
        <w:rPr>
          <w:rFonts w:cs="Arial"/>
          <w:b/>
          <w:bCs/>
          <w:noProof/>
          <w:color w:val="0C2C74"/>
          <w:lang w:val="en-US"/>
        </w:rPr>
        <mc:AlternateContent>
          <mc:Choice Requires="wps">
            <w:drawing>
              <wp:anchor distT="0" distB="0" distL="114300" distR="114300" simplePos="0" relativeHeight="251670528" behindDoc="1" locked="1" layoutInCell="1" allowOverlap="1" wp14:anchorId="04C4832C" wp14:editId="7333C8FA">
                <wp:simplePos x="0" y="0"/>
                <wp:positionH relativeFrom="column">
                  <wp:posOffset>-488950</wp:posOffset>
                </wp:positionH>
                <wp:positionV relativeFrom="page">
                  <wp:posOffset>551180</wp:posOffset>
                </wp:positionV>
                <wp:extent cx="6724650" cy="6132195"/>
                <wp:effectExtent l="0" t="0" r="6350" b="1905"/>
                <wp:wrapNone/>
                <wp:docPr id="211737066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0" cy="6132195"/>
                        </a:xfrm>
                        <a:prstGeom prst="rect">
                          <a:avLst/>
                        </a:prstGeom>
                        <a:solidFill>
                          <a:srgbClr val="8087A3">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A2079" id="Rectangle 4" o:spid="_x0000_s1026" alt="&quot;&quot;" style="position:absolute;margin-left:-38.5pt;margin-top:43.4pt;width:529.5pt;height:48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" fillcolor="#8087a3" stroked="f" strokeweight="1pt">
                <v:fill opacity="19789f"/>
                <w10:wrap anchory="page"/>
                <w10:anchorlock/>
              </v:rect>
            </w:pict>
          </mc:Fallback>
        </mc:AlternateContent>
      </w:r>
      <w:r w:rsidR="00566735" w:rsidRPr="00566735">
        <w:rPr>
          <w:rFonts w:cs="Arial"/>
          <w:b/>
          <w:bCs/>
          <w:color w:val="0C2C74"/>
          <w:lang w:val="en-US"/>
        </w:rPr>
        <w:t>Implications</w:t>
      </w:r>
    </w:p>
    <w:p w14:paraId="0C4D0C25" w14:textId="77777777" w:rsidR="00566735" w:rsidRPr="00566735" w:rsidRDefault="00566735" w:rsidP="00566735">
      <w:pPr>
        <w:rPr>
          <w:rFonts w:cs="Arial"/>
          <w:color w:val="000000" w:themeColor="text1"/>
          <w:lang w:val="en-US"/>
        </w:rPr>
      </w:pPr>
      <w:r w:rsidRPr="00566735">
        <w:rPr>
          <w:rFonts w:cs="Arial"/>
          <w:color w:val="000000" w:themeColor="text1"/>
          <w:lang w:val="en-US"/>
        </w:rPr>
        <w:t xml:space="preserve">It is recommended that the ECI Best Practice Framework: </w:t>
      </w:r>
    </w:p>
    <w:p w14:paraId="02D7A02B" w14:textId="3019F695" w:rsidR="00566735" w:rsidRPr="00566735" w:rsidRDefault="00566735" w:rsidP="003B0B17">
      <w:pPr>
        <w:pStyle w:val="ListParagraph"/>
        <w:numPr>
          <w:ilvl w:val="0"/>
          <w:numId w:val="156"/>
        </w:numPr>
        <w:ind w:left="714" w:hanging="357"/>
        <w:contextualSpacing w:val="0"/>
        <w:rPr>
          <w:rFonts w:cs="Arial"/>
          <w:color w:val="000000" w:themeColor="text1"/>
          <w:lang w:val="en-US"/>
        </w:rPr>
      </w:pPr>
      <w:r w:rsidRPr="00566735">
        <w:rPr>
          <w:rFonts w:cs="Arial"/>
          <w:color w:val="000000" w:themeColor="text1"/>
          <w:lang w:val="en-US"/>
        </w:rPr>
        <w:t xml:space="preserve">be grounded in a conceptualisation and operationalisation of an outcome-based system for all children, families, and communities in line with identified practices and guidelines </w:t>
      </w:r>
    </w:p>
    <w:p w14:paraId="252831FE" w14:textId="6F158C6A" w:rsidR="00566735" w:rsidRPr="00566735" w:rsidRDefault="00566735" w:rsidP="003B0B17">
      <w:pPr>
        <w:pStyle w:val="ListParagraph"/>
        <w:numPr>
          <w:ilvl w:val="0"/>
          <w:numId w:val="156"/>
        </w:numPr>
        <w:ind w:left="714" w:hanging="357"/>
        <w:contextualSpacing w:val="0"/>
        <w:rPr>
          <w:rFonts w:cs="Arial"/>
          <w:color w:val="000000" w:themeColor="text1"/>
          <w:lang w:val="en-US"/>
        </w:rPr>
      </w:pPr>
      <w:r w:rsidRPr="00566735">
        <w:rPr>
          <w:rFonts w:cs="Arial"/>
          <w:color w:val="000000" w:themeColor="text1"/>
          <w:lang w:val="en-US"/>
        </w:rPr>
        <w:t>enables the effective delivery of services along an identified pathway of outcomes for all involved, from access to key information to planning, goal development and identification and implementation of evidence informed ECI strategies in family and community settings</w:t>
      </w:r>
    </w:p>
    <w:p w14:paraId="1212A2BD" w14:textId="28B8B9FE" w:rsidR="00566735" w:rsidRPr="00566735" w:rsidRDefault="00566735" w:rsidP="003B0B17">
      <w:pPr>
        <w:pStyle w:val="ListParagraph"/>
        <w:numPr>
          <w:ilvl w:val="0"/>
          <w:numId w:val="156"/>
        </w:numPr>
        <w:ind w:left="714" w:hanging="357"/>
        <w:contextualSpacing w:val="0"/>
        <w:rPr>
          <w:rFonts w:cs="Arial"/>
          <w:color w:val="000000" w:themeColor="text1"/>
          <w:lang w:val="en-US"/>
        </w:rPr>
      </w:pPr>
      <w:r w:rsidRPr="00566735">
        <w:rPr>
          <w:rFonts w:cs="Arial"/>
          <w:color w:val="000000" w:themeColor="text1"/>
          <w:lang w:val="en-US"/>
        </w:rPr>
        <w:t>ensures the specification of child outcomes (e.g., learning and participation in everyday environments); family outcomes (e.g., sustainability of everyday routines, advocacy skills; family and social supports) and community outcomes (e.g., engagement and participation in home and community)</w:t>
      </w:r>
    </w:p>
    <w:p w14:paraId="6FF9DF62" w14:textId="51C405F0" w:rsidR="00566735" w:rsidRPr="00566735" w:rsidRDefault="00566735" w:rsidP="003B0B17">
      <w:pPr>
        <w:pStyle w:val="ListParagraph"/>
        <w:numPr>
          <w:ilvl w:val="0"/>
          <w:numId w:val="156"/>
        </w:numPr>
        <w:ind w:left="714" w:hanging="357"/>
        <w:contextualSpacing w:val="0"/>
        <w:rPr>
          <w:rFonts w:cs="Arial"/>
          <w:color w:val="000000" w:themeColor="text1"/>
          <w:lang w:val="en-US"/>
        </w:rPr>
      </w:pPr>
      <w:r w:rsidRPr="00566735">
        <w:rPr>
          <w:rFonts w:cs="Arial"/>
          <w:color w:val="000000" w:themeColor="text1"/>
          <w:lang w:val="en-US"/>
        </w:rPr>
        <w:t xml:space="preserve">contains resources for professionals and families to support understanding and adoption of child, family, and community outcomes in ECI service provision </w:t>
      </w:r>
    </w:p>
    <w:p w14:paraId="5FFBB1AE" w14:textId="682498A9" w:rsidR="00566735" w:rsidRPr="00566735" w:rsidRDefault="00566735" w:rsidP="003B0B17">
      <w:pPr>
        <w:pStyle w:val="ListParagraph"/>
        <w:numPr>
          <w:ilvl w:val="0"/>
          <w:numId w:val="156"/>
        </w:numPr>
        <w:ind w:left="714" w:hanging="357"/>
        <w:contextualSpacing w:val="0"/>
        <w:rPr>
          <w:rFonts w:cs="Arial"/>
          <w:color w:val="000000" w:themeColor="text1"/>
          <w:lang w:val="en-US"/>
        </w:rPr>
      </w:pPr>
      <w:r w:rsidRPr="00566735">
        <w:rPr>
          <w:rFonts w:cs="Arial"/>
          <w:color w:val="000000" w:themeColor="text1"/>
          <w:lang w:val="en-US"/>
        </w:rPr>
        <w:t>develops tools to support professionals and families in the measurement of outcomes at different levels of service provision</w:t>
      </w:r>
    </w:p>
    <w:p w14:paraId="55DC3C72" w14:textId="5F016861" w:rsidR="00566735" w:rsidRPr="00566735" w:rsidRDefault="00566735" w:rsidP="003B0B17">
      <w:pPr>
        <w:pStyle w:val="ListParagraph"/>
        <w:numPr>
          <w:ilvl w:val="0"/>
          <w:numId w:val="156"/>
        </w:numPr>
        <w:ind w:left="714" w:hanging="357"/>
        <w:contextualSpacing w:val="0"/>
        <w:rPr>
          <w:rFonts w:cs="Arial"/>
          <w:color w:val="000000" w:themeColor="text1"/>
          <w:lang w:val="en-US"/>
        </w:rPr>
      </w:pPr>
      <w:r w:rsidRPr="00566735">
        <w:rPr>
          <w:rFonts w:cs="Arial"/>
          <w:color w:val="000000" w:themeColor="text1"/>
          <w:lang w:val="en-US"/>
        </w:rPr>
        <w:t>creates evidence-based professional development initiatives for the identification of family outcomes and their inclusion in individual planning and goal development</w:t>
      </w:r>
    </w:p>
    <w:p w14:paraId="35B3479A" w14:textId="540E3B09" w:rsidR="00566735" w:rsidRDefault="00566735" w:rsidP="003B0B17">
      <w:pPr>
        <w:pStyle w:val="ListParagraph"/>
        <w:numPr>
          <w:ilvl w:val="0"/>
          <w:numId w:val="156"/>
        </w:numPr>
        <w:ind w:left="714" w:hanging="357"/>
        <w:contextualSpacing w:val="0"/>
        <w:rPr>
          <w:rFonts w:cs="Arial"/>
          <w:color w:val="000000" w:themeColor="text1"/>
          <w:lang w:val="en-US"/>
        </w:rPr>
      </w:pPr>
      <w:r w:rsidRPr="00566735">
        <w:rPr>
          <w:rFonts w:cs="Arial"/>
          <w:color w:val="000000" w:themeColor="text1"/>
          <w:lang w:val="en-US"/>
        </w:rPr>
        <w:t>develops a cycle of monitoring of outcomes at a system, individual child/family level that a have a direct impact on all aspects of service provision. A data monitoring system will need to include targets specified for a diversity of children and families (e.g., National Agreement on Closing the Gap) and consideration of various data sources (e.g., Australian Early Development Census)</w:t>
      </w:r>
    </w:p>
    <w:p w14:paraId="615FAF49" w14:textId="77777777" w:rsidR="00CA2F6B" w:rsidRDefault="00CA2F6B" w:rsidP="00CA2F6B">
      <w:pPr>
        <w:rPr>
          <w:rFonts w:cs="Arial"/>
          <w:color w:val="000000" w:themeColor="text1"/>
          <w:lang w:val="en-US"/>
        </w:rPr>
      </w:pPr>
    </w:p>
    <w:p w14:paraId="07F547B1" w14:textId="77777777" w:rsidR="00CA2F6B" w:rsidRDefault="00CA2F6B" w:rsidP="00CA2F6B">
      <w:pPr>
        <w:rPr>
          <w:rFonts w:cs="Arial"/>
          <w:color w:val="000000" w:themeColor="text1"/>
          <w:lang w:val="en-US"/>
        </w:rPr>
      </w:pPr>
    </w:p>
    <w:p w14:paraId="125028A6" w14:textId="77777777" w:rsidR="00EB72E2" w:rsidRPr="00EB72E2" w:rsidRDefault="00EB72E2" w:rsidP="00EB72E2">
      <w:pPr>
        <w:pStyle w:val="Heading2"/>
      </w:pPr>
      <w:bookmarkStart w:id="67" w:name="_Toc177730847"/>
      <w:r w:rsidRPr="00EB72E2">
        <w:t>Implementation (processes, indicators and tools)</w:t>
      </w:r>
      <w:bookmarkEnd w:id="67"/>
      <w:r w:rsidRPr="00EB72E2">
        <w:t xml:space="preserve"> </w:t>
      </w:r>
    </w:p>
    <w:p w14:paraId="28342287" w14:textId="77777777" w:rsidR="00EB72E2" w:rsidRPr="00EB72E2" w:rsidRDefault="00EB72E2" w:rsidP="00EB72E2">
      <w:pPr>
        <w:rPr>
          <w:rFonts w:cs="Arial"/>
          <w:color w:val="000000" w:themeColor="text1"/>
          <w:lang w:val="en-US"/>
        </w:rPr>
      </w:pPr>
      <w:r w:rsidRPr="00EB72E2">
        <w:rPr>
          <w:rFonts w:cs="Arial"/>
          <w:color w:val="000000" w:themeColor="text1"/>
          <w:lang w:val="en-US"/>
        </w:rPr>
        <w:t xml:space="preserve">The current National Guidelines for best practice in ECI (2016) have a small number of associated professional development tools and resources to support high quality practice in line with the four quality areas. Other international jurisdictions also have resources and tools such as self-reflection exercises, narratives of child and family experiences, curriculum guidance and practical examples for each of their respective recommended practices. </w:t>
      </w:r>
    </w:p>
    <w:p w14:paraId="731D4DB0" w14:textId="2349064D" w:rsidR="00EB72E2" w:rsidRPr="00EB72E2" w:rsidRDefault="00EB72E2" w:rsidP="00EB72E2">
      <w:pPr>
        <w:rPr>
          <w:rFonts w:cs="Arial"/>
          <w:color w:val="000000" w:themeColor="text1"/>
          <w:lang w:val="en-US"/>
        </w:rPr>
      </w:pPr>
      <w:r w:rsidRPr="00EB72E2">
        <w:rPr>
          <w:rFonts w:cs="Arial"/>
          <w:color w:val="000000" w:themeColor="text1"/>
          <w:lang w:val="en-US"/>
        </w:rPr>
        <w:t xml:space="preserve">The USA has a federally funded </w:t>
      </w:r>
      <w:hyperlink r:id="rId53" w:history="1">
        <w:r w:rsidRPr="00E81B3A">
          <w:rPr>
            <w:rStyle w:val="Hyperlink"/>
            <w:rFonts w:cs="Arial"/>
            <w:lang w:val="en-US"/>
          </w:rPr>
          <w:t>Early Childhood Technical Assistance Center</w:t>
        </w:r>
      </w:hyperlink>
      <w:r w:rsidRPr="00EB72E2">
        <w:rPr>
          <w:rFonts w:cs="Arial"/>
          <w:color w:val="000000" w:themeColor="text1"/>
          <w:lang w:val="en-US"/>
        </w:rPr>
        <w:t xml:space="preserve"> (ECTA) that aims to bridge the gap among research, policy, and practice. The Early Childhood Technical Assistance Center develops and disseminates high-quality, evidence-based resources and practices, and provides training and technical assistance in order to build capacity and create sustainable early childhood practices at the regional, state and local levels. To the best of our knowledge, this level of support for improving systems, practices and outcomes is not available in other jurisdictions. Several of the resources and tools provided to support practitioners, families, and professional development providers in the use of recommended practices that are useful to consider in the development of an Australian ECI framework include: </w:t>
      </w:r>
    </w:p>
    <w:p w14:paraId="463A3F11" w14:textId="77777777" w:rsidR="00EB72E2" w:rsidRPr="00D82CA5" w:rsidRDefault="00EB72E2" w:rsidP="00EB72E2">
      <w:pPr>
        <w:rPr>
          <w:rFonts w:cs="Arial"/>
          <w:b/>
          <w:bCs/>
          <w:i/>
          <w:iCs/>
          <w:color w:val="000000" w:themeColor="text1"/>
          <w:lang w:val="en-US"/>
        </w:rPr>
      </w:pPr>
      <w:r w:rsidRPr="00D82CA5">
        <w:rPr>
          <w:rFonts w:cs="Arial"/>
          <w:b/>
          <w:bCs/>
          <w:i/>
          <w:iCs/>
          <w:color w:val="000000" w:themeColor="text1"/>
          <w:lang w:val="en-US"/>
        </w:rPr>
        <w:t>Practice guides for families</w:t>
      </w:r>
    </w:p>
    <w:p w14:paraId="439238D5" w14:textId="31CFF63D" w:rsidR="00EB72E2" w:rsidRPr="00EB72E2" w:rsidRDefault="00EB72E2" w:rsidP="00EB72E2">
      <w:pPr>
        <w:rPr>
          <w:rFonts w:cs="Arial"/>
          <w:color w:val="000000" w:themeColor="text1"/>
          <w:lang w:val="en-US"/>
        </w:rPr>
      </w:pPr>
      <w:r w:rsidRPr="00EB72E2">
        <w:rPr>
          <w:rFonts w:cs="Arial"/>
          <w:color w:val="000000" w:themeColor="text1"/>
          <w:lang w:val="en-US"/>
        </w:rPr>
        <w:t xml:space="preserve">ECTA has developed </w:t>
      </w:r>
      <w:hyperlink r:id="rId54" w:history="1">
        <w:r w:rsidRPr="00D82CA5">
          <w:rPr>
            <w:rStyle w:val="Hyperlink"/>
            <w:rFonts w:cs="Arial"/>
            <w:lang w:val="en-US"/>
          </w:rPr>
          <w:t>Practice Guides for Families</w:t>
        </w:r>
      </w:hyperlink>
      <w:r w:rsidRPr="00EB72E2">
        <w:rPr>
          <w:rFonts w:cs="Arial"/>
          <w:color w:val="000000" w:themeColor="text1"/>
          <w:lang w:val="en-US"/>
        </w:rPr>
        <w:t xml:space="preserve"> related to the seven DEC Recommended Practices for practitioners to share with families. Australia has also developed several family resources based on the National Guidelines.  </w:t>
      </w:r>
    </w:p>
    <w:p w14:paraId="5B9B0C0F" w14:textId="77777777" w:rsidR="00EB72E2" w:rsidRPr="00D82CA5" w:rsidRDefault="00EB72E2" w:rsidP="00EB72E2">
      <w:pPr>
        <w:rPr>
          <w:rFonts w:cs="Arial"/>
          <w:b/>
          <w:bCs/>
          <w:i/>
          <w:iCs/>
          <w:color w:val="000000" w:themeColor="text1"/>
          <w:lang w:val="en-US"/>
        </w:rPr>
      </w:pPr>
      <w:r w:rsidRPr="00D82CA5">
        <w:rPr>
          <w:rFonts w:cs="Arial"/>
          <w:b/>
          <w:bCs/>
          <w:i/>
          <w:iCs/>
          <w:color w:val="000000" w:themeColor="text1"/>
          <w:lang w:val="en-US"/>
        </w:rPr>
        <w:t>Practice checklists for practitioners</w:t>
      </w:r>
    </w:p>
    <w:p w14:paraId="662A7CA1" w14:textId="77777777" w:rsidR="00EB72E2" w:rsidRPr="00EB72E2" w:rsidRDefault="00EB72E2" w:rsidP="00EB72E2">
      <w:pPr>
        <w:rPr>
          <w:rFonts w:cs="Arial"/>
          <w:color w:val="000000" w:themeColor="text1"/>
          <w:lang w:val="en-US"/>
        </w:rPr>
      </w:pPr>
      <w:r w:rsidRPr="00EB72E2">
        <w:rPr>
          <w:rFonts w:cs="Arial"/>
          <w:color w:val="000000" w:themeColor="text1"/>
          <w:lang w:val="en-US"/>
        </w:rPr>
        <w:t xml:space="preserve">Performance checklists are widely used in many fields, including ECI, for planning, monitoring, and evaluating performance, products, and procedures and typically include lists of the tasks, steps, or behaviour indicators required to complete practices in a competent manner (Dunst, 2017a).   Evidence-informed performance checklists include ‘indicators based on research findings establishing an empirical relationship between the checklist practice indicators and intended or expected outcomes’ (Dunst, 2017a). </w:t>
      </w:r>
    </w:p>
    <w:p w14:paraId="06FC1CE2" w14:textId="7CF64820" w:rsidR="00EB72E2" w:rsidRPr="00EB72E2" w:rsidRDefault="00EB72E2" w:rsidP="00EB72E2">
      <w:pPr>
        <w:rPr>
          <w:rFonts w:cs="Arial"/>
          <w:color w:val="000000" w:themeColor="text1"/>
          <w:lang w:val="en-US"/>
        </w:rPr>
      </w:pPr>
      <w:r w:rsidRPr="00EB72E2">
        <w:rPr>
          <w:rFonts w:cs="Arial"/>
          <w:color w:val="000000" w:themeColor="text1"/>
          <w:lang w:val="en-US"/>
        </w:rPr>
        <w:t xml:space="preserve">The Early Childhood Technical Assistance Centre has published 26 </w:t>
      </w:r>
      <w:hyperlink r:id="rId55" w:history="1">
        <w:r w:rsidRPr="00AB3448">
          <w:rPr>
            <w:rStyle w:val="Hyperlink"/>
            <w:rFonts w:cs="Arial"/>
            <w:lang w:val="en-US"/>
          </w:rPr>
          <w:t>performance checklists</w:t>
        </w:r>
      </w:hyperlink>
      <w:r w:rsidRPr="00EB72E2">
        <w:rPr>
          <w:rFonts w:cs="Arial"/>
          <w:color w:val="000000" w:themeColor="text1"/>
          <w:lang w:val="en-US"/>
        </w:rPr>
        <w:t xml:space="preserve">, freely available in English and Spanish. They relate specifically to the seven DEC Recommended Practices. The procedure and framework used for the development of the checklists, along with a meta-review of empirical evidence demonstrating practice-outcome relationships, has been published (Dunst, 2107a). </w:t>
      </w:r>
    </w:p>
    <w:p w14:paraId="10ECCF43" w14:textId="77777777" w:rsidR="00EB72E2" w:rsidRPr="00112965" w:rsidRDefault="00EB72E2" w:rsidP="00112965">
      <w:pPr>
        <w:rPr>
          <w:rFonts w:cs="Arial"/>
          <w:color w:val="000000" w:themeColor="text1"/>
          <w:lang w:val="en-US"/>
        </w:rPr>
      </w:pPr>
      <w:r w:rsidRPr="00EB72E2">
        <w:rPr>
          <w:rFonts w:cs="Arial"/>
          <w:color w:val="000000" w:themeColor="text1"/>
          <w:lang w:val="en-US"/>
        </w:rPr>
        <w:t xml:space="preserve">The scoping review highlights the work of Dunst and colleagues who conducted early childhood practitioner field tests of social validity judgements on performance checklists. They reported that practitioner feedback and suggestions yielded valuable information for improving the checklists and highlighted the importance of </w:t>
      </w:r>
      <w:r w:rsidRPr="00112965">
        <w:rPr>
          <w:rFonts w:cs="Arial"/>
          <w:color w:val="000000" w:themeColor="text1"/>
          <w:lang w:val="en-US"/>
        </w:rPr>
        <w:t>practitioner input, suggestions, and feedback for improving the usefulness of early childhood intervention practices (Dunst, 2017b; Dunst et al., 2017).</w:t>
      </w:r>
    </w:p>
    <w:p w14:paraId="67D809EA" w14:textId="5657D63B" w:rsidR="00EB72E2" w:rsidRPr="00EB72E2" w:rsidRDefault="00112965" w:rsidP="00112965">
      <w:pPr>
        <w:rPr>
          <w:rFonts w:cs="Arial"/>
          <w:color w:val="000000" w:themeColor="text1"/>
          <w:lang w:val="en-US"/>
        </w:rPr>
      </w:pPr>
      <w:r w:rsidRPr="00112965">
        <w:rPr>
          <w:rFonts w:cs="Arial"/>
          <w:color w:val="000000" w:themeColor="text1"/>
        </w:rPr>
        <w:t>Self-reflection tools for practitioners working with Aboriginal and Torres Strait Islander families have been developed by SNAICC (2016)</w:t>
      </w:r>
      <w:r w:rsidRPr="00112965">
        <w:rPr>
          <w:rStyle w:val="FootnoteReference"/>
          <w:rFonts w:cs="Arial"/>
          <w:color w:val="000000" w:themeColor="text1"/>
        </w:rPr>
        <w:footnoteReference w:id="39"/>
      </w:r>
      <w:r w:rsidRPr="00112965">
        <w:rPr>
          <w:rFonts w:cs="Arial"/>
          <w:color w:val="000000" w:themeColor="text1"/>
        </w:rPr>
        <w:t xml:space="preserve"> and Family Matters (2020)</w:t>
      </w:r>
      <w:r w:rsidRPr="00112965">
        <w:rPr>
          <w:rStyle w:val="FootnoteReference"/>
          <w:rFonts w:cs="Arial"/>
          <w:color w:val="000000" w:themeColor="text1"/>
        </w:rPr>
        <w:footnoteReference w:id="40"/>
      </w:r>
      <w:r w:rsidRPr="00112965">
        <w:rPr>
          <w:rFonts w:cs="Arial"/>
          <w:color w:val="000000" w:themeColor="text1"/>
        </w:rPr>
        <w:t xml:space="preserve">. </w:t>
      </w:r>
      <w:r w:rsidR="00EB72E2" w:rsidRPr="00112965">
        <w:rPr>
          <w:rFonts w:cs="Arial"/>
          <w:color w:val="000000" w:themeColor="text1"/>
          <w:lang w:val="en-US"/>
        </w:rPr>
        <w:t xml:space="preserve">SNAICC’s </w:t>
      </w:r>
      <w:r w:rsidR="00EB72E2" w:rsidRPr="00112965">
        <w:rPr>
          <w:rFonts w:cs="Arial"/>
          <w:i/>
          <w:iCs/>
          <w:color w:val="000000" w:themeColor="text1"/>
          <w:lang w:val="en-US"/>
        </w:rPr>
        <w:t>Stronger, Safer, Together</w:t>
      </w:r>
      <w:r w:rsidR="00EB72E2" w:rsidRPr="00112965">
        <w:rPr>
          <w:rFonts w:cs="Arial"/>
          <w:color w:val="000000" w:themeColor="text1"/>
          <w:lang w:val="en-US"/>
        </w:rPr>
        <w:t xml:space="preserve"> is a reflective practice resource and toolkit for services </w:t>
      </w:r>
      <w:r w:rsidR="00EB72E2" w:rsidRPr="00EB72E2">
        <w:rPr>
          <w:rFonts w:cs="Arial"/>
          <w:color w:val="000000" w:themeColor="text1"/>
          <w:lang w:val="en-US"/>
        </w:rPr>
        <w:t xml:space="preserve">that provide intensive and targeted support for Aboriginal and Torres Strait Islander families while addressing key practice issues and using a place-based approach. This resource includes: a guide for reflection and discussion amongst family support staff teams in professional development sessions; a toolkit of ideas for good practice for individual practitioners to explore and draw upon; and an information source to inform the development of locally adapted practice resources and service manuals. Family Matters’ National Reflective Practice Tool is designed to provide organisations working with Aboriginal and Torres Strait Islander children and families with a means of reflecting on their commitment to improving outcomes for children and identifying areas for improvement. </w:t>
      </w:r>
    </w:p>
    <w:p w14:paraId="2653AA42" w14:textId="77777777" w:rsidR="00112965" w:rsidRDefault="00112965" w:rsidP="00EB72E2">
      <w:pPr>
        <w:rPr>
          <w:rFonts w:cs="Arial"/>
          <w:b/>
          <w:bCs/>
          <w:i/>
          <w:iCs/>
          <w:color w:val="000000" w:themeColor="text1"/>
          <w:lang w:val="en-US"/>
        </w:rPr>
      </w:pPr>
    </w:p>
    <w:p w14:paraId="66014845" w14:textId="21B48B60" w:rsidR="00EB72E2" w:rsidRPr="00AB3448" w:rsidRDefault="00EB72E2" w:rsidP="00EB72E2">
      <w:pPr>
        <w:rPr>
          <w:rFonts w:cs="Arial"/>
          <w:b/>
          <w:bCs/>
          <w:i/>
          <w:iCs/>
          <w:color w:val="000000" w:themeColor="text1"/>
          <w:lang w:val="en-US"/>
        </w:rPr>
      </w:pPr>
      <w:r w:rsidRPr="00AB3448">
        <w:rPr>
          <w:rFonts w:cs="Arial"/>
          <w:b/>
          <w:bCs/>
          <w:i/>
          <w:iCs/>
          <w:color w:val="000000" w:themeColor="text1"/>
          <w:lang w:val="en-US"/>
        </w:rPr>
        <w:t>Professional preparation standards</w:t>
      </w:r>
    </w:p>
    <w:p w14:paraId="5F1A2AA8" w14:textId="69298A85" w:rsidR="0030567B" w:rsidRPr="00112965" w:rsidRDefault="00EB72E2" w:rsidP="00EB72E2">
      <w:pPr>
        <w:rPr>
          <w:rFonts w:cs="Arial"/>
          <w:color w:val="000000" w:themeColor="text1"/>
          <w:lang w:val="en-US"/>
        </w:rPr>
      </w:pPr>
      <w:r w:rsidRPr="00EB72E2">
        <w:rPr>
          <w:rFonts w:cs="Arial"/>
          <w:color w:val="000000" w:themeColor="text1"/>
          <w:lang w:val="en-US"/>
        </w:rPr>
        <w:t xml:space="preserve">The scoping review details the work of Stayton et al (2023) who developed practice-based Professional Preparation Standards for EI/ECSE in the US. The standards are part of an integrated, comprehensive system of personnel development with support provided through the </w:t>
      </w:r>
      <w:hyperlink r:id="rId56" w:history="1">
        <w:r w:rsidRPr="0030567B">
          <w:rPr>
            <w:rStyle w:val="Hyperlink"/>
            <w:rFonts w:cs="Arial"/>
            <w:lang w:val="en-US"/>
          </w:rPr>
          <w:t>Early Childhood Personnel Centre</w:t>
        </w:r>
      </w:hyperlink>
      <w:r w:rsidRPr="00EB72E2">
        <w:rPr>
          <w:rFonts w:cs="Arial"/>
          <w:color w:val="000000" w:themeColor="text1"/>
          <w:lang w:val="en-US"/>
        </w:rPr>
        <w:t>.</w:t>
      </w:r>
    </w:p>
    <w:p w14:paraId="2AA82B9C" w14:textId="62C9499E" w:rsidR="00EB72E2" w:rsidRPr="0030567B" w:rsidRDefault="00EB72E2" w:rsidP="00EB72E2">
      <w:pPr>
        <w:rPr>
          <w:rFonts w:cs="Arial"/>
          <w:b/>
          <w:bCs/>
          <w:i/>
          <w:iCs/>
          <w:color w:val="000000" w:themeColor="text1"/>
          <w:lang w:val="en-US"/>
        </w:rPr>
      </w:pPr>
      <w:r w:rsidRPr="0030567B">
        <w:rPr>
          <w:rFonts w:cs="Arial"/>
          <w:b/>
          <w:bCs/>
          <w:i/>
          <w:iCs/>
          <w:color w:val="000000" w:themeColor="text1"/>
          <w:lang w:val="en-US"/>
        </w:rPr>
        <w:t>Statewide Implementation Guide</w:t>
      </w:r>
    </w:p>
    <w:p w14:paraId="109DD4F2" w14:textId="26C5D626" w:rsidR="00EB72E2" w:rsidRPr="00EB72E2" w:rsidRDefault="00EB72E2" w:rsidP="00EB72E2">
      <w:pPr>
        <w:rPr>
          <w:rFonts w:cs="Arial"/>
          <w:color w:val="000000" w:themeColor="text1"/>
          <w:lang w:val="en-US"/>
        </w:rPr>
      </w:pPr>
      <w:r w:rsidRPr="00EB72E2">
        <w:rPr>
          <w:rFonts w:cs="Arial"/>
          <w:color w:val="000000" w:themeColor="text1"/>
          <w:lang w:val="en-US"/>
        </w:rPr>
        <w:t xml:space="preserve">To implement and scale up evidence-based practices the Early Childhood Technical Assistance Center developed the </w:t>
      </w:r>
      <w:hyperlink r:id="rId57" w:history="1">
        <w:r w:rsidRPr="007A2F62">
          <w:rPr>
            <w:rStyle w:val="Hyperlink"/>
            <w:rFonts w:cs="Arial"/>
            <w:lang w:val="en-US"/>
          </w:rPr>
          <w:t>Statewide Implementation Guide</w:t>
        </w:r>
      </w:hyperlink>
      <w:r w:rsidRPr="00EB72E2">
        <w:rPr>
          <w:rFonts w:cs="Arial"/>
          <w:color w:val="000000" w:themeColor="text1"/>
          <w:lang w:val="en-US"/>
        </w:rPr>
        <w:t xml:space="preserve">, which lays out a process for improving child and family outcomes by implementing evidence-based practices to support state-wide systems change (Smith et al., 2015). The Guide details three elements that are instrumental in the process of planning and sustaining the high-fidelity implementation of the DEC Recommended Practices: Stages of Implementation, Structures needed for high-fidelity implementation, and Planning and monitoring the implementation process. </w:t>
      </w:r>
    </w:p>
    <w:p w14:paraId="11FEF027" w14:textId="77777777" w:rsidR="00EB72E2" w:rsidRPr="005F2780" w:rsidRDefault="00EB72E2" w:rsidP="00EB72E2">
      <w:pPr>
        <w:rPr>
          <w:rFonts w:cs="Arial"/>
          <w:b/>
          <w:bCs/>
          <w:i/>
          <w:iCs/>
          <w:color w:val="000000" w:themeColor="text1"/>
          <w:lang w:val="en-US"/>
        </w:rPr>
      </w:pPr>
      <w:r w:rsidRPr="005F2780">
        <w:rPr>
          <w:rFonts w:cs="Arial"/>
          <w:b/>
          <w:bCs/>
          <w:i/>
          <w:iCs/>
          <w:color w:val="000000" w:themeColor="text1"/>
          <w:lang w:val="en-US"/>
        </w:rPr>
        <w:t>State Benchmarks of Quality</w:t>
      </w:r>
    </w:p>
    <w:p w14:paraId="7C4FD065" w14:textId="0B7BDF59" w:rsidR="00EB72E2" w:rsidRPr="00EB72E2" w:rsidRDefault="00EB72E2" w:rsidP="00EB72E2">
      <w:pPr>
        <w:rPr>
          <w:rFonts w:cs="Arial"/>
          <w:color w:val="000000" w:themeColor="text1"/>
          <w:lang w:val="en-US"/>
        </w:rPr>
      </w:pPr>
      <w:r w:rsidRPr="00EB72E2">
        <w:rPr>
          <w:rFonts w:cs="Arial"/>
          <w:color w:val="000000" w:themeColor="text1"/>
          <w:lang w:val="en-US"/>
        </w:rPr>
        <w:t xml:space="preserve">The </w:t>
      </w:r>
      <w:hyperlink r:id="rId58" w:history="1">
        <w:r w:rsidRPr="005F2780">
          <w:rPr>
            <w:rStyle w:val="Hyperlink"/>
            <w:rFonts w:cs="Arial"/>
            <w:lang w:val="en-US"/>
          </w:rPr>
          <w:t>Benchmarks of Quality</w:t>
        </w:r>
      </w:hyperlink>
      <w:r w:rsidRPr="00EB72E2">
        <w:rPr>
          <w:rFonts w:cs="Arial"/>
          <w:color w:val="000000" w:themeColor="text1"/>
          <w:lang w:val="en-US"/>
        </w:rPr>
        <w:t xml:space="preserve"> published by the Early Childhood Technical Assistance Center are checklists used by leadership teams to assess where they are in the process of implementing evidence-based practices. This includes developing the necessary structures for guiding and supporting the implementation of evidence-based practices and planning for full implementation, scale up, and sustainability. The benchmarks are designed to help teams move through the stages of implementation and build the systems and support needed for high-fidelity use of the evidence-based practices. There are three Benchmarks of Quality used in the guide: State leadership practices, classroom-based programs and home visiting programs. </w:t>
      </w:r>
    </w:p>
    <w:p w14:paraId="1CFAB6CB" w14:textId="77777777" w:rsidR="00EB72E2" w:rsidRPr="00EB72E2" w:rsidRDefault="00EB72E2" w:rsidP="00EB72E2">
      <w:pPr>
        <w:rPr>
          <w:rFonts w:cs="Arial"/>
          <w:color w:val="000000" w:themeColor="text1"/>
          <w:lang w:val="en-US"/>
        </w:rPr>
      </w:pPr>
      <w:r w:rsidRPr="00EB72E2">
        <w:rPr>
          <w:rFonts w:cs="Arial"/>
          <w:color w:val="000000" w:themeColor="text1"/>
          <w:lang w:val="en-US"/>
        </w:rPr>
        <w:t xml:space="preserve">It is important to note that resources such as the Benchmarks of Quality are grounded in implementation science, an area of research focused on identifying critical factors and conditions needed to successfully adopt, integrate, and sustain evidence-based practices (Fixen &amp; Blasé, 2016; Fixsen et al., 2005). Guralnick (2023) also draws on implementation science in the Developmental Systems Approach outlined in the scoping review. </w:t>
      </w:r>
    </w:p>
    <w:p w14:paraId="59434636" w14:textId="77777777" w:rsidR="00EB72E2" w:rsidRPr="00592A68" w:rsidRDefault="00EB72E2" w:rsidP="00EB72E2">
      <w:pPr>
        <w:rPr>
          <w:rFonts w:cs="Arial"/>
          <w:b/>
          <w:bCs/>
          <w:i/>
          <w:iCs/>
          <w:color w:val="000000" w:themeColor="text1"/>
          <w:lang w:val="en-US"/>
        </w:rPr>
      </w:pPr>
      <w:r w:rsidRPr="00592A68">
        <w:rPr>
          <w:rFonts w:cs="Arial"/>
          <w:b/>
          <w:bCs/>
          <w:i/>
          <w:iCs/>
          <w:color w:val="000000" w:themeColor="text1"/>
          <w:lang w:val="en-US"/>
        </w:rPr>
        <w:t>Data systems</w:t>
      </w:r>
    </w:p>
    <w:p w14:paraId="5112F71A" w14:textId="5A399081" w:rsidR="00CA2F6B" w:rsidRDefault="00EB72E2" w:rsidP="00EB72E2">
      <w:pPr>
        <w:rPr>
          <w:rFonts w:cs="Arial"/>
          <w:color w:val="000000" w:themeColor="text1"/>
          <w:lang w:val="en-US"/>
        </w:rPr>
      </w:pPr>
      <w:r w:rsidRPr="00EB72E2">
        <w:rPr>
          <w:rFonts w:cs="Arial"/>
          <w:color w:val="000000" w:themeColor="text1"/>
          <w:lang w:val="en-US"/>
        </w:rPr>
        <w:t xml:space="preserve">The </w:t>
      </w:r>
      <w:hyperlink r:id="rId59" w:history="1">
        <w:r w:rsidRPr="00592A68">
          <w:rPr>
            <w:rStyle w:val="Hyperlink"/>
            <w:rFonts w:cs="Arial"/>
            <w:lang w:val="en-US"/>
          </w:rPr>
          <w:t>Centre for IDEA Early Childhood Data Systems</w:t>
        </w:r>
      </w:hyperlink>
      <w:r w:rsidRPr="00EB72E2">
        <w:rPr>
          <w:rFonts w:cs="Arial"/>
          <w:color w:val="000000" w:themeColor="text1"/>
          <w:lang w:val="en-US"/>
        </w:rPr>
        <w:t xml:space="preserve"> is a national technical assistance centre in the USA that supports state programs in building high quality data systems and using data to improve results for young children with disability and their families.</w:t>
      </w:r>
    </w:p>
    <w:p w14:paraId="06C9478D" w14:textId="77777777" w:rsidR="00592A68" w:rsidRDefault="00592A68" w:rsidP="00EB72E2">
      <w:pPr>
        <w:rPr>
          <w:rFonts w:cs="Arial"/>
          <w:color w:val="000000" w:themeColor="text1"/>
          <w:lang w:val="en-US"/>
        </w:rPr>
      </w:pPr>
    </w:p>
    <w:p w14:paraId="6548C613" w14:textId="77777777" w:rsidR="00592A68" w:rsidRDefault="00592A68" w:rsidP="00EB72E2">
      <w:pPr>
        <w:rPr>
          <w:rFonts w:cs="Arial"/>
          <w:color w:val="000000" w:themeColor="text1"/>
          <w:lang w:val="en-US"/>
        </w:rPr>
      </w:pPr>
    </w:p>
    <w:p w14:paraId="3EF0A6D1" w14:textId="77777777" w:rsidR="00592A68" w:rsidRDefault="00592A68" w:rsidP="00EB72E2">
      <w:pPr>
        <w:rPr>
          <w:rFonts w:cs="Arial"/>
          <w:color w:val="000000" w:themeColor="text1"/>
          <w:lang w:val="en-US"/>
        </w:rPr>
      </w:pPr>
    </w:p>
    <w:p w14:paraId="76BF3564" w14:textId="77777777" w:rsidR="00592A68" w:rsidRDefault="00592A68" w:rsidP="00EB72E2">
      <w:pPr>
        <w:rPr>
          <w:rFonts w:cs="Arial"/>
          <w:color w:val="000000" w:themeColor="text1"/>
          <w:lang w:val="en-US"/>
        </w:rPr>
      </w:pPr>
    </w:p>
    <w:p w14:paraId="0C43242D" w14:textId="77777777" w:rsidR="00592A68" w:rsidRDefault="00592A68" w:rsidP="00EB72E2">
      <w:pPr>
        <w:rPr>
          <w:rFonts w:cs="Arial"/>
          <w:color w:val="000000" w:themeColor="text1"/>
          <w:lang w:val="en-US"/>
        </w:rPr>
      </w:pPr>
    </w:p>
    <w:p w14:paraId="6153AC93" w14:textId="77777777" w:rsidR="00592A68" w:rsidRDefault="00592A68" w:rsidP="00EB72E2">
      <w:pPr>
        <w:rPr>
          <w:rFonts w:cs="Arial"/>
          <w:color w:val="000000" w:themeColor="text1"/>
          <w:lang w:val="en-US"/>
        </w:rPr>
      </w:pPr>
    </w:p>
    <w:p w14:paraId="2AC16F15" w14:textId="77777777" w:rsidR="00592A68" w:rsidRDefault="00592A68" w:rsidP="00EB72E2">
      <w:pPr>
        <w:rPr>
          <w:rFonts w:cs="Arial"/>
          <w:color w:val="000000" w:themeColor="text1"/>
          <w:lang w:val="en-US"/>
        </w:rPr>
      </w:pPr>
    </w:p>
    <w:p w14:paraId="7F6B107B" w14:textId="77777777" w:rsidR="00592A68" w:rsidRDefault="00592A68" w:rsidP="00EB72E2">
      <w:pPr>
        <w:rPr>
          <w:rFonts w:cs="Arial"/>
          <w:color w:val="000000" w:themeColor="text1"/>
          <w:lang w:val="en-US"/>
        </w:rPr>
      </w:pPr>
    </w:p>
    <w:p w14:paraId="52AF767E" w14:textId="77777777" w:rsidR="00952FED" w:rsidRPr="00952FED" w:rsidRDefault="00952FED" w:rsidP="00952FED">
      <w:pPr>
        <w:rPr>
          <w:rFonts w:cs="Arial"/>
          <w:b/>
          <w:bCs/>
          <w:color w:val="0C2C74"/>
          <w:lang w:val="en-US"/>
        </w:rPr>
      </w:pPr>
      <w:r w:rsidRPr="00952FED">
        <w:rPr>
          <w:rFonts w:cs="Arial"/>
          <w:b/>
          <w:bCs/>
          <w:color w:val="0C2C74"/>
          <w:lang w:val="en-US"/>
        </w:rPr>
        <w:t>Implications</w:t>
      </w:r>
    </w:p>
    <w:p w14:paraId="3061B124" w14:textId="77777777" w:rsidR="00952FED" w:rsidRPr="00952FED" w:rsidRDefault="00952FED" w:rsidP="00952FED">
      <w:pPr>
        <w:rPr>
          <w:rFonts w:cs="Arial"/>
          <w:color w:val="000000" w:themeColor="text1"/>
          <w:lang w:val="en-US"/>
        </w:rPr>
      </w:pPr>
      <w:r w:rsidRPr="00952FED">
        <w:rPr>
          <w:rFonts w:cs="Arial"/>
          <w:color w:val="000000" w:themeColor="text1"/>
          <w:lang w:val="en-US"/>
        </w:rPr>
        <w:t>It is recommended that the ECI Best Practice Framework:</w:t>
      </w:r>
    </w:p>
    <w:p w14:paraId="2ED5851A" w14:textId="018FB4AF" w:rsidR="00952FED" w:rsidRPr="00952FED" w:rsidRDefault="00952FED" w:rsidP="003B0B17">
      <w:pPr>
        <w:pStyle w:val="ListParagraph"/>
        <w:numPr>
          <w:ilvl w:val="0"/>
          <w:numId w:val="157"/>
        </w:numPr>
        <w:ind w:left="714" w:hanging="357"/>
        <w:contextualSpacing w:val="0"/>
        <w:rPr>
          <w:rFonts w:cs="Arial"/>
          <w:color w:val="000000" w:themeColor="text1"/>
          <w:lang w:val="en-US"/>
        </w:rPr>
      </w:pPr>
      <w:r w:rsidRPr="00952FED">
        <w:rPr>
          <w:rFonts w:cs="Arial"/>
          <w:color w:val="000000" w:themeColor="text1"/>
          <w:lang w:val="en-US"/>
        </w:rPr>
        <w:t>ensures practitioner and family input into the development of tools and resources</w:t>
      </w:r>
    </w:p>
    <w:p w14:paraId="505FF3D0" w14:textId="01135BB2" w:rsidR="00952FED" w:rsidRPr="00952FED" w:rsidRDefault="00952FED" w:rsidP="003B0B17">
      <w:pPr>
        <w:pStyle w:val="ListParagraph"/>
        <w:numPr>
          <w:ilvl w:val="0"/>
          <w:numId w:val="157"/>
        </w:numPr>
        <w:ind w:left="714" w:hanging="357"/>
        <w:contextualSpacing w:val="0"/>
        <w:rPr>
          <w:rFonts w:cs="Arial"/>
          <w:color w:val="000000" w:themeColor="text1"/>
          <w:lang w:val="en-US"/>
        </w:rPr>
      </w:pPr>
      <w:r w:rsidRPr="00952FED">
        <w:rPr>
          <w:rFonts w:cs="Arial"/>
          <w:color w:val="000000" w:themeColor="text1"/>
          <w:lang w:val="en-US"/>
        </w:rPr>
        <w:t>updates current online professional development modules to align with the Framework</w:t>
      </w:r>
    </w:p>
    <w:p w14:paraId="0C194357" w14:textId="5EB15F08" w:rsidR="00952FED" w:rsidRPr="00952FED" w:rsidRDefault="00952FED" w:rsidP="003B0B17">
      <w:pPr>
        <w:pStyle w:val="ListParagraph"/>
        <w:numPr>
          <w:ilvl w:val="0"/>
          <w:numId w:val="157"/>
        </w:numPr>
        <w:ind w:left="714" w:hanging="357"/>
        <w:contextualSpacing w:val="0"/>
        <w:rPr>
          <w:rFonts w:cs="Arial"/>
          <w:color w:val="000000" w:themeColor="text1"/>
          <w:lang w:val="en-US"/>
        </w:rPr>
      </w:pPr>
      <w:r w:rsidRPr="00952FED">
        <w:rPr>
          <w:rFonts w:cs="Arial"/>
          <w:color w:val="000000" w:themeColor="text1"/>
          <w:lang w:val="en-US"/>
        </w:rPr>
        <w:t xml:space="preserve">considers job-embedded learning supports </w:t>
      </w:r>
    </w:p>
    <w:p w14:paraId="40390CBD" w14:textId="5597910E" w:rsidR="00952FED" w:rsidRPr="00952FED" w:rsidRDefault="00952FED" w:rsidP="003B0B17">
      <w:pPr>
        <w:pStyle w:val="ListParagraph"/>
        <w:numPr>
          <w:ilvl w:val="0"/>
          <w:numId w:val="157"/>
        </w:numPr>
        <w:ind w:left="714" w:hanging="357"/>
        <w:contextualSpacing w:val="0"/>
        <w:rPr>
          <w:rFonts w:cs="Arial"/>
          <w:color w:val="000000" w:themeColor="text1"/>
          <w:lang w:val="en-US"/>
        </w:rPr>
      </w:pPr>
      <w:r w:rsidRPr="00952FED">
        <w:rPr>
          <w:rFonts w:cs="Arial"/>
          <w:color w:val="000000" w:themeColor="text1"/>
          <w:lang w:val="en-US"/>
        </w:rPr>
        <w:t>develops a range of resources for families that are accessible and available in community languages and are culturally appropriate</w:t>
      </w:r>
    </w:p>
    <w:p w14:paraId="67AA87F9" w14:textId="28C0E9CE" w:rsidR="00952FED" w:rsidRPr="00952FED" w:rsidRDefault="00952FED" w:rsidP="003B0B17">
      <w:pPr>
        <w:pStyle w:val="ListParagraph"/>
        <w:numPr>
          <w:ilvl w:val="0"/>
          <w:numId w:val="157"/>
        </w:numPr>
        <w:ind w:left="714" w:hanging="357"/>
        <w:contextualSpacing w:val="0"/>
        <w:rPr>
          <w:rFonts w:cs="Arial"/>
          <w:color w:val="000000" w:themeColor="text1"/>
          <w:lang w:val="en-US"/>
        </w:rPr>
      </w:pPr>
      <w:r w:rsidRPr="00952FED">
        <w:rPr>
          <w:rFonts w:cs="Arial"/>
          <w:color w:val="000000" w:themeColor="text1"/>
          <w:lang w:val="en-US"/>
        </w:rPr>
        <w:t>develops resources for training providers to support them in aligning programs to the framework</w:t>
      </w:r>
      <w:r>
        <w:rPr>
          <w:rFonts w:cs="Arial"/>
          <w:b/>
          <w:bCs/>
          <w:noProof/>
          <w:color w:val="0C2C74"/>
          <w:lang w:val="en-US"/>
        </w:rPr>
        <mc:AlternateContent>
          <mc:Choice Requires="wps">
            <w:drawing>
              <wp:anchor distT="0" distB="0" distL="114300" distR="114300" simplePos="0" relativeHeight="251671552" behindDoc="1" locked="1" layoutInCell="1" allowOverlap="1" wp14:anchorId="0BD65F67" wp14:editId="0B678AA2">
                <wp:simplePos x="0" y="0"/>
                <wp:positionH relativeFrom="column">
                  <wp:posOffset>-488950</wp:posOffset>
                </wp:positionH>
                <wp:positionV relativeFrom="page">
                  <wp:posOffset>598805</wp:posOffset>
                </wp:positionV>
                <wp:extent cx="6724650" cy="3893820"/>
                <wp:effectExtent l="0" t="0" r="6350" b="5080"/>
                <wp:wrapNone/>
                <wp:docPr id="33921482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0" cy="3893820"/>
                        </a:xfrm>
                        <a:prstGeom prst="rect">
                          <a:avLst/>
                        </a:prstGeom>
                        <a:solidFill>
                          <a:srgbClr val="8087A3">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56A85" id="Rectangle 4" o:spid="_x0000_s1026" alt="&quot;&quot;" style="position:absolute;margin-left:-38.5pt;margin-top:47.15pt;width:529.5pt;height:30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" fillcolor="#8087a3" stroked="f" strokeweight="1pt">
                <v:fill opacity="19789f"/>
                <w10:wrap anchory="page"/>
                <w10:anchorlock/>
              </v:rect>
            </w:pict>
          </mc:Fallback>
        </mc:AlternateContent>
      </w:r>
    </w:p>
    <w:p w14:paraId="142F4915" w14:textId="6FD4A190" w:rsidR="00952FED" w:rsidRPr="00952FED" w:rsidRDefault="00952FED" w:rsidP="003B0B17">
      <w:pPr>
        <w:pStyle w:val="ListParagraph"/>
        <w:numPr>
          <w:ilvl w:val="0"/>
          <w:numId w:val="157"/>
        </w:numPr>
        <w:ind w:left="714" w:hanging="357"/>
        <w:contextualSpacing w:val="0"/>
        <w:rPr>
          <w:rFonts w:cs="Arial"/>
          <w:color w:val="000000" w:themeColor="text1"/>
          <w:lang w:val="en-US"/>
        </w:rPr>
      </w:pPr>
      <w:r w:rsidRPr="00952FED">
        <w:rPr>
          <w:rFonts w:cs="Arial"/>
          <w:color w:val="000000" w:themeColor="text1"/>
          <w:lang w:val="en-US"/>
        </w:rPr>
        <w:t>utilises active implementation frameworks to ensure that the framework results in desired outcomes for children, families, and ECI professionals</w:t>
      </w:r>
    </w:p>
    <w:p w14:paraId="256E8068" w14:textId="4D7203D4" w:rsidR="00592A68" w:rsidRDefault="00952FED" w:rsidP="003B0B17">
      <w:pPr>
        <w:pStyle w:val="ListParagraph"/>
        <w:numPr>
          <w:ilvl w:val="0"/>
          <w:numId w:val="157"/>
        </w:numPr>
        <w:ind w:left="714" w:hanging="357"/>
        <w:contextualSpacing w:val="0"/>
        <w:rPr>
          <w:rFonts w:cs="Arial"/>
          <w:color w:val="000000" w:themeColor="text1"/>
          <w:lang w:val="en-US"/>
        </w:rPr>
      </w:pPr>
      <w:r w:rsidRPr="00952FED">
        <w:rPr>
          <w:rFonts w:cs="Arial"/>
          <w:color w:val="000000" w:themeColor="text1"/>
          <w:lang w:val="en-US"/>
        </w:rPr>
        <w:t>considers resources for improving systems, practices and outcomes</w:t>
      </w:r>
    </w:p>
    <w:p w14:paraId="4EE01F0D" w14:textId="77777777" w:rsidR="00952FED" w:rsidRDefault="00952FED" w:rsidP="00952FED">
      <w:pPr>
        <w:rPr>
          <w:rFonts w:cs="Arial"/>
          <w:color w:val="000000" w:themeColor="text1"/>
          <w:lang w:val="en-US"/>
        </w:rPr>
      </w:pPr>
    </w:p>
    <w:p w14:paraId="1C0D8C77" w14:textId="77777777" w:rsidR="00952FED" w:rsidRDefault="00952FED" w:rsidP="00952FED">
      <w:pPr>
        <w:rPr>
          <w:rFonts w:cs="Arial"/>
          <w:color w:val="000000" w:themeColor="text1"/>
          <w:lang w:val="en-US"/>
        </w:rPr>
      </w:pPr>
    </w:p>
    <w:p w14:paraId="7B70A2C3" w14:textId="77777777" w:rsidR="00952FED" w:rsidRDefault="00952FED" w:rsidP="00952FED">
      <w:pPr>
        <w:rPr>
          <w:rFonts w:cs="Arial"/>
          <w:color w:val="000000" w:themeColor="text1"/>
          <w:lang w:val="en-US"/>
        </w:rPr>
      </w:pPr>
    </w:p>
    <w:p w14:paraId="4A5DD948" w14:textId="07C30D1E" w:rsidR="00532870" w:rsidRPr="00532870" w:rsidRDefault="00532870" w:rsidP="00532870">
      <w:pPr>
        <w:pStyle w:val="Heading2"/>
      </w:pPr>
      <w:bookmarkStart w:id="68" w:name="_Toc177730848"/>
      <w:r w:rsidRPr="00532870">
        <w:t>Conclusion</w:t>
      </w:r>
      <w:bookmarkEnd w:id="68"/>
    </w:p>
    <w:p w14:paraId="3009918E" w14:textId="0D657195" w:rsidR="00952FED" w:rsidRDefault="00532870" w:rsidP="00532870">
      <w:pPr>
        <w:rPr>
          <w:rFonts w:cs="Arial"/>
          <w:color w:val="000000" w:themeColor="text1"/>
          <w:lang w:val="en-US"/>
        </w:rPr>
      </w:pPr>
      <w:r w:rsidRPr="00532870">
        <w:rPr>
          <w:rFonts w:cs="Arial"/>
          <w:color w:val="000000" w:themeColor="text1"/>
          <w:lang w:val="en-US"/>
        </w:rPr>
        <w:t>Frameworks across jurisdictions offer a range of possibilities to the development of an ECI best practice framework for Australian children with developmental concerns, delays or disability and their families. While there is uniformity in the recognition that certain practices are central to an ECI practice framework, it is also evident that some jurisdictions, having had a longer lifespan, have benefitted from ongoing review and establishment of closer links between research evidence and practice implementation. Implications outlined in this paper are vast for the design of a framework that not only contemplates principles and practices, but also their close relationship to the design of systems of service provision that support them.</w:t>
      </w:r>
    </w:p>
    <w:p w14:paraId="4F445B3B" w14:textId="77777777" w:rsidR="00B64A4F" w:rsidRDefault="00B64A4F" w:rsidP="00532870">
      <w:pPr>
        <w:rPr>
          <w:rFonts w:cs="Arial"/>
          <w:color w:val="000000" w:themeColor="text1"/>
          <w:lang w:val="en-US"/>
        </w:rPr>
      </w:pPr>
    </w:p>
    <w:p w14:paraId="5AE092ED" w14:textId="71D92F05" w:rsidR="00B64A4F" w:rsidRPr="00B64A4F" w:rsidRDefault="00B64A4F" w:rsidP="00B64A4F">
      <w:pPr>
        <w:pStyle w:val="Heading1"/>
      </w:pPr>
      <w:bookmarkStart w:id="69" w:name="_Toc177730849"/>
      <w:r w:rsidRPr="00B64A4F">
        <w:t>Review of evidence-based practices and strategies</w:t>
      </w:r>
      <w:bookmarkEnd w:id="69"/>
      <w:r w:rsidRPr="00B64A4F">
        <w:t xml:space="preserve"> </w:t>
      </w:r>
    </w:p>
    <w:p w14:paraId="74716A2F" w14:textId="77777777" w:rsidR="00B64A4F" w:rsidRPr="00B64A4F" w:rsidRDefault="00B64A4F" w:rsidP="00B64A4F">
      <w:pPr>
        <w:rPr>
          <w:rFonts w:cs="Arial"/>
          <w:color w:val="000000" w:themeColor="text1"/>
          <w:lang w:val="en-US"/>
        </w:rPr>
      </w:pPr>
      <w:r w:rsidRPr="00B64A4F">
        <w:rPr>
          <w:rFonts w:cs="Arial"/>
          <w:color w:val="000000" w:themeColor="text1"/>
          <w:lang w:val="en-US"/>
        </w:rPr>
        <w:t>This section addresses the section of two research questions posed by DSS: What evidence is there of the effects and impacts of the ECI frameworks/guidelines on child, family and/or service outcomes?  To answer this question, a systematic review was undertaken.</w:t>
      </w:r>
    </w:p>
    <w:p w14:paraId="3E036FFB" w14:textId="59462F80" w:rsidR="00B64A4F" w:rsidRPr="00B64A4F" w:rsidRDefault="00B64A4F" w:rsidP="00B64A4F">
      <w:pPr>
        <w:pStyle w:val="Heading2"/>
      </w:pPr>
      <w:bookmarkStart w:id="70" w:name="_Toc177730850"/>
      <w:r w:rsidRPr="00B64A4F">
        <w:t>Team members</w:t>
      </w:r>
      <w:bookmarkEnd w:id="70"/>
      <w:r w:rsidRPr="00B64A4F">
        <w:t xml:space="preserve"> </w:t>
      </w:r>
    </w:p>
    <w:p w14:paraId="24EBC108"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The systematic review was led by Imms (UoM) in consultation with MCRI, PRECI and the SNAICC. SNAICC’s involvement ensured that the research and analysis incorporated and reflected Aboriginal and Torres Strait Islander led evidence bases. The review team comprised Christine Imms, Francesca Lami, Meghan Wilson, Sarah Knight, Nicole Merrick, Ellie Van Vellsen, and Lyn Allen, with support from librarian Poh Chua at The Royal Children’s Hospital in the design of the search strategy.  </w:t>
      </w:r>
    </w:p>
    <w:p w14:paraId="03592960" w14:textId="59A11D30" w:rsidR="00B64A4F" w:rsidRPr="00B64A4F" w:rsidRDefault="00B64A4F" w:rsidP="00B64A4F">
      <w:pPr>
        <w:pStyle w:val="Heading2"/>
      </w:pPr>
      <w:bookmarkStart w:id="71" w:name="_Toc177730851"/>
      <w:r w:rsidRPr="00B64A4F">
        <w:t>Aims</w:t>
      </w:r>
      <w:bookmarkEnd w:id="71"/>
    </w:p>
    <w:p w14:paraId="0E94F6B5"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This systematic review aimed to gather, report and synthesise evidence available to understand the effects and impacts of ECI frameworks. As described in Part Two (Section 5), frameworks comprise multiple components: aims, principles, practices, strategies and interventions. Practices are the specific actions or behaviours that put the ECI principles into effect: they are how principles are applied. Practices are complex, tailored to settings and families and chosen based on three types of evidence: evidence-based research, practitioner practice knowledge and wisdom, and client values, priorities and circumstances. In research, practices are typically evaluated as strategies or interventions which may also be described as approaches or programs. We sought evidence from research about strategies/interventions/programs with identifiable elements of ECI practices. </w:t>
      </w:r>
    </w:p>
    <w:p w14:paraId="03C94564"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Selection of strategies or interventions for use in ECI should be based on evidence derived from the most rigorous research methods. The Oxford levels of evidence (OECBM Levels of Evidence Working Group, 2011) indicates that interventions supported by systematic reviews (SR) of randomised controlled trials (RCT) provide the highest level of evidence of effect. In the absence of focused systematic review evidence, individual randomised controlled trials provide the next highest level of evidence. Other types of design (e.g., non-randomised comparison studies, single group (uncontrolled) studies that evaluate outcomes before and after an intervention, do provide evidence, but with an increasing risk of bias. Typically, the risk of bias in non-randomised or uncontrolled studies favours the strategy or intervention under investigation, inflating the estimate of the effect size. Single-case experimental design studied (SCEDs) can also provide strong evidence of effect but may investigate a narrowly focused strategy.  </w:t>
      </w:r>
    </w:p>
    <w:p w14:paraId="5B77B351" w14:textId="77777777" w:rsidR="00B64A4F" w:rsidRPr="00B64A4F" w:rsidRDefault="00B64A4F" w:rsidP="00B64A4F">
      <w:pPr>
        <w:rPr>
          <w:rFonts w:cs="Arial"/>
          <w:color w:val="000000" w:themeColor="text1"/>
          <w:lang w:val="en-US"/>
        </w:rPr>
      </w:pPr>
      <w:r w:rsidRPr="00B64A4F">
        <w:rPr>
          <w:rFonts w:cs="Arial"/>
          <w:color w:val="000000" w:themeColor="text1"/>
          <w:lang w:val="en-US"/>
        </w:rPr>
        <w:t>Because evidence-informed decision making also relies on family values, priorities and circumstances, this review also sought to understand the perspectives of parents/caregivers and professionals on the outcomes of interventions, to provide evidence about the lived experience perspective. Therefore, this review sought to retrieve and summarise the evidence of both effects and experiences of strategies or interventions that tested principle-based practices used in ECI in the same jurisdictions included in the scoping review reported in Section 4. </w:t>
      </w:r>
    </w:p>
    <w:p w14:paraId="1A2707CA" w14:textId="616AFF6D" w:rsidR="00B64A4F" w:rsidRPr="00B64A4F" w:rsidRDefault="00B64A4F" w:rsidP="00B64A4F">
      <w:pPr>
        <w:pStyle w:val="Heading2"/>
      </w:pPr>
      <w:bookmarkStart w:id="72" w:name="_Toc177730852"/>
      <w:r w:rsidRPr="00B64A4F">
        <w:t>Objectives</w:t>
      </w:r>
      <w:bookmarkEnd w:id="72"/>
      <w:r w:rsidRPr="00B64A4F">
        <w:t xml:space="preserve"> </w:t>
      </w:r>
    </w:p>
    <w:p w14:paraId="6662904B" w14:textId="77777777" w:rsidR="00B64A4F" w:rsidRPr="00B64A4F" w:rsidRDefault="00B64A4F" w:rsidP="00B64A4F">
      <w:pPr>
        <w:rPr>
          <w:rFonts w:cs="Arial"/>
          <w:b/>
          <w:bCs/>
          <w:color w:val="000000" w:themeColor="text1"/>
          <w:lang w:val="en-US"/>
        </w:rPr>
      </w:pPr>
      <w:r w:rsidRPr="00B64A4F">
        <w:rPr>
          <w:rFonts w:cs="Arial"/>
          <w:b/>
          <w:bCs/>
          <w:color w:val="000000" w:themeColor="text1"/>
          <w:lang w:val="en-US"/>
        </w:rPr>
        <w:t xml:space="preserve">Primary objective: </w:t>
      </w:r>
    </w:p>
    <w:p w14:paraId="6E468B20" w14:textId="3ADEA22D" w:rsidR="00B64A4F" w:rsidRPr="00B64A4F" w:rsidRDefault="00B64A4F" w:rsidP="00B64A4F">
      <w:pPr>
        <w:rPr>
          <w:rFonts w:cs="Arial"/>
          <w:color w:val="000000" w:themeColor="text1"/>
          <w:lang w:val="en-US"/>
        </w:rPr>
      </w:pPr>
      <w:r w:rsidRPr="00B64A4F">
        <w:rPr>
          <w:rFonts w:cs="Arial"/>
          <w:color w:val="000000" w:themeColor="text1"/>
          <w:lang w:val="en-US"/>
        </w:rPr>
        <w:t xml:space="preserve">To evaluate the effects and impacts of early childhood intervention frameworks as observed in research investigating practices (strategies, interventions or programs) for children with a developmental concern, delay or disability on: </w:t>
      </w:r>
    </w:p>
    <w:p w14:paraId="23542A76" w14:textId="0A0070D8" w:rsidR="00B64A4F" w:rsidRPr="00B64A4F" w:rsidRDefault="00B64A4F" w:rsidP="003B0B17">
      <w:pPr>
        <w:pStyle w:val="ListParagraph"/>
        <w:numPr>
          <w:ilvl w:val="0"/>
          <w:numId w:val="158"/>
        </w:numPr>
        <w:ind w:left="714" w:hanging="357"/>
        <w:contextualSpacing w:val="0"/>
        <w:rPr>
          <w:rFonts w:cs="Arial"/>
          <w:color w:val="000000" w:themeColor="text1"/>
          <w:lang w:val="en-US"/>
        </w:rPr>
      </w:pPr>
      <w:r w:rsidRPr="00B64A4F">
        <w:rPr>
          <w:rFonts w:cs="Arial"/>
          <w:color w:val="000000" w:themeColor="text1"/>
          <w:lang w:val="en-US"/>
        </w:rPr>
        <w:t xml:space="preserve">Children with a developmental disability or a developmental concern.  </w:t>
      </w:r>
    </w:p>
    <w:p w14:paraId="6EEDB0A1" w14:textId="68CAAAD3" w:rsidR="00B64A4F" w:rsidRPr="00B64A4F" w:rsidRDefault="00B64A4F" w:rsidP="003B0B17">
      <w:pPr>
        <w:pStyle w:val="ListParagraph"/>
        <w:numPr>
          <w:ilvl w:val="0"/>
          <w:numId w:val="158"/>
        </w:numPr>
        <w:ind w:left="714" w:hanging="357"/>
        <w:contextualSpacing w:val="0"/>
        <w:rPr>
          <w:rFonts w:cs="Arial"/>
          <w:color w:val="000000" w:themeColor="text1"/>
          <w:lang w:val="en-US"/>
        </w:rPr>
      </w:pPr>
      <w:r w:rsidRPr="00B64A4F">
        <w:rPr>
          <w:rFonts w:cs="Arial"/>
          <w:color w:val="000000" w:themeColor="text1"/>
          <w:lang w:val="en-US"/>
        </w:rPr>
        <w:t>Their caregivers and/or families, and/or communities.</w:t>
      </w:r>
    </w:p>
    <w:p w14:paraId="2F9E006F" w14:textId="42084F52" w:rsidR="00B64A4F" w:rsidRDefault="00B64A4F" w:rsidP="003B0B17">
      <w:pPr>
        <w:pStyle w:val="ListParagraph"/>
        <w:numPr>
          <w:ilvl w:val="0"/>
          <w:numId w:val="158"/>
        </w:numPr>
        <w:ind w:left="714" w:hanging="357"/>
        <w:contextualSpacing w:val="0"/>
        <w:rPr>
          <w:rFonts w:cs="Arial"/>
          <w:color w:val="000000" w:themeColor="text1"/>
          <w:lang w:val="en-US"/>
        </w:rPr>
      </w:pPr>
      <w:r w:rsidRPr="00B64A4F">
        <w:rPr>
          <w:rFonts w:cs="Arial"/>
          <w:color w:val="000000" w:themeColor="text1"/>
          <w:lang w:val="en-US"/>
        </w:rPr>
        <w:t xml:space="preserve">Service providers and/or professionals and/or organisations/services delivering early childhood interventions.  </w:t>
      </w:r>
    </w:p>
    <w:p w14:paraId="43952D75" w14:textId="77777777" w:rsidR="00B64A4F" w:rsidRPr="00B64A4F" w:rsidRDefault="00B64A4F" w:rsidP="00B64A4F">
      <w:pPr>
        <w:pStyle w:val="ListParagraph"/>
        <w:ind w:left="714"/>
        <w:contextualSpacing w:val="0"/>
        <w:rPr>
          <w:rFonts w:cs="Arial"/>
          <w:color w:val="000000" w:themeColor="text1"/>
          <w:lang w:val="en-US"/>
        </w:rPr>
      </w:pPr>
    </w:p>
    <w:p w14:paraId="5B836409" w14:textId="4CFDAF5B" w:rsidR="00B64A4F" w:rsidRPr="00B64A4F" w:rsidRDefault="00B64A4F" w:rsidP="00B64A4F">
      <w:pPr>
        <w:pStyle w:val="Heading2"/>
      </w:pPr>
      <w:bookmarkStart w:id="73" w:name="_Toc177730853"/>
      <w:r w:rsidRPr="00B64A4F">
        <w:t>Research Questions</w:t>
      </w:r>
      <w:bookmarkEnd w:id="73"/>
    </w:p>
    <w:p w14:paraId="5AA19292" w14:textId="77777777" w:rsidR="00B64A4F" w:rsidRPr="00B64A4F" w:rsidRDefault="00B64A4F" w:rsidP="00B64A4F">
      <w:pPr>
        <w:rPr>
          <w:rFonts w:cs="Arial"/>
          <w:color w:val="000000" w:themeColor="text1"/>
          <w:lang w:val="en-US"/>
        </w:rPr>
      </w:pPr>
      <w:r w:rsidRPr="00B64A4F">
        <w:rPr>
          <w:rFonts w:cs="Arial"/>
          <w:color w:val="000000" w:themeColor="text1"/>
          <w:lang w:val="en-US"/>
        </w:rPr>
        <w:t>What evidence is there of the effects and impacts of the ECI frameworks on child, family and/or service outcomes? In addressing this question, data to answer the following questions was sought, summarised and interpreted:</w:t>
      </w:r>
    </w:p>
    <w:p w14:paraId="0380DB10" w14:textId="4A9A9C5B" w:rsidR="00B64A4F" w:rsidRPr="00B64A4F" w:rsidRDefault="00B64A4F" w:rsidP="003B0B17">
      <w:pPr>
        <w:pStyle w:val="ListParagraph"/>
        <w:numPr>
          <w:ilvl w:val="0"/>
          <w:numId w:val="159"/>
        </w:numPr>
        <w:ind w:left="714" w:hanging="357"/>
        <w:contextualSpacing w:val="0"/>
        <w:rPr>
          <w:rFonts w:cs="Arial"/>
          <w:color w:val="000000" w:themeColor="text1"/>
          <w:lang w:val="en-US"/>
        </w:rPr>
      </w:pPr>
      <w:r w:rsidRPr="00B64A4F">
        <w:rPr>
          <w:rFonts w:cs="Arial"/>
          <w:color w:val="000000" w:themeColor="text1"/>
          <w:lang w:val="en-US"/>
        </w:rPr>
        <w:t>What is the nature of research undertaken to examine effects and impacts of these frameworks/guidelines/practices on children, families or services?</w:t>
      </w:r>
    </w:p>
    <w:p w14:paraId="01609722" w14:textId="286D25AD" w:rsidR="00B64A4F" w:rsidRPr="00B64A4F" w:rsidRDefault="00B64A4F" w:rsidP="003B0B17">
      <w:pPr>
        <w:pStyle w:val="ListParagraph"/>
        <w:numPr>
          <w:ilvl w:val="0"/>
          <w:numId w:val="159"/>
        </w:numPr>
        <w:ind w:left="714" w:hanging="357"/>
        <w:contextualSpacing w:val="0"/>
        <w:rPr>
          <w:rFonts w:cs="Arial"/>
          <w:color w:val="000000" w:themeColor="text1"/>
          <w:lang w:val="en-US"/>
        </w:rPr>
      </w:pPr>
      <w:r w:rsidRPr="00B64A4F">
        <w:rPr>
          <w:rFonts w:cs="Arial"/>
          <w:color w:val="000000" w:themeColor="text1"/>
          <w:lang w:val="en-US"/>
        </w:rPr>
        <w:t>How are the ECI practices/interventions defined and described according to what ‘intervention’ is provided by whom, where, when and how much (duration/intensity/dose)?</w:t>
      </w:r>
    </w:p>
    <w:p w14:paraId="7192AE2B" w14:textId="7E4B36C9" w:rsidR="00B64A4F" w:rsidRPr="00B64A4F" w:rsidRDefault="00B64A4F" w:rsidP="003B0B17">
      <w:pPr>
        <w:pStyle w:val="ListParagraph"/>
        <w:numPr>
          <w:ilvl w:val="0"/>
          <w:numId w:val="159"/>
        </w:numPr>
        <w:ind w:left="714" w:hanging="357"/>
        <w:contextualSpacing w:val="0"/>
        <w:rPr>
          <w:rFonts w:cs="Arial"/>
          <w:color w:val="000000" w:themeColor="text1"/>
          <w:lang w:val="en-US"/>
        </w:rPr>
      </w:pPr>
      <w:r w:rsidRPr="00B64A4F">
        <w:rPr>
          <w:rFonts w:cs="Arial"/>
          <w:color w:val="000000" w:themeColor="text1"/>
          <w:lang w:val="en-US"/>
        </w:rPr>
        <w:t>What child, family and service outcomes have been identified and measured and how?</w:t>
      </w:r>
    </w:p>
    <w:p w14:paraId="23309804" w14:textId="2681AE2A" w:rsidR="00B64A4F" w:rsidRPr="00B64A4F" w:rsidRDefault="00B64A4F" w:rsidP="003B0B17">
      <w:pPr>
        <w:pStyle w:val="ListParagraph"/>
        <w:numPr>
          <w:ilvl w:val="0"/>
          <w:numId w:val="159"/>
        </w:numPr>
        <w:ind w:left="714" w:hanging="357"/>
        <w:contextualSpacing w:val="0"/>
        <w:rPr>
          <w:rFonts w:cs="Arial"/>
          <w:color w:val="000000" w:themeColor="text1"/>
          <w:lang w:val="en-US"/>
        </w:rPr>
      </w:pPr>
      <w:r w:rsidRPr="00B64A4F">
        <w:rPr>
          <w:rFonts w:cs="Arial"/>
          <w:color w:val="000000" w:themeColor="text1"/>
          <w:lang w:val="en-US"/>
        </w:rPr>
        <w:t>Which children and families are included in research related to outcomes (and who is missing)?</w:t>
      </w:r>
    </w:p>
    <w:p w14:paraId="1A44A227" w14:textId="58033F5F" w:rsidR="00B64A4F" w:rsidRPr="00B64A4F" w:rsidRDefault="00B64A4F" w:rsidP="003B0B17">
      <w:pPr>
        <w:pStyle w:val="ListParagraph"/>
        <w:numPr>
          <w:ilvl w:val="0"/>
          <w:numId w:val="159"/>
        </w:numPr>
        <w:ind w:left="714" w:hanging="357"/>
        <w:contextualSpacing w:val="0"/>
        <w:rPr>
          <w:rFonts w:cs="Arial"/>
          <w:color w:val="000000" w:themeColor="text1"/>
          <w:lang w:val="en-US"/>
        </w:rPr>
      </w:pPr>
      <w:r w:rsidRPr="00B64A4F">
        <w:rPr>
          <w:rFonts w:cs="Arial"/>
          <w:color w:val="000000" w:themeColor="text1"/>
          <w:lang w:val="en-US"/>
        </w:rPr>
        <w:t>To what extent does evidence apply to specific groups of children, including Aboriginal and/or Torres Strait Islander children and families, or those from culturally or linguistically diverse communities?</w:t>
      </w:r>
    </w:p>
    <w:p w14:paraId="560D7DB2" w14:textId="0FA30F9C" w:rsidR="00B64A4F" w:rsidRPr="00B64A4F" w:rsidRDefault="00B64A4F" w:rsidP="003B0B17">
      <w:pPr>
        <w:pStyle w:val="ListParagraph"/>
        <w:numPr>
          <w:ilvl w:val="0"/>
          <w:numId w:val="159"/>
        </w:numPr>
        <w:ind w:left="714" w:hanging="357"/>
        <w:contextualSpacing w:val="0"/>
        <w:rPr>
          <w:rFonts w:cs="Arial"/>
          <w:color w:val="000000" w:themeColor="text1"/>
          <w:lang w:val="en-US"/>
        </w:rPr>
      </w:pPr>
      <w:r w:rsidRPr="00B64A4F">
        <w:rPr>
          <w:rFonts w:cs="Arial"/>
          <w:color w:val="000000" w:themeColor="text1"/>
          <w:lang w:val="en-US"/>
        </w:rPr>
        <w:t xml:space="preserve">To what extent does the implementation of ECI frameworks/guidelines deliver positive outcomes for children and families? How is this demonstrated? </w:t>
      </w:r>
    </w:p>
    <w:p w14:paraId="5E9BF319" w14:textId="7D9A7CF4" w:rsidR="00B64A4F" w:rsidRPr="00B64A4F" w:rsidRDefault="00B64A4F" w:rsidP="003B0B17">
      <w:pPr>
        <w:pStyle w:val="ListParagraph"/>
        <w:numPr>
          <w:ilvl w:val="0"/>
          <w:numId w:val="159"/>
        </w:numPr>
        <w:ind w:left="714" w:hanging="357"/>
        <w:contextualSpacing w:val="0"/>
        <w:rPr>
          <w:rFonts w:cs="Arial"/>
          <w:color w:val="000000" w:themeColor="text1"/>
          <w:lang w:val="en-US"/>
        </w:rPr>
      </w:pPr>
      <w:r w:rsidRPr="00B64A4F">
        <w:rPr>
          <w:rFonts w:cs="Arial"/>
          <w:color w:val="000000" w:themeColor="text1"/>
          <w:lang w:val="en-US"/>
        </w:rPr>
        <w:t xml:space="preserve">What are the identified barriers and facilitators to implementation of best practice frameworks/guidelines? </w:t>
      </w:r>
    </w:p>
    <w:p w14:paraId="1FC9F354" w14:textId="3CEC1392" w:rsidR="00B64A4F" w:rsidRPr="00B64A4F" w:rsidRDefault="00B64A4F" w:rsidP="00B64A4F">
      <w:pPr>
        <w:pStyle w:val="Heading2"/>
      </w:pPr>
      <w:bookmarkStart w:id="74" w:name="_Toc177730854"/>
      <w:r w:rsidRPr="00B64A4F">
        <w:t>Design</w:t>
      </w:r>
      <w:bookmarkEnd w:id="74"/>
    </w:p>
    <w:p w14:paraId="2188B0EA" w14:textId="5164DF76" w:rsidR="00B64A4F" w:rsidRPr="00B64A4F" w:rsidRDefault="00B64A4F" w:rsidP="00B64A4F">
      <w:pPr>
        <w:rPr>
          <w:rFonts w:cs="Arial"/>
          <w:color w:val="000000" w:themeColor="text1"/>
          <w:lang w:val="en-US"/>
        </w:rPr>
      </w:pPr>
      <w:r w:rsidRPr="00B64A4F">
        <w:rPr>
          <w:rFonts w:cs="Arial"/>
          <w:color w:val="000000" w:themeColor="text1"/>
          <w:lang w:val="en-US"/>
        </w:rPr>
        <w:t xml:space="preserve">This review used systematic review methods to identify evidence garnered through intervention or implementation research. We did not undertake a Cochrane review however, we followed the methods outlined in the Cochrane handbook for systematic reviews of interventions (30) and the Prisma reporting guidelines (31). </w:t>
      </w:r>
    </w:p>
    <w:p w14:paraId="13F7BADB" w14:textId="482C9B3C" w:rsidR="00B64A4F" w:rsidRPr="00B64A4F" w:rsidRDefault="00B64A4F" w:rsidP="00B27689">
      <w:pPr>
        <w:pStyle w:val="Heading2"/>
        <w:rPr>
          <w:lang w:val="en-US"/>
        </w:rPr>
      </w:pPr>
      <w:bookmarkStart w:id="75" w:name="_Toc177730855"/>
      <w:r w:rsidRPr="00B64A4F">
        <w:rPr>
          <w:lang w:val="en-US"/>
        </w:rPr>
        <w:t>Sources of information</w:t>
      </w:r>
      <w:bookmarkEnd w:id="75"/>
      <w:r w:rsidRPr="00B64A4F">
        <w:rPr>
          <w:lang w:val="en-US"/>
        </w:rPr>
        <w:t xml:space="preserve"> </w:t>
      </w:r>
    </w:p>
    <w:p w14:paraId="21C81FBA" w14:textId="77777777" w:rsidR="00B64A4F" w:rsidRPr="00B64A4F" w:rsidRDefault="00B64A4F" w:rsidP="00B64A4F">
      <w:pPr>
        <w:rPr>
          <w:rFonts w:cs="Arial"/>
          <w:color w:val="000000" w:themeColor="text1"/>
          <w:lang w:val="en-US"/>
        </w:rPr>
      </w:pPr>
      <w:r w:rsidRPr="00B64A4F">
        <w:rPr>
          <w:rFonts w:cs="Arial"/>
          <w:color w:val="000000" w:themeColor="text1"/>
          <w:lang w:val="en-US"/>
        </w:rPr>
        <w:t>A systematic search using the keywords and thesaurus terms related to the inclusion criteria described in  </w:t>
      </w:r>
    </w:p>
    <w:p w14:paraId="1575F6F1"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Table 3 was developed for each of the following databases: PubMed (Medline Ovid), Web of Science, PsychINFO, CINAHL, ERIC. Keywords and thesaurus terms related to the following concepts were combined by the Boolean Operator ‘AND’: </w:t>
      </w:r>
    </w:p>
    <w:p w14:paraId="698F4341" w14:textId="4E5DE900" w:rsidR="00B64A4F" w:rsidRPr="00B27689" w:rsidRDefault="00B64A4F" w:rsidP="003B0B17">
      <w:pPr>
        <w:pStyle w:val="ListParagraph"/>
        <w:numPr>
          <w:ilvl w:val="0"/>
          <w:numId w:val="160"/>
        </w:numPr>
        <w:ind w:left="714" w:hanging="357"/>
        <w:contextualSpacing w:val="0"/>
        <w:rPr>
          <w:rFonts w:cs="Arial"/>
          <w:color w:val="000000" w:themeColor="text1"/>
          <w:lang w:val="en-US"/>
        </w:rPr>
      </w:pPr>
      <w:r w:rsidRPr="00B27689">
        <w:rPr>
          <w:rFonts w:cs="Arial"/>
          <w:color w:val="000000" w:themeColor="text1"/>
          <w:lang w:val="en-US"/>
        </w:rPr>
        <w:t xml:space="preserve">Population </w:t>
      </w:r>
    </w:p>
    <w:p w14:paraId="38140E4C" w14:textId="03C091BA" w:rsidR="00B64A4F" w:rsidRPr="00B27689" w:rsidRDefault="00B64A4F" w:rsidP="003B0B17">
      <w:pPr>
        <w:pStyle w:val="ListParagraph"/>
        <w:numPr>
          <w:ilvl w:val="0"/>
          <w:numId w:val="160"/>
        </w:numPr>
        <w:ind w:left="714" w:hanging="357"/>
        <w:contextualSpacing w:val="0"/>
        <w:rPr>
          <w:rFonts w:cs="Arial"/>
          <w:color w:val="000000" w:themeColor="text1"/>
          <w:lang w:val="en-US"/>
        </w:rPr>
      </w:pPr>
      <w:r w:rsidRPr="00B27689">
        <w:rPr>
          <w:rFonts w:cs="Arial"/>
          <w:color w:val="000000" w:themeColor="text1"/>
          <w:lang w:val="en-US"/>
        </w:rPr>
        <w:t>Disorder</w:t>
      </w:r>
    </w:p>
    <w:p w14:paraId="747552D9" w14:textId="0DA32F31" w:rsidR="00B64A4F" w:rsidRPr="00B27689" w:rsidRDefault="00B64A4F" w:rsidP="003B0B17">
      <w:pPr>
        <w:pStyle w:val="ListParagraph"/>
        <w:numPr>
          <w:ilvl w:val="0"/>
          <w:numId w:val="160"/>
        </w:numPr>
        <w:ind w:left="714" w:hanging="357"/>
        <w:contextualSpacing w:val="0"/>
        <w:rPr>
          <w:rFonts w:cs="Arial"/>
          <w:color w:val="000000" w:themeColor="text1"/>
          <w:lang w:val="en-US"/>
        </w:rPr>
      </w:pPr>
      <w:r w:rsidRPr="00B27689">
        <w:rPr>
          <w:rFonts w:cs="Arial"/>
          <w:color w:val="000000" w:themeColor="text1"/>
          <w:lang w:val="en-US"/>
        </w:rPr>
        <w:t xml:space="preserve">Intervention </w:t>
      </w:r>
    </w:p>
    <w:p w14:paraId="53F8357C" w14:textId="48561B21" w:rsidR="00B64A4F" w:rsidRPr="00B27689" w:rsidRDefault="00B64A4F" w:rsidP="003B0B17">
      <w:pPr>
        <w:pStyle w:val="ListParagraph"/>
        <w:numPr>
          <w:ilvl w:val="0"/>
          <w:numId w:val="160"/>
        </w:numPr>
        <w:ind w:left="714" w:hanging="357"/>
        <w:contextualSpacing w:val="0"/>
        <w:rPr>
          <w:rFonts w:cs="Arial"/>
          <w:color w:val="000000" w:themeColor="text1"/>
          <w:lang w:val="en-US"/>
        </w:rPr>
      </w:pPr>
      <w:r w:rsidRPr="00B27689">
        <w:rPr>
          <w:rFonts w:cs="Arial"/>
          <w:color w:val="000000" w:themeColor="text1"/>
          <w:lang w:val="en-US"/>
        </w:rPr>
        <w:t xml:space="preserve">Qualifiers of intervention according to ECIA principles  </w:t>
      </w:r>
    </w:p>
    <w:p w14:paraId="7428AA0A" w14:textId="18385E37" w:rsidR="00B64A4F" w:rsidRPr="00B27689" w:rsidRDefault="00B64A4F" w:rsidP="003B0B17">
      <w:pPr>
        <w:pStyle w:val="ListParagraph"/>
        <w:numPr>
          <w:ilvl w:val="0"/>
          <w:numId w:val="160"/>
        </w:numPr>
        <w:ind w:left="714" w:hanging="357"/>
        <w:contextualSpacing w:val="0"/>
        <w:rPr>
          <w:rFonts w:cs="Arial"/>
          <w:color w:val="000000" w:themeColor="text1"/>
          <w:lang w:val="en-US"/>
        </w:rPr>
      </w:pPr>
      <w:r w:rsidRPr="00B27689">
        <w:rPr>
          <w:rFonts w:cs="Arial"/>
          <w:color w:val="000000" w:themeColor="text1"/>
          <w:lang w:val="en-US"/>
        </w:rPr>
        <w:t xml:space="preserve">Outcome </w:t>
      </w:r>
    </w:p>
    <w:p w14:paraId="57103339" w14:textId="45832278" w:rsidR="00B64A4F" w:rsidRPr="00B27689" w:rsidRDefault="00B64A4F" w:rsidP="003B0B17">
      <w:pPr>
        <w:pStyle w:val="ListParagraph"/>
        <w:numPr>
          <w:ilvl w:val="0"/>
          <w:numId w:val="160"/>
        </w:numPr>
        <w:ind w:left="714" w:hanging="357"/>
        <w:contextualSpacing w:val="0"/>
        <w:rPr>
          <w:rFonts w:cs="Arial"/>
          <w:color w:val="000000" w:themeColor="text1"/>
          <w:lang w:val="en-US"/>
        </w:rPr>
      </w:pPr>
      <w:r w:rsidRPr="00B27689">
        <w:rPr>
          <w:rFonts w:cs="Arial"/>
          <w:color w:val="000000" w:themeColor="text1"/>
          <w:lang w:val="en-US"/>
        </w:rPr>
        <w:t>Setting of intervention</w:t>
      </w:r>
    </w:p>
    <w:p w14:paraId="2389F9A2"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Keywords related to each jurisdiction framework were also combined with the above search by the Boolean operator ‘OR’. </w:t>
      </w:r>
    </w:p>
    <w:p w14:paraId="7F3A9337"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A librarian was consulted to create the specific search terms and to tailor it for each database. After consultation, the following databases were searched on 11 June 2024 for references back to 2014: Medline (Ovid), PsycINFO (Ovid), CINAHL, ERIC (Ebsco) using both thesaurus and keywords, as described in Appendix A. In addition, PubMed and Web of Science were searched using keywords only to retrieve e-publications and items not indexed in Medline. The Medline search strategy was adapted for use in other databases; the Medline search history is listed in Appendix A. </w:t>
      </w:r>
    </w:p>
    <w:p w14:paraId="052E9D3F"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We also searched on Google Scholar (via Publish and Perish) targeted references related to each jurisdiction publication (See Appendix A). In addition, we sought relevant literature known to our partner SNAICC, specific to Aboriginal and Torres Strait Islander populations, as we anticipated this literature might be unavailable through usual searching approaches. </w:t>
      </w:r>
    </w:p>
    <w:p w14:paraId="68531B87"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The structured searches on each database and Google Scholar were complemented by forward citation searching of the ECIA guidelines using Google Scholar (via Scite). Additional items were identified through hand-searching of reference lists of relevant retrieved articles. </w:t>
      </w:r>
    </w:p>
    <w:p w14:paraId="5753F93C"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Appendix A reports the process undertaken to perform the systematic search on each website and on Google Scholar, the search terms used, and provides the link to the permanent search strategy. </w:t>
      </w:r>
    </w:p>
    <w:p w14:paraId="4B8D61EA" w14:textId="237C4C27" w:rsidR="00B64A4F" w:rsidRPr="00B27689" w:rsidRDefault="00B64A4F" w:rsidP="00B27689">
      <w:pPr>
        <w:pStyle w:val="Heading2"/>
      </w:pPr>
      <w:bookmarkStart w:id="76" w:name="_Toc177730856"/>
      <w:r w:rsidRPr="00B27689">
        <w:t>Document selection</w:t>
      </w:r>
      <w:bookmarkEnd w:id="76"/>
      <w:r w:rsidRPr="00B27689">
        <w:t xml:space="preserve"> </w:t>
      </w:r>
    </w:p>
    <w:p w14:paraId="09F23629" w14:textId="77777777" w:rsidR="00B64A4F" w:rsidRPr="00B64A4F" w:rsidRDefault="00B64A4F" w:rsidP="00B64A4F">
      <w:pPr>
        <w:rPr>
          <w:rFonts w:cs="Arial"/>
          <w:color w:val="000000" w:themeColor="text1"/>
          <w:lang w:val="en-US"/>
        </w:rPr>
      </w:pPr>
      <w:r w:rsidRPr="00B64A4F">
        <w:rPr>
          <w:rFonts w:cs="Arial"/>
          <w:color w:val="000000" w:themeColor="text1"/>
          <w:lang w:val="en-US"/>
        </w:rPr>
        <w:t>Results of the structured searches on each database and on Google Scholar were collated together and imported to Endnote. Duplicates were removed in Endnote and then the retrieved references were imported to Covidence to support document selection and data extraction.</w:t>
      </w:r>
    </w:p>
    <w:p w14:paraId="2C1488CE" w14:textId="77777777" w:rsidR="00B64A4F" w:rsidRPr="00B27689" w:rsidRDefault="00B64A4F" w:rsidP="00B64A4F">
      <w:pPr>
        <w:rPr>
          <w:rFonts w:cs="Arial"/>
          <w:b/>
          <w:bCs/>
          <w:color w:val="000000" w:themeColor="text1"/>
          <w:lang w:val="en-US"/>
        </w:rPr>
      </w:pPr>
      <w:r w:rsidRPr="00B27689">
        <w:rPr>
          <w:rFonts w:cs="Arial"/>
          <w:b/>
          <w:bCs/>
          <w:color w:val="000000" w:themeColor="text1"/>
          <w:lang w:val="en-US"/>
        </w:rPr>
        <w:t>Inclusion/exclusion criteria</w:t>
      </w:r>
    </w:p>
    <w:p w14:paraId="2AD10C5F" w14:textId="77777777" w:rsidR="00B64A4F" w:rsidRPr="00B64A4F" w:rsidRDefault="00B64A4F" w:rsidP="00B64A4F">
      <w:pPr>
        <w:rPr>
          <w:rFonts w:cs="Arial"/>
          <w:color w:val="000000" w:themeColor="text1"/>
          <w:lang w:val="en-US"/>
        </w:rPr>
      </w:pPr>
      <w:r w:rsidRPr="00B64A4F">
        <w:rPr>
          <w:rFonts w:cs="Arial"/>
          <w:color w:val="000000" w:themeColor="text1"/>
          <w:lang w:val="en-US"/>
        </w:rPr>
        <w:t>Consistent with systematic review methods the Population, Intervention, Comparison, Outcome, Research design (PICOR) framework was applied to the inclusion/exclusion criteria developed for each concept (e.g., population, intervention), sub-concept (e.g. children, parents), and other publication details including year published, language of publication, and jurisdiction (see  </w:t>
      </w:r>
    </w:p>
    <w:p w14:paraId="30D46191"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Table 3). </w:t>
      </w:r>
    </w:p>
    <w:p w14:paraId="5EAFD556"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Inclusion/exclusion criteria were further refined through the article selection process, to improve reliability of selection between reviewers, and to focus the selection of reports more clearly on the outcomes of interest. </w:t>
      </w:r>
    </w:p>
    <w:p w14:paraId="1A982008" w14:textId="77777777" w:rsidR="00B64A4F" w:rsidRPr="00B64A4F" w:rsidRDefault="00B64A4F" w:rsidP="00B64A4F">
      <w:pPr>
        <w:rPr>
          <w:rFonts w:cs="Arial"/>
          <w:color w:val="000000" w:themeColor="text1"/>
          <w:lang w:val="en-US"/>
        </w:rPr>
      </w:pPr>
      <w:r w:rsidRPr="00B64A4F">
        <w:rPr>
          <w:rFonts w:cs="Arial"/>
          <w:color w:val="000000" w:themeColor="text1"/>
          <w:lang w:val="en-US"/>
        </w:rPr>
        <w:t xml:space="preserve">The detail and rational for inclusion/exclusion is as follows: </w:t>
      </w:r>
    </w:p>
    <w:p w14:paraId="591199F0" w14:textId="3FF63B30" w:rsidR="00B64A4F" w:rsidRPr="00631FDD" w:rsidRDefault="00B64A4F" w:rsidP="003B0B17">
      <w:pPr>
        <w:pStyle w:val="ListParagraph"/>
        <w:numPr>
          <w:ilvl w:val="0"/>
          <w:numId w:val="161"/>
        </w:numPr>
        <w:ind w:left="357" w:hanging="357"/>
        <w:contextualSpacing w:val="0"/>
        <w:rPr>
          <w:rFonts w:cs="Arial"/>
          <w:color w:val="000000" w:themeColor="text1"/>
          <w:lang w:val="en-US"/>
        </w:rPr>
      </w:pPr>
      <w:r w:rsidRPr="00631FDD">
        <w:rPr>
          <w:rFonts w:cs="Arial"/>
          <w:b/>
          <w:bCs/>
          <w:color w:val="000000" w:themeColor="text1"/>
          <w:lang w:val="en-US"/>
        </w:rPr>
        <w:t>Population:</w:t>
      </w:r>
      <w:r w:rsidRPr="00631FDD">
        <w:rPr>
          <w:rFonts w:cs="Arial"/>
          <w:color w:val="000000" w:themeColor="text1"/>
          <w:lang w:val="en-US"/>
        </w:rPr>
        <w:t xml:space="preserve"> There are three populations of interest. </w:t>
      </w:r>
    </w:p>
    <w:p w14:paraId="134B6D86" w14:textId="5D19A80B" w:rsidR="00B64A4F" w:rsidRPr="00631FDD" w:rsidRDefault="00B64A4F" w:rsidP="003B0B17">
      <w:pPr>
        <w:pStyle w:val="ListParagraph"/>
        <w:numPr>
          <w:ilvl w:val="0"/>
          <w:numId w:val="162"/>
        </w:numPr>
        <w:ind w:left="714" w:hanging="357"/>
        <w:contextualSpacing w:val="0"/>
        <w:rPr>
          <w:rFonts w:cs="Arial"/>
          <w:color w:val="000000" w:themeColor="text1"/>
          <w:lang w:val="en-US"/>
        </w:rPr>
      </w:pPr>
      <w:r w:rsidRPr="00631FDD">
        <w:rPr>
          <w:rFonts w:cs="Arial"/>
          <w:color w:val="000000" w:themeColor="text1"/>
          <w:lang w:val="en-US"/>
        </w:rPr>
        <w:t xml:space="preserve">Population 1 is children aged 0 to &lt;9 years, identified as ‘early childhood’ in receipt of an intervention or approach (described in Intervention below) and occurring in the context described in item 6 below. Children of our population of interest will be those who qualify for ECI as they present with a developmental concern, delay or disability with or without a diagnosis. </w:t>
      </w:r>
    </w:p>
    <w:p w14:paraId="4FB55F48" w14:textId="3C50885C" w:rsidR="00B64A4F" w:rsidRPr="00631FDD" w:rsidRDefault="00B64A4F" w:rsidP="003B0B17">
      <w:pPr>
        <w:pStyle w:val="ListParagraph"/>
        <w:numPr>
          <w:ilvl w:val="0"/>
          <w:numId w:val="162"/>
        </w:numPr>
        <w:ind w:left="714" w:hanging="357"/>
        <w:contextualSpacing w:val="0"/>
        <w:rPr>
          <w:rFonts w:cs="Arial"/>
          <w:color w:val="000000" w:themeColor="text1"/>
          <w:lang w:val="en-US"/>
        </w:rPr>
      </w:pPr>
      <w:r w:rsidRPr="00631FDD">
        <w:rPr>
          <w:rFonts w:cs="Arial"/>
          <w:color w:val="000000" w:themeColor="text1"/>
          <w:lang w:val="en-US"/>
        </w:rPr>
        <w:t>Population 2 is the parents/caregivers/extended family members and/or community (e.g., an Aboriginal or Torres Strait Islander community) of the children in population 1.</w:t>
      </w:r>
    </w:p>
    <w:p w14:paraId="7C15306F" w14:textId="788C0D81" w:rsidR="00B64A4F" w:rsidRPr="00631FDD" w:rsidRDefault="00B64A4F" w:rsidP="003B0B17">
      <w:pPr>
        <w:pStyle w:val="ListParagraph"/>
        <w:numPr>
          <w:ilvl w:val="0"/>
          <w:numId w:val="162"/>
        </w:numPr>
        <w:ind w:left="714" w:hanging="357"/>
        <w:contextualSpacing w:val="0"/>
        <w:rPr>
          <w:rFonts w:cs="Arial"/>
          <w:color w:val="000000" w:themeColor="text1"/>
          <w:lang w:val="en-US"/>
        </w:rPr>
      </w:pPr>
      <w:r w:rsidRPr="00631FDD">
        <w:rPr>
          <w:rFonts w:cs="Arial"/>
          <w:color w:val="000000" w:themeColor="text1"/>
          <w:lang w:val="en-US"/>
        </w:rPr>
        <w:t>Population 3 is the service providers and/or their staff who delivered early interventions, approaches or supports, as we seek to understand impacts of ECI approaches and interventions (e.g., new policy, professional development) on their outcomes (e.g., improved ECI framework implementation capacity, knowledge, skills, attitudes, workforce issues). Population 3 includes staff/professionals such as early childhood educators (educators for children with special needs), and allied health practitioners (speech pathologists, physiotherapists, occupational therapists, psychologists, social workers, dieticians, psychotherapists) delivering ECI (in their discipline roles and/or as key workers (ECIA, 2016)) in the jurisdictions. In Australia, this population may include staff/professionals or organisations working to deliver ECI and supports as part of NDIA/NDIS early childhood initiatives encompassing a range of roles (e.g., planners, managers, tribunal, support coordinators, support workers).</w:t>
      </w:r>
    </w:p>
    <w:p w14:paraId="53F00603" w14:textId="00975C60" w:rsidR="00B64A4F" w:rsidRPr="00C41CE9" w:rsidRDefault="00B64A4F" w:rsidP="003B0B17">
      <w:pPr>
        <w:pStyle w:val="ListParagraph"/>
        <w:numPr>
          <w:ilvl w:val="0"/>
          <w:numId w:val="161"/>
        </w:numPr>
        <w:rPr>
          <w:rFonts w:cs="Arial"/>
          <w:color w:val="000000" w:themeColor="text1"/>
          <w:lang w:val="en-US"/>
        </w:rPr>
      </w:pPr>
      <w:r w:rsidRPr="00C41CE9">
        <w:rPr>
          <w:rFonts w:cs="Arial"/>
          <w:b/>
          <w:bCs/>
          <w:color w:val="000000" w:themeColor="text1"/>
          <w:lang w:val="en-US"/>
        </w:rPr>
        <w:t>Intervention.</w:t>
      </w:r>
      <w:r w:rsidRPr="00C41CE9">
        <w:rPr>
          <w:rFonts w:cs="Arial"/>
          <w:color w:val="000000" w:themeColor="text1"/>
          <w:lang w:val="en-US"/>
        </w:rPr>
        <w:t xml:space="preserve"> The intervention was defined as </w:t>
      </w:r>
    </w:p>
    <w:p w14:paraId="3A238C50" w14:textId="719EC6FA" w:rsidR="00B64A4F" w:rsidRPr="00631FDD" w:rsidRDefault="00B64A4F" w:rsidP="003B0B17">
      <w:pPr>
        <w:pStyle w:val="ListParagraph"/>
        <w:numPr>
          <w:ilvl w:val="0"/>
          <w:numId w:val="163"/>
        </w:numPr>
        <w:ind w:left="714" w:hanging="357"/>
        <w:contextualSpacing w:val="0"/>
        <w:rPr>
          <w:rFonts w:cs="Arial"/>
          <w:color w:val="000000" w:themeColor="text1"/>
          <w:lang w:val="en-US"/>
        </w:rPr>
      </w:pPr>
      <w:r w:rsidRPr="00631FDD">
        <w:rPr>
          <w:rFonts w:cs="Arial"/>
          <w:color w:val="000000" w:themeColor="text1"/>
          <w:lang w:val="en-US"/>
        </w:rPr>
        <w:t xml:space="preserve">intervention procedures (or strategies) aimed to improve an outcome as listed in (4), such as child capacity or skills building programs, parent support/empowerment programs or </w:t>
      </w:r>
    </w:p>
    <w:p w14:paraId="00CAB022" w14:textId="73446339" w:rsidR="00B64A4F" w:rsidRPr="00631FDD" w:rsidRDefault="00B64A4F" w:rsidP="003B0B17">
      <w:pPr>
        <w:pStyle w:val="ListParagraph"/>
        <w:numPr>
          <w:ilvl w:val="0"/>
          <w:numId w:val="163"/>
        </w:numPr>
        <w:ind w:left="714" w:hanging="357"/>
        <w:contextualSpacing w:val="0"/>
        <w:rPr>
          <w:rFonts w:cs="Arial"/>
          <w:color w:val="000000" w:themeColor="text1"/>
          <w:lang w:val="en-US"/>
        </w:rPr>
      </w:pPr>
      <w:r w:rsidRPr="00631FDD">
        <w:rPr>
          <w:rFonts w:cs="Arial"/>
          <w:color w:val="000000" w:themeColor="text1"/>
          <w:lang w:val="en-US"/>
        </w:rPr>
        <w:t>implementation of an early childhood intervention framework, guidelines, approaches or principles as defined by the jurisdictions, or</w:t>
      </w:r>
    </w:p>
    <w:p w14:paraId="7AD3BE5F" w14:textId="219F6C08" w:rsidR="00B64A4F" w:rsidRPr="00631FDD" w:rsidRDefault="00B64A4F" w:rsidP="003B0B17">
      <w:pPr>
        <w:pStyle w:val="ListParagraph"/>
        <w:numPr>
          <w:ilvl w:val="0"/>
          <w:numId w:val="163"/>
        </w:numPr>
        <w:ind w:left="714" w:hanging="357"/>
        <w:contextualSpacing w:val="0"/>
        <w:rPr>
          <w:rFonts w:cs="Arial"/>
          <w:color w:val="000000" w:themeColor="text1"/>
          <w:lang w:val="en-US"/>
        </w:rPr>
      </w:pPr>
      <w:r w:rsidRPr="00631FDD">
        <w:rPr>
          <w:rFonts w:cs="Arial"/>
          <w:color w:val="000000" w:themeColor="text1"/>
          <w:lang w:val="en-US"/>
        </w:rPr>
        <w:t>provision of education, service improvement/development for professionals or organisations</w:t>
      </w:r>
    </w:p>
    <w:p w14:paraId="283B414B" w14:textId="77777777" w:rsidR="00B64A4F" w:rsidRPr="00B64A4F" w:rsidRDefault="00B64A4F" w:rsidP="00C41CE9">
      <w:pPr>
        <w:rPr>
          <w:rFonts w:cs="Arial"/>
          <w:color w:val="000000" w:themeColor="text1"/>
          <w:lang w:val="en-US"/>
        </w:rPr>
      </w:pPr>
      <w:r w:rsidRPr="00B64A4F">
        <w:rPr>
          <w:rFonts w:cs="Arial"/>
          <w:color w:val="000000" w:themeColor="text1"/>
          <w:lang w:val="en-US"/>
        </w:rPr>
        <w:t>Studies on interventions that were not clearly related to ECI principles or guidelines were excluded. While it is understood that there are discipline specific interventions implemented to address specific goals for children with developmental concerns or disability, the scope of this review was limited to understanding the impact and effects of ECI principles, guidelines and approaches in practice. Medical and pharmacological interventions were also outside of the scope of this review.</w:t>
      </w:r>
    </w:p>
    <w:p w14:paraId="23789C09" w14:textId="77777777" w:rsidR="00C41CE9" w:rsidRDefault="00B64A4F" w:rsidP="003B0B17">
      <w:pPr>
        <w:pStyle w:val="ListParagraph"/>
        <w:numPr>
          <w:ilvl w:val="0"/>
          <w:numId w:val="161"/>
        </w:numPr>
        <w:contextualSpacing w:val="0"/>
        <w:rPr>
          <w:rFonts w:cs="Arial"/>
          <w:color w:val="000000" w:themeColor="text1"/>
          <w:lang w:val="en-US"/>
        </w:rPr>
      </w:pPr>
      <w:r w:rsidRPr="00C41CE9">
        <w:rPr>
          <w:rFonts w:cs="Arial"/>
          <w:b/>
          <w:bCs/>
          <w:color w:val="000000" w:themeColor="text1"/>
          <w:lang w:val="en-US"/>
        </w:rPr>
        <w:t xml:space="preserve">Comparator. </w:t>
      </w:r>
      <w:r w:rsidRPr="00C41CE9">
        <w:rPr>
          <w:rFonts w:cs="Arial"/>
          <w:color w:val="000000" w:themeColor="text1"/>
          <w:lang w:val="en-US"/>
        </w:rPr>
        <w:t>The review included studies with any comparator (i.e., waitlist control group or treatment as usual) or no comparator (e.g., pre-post intervention studies).</w:t>
      </w:r>
    </w:p>
    <w:p w14:paraId="44021D33" w14:textId="77777777" w:rsidR="00C41CE9" w:rsidRDefault="00B64A4F" w:rsidP="003B0B17">
      <w:pPr>
        <w:pStyle w:val="ListParagraph"/>
        <w:numPr>
          <w:ilvl w:val="0"/>
          <w:numId w:val="161"/>
        </w:numPr>
        <w:contextualSpacing w:val="0"/>
        <w:rPr>
          <w:rFonts w:cs="Arial"/>
          <w:color w:val="000000" w:themeColor="text1"/>
          <w:lang w:val="en-US"/>
        </w:rPr>
      </w:pPr>
      <w:r w:rsidRPr="00C41CE9">
        <w:rPr>
          <w:rFonts w:cs="Arial"/>
          <w:b/>
          <w:bCs/>
          <w:color w:val="000000" w:themeColor="text1"/>
          <w:lang w:val="en-US"/>
        </w:rPr>
        <w:t>Outcomes.</w:t>
      </w:r>
      <w:r w:rsidRPr="00C41CE9">
        <w:rPr>
          <w:rFonts w:cs="Arial"/>
          <w:color w:val="000000" w:themeColor="text1"/>
          <w:lang w:val="en-US"/>
        </w:rPr>
        <w:t xml:space="preserve"> For this review, we were interested in a wide range of outcomes relevant to child, parent/caregiver, families, services and organisations. Working towards optimal outcomes for children in early childhood involves an understanding of the context and systems in which children live (i.e., their families and communities, their services and supports). Sub-categories of outcomes were sought for each population (i.e., child, parent/family, service/organisation).</w:t>
      </w:r>
    </w:p>
    <w:p w14:paraId="275A3634" w14:textId="77777777" w:rsidR="00C41CE9" w:rsidRDefault="00B64A4F" w:rsidP="003B0B17">
      <w:pPr>
        <w:pStyle w:val="ListParagraph"/>
        <w:numPr>
          <w:ilvl w:val="0"/>
          <w:numId w:val="161"/>
        </w:numPr>
        <w:contextualSpacing w:val="0"/>
        <w:rPr>
          <w:rFonts w:cs="Arial"/>
          <w:color w:val="000000" w:themeColor="text1"/>
          <w:lang w:val="en-US"/>
        </w:rPr>
      </w:pPr>
      <w:r w:rsidRPr="00C41CE9">
        <w:rPr>
          <w:rFonts w:cs="Arial"/>
          <w:b/>
          <w:bCs/>
          <w:color w:val="000000" w:themeColor="text1"/>
          <w:lang w:val="en-US"/>
        </w:rPr>
        <w:t>Research design.</w:t>
      </w:r>
      <w:r w:rsidRPr="00C41CE9">
        <w:rPr>
          <w:rFonts w:cs="Arial"/>
          <w:color w:val="000000" w:themeColor="text1"/>
          <w:lang w:val="en-US"/>
        </w:rPr>
        <w:t xml:space="preserve"> Any study evaluating the effects or impacts of ECI approaches, including systematic reviews of intervention studies using experimental designs, randomised trials, pre-post or quasi-experimental studies, longitudinal follow up studies. Studies may use a variety of methods of data collection, including quantitative, qualitative or mixed, provided the focus is on the outcomes of the strategy, intervention or approach. For this review, documents that report expert opinions, that did not provide data relevant to the outcomes of interest were excluded. </w:t>
      </w:r>
    </w:p>
    <w:p w14:paraId="28E5AA51" w14:textId="25DCEC19" w:rsidR="00B64A4F" w:rsidRPr="00C41CE9" w:rsidRDefault="00B64A4F" w:rsidP="003B0B17">
      <w:pPr>
        <w:pStyle w:val="ListParagraph"/>
        <w:numPr>
          <w:ilvl w:val="0"/>
          <w:numId w:val="161"/>
        </w:numPr>
        <w:contextualSpacing w:val="0"/>
        <w:rPr>
          <w:rFonts w:cs="Arial"/>
          <w:color w:val="000000" w:themeColor="text1"/>
          <w:lang w:val="en-US"/>
        </w:rPr>
      </w:pPr>
      <w:r w:rsidRPr="00C41CE9">
        <w:rPr>
          <w:rFonts w:cs="Arial"/>
          <w:color w:val="000000" w:themeColor="text1"/>
          <w:lang w:val="en-US"/>
        </w:rPr>
        <w:t xml:space="preserve">Context. We considered any interventions that were informed by the </w:t>
      </w:r>
    </w:p>
    <w:p w14:paraId="0DC3B407" w14:textId="50F5DF3C" w:rsidR="00B64A4F" w:rsidRPr="00C41CE9" w:rsidRDefault="00B64A4F" w:rsidP="003B0B17">
      <w:pPr>
        <w:pStyle w:val="ListParagraph"/>
        <w:numPr>
          <w:ilvl w:val="0"/>
          <w:numId w:val="164"/>
        </w:numPr>
        <w:ind w:left="714" w:hanging="357"/>
        <w:contextualSpacing w:val="0"/>
        <w:rPr>
          <w:rFonts w:cs="Arial"/>
          <w:color w:val="000000" w:themeColor="text1"/>
          <w:lang w:val="en-US"/>
        </w:rPr>
      </w:pPr>
      <w:r w:rsidRPr="00C41CE9">
        <w:rPr>
          <w:rFonts w:cs="Arial"/>
          <w:color w:val="000000" w:themeColor="text1"/>
          <w:lang w:val="en-US"/>
        </w:rPr>
        <w:t>ECIA Best practice principles (Australia)</w:t>
      </w:r>
    </w:p>
    <w:p w14:paraId="27DE38C7" w14:textId="0381D638" w:rsidR="00B64A4F" w:rsidRPr="00C41CE9" w:rsidRDefault="00B64A4F" w:rsidP="003B0B17">
      <w:pPr>
        <w:pStyle w:val="ListParagraph"/>
        <w:numPr>
          <w:ilvl w:val="0"/>
          <w:numId w:val="164"/>
        </w:numPr>
        <w:ind w:left="714" w:hanging="357"/>
        <w:contextualSpacing w:val="0"/>
        <w:rPr>
          <w:rFonts w:cs="Arial"/>
          <w:color w:val="000000" w:themeColor="text1"/>
          <w:lang w:val="en-US"/>
        </w:rPr>
      </w:pPr>
      <w:r w:rsidRPr="00C41CE9">
        <w:rPr>
          <w:rFonts w:cs="Arial"/>
          <w:color w:val="000000" w:themeColor="text1"/>
          <w:lang w:val="en-US"/>
        </w:rPr>
        <w:t>National Aboriginal and Torres Strait Islander Early Childhood Strategy and Connected beginnings (Australia)</w:t>
      </w:r>
    </w:p>
    <w:p w14:paraId="1334E1AB" w14:textId="2703D885" w:rsidR="00B64A4F" w:rsidRPr="00C41CE9" w:rsidRDefault="00B64A4F" w:rsidP="003B0B17">
      <w:pPr>
        <w:pStyle w:val="ListParagraph"/>
        <w:numPr>
          <w:ilvl w:val="0"/>
          <w:numId w:val="164"/>
        </w:numPr>
        <w:ind w:left="714" w:hanging="357"/>
        <w:contextualSpacing w:val="0"/>
        <w:rPr>
          <w:rFonts w:cs="Arial"/>
          <w:color w:val="000000" w:themeColor="text1"/>
          <w:lang w:val="en-US"/>
        </w:rPr>
      </w:pPr>
      <w:r w:rsidRPr="00C41CE9">
        <w:rPr>
          <w:rFonts w:cs="Arial"/>
          <w:color w:val="000000" w:themeColor="text1"/>
          <w:lang w:val="en-US"/>
        </w:rPr>
        <w:t>He Pikorua practice framework (NZ)</w:t>
      </w:r>
    </w:p>
    <w:p w14:paraId="6EC21983" w14:textId="5996264E" w:rsidR="00B64A4F" w:rsidRPr="00C41CE9" w:rsidRDefault="00B64A4F" w:rsidP="003B0B17">
      <w:pPr>
        <w:pStyle w:val="ListParagraph"/>
        <w:numPr>
          <w:ilvl w:val="0"/>
          <w:numId w:val="164"/>
        </w:numPr>
        <w:ind w:left="714" w:hanging="357"/>
        <w:contextualSpacing w:val="0"/>
        <w:rPr>
          <w:rFonts w:cs="Arial"/>
          <w:color w:val="000000" w:themeColor="text1"/>
          <w:lang w:val="en-US"/>
        </w:rPr>
      </w:pPr>
      <w:r w:rsidRPr="00C41CE9">
        <w:rPr>
          <w:rFonts w:cs="Arial"/>
          <w:color w:val="000000" w:themeColor="text1"/>
          <w:lang w:val="en-US"/>
        </w:rPr>
        <w:t>Recommended Practices in Early Intervention / Early Childhood Special Education (USA)</w:t>
      </w:r>
    </w:p>
    <w:p w14:paraId="27599FDE" w14:textId="70485CD1" w:rsidR="00B64A4F" w:rsidRPr="00C41CE9" w:rsidRDefault="00B64A4F" w:rsidP="003B0B17">
      <w:pPr>
        <w:pStyle w:val="ListParagraph"/>
        <w:numPr>
          <w:ilvl w:val="0"/>
          <w:numId w:val="164"/>
        </w:numPr>
        <w:ind w:left="714" w:hanging="357"/>
        <w:contextualSpacing w:val="0"/>
        <w:rPr>
          <w:rFonts w:cs="Arial"/>
          <w:color w:val="000000" w:themeColor="text1"/>
          <w:lang w:val="en-US"/>
        </w:rPr>
      </w:pPr>
      <w:r w:rsidRPr="00C41CE9">
        <w:rPr>
          <w:rFonts w:cs="Arial"/>
          <w:color w:val="000000" w:themeColor="text1"/>
          <w:lang w:val="en-US"/>
        </w:rPr>
        <w:t xml:space="preserve">European Agency for Special Needs and Inclusive Education </w:t>
      </w:r>
    </w:p>
    <w:p w14:paraId="3456C311" w14:textId="64EFBE37" w:rsidR="00B64A4F" w:rsidRPr="00C41CE9" w:rsidRDefault="00B64A4F" w:rsidP="003B0B17">
      <w:pPr>
        <w:pStyle w:val="ListParagraph"/>
        <w:numPr>
          <w:ilvl w:val="0"/>
          <w:numId w:val="164"/>
        </w:numPr>
        <w:ind w:left="714" w:hanging="357"/>
        <w:contextualSpacing w:val="0"/>
        <w:rPr>
          <w:rFonts w:cs="Arial"/>
          <w:color w:val="000000" w:themeColor="text1"/>
          <w:lang w:val="en-US"/>
        </w:rPr>
      </w:pPr>
      <w:r w:rsidRPr="00C41CE9">
        <w:rPr>
          <w:rFonts w:cs="Arial"/>
          <w:color w:val="000000" w:themeColor="text1"/>
          <w:lang w:val="en-US"/>
        </w:rPr>
        <w:t>European Association on Early Childhood Intervention Recommended Practices in Early Childhood Intervention</w:t>
      </w:r>
    </w:p>
    <w:p w14:paraId="7F863E96" w14:textId="5C612D54" w:rsidR="00B64A4F" w:rsidRPr="00C41CE9" w:rsidRDefault="00B64A4F" w:rsidP="003B0B17">
      <w:pPr>
        <w:pStyle w:val="ListParagraph"/>
        <w:numPr>
          <w:ilvl w:val="0"/>
          <w:numId w:val="164"/>
        </w:numPr>
        <w:ind w:left="714" w:hanging="357"/>
        <w:contextualSpacing w:val="0"/>
        <w:rPr>
          <w:rFonts w:cs="Arial"/>
          <w:color w:val="000000" w:themeColor="text1"/>
          <w:lang w:val="en-US"/>
        </w:rPr>
      </w:pPr>
      <w:r w:rsidRPr="00C41CE9">
        <w:rPr>
          <w:rFonts w:cs="Arial"/>
          <w:color w:val="000000" w:themeColor="text1"/>
          <w:lang w:val="en-US"/>
        </w:rPr>
        <w:t>Special Education Needs and Disability Code of Practice (UK)</w:t>
      </w:r>
    </w:p>
    <w:p w14:paraId="5C1BF168" w14:textId="1714D831" w:rsidR="00B64A4F" w:rsidRPr="00C41CE9" w:rsidRDefault="00B64A4F" w:rsidP="003B0B17">
      <w:pPr>
        <w:pStyle w:val="ListParagraph"/>
        <w:numPr>
          <w:ilvl w:val="0"/>
          <w:numId w:val="164"/>
        </w:numPr>
        <w:ind w:left="714" w:hanging="357"/>
        <w:contextualSpacing w:val="0"/>
        <w:rPr>
          <w:rFonts w:cs="Arial"/>
          <w:color w:val="000000" w:themeColor="text1"/>
          <w:lang w:val="en-US"/>
        </w:rPr>
      </w:pPr>
      <w:r w:rsidRPr="00C41CE9">
        <w:rPr>
          <w:rFonts w:cs="Arial"/>
          <w:color w:val="000000" w:themeColor="text1"/>
          <w:lang w:val="en-US"/>
        </w:rPr>
        <w:t>Access and Inclusion model (Ireland)</w:t>
      </w:r>
    </w:p>
    <w:p w14:paraId="3A093048" w14:textId="77777777" w:rsidR="00FB58C6" w:rsidRDefault="00B64A4F" w:rsidP="00FB58C6">
      <w:pPr>
        <w:rPr>
          <w:rFonts w:cs="Arial"/>
          <w:color w:val="000000" w:themeColor="text1"/>
          <w:lang w:val="en-US"/>
        </w:rPr>
      </w:pPr>
      <w:r w:rsidRPr="00B64A4F">
        <w:rPr>
          <w:rFonts w:cs="Arial"/>
          <w:color w:val="000000" w:themeColor="text1"/>
          <w:lang w:val="en-US"/>
        </w:rPr>
        <w:t xml:space="preserve">Because different jurisdictions may deliver ‘intervention’ in a broad range of settings, these were not specified and could include family homes, early learning centres, healthcare settings, community settings and so forth. </w:t>
      </w:r>
    </w:p>
    <w:p w14:paraId="39D4DF40" w14:textId="77777777" w:rsidR="00FB58C6" w:rsidRDefault="00B64A4F" w:rsidP="003B0B17">
      <w:pPr>
        <w:pStyle w:val="ListParagraph"/>
        <w:numPr>
          <w:ilvl w:val="0"/>
          <w:numId w:val="161"/>
        </w:numPr>
        <w:contextualSpacing w:val="0"/>
        <w:rPr>
          <w:rFonts w:cs="Arial"/>
          <w:color w:val="000000" w:themeColor="text1"/>
          <w:lang w:val="en-US"/>
        </w:rPr>
      </w:pPr>
      <w:r w:rsidRPr="00FB58C6">
        <w:rPr>
          <w:rFonts w:cs="Arial"/>
          <w:b/>
          <w:bCs/>
          <w:color w:val="000000" w:themeColor="text1"/>
          <w:lang w:val="en-US"/>
        </w:rPr>
        <w:t>Publication language.</w:t>
      </w:r>
      <w:r w:rsidRPr="00FB58C6">
        <w:rPr>
          <w:rFonts w:cs="Arial"/>
          <w:color w:val="000000" w:themeColor="text1"/>
          <w:lang w:val="en-US"/>
        </w:rPr>
        <w:t xml:space="preserve"> We restricted peer reviewed literature to that published in English. </w:t>
      </w:r>
    </w:p>
    <w:p w14:paraId="4266D71F" w14:textId="3075FF6E" w:rsidR="00B64A4F" w:rsidRDefault="00B64A4F" w:rsidP="003B0B17">
      <w:pPr>
        <w:pStyle w:val="ListParagraph"/>
        <w:numPr>
          <w:ilvl w:val="0"/>
          <w:numId w:val="161"/>
        </w:numPr>
        <w:contextualSpacing w:val="0"/>
        <w:rPr>
          <w:rFonts w:cs="Arial"/>
          <w:color w:val="000000" w:themeColor="text1"/>
          <w:lang w:val="en-US"/>
        </w:rPr>
      </w:pPr>
      <w:r w:rsidRPr="00FB58C6">
        <w:rPr>
          <w:rFonts w:cs="Arial"/>
          <w:b/>
          <w:bCs/>
          <w:color w:val="000000" w:themeColor="text1"/>
          <w:lang w:val="en-US"/>
        </w:rPr>
        <w:t>Year of publication.</w:t>
      </w:r>
      <w:r w:rsidRPr="00FB58C6">
        <w:rPr>
          <w:rFonts w:cs="Arial"/>
          <w:color w:val="000000" w:themeColor="text1"/>
          <w:lang w:val="en-US"/>
        </w:rPr>
        <w:t xml:space="preserve">  The search strategy was limited to the years 2014 - 2024 (current) to capture evidence published in the past decade. This decision is consistent with the fact that the publication of the ECIA guidelines in 2016, included evidence up to the year 2015.  The current strategy aimed to update the knowledge since the publication of the guidelines and capture the most current evidence for the efficacy and effectiveness of early childhood intervention guiding principles.</w:t>
      </w:r>
    </w:p>
    <w:p w14:paraId="34C67AD8" w14:textId="77777777" w:rsidR="00644400" w:rsidRDefault="00644400" w:rsidP="00644400">
      <w:pPr>
        <w:rPr>
          <w:rFonts w:cs="Arial"/>
          <w:color w:val="000000" w:themeColor="text1"/>
          <w:lang w:val="en-US"/>
        </w:rPr>
      </w:pPr>
    </w:p>
    <w:p w14:paraId="08C8F4CD" w14:textId="3A93C765" w:rsidR="00644400" w:rsidRDefault="00F51D81" w:rsidP="00644400">
      <w:pPr>
        <w:rPr>
          <w:rFonts w:cs="Arial"/>
          <w:color w:val="000000" w:themeColor="text1"/>
          <w:lang w:val="en-US"/>
        </w:rPr>
      </w:pPr>
      <w:r>
        <w:rPr>
          <w:rFonts w:cs="Arial"/>
          <w:color w:val="000000" w:themeColor="text1"/>
          <w:lang w:val="en-US"/>
        </w:rPr>
        <w:fldChar w:fldCharType="begin"/>
      </w:r>
      <w:r>
        <w:rPr>
          <w:rFonts w:cs="Arial"/>
          <w:color w:val="000000" w:themeColor="text1"/>
          <w:lang w:val="en-US"/>
        </w:rPr>
        <w:instrText xml:space="preserve"> REF _Ref177725109 \h </w:instrText>
      </w:r>
      <w:r>
        <w:rPr>
          <w:rFonts w:cs="Arial"/>
          <w:color w:val="000000" w:themeColor="text1"/>
          <w:lang w:val="en-US"/>
        </w:rPr>
      </w:r>
      <w:r>
        <w:rPr>
          <w:rFonts w:cs="Arial"/>
          <w:color w:val="000000" w:themeColor="text1"/>
          <w:lang w:val="en-US"/>
        </w:rPr>
        <w:fldChar w:fldCharType="separate"/>
      </w:r>
      <w:r w:rsidR="00303407" w:rsidRPr="00F15D93">
        <w:rPr>
          <w:b/>
          <w:bCs/>
        </w:rPr>
        <w:t xml:space="preserve">Table </w:t>
      </w:r>
      <w:r w:rsidR="00303407">
        <w:rPr>
          <w:b/>
          <w:bCs/>
          <w:noProof/>
        </w:rPr>
        <w:t>4</w:t>
      </w:r>
      <w:r>
        <w:rPr>
          <w:rFonts w:cs="Arial"/>
          <w:color w:val="000000" w:themeColor="text1"/>
          <w:lang w:val="en-US"/>
        </w:rPr>
        <w:fldChar w:fldCharType="end"/>
      </w:r>
      <w:r w:rsidR="00F24DCD">
        <w:rPr>
          <w:rFonts w:cs="Arial"/>
          <w:color w:val="000000" w:themeColor="text1"/>
          <w:lang w:val="en-US"/>
        </w:rPr>
        <w:t xml:space="preserve"> </w:t>
      </w:r>
      <w:r w:rsidR="003449F7">
        <w:rPr>
          <w:rFonts w:cs="Arial"/>
          <w:color w:val="000000" w:themeColor="text1"/>
          <w:lang w:val="en-US"/>
        </w:rPr>
        <w:t>displays the d</w:t>
      </w:r>
      <w:r w:rsidR="00644400" w:rsidRPr="00644400">
        <w:rPr>
          <w:rFonts w:cs="Arial"/>
          <w:color w:val="000000" w:themeColor="text1"/>
          <w:lang w:val="en-US"/>
        </w:rPr>
        <w:t xml:space="preserve">ocument inclusion and exclusion criteria </w:t>
      </w:r>
      <w:r w:rsidR="003449F7">
        <w:rPr>
          <w:rFonts w:cs="Arial"/>
          <w:color w:val="000000" w:themeColor="text1"/>
          <w:lang w:val="en-US"/>
        </w:rPr>
        <w:t>that were</w:t>
      </w:r>
      <w:r w:rsidR="00644400" w:rsidRPr="00644400">
        <w:rPr>
          <w:rFonts w:cs="Arial"/>
          <w:color w:val="000000" w:themeColor="text1"/>
          <w:lang w:val="en-US"/>
        </w:rPr>
        <w:t xml:space="preserve"> used to select sources of information.</w:t>
      </w:r>
    </w:p>
    <w:p w14:paraId="3C1D73EC" w14:textId="77777777" w:rsidR="00644400" w:rsidRDefault="00644400" w:rsidP="00644400">
      <w:pPr>
        <w:rPr>
          <w:rFonts w:cs="Arial"/>
          <w:color w:val="000000" w:themeColor="text1"/>
          <w:lang w:val="en-US"/>
        </w:rPr>
      </w:pPr>
    </w:p>
    <w:p w14:paraId="5F2DDDB9" w14:textId="77777777" w:rsidR="00644400" w:rsidRDefault="00644400" w:rsidP="00644400">
      <w:pPr>
        <w:rPr>
          <w:rFonts w:cs="Arial"/>
          <w:color w:val="000000" w:themeColor="text1"/>
          <w:lang w:val="en-US"/>
        </w:rPr>
      </w:pPr>
    </w:p>
    <w:p w14:paraId="7B5BCC6A" w14:textId="77777777" w:rsidR="00644400" w:rsidRDefault="00644400" w:rsidP="00644400">
      <w:pPr>
        <w:rPr>
          <w:rFonts w:cs="Arial"/>
          <w:color w:val="000000" w:themeColor="text1"/>
          <w:lang w:val="en-US"/>
        </w:rPr>
      </w:pPr>
    </w:p>
    <w:p w14:paraId="0F608638" w14:textId="77777777" w:rsidR="00644400" w:rsidRDefault="00644400" w:rsidP="00644400">
      <w:pPr>
        <w:rPr>
          <w:rFonts w:cs="Arial"/>
          <w:color w:val="000000" w:themeColor="text1"/>
          <w:lang w:val="en-US"/>
        </w:rPr>
      </w:pPr>
    </w:p>
    <w:p w14:paraId="61280FC8" w14:textId="77777777" w:rsidR="00644400" w:rsidRDefault="00644400" w:rsidP="00644400">
      <w:pPr>
        <w:rPr>
          <w:rFonts w:cs="Arial"/>
          <w:color w:val="000000" w:themeColor="text1"/>
          <w:lang w:val="en-US"/>
        </w:rPr>
      </w:pPr>
    </w:p>
    <w:p w14:paraId="6301B80E" w14:textId="77777777" w:rsidR="00644400" w:rsidRDefault="00644400" w:rsidP="00644400">
      <w:pPr>
        <w:rPr>
          <w:rFonts w:cs="Arial"/>
          <w:color w:val="000000" w:themeColor="text1"/>
          <w:lang w:val="en-US"/>
        </w:rPr>
      </w:pPr>
    </w:p>
    <w:p w14:paraId="731A3C7B" w14:textId="77777777" w:rsidR="00644400" w:rsidRDefault="00644400" w:rsidP="00644400">
      <w:pPr>
        <w:rPr>
          <w:rFonts w:cs="Arial"/>
          <w:color w:val="000000" w:themeColor="text1"/>
          <w:lang w:val="en-US"/>
        </w:rPr>
      </w:pPr>
    </w:p>
    <w:p w14:paraId="1DED7504" w14:textId="77777777" w:rsidR="00644400" w:rsidRDefault="00644400" w:rsidP="00644400">
      <w:pPr>
        <w:rPr>
          <w:rFonts w:cs="Arial"/>
          <w:color w:val="000000" w:themeColor="text1"/>
          <w:lang w:val="en-US"/>
        </w:rPr>
      </w:pPr>
    </w:p>
    <w:p w14:paraId="03A303AE" w14:textId="77777777" w:rsidR="00644400" w:rsidRDefault="00644400" w:rsidP="00644400">
      <w:pPr>
        <w:rPr>
          <w:rFonts w:cs="Arial"/>
          <w:color w:val="000000" w:themeColor="text1"/>
          <w:lang w:val="en-US"/>
        </w:rPr>
      </w:pPr>
    </w:p>
    <w:p w14:paraId="27E17CA0" w14:textId="77777777" w:rsidR="00644400" w:rsidRDefault="00644400" w:rsidP="00644400">
      <w:pPr>
        <w:rPr>
          <w:rFonts w:cs="Arial"/>
          <w:color w:val="000000" w:themeColor="text1"/>
          <w:lang w:val="en-US"/>
        </w:rPr>
      </w:pPr>
    </w:p>
    <w:p w14:paraId="44D28782" w14:textId="37D2604E" w:rsidR="00644400" w:rsidRPr="004630AA" w:rsidRDefault="004630AA" w:rsidP="004630AA">
      <w:pPr>
        <w:pStyle w:val="Caption"/>
        <w:keepNext/>
      </w:pPr>
      <w:bookmarkStart w:id="77" w:name="_Ref177725109"/>
      <w:bookmarkStart w:id="78" w:name="_Toc177725002"/>
      <w:bookmarkStart w:id="79" w:name="_Ref177725108"/>
      <w:bookmarkStart w:id="80" w:name="_Toc177727322"/>
      <w:r w:rsidRPr="00F15D93">
        <w:rPr>
          <w:b/>
          <w:bCs/>
        </w:rPr>
        <w:t xml:space="preserve">Table </w:t>
      </w:r>
      <w:r w:rsidR="00627239" w:rsidRPr="00F15D93">
        <w:rPr>
          <w:b/>
          <w:bCs/>
        </w:rPr>
        <w:fldChar w:fldCharType="begin"/>
      </w:r>
      <w:r w:rsidR="00627239" w:rsidRPr="00F15D93">
        <w:rPr>
          <w:b/>
          <w:bCs/>
        </w:rPr>
        <w:instrText xml:space="preserve"> SEQ Table \* ARABIC </w:instrText>
      </w:r>
      <w:r w:rsidR="00627239" w:rsidRPr="00F15D93">
        <w:rPr>
          <w:b/>
          <w:bCs/>
        </w:rPr>
        <w:fldChar w:fldCharType="separate"/>
      </w:r>
      <w:r w:rsidR="00303407">
        <w:rPr>
          <w:b/>
          <w:bCs/>
          <w:noProof/>
        </w:rPr>
        <w:t>4</w:t>
      </w:r>
      <w:r w:rsidR="00627239" w:rsidRPr="00F15D93">
        <w:rPr>
          <w:b/>
          <w:bCs/>
          <w:noProof/>
        </w:rPr>
        <w:fldChar w:fldCharType="end"/>
      </w:r>
      <w:bookmarkEnd w:id="77"/>
      <w:r w:rsidRPr="00F15D93">
        <w:rPr>
          <w:b/>
          <w:bCs/>
        </w:rPr>
        <w:t>.</w:t>
      </w:r>
      <w:r w:rsidRPr="00C611A0">
        <w:t xml:space="preserve"> Document inclusion and exclusion criteria</w:t>
      </w:r>
      <w:bookmarkEnd w:id="78"/>
      <w:bookmarkEnd w:id="79"/>
      <w:bookmarkEnd w:id="80"/>
    </w:p>
    <w:tbl>
      <w:tblPr>
        <w:tblStyle w:val="UniofMelTable31"/>
        <w:tblW w:w="0" w:type="auto"/>
        <w:tblLook w:val="04A0" w:firstRow="1" w:lastRow="0" w:firstColumn="1" w:lastColumn="0" w:noHBand="0" w:noVBand="1"/>
      </w:tblPr>
      <w:tblGrid>
        <w:gridCol w:w="4508"/>
        <w:gridCol w:w="4508"/>
      </w:tblGrid>
      <w:tr w:rsidR="00CF3383" w:rsidRPr="000939E6" w14:paraId="29F47EDF" w14:textId="77777777" w:rsidTr="0029199F">
        <w:trPr>
          <w:cnfStyle w:val="100000000000" w:firstRow="1" w:lastRow="0" w:firstColumn="0" w:lastColumn="0" w:oddVBand="0" w:evenVBand="0" w:oddHBand="0" w:evenHBand="0" w:firstRowFirstColumn="0" w:firstRowLastColumn="0" w:lastRowFirstColumn="0" w:lastRowLastColumn="0"/>
        </w:trPr>
        <w:tc>
          <w:tcPr>
            <w:tcW w:w="4508" w:type="dxa"/>
            <w:shd w:val="clear" w:color="auto" w:fill="0C2C74"/>
          </w:tcPr>
          <w:p w14:paraId="2B7ADDF9" w14:textId="77777777" w:rsidR="00CF3383" w:rsidRPr="00CF3383" w:rsidRDefault="00CF3383">
            <w:pPr>
              <w:spacing w:after="0"/>
              <w:rPr>
                <w:rFonts w:eastAsia="MS Mincho" w:cs="Arial"/>
                <w:b/>
                <w:lang w:eastAsia="zh-CN"/>
              </w:rPr>
            </w:pPr>
            <w:r w:rsidRPr="00CF3383">
              <w:rPr>
                <w:rFonts w:eastAsia="MS Mincho" w:cs="Arial"/>
                <w:b/>
                <w:lang w:eastAsia="zh-CN"/>
              </w:rPr>
              <w:t>Inclusion</w:t>
            </w:r>
          </w:p>
        </w:tc>
        <w:tc>
          <w:tcPr>
            <w:tcW w:w="4508" w:type="dxa"/>
            <w:shd w:val="clear" w:color="auto" w:fill="0C2C74"/>
          </w:tcPr>
          <w:p w14:paraId="23A271CD" w14:textId="77777777" w:rsidR="00CF3383" w:rsidRPr="00CF3383" w:rsidRDefault="00CF3383">
            <w:pPr>
              <w:spacing w:after="0"/>
              <w:rPr>
                <w:rFonts w:eastAsia="MS Mincho" w:cs="Arial"/>
                <w:b/>
                <w:lang w:eastAsia="zh-CN"/>
              </w:rPr>
            </w:pPr>
            <w:r w:rsidRPr="00CF3383">
              <w:rPr>
                <w:rFonts w:eastAsia="MS Mincho" w:cs="Arial"/>
                <w:b/>
                <w:lang w:eastAsia="zh-CN"/>
              </w:rPr>
              <w:t>Exclusion criteria</w:t>
            </w:r>
          </w:p>
        </w:tc>
      </w:tr>
      <w:tr w:rsidR="00CF3383" w:rsidRPr="000939E6" w14:paraId="3F47305D" w14:textId="77777777" w:rsidTr="0029199F">
        <w:trPr>
          <w:cnfStyle w:val="000000100000" w:firstRow="0" w:lastRow="0" w:firstColumn="0" w:lastColumn="0" w:oddVBand="0" w:evenVBand="0" w:oddHBand="1" w:evenHBand="0" w:firstRowFirstColumn="0" w:firstRowLastColumn="0" w:lastRowFirstColumn="0" w:lastRowLastColumn="0"/>
        </w:trPr>
        <w:tc>
          <w:tcPr>
            <w:tcW w:w="9016" w:type="dxa"/>
            <w:gridSpan w:val="2"/>
            <w:shd w:val="clear" w:color="auto" w:fill="DAE2E6"/>
          </w:tcPr>
          <w:p w14:paraId="23B3E9BC" w14:textId="77777777" w:rsidR="00CF3383" w:rsidRPr="00CF3383" w:rsidRDefault="00CF3383">
            <w:pPr>
              <w:spacing w:after="0"/>
              <w:jc w:val="center"/>
              <w:rPr>
                <w:rFonts w:eastAsia="MS Mincho" w:cs="Arial"/>
                <w:bCs/>
                <w:lang w:eastAsia="zh-CN"/>
              </w:rPr>
            </w:pPr>
            <w:r w:rsidRPr="00CF3383">
              <w:rPr>
                <w:rFonts w:eastAsia="MS Mincho" w:cs="Arial"/>
                <w:b/>
                <w:bCs/>
                <w:lang w:eastAsia="zh-CN"/>
              </w:rPr>
              <w:t>Population</w:t>
            </w:r>
          </w:p>
          <w:p w14:paraId="481A9807" w14:textId="77777777" w:rsidR="00CF3383" w:rsidRPr="00CF3383" w:rsidRDefault="00CF3383">
            <w:pPr>
              <w:spacing w:after="0"/>
              <w:jc w:val="center"/>
              <w:rPr>
                <w:rFonts w:eastAsia="MS Mincho" w:cs="Arial"/>
                <w:b/>
                <w:bCs/>
                <w:lang w:eastAsia="zh-CN"/>
              </w:rPr>
            </w:pPr>
            <w:r w:rsidRPr="00CF3383">
              <w:rPr>
                <w:rFonts w:eastAsia="MS Mincho" w:cs="Arial"/>
                <w:bCs/>
                <w:lang w:eastAsia="zh-CN"/>
              </w:rPr>
              <w:t>A sample or sub-sample with clear outcome data must include one of the groups as below</w:t>
            </w:r>
          </w:p>
        </w:tc>
      </w:tr>
      <w:tr w:rsidR="00CF3383" w:rsidRPr="000939E6" w14:paraId="0090FF8A" w14:textId="77777777">
        <w:trPr>
          <w:cnfStyle w:val="000000010000" w:firstRow="0" w:lastRow="0" w:firstColumn="0" w:lastColumn="0" w:oddVBand="0" w:evenVBand="0" w:oddHBand="0" w:evenHBand="1" w:firstRowFirstColumn="0" w:firstRowLastColumn="0" w:lastRowFirstColumn="0" w:lastRowLastColumn="0"/>
        </w:trPr>
        <w:tc>
          <w:tcPr>
            <w:tcW w:w="4508" w:type="dxa"/>
          </w:tcPr>
          <w:p w14:paraId="2917483D" w14:textId="77777777" w:rsidR="00CF3383" w:rsidRPr="00CF3383" w:rsidRDefault="00CF3383">
            <w:pPr>
              <w:spacing w:after="0"/>
              <w:rPr>
                <w:rFonts w:eastAsia="MS Mincho" w:cs="Arial"/>
                <w:bCs/>
              </w:rPr>
            </w:pPr>
            <w:r w:rsidRPr="00CF3383">
              <w:rPr>
                <w:rFonts w:eastAsia="MS Mincho" w:cs="Arial"/>
                <w:bCs/>
              </w:rPr>
              <w:t xml:space="preserve">Children </w:t>
            </w:r>
          </w:p>
          <w:p w14:paraId="7D3B0793" w14:textId="77777777" w:rsidR="00CF3383" w:rsidRPr="00CF3383" w:rsidRDefault="00CF3383" w:rsidP="003B0B17">
            <w:pPr>
              <w:numPr>
                <w:ilvl w:val="0"/>
                <w:numId w:val="165"/>
              </w:numPr>
              <w:spacing w:before="0" w:after="0"/>
              <w:rPr>
                <w:rFonts w:eastAsia="MS Mincho" w:cs="Arial"/>
                <w:bCs/>
              </w:rPr>
            </w:pPr>
            <w:r w:rsidRPr="00CF3383">
              <w:rPr>
                <w:rFonts w:eastAsia="MS Mincho" w:cs="Arial"/>
                <w:bCs/>
              </w:rPr>
              <w:t>Children &lt; 9 years with developmental concerns, delay or disability (with or without a specific diagnosis) Children &lt; 9 years accessing ECI services.</w:t>
            </w:r>
          </w:p>
          <w:p w14:paraId="5C9E942D" w14:textId="77777777" w:rsidR="00CF3383" w:rsidRPr="00CF3383" w:rsidDel="00F46C80" w:rsidRDefault="00CF3383" w:rsidP="003B0B17">
            <w:pPr>
              <w:numPr>
                <w:ilvl w:val="0"/>
                <w:numId w:val="165"/>
              </w:numPr>
              <w:spacing w:before="0" w:after="0"/>
              <w:rPr>
                <w:rFonts w:eastAsia="MS Mincho" w:cs="Arial"/>
                <w:bCs/>
              </w:rPr>
            </w:pPr>
            <w:r w:rsidRPr="00CF3383">
              <w:rPr>
                <w:rFonts w:cs="Arial"/>
                <w:lang w:val="en-US"/>
              </w:rPr>
              <w:t>First Nations children regardless of data about the presence of developmental concerns, delay or disability aged &lt;9 years</w:t>
            </w:r>
          </w:p>
        </w:tc>
        <w:tc>
          <w:tcPr>
            <w:tcW w:w="4508" w:type="dxa"/>
          </w:tcPr>
          <w:p w14:paraId="4AA77344" w14:textId="77777777" w:rsidR="00CF3383" w:rsidRPr="00CF3383" w:rsidRDefault="00CF3383">
            <w:pPr>
              <w:spacing w:after="0"/>
              <w:rPr>
                <w:rFonts w:eastAsia="MS Mincho" w:cs="Arial"/>
                <w:bCs/>
                <w:lang w:eastAsia="zh-CN"/>
              </w:rPr>
            </w:pPr>
            <w:r w:rsidRPr="00CF3383">
              <w:rPr>
                <w:rFonts w:eastAsia="MS Mincho" w:cs="Arial"/>
                <w:bCs/>
                <w:lang w:eastAsia="zh-CN"/>
              </w:rPr>
              <w:t>Children</w:t>
            </w:r>
          </w:p>
          <w:p w14:paraId="14FDC748" w14:textId="77777777" w:rsidR="00CF3383" w:rsidRPr="00CF3383" w:rsidRDefault="00CF3383" w:rsidP="003B0B17">
            <w:pPr>
              <w:numPr>
                <w:ilvl w:val="0"/>
                <w:numId w:val="165"/>
              </w:numPr>
              <w:spacing w:before="0" w:after="0"/>
              <w:rPr>
                <w:rFonts w:eastAsia="MS Mincho" w:cs="Arial"/>
                <w:bCs/>
                <w:lang w:eastAsia="zh-CN"/>
              </w:rPr>
            </w:pPr>
            <w:r w:rsidRPr="00CF3383">
              <w:rPr>
                <w:rFonts w:eastAsia="MS Mincho" w:cs="Arial"/>
                <w:bCs/>
                <w:lang w:eastAsia="zh-CN"/>
              </w:rPr>
              <w:t xml:space="preserve">Aged 9 years or older </w:t>
            </w:r>
          </w:p>
          <w:p w14:paraId="66D2C4E2" w14:textId="77777777" w:rsidR="00CF3383" w:rsidRPr="00CF3383" w:rsidRDefault="00CF3383" w:rsidP="003B0B17">
            <w:pPr>
              <w:numPr>
                <w:ilvl w:val="0"/>
                <w:numId w:val="165"/>
              </w:numPr>
              <w:spacing w:before="0" w:after="0"/>
              <w:rPr>
                <w:rFonts w:eastAsia="MS Mincho" w:cs="Arial"/>
                <w:bCs/>
                <w:lang w:eastAsia="zh-CN"/>
              </w:rPr>
            </w:pPr>
            <w:r w:rsidRPr="00CF3383">
              <w:rPr>
                <w:rFonts w:eastAsia="MS Mincho" w:cs="Arial"/>
                <w:bCs/>
                <w:lang w:eastAsia="zh-CN"/>
              </w:rPr>
              <w:t>Samples including those &lt;9 years as well as older children (where it is not possible to isolate the outcome data for children &lt;9)</w:t>
            </w:r>
          </w:p>
          <w:p w14:paraId="3ED806FD" w14:textId="77777777" w:rsidR="00CF3383" w:rsidRPr="00CF3383" w:rsidRDefault="00CF3383" w:rsidP="003B0B17">
            <w:pPr>
              <w:numPr>
                <w:ilvl w:val="0"/>
                <w:numId w:val="165"/>
              </w:numPr>
              <w:spacing w:before="0" w:after="0"/>
              <w:rPr>
                <w:rFonts w:eastAsia="MS Mincho" w:cs="Arial"/>
                <w:bCs/>
                <w:lang w:eastAsia="zh-CN"/>
              </w:rPr>
            </w:pPr>
            <w:r w:rsidRPr="00CF3383">
              <w:rPr>
                <w:rFonts w:eastAsia="MS Mincho" w:cs="Arial"/>
                <w:bCs/>
                <w:lang w:eastAsia="zh-CN"/>
              </w:rPr>
              <w:t>Studies focused on children without developmental concerns, delay or disability.</w:t>
            </w:r>
          </w:p>
        </w:tc>
      </w:tr>
      <w:tr w:rsidR="00CF3383" w:rsidRPr="000939E6" w14:paraId="29D34377" w14:textId="77777777">
        <w:trPr>
          <w:cnfStyle w:val="000000100000" w:firstRow="0" w:lastRow="0" w:firstColumn="0" w:lastColumn="0" w:oddVBand="0" w:evenVBand="0" w:oddHBand="1" w:evenHBand="0" w:firstRowFirstColumn="0" w:firstRowLastColumn="0" w:lastRowFirstColumn="0" w:lastRowLastColumn="0"/>
        </w:trPr>
        <w:tc>
          <w:tcPr>
            <w:tcW w:w="4508" w:type="dxa"/>
          </w:tcPr>
          <w:p w14:paraId="55A80CA0" w14:textId="77777777" w:rsidR="00CF3383" w:rsidRPr="00CF3383" w:rsidRDefault="00CF3383">
            <w:pPr>
              <w:spacing w:after="0"/>
              <w:rPr>
                <w:rFonts w:eastAsia="MS Mincho" w:cs="Arial"/>
                <w:bCs/>
                <w:lang w:eastAsia="zh-CN"/>
              </w:rPr>
            </w:pPr>
            <w:r w:rsidRPr="00CF3383">
              <w:rPr>
                <w:rFonts w:eastAsia="MS Mincho" w:cs="Arial"/>
                <w:bCs/>
                <w:lang w:eastAsia="zh-CN"/>
              </w:rPr>
              <w:t>Parents/caregivers/family</w:t>
            </w:r>
          </w:p>
          <w:p w14:paraId="2AF93882" w14:textId="77777777" w:rsidR="00CF3383" w:rsidRPr="00CF3383" w:rsidRDefault="00CF3383" w:rsidP="003B0B17">
            <w:pPr>
              <w:numPr>
                <w:ilvl w:val="0"/>
                <w:numId w:val="166"/>
              </w:numPr>
              <w:spacing w:before="0" w:after="0"/>
              <w:rPr>
                <w:rFonts w:eastAsia="MS Mincho" w:cs="Arial"/>
                <w:bCs/>
                <w:lang w:eastAsia="zh-CN"/>
              </w:rPr>
            </w:pPr>
            <w:r w:rsidRPr="00CF3383">
              <w:rPr>
                <w:rFonts w:eastAsia="MS Mincho" w:cs="Arial"/>
                <w:bCs/>
              </w:rPr>
              <w:t>parents, caregivers, family predominantly involved</w:t>
            </w:r>
            <w:r w:rsidRPr="00CF3383" w:rsidDel="00C50DA4">
              <w:rPr>
                <w:rFonts w:eastAsia="MS Mincho" w:cs="Arial"/>
                <w:bCs/>
                <w:lang w:eastAsia="zh-CN"/>
              </w:rPr>
              <w:t xml:space="preserve"> in raising children </w:t>
            </w:r>
            <w:r w:rsidRPr="00CF3383">
              <w:rPr>
                <w:rFonts w:eastAsia="MS Mincho" w:cs="Arial"/>
                <w:bCs/>
              </w:rPr>
              <w:t>&lt; 9 years with developmental concerns, delay or disability</w:t>
            </w:r>
          </w:p>
          <w:p w14:paraId="35F9A520" w14:textId="77777777" w:rsidR="00CF3383" w:rsidRPr="00CF3383" w:rsidDel="00C50DA4" w:rsidRDefault="00CF3383" w:rsidP="003B0B17">
            <w:pPr>
              <w:numPr>
                <w:ilvl w:val="0"/>
                <w:numId w:val="166"/>
              </w:numPr>
              <w:spacing w:before="0" w:after="0"/>
              <w:rPr>
                <w:rFonts w:eastAsia="MS Mincho" w:cs="Arial"/>
                <w:bCs/>
                <w:lang w:eastAsia="zh-CN"/>
              </w:rPr>
            </w:pPr>
            <w:r w:rsidRPr="00CF3383">
              <w:rPr>
                <w:rFonts w:cs="Arial"/>
                <w:lang w:val="en-US" w:eastAsia="zh-CN"/>
              </w:rPr>
              <w:t xml:space="preserve">First nations families/communities </w:t>
            </w:r>
            <w:r w:rsidRPr="00CF3383">
              <w:rPr>
                <w:rFonts w:cs="Arial"/>
                <w:lang w:val="en-US"/>
              </w:rPr>
              <w:t>regardless of data about the presence of developmental concerns, delay or disability</w:t>
            </w:r>
          </w:p>
        </w:tc>
        <w:tc>
          <w:tcPr>
            <w:tcW w:w="4508" w:type="dxa"/>
          </w:tcPr>
          <w:p w14:paraId="4540848E" w14:textId="77777777" w:rsidR="00CF3383" w:rsidRPr="00CF3383" w:rsidRDefault="00CF3383">
            <w:pPr>
              <w:spacing w:after="0"/>
              <w:rPr>
                <w:rFonts w:eastAsia="MS Mincho" w:cs="Arial"/>
                <w:bCs/>
                <w:lang w:eastAsia="zh-CN"/>
              </w:rPr>
            </w:pPr>
            <w:r w:rsidRPr="00CF3383">
              <w:rPr>
                <w:rFonts w:eastAsia="MS Mincho" w:cs="Arial"/>
                <w:bCs/>
                <w:lang w:eastAsia="zh-CN"/>
              </w:rPr>
              <w:t>Parents/caregivers</w:t>
            </w:r>
          </w:p>
          <w:p w14:paraId="572A23CF" w14:textId="77777777" w:rsidR="00CF3383" w:rsidRPr="00CF3383" w:rsidRDefault="00CF3383" w:rsidP="003B0B17">
            <w:pPr>
              <w:numPr>
                <w:ilvl w:val="0"/>
                <w:numId w:val="166"/>
              </w:numPr>
              <w:spacing w:before="0" w:after="0"/>
              <w:rPr>
                <w:rFonts w:eastAsia="MS Mincho" w:cs="Arial"/>
                <w:bCs/>
                <w:lang w:eastAsia="zh-CN"/>
              </w:rPr>
            </w:pPr>
            <w:r w:rsidRPr="00CF3383">
              <w:rPr>
                <w:rFonts w:eastAsia="MS Mincho" w:cs="Arial"/>
                <w:bCs/>
                <w:lang w:eastAsia="zh-CN"/>
              </w:rPr>
              <w:t>of children 9 and older</w:t>
            </w:r>
          </w:p>
          <w:p w14:paraId="06ACAF71" w14:textId="77777777" w:rsidR="00CF3383" w:rsidRPr="00CF3383" w:rsidRDefault="00CF3383" w:rsidP="003B0B17">
            <w:pPr>
              <w:numPr>
                <w:ilvl w:val="0"/>
                <w:numId w:val="166"/>
              </w:numPr>
              <w:spacing w:before="0" w:after="0"/>
              <w:rPr>
                <w:rFonts w:eastAsia="MS Mincho" w:cs="Arial"/>
                <w:bCs/>
                <w:lang w:eastAsia="zh-CN"/>
              </w:rPr>
            </w:pPr>
            <w:r w:rsidRPr="00CF3383">
              <w:rPr>
                <w:rFonts w:eastAsia="MS Mincho" w:cs="Arial"/>
                <w:bCs/>
                <w:lang w:eastAsia="zh-CN"/>
              </w:rPr>
              <w:t>of children with no developmental disability or concern.</w:t>
            </w:r>
          </w:p>
        </w:tc>
      </w:tr>
      <w:tr w:rsidR="00CF3383" w:rsidRPr="000939E6" w14:paraId="13E61234" w14:textId="77777777">
        <w:trPr>
          <w:cnfStyle w:val="000000010000" w:firstRow="0" w:lastRow="0" w:firstColumn="0" w:lastColumn="0" w:oddVBand="0" w:evenVBand="0" w:oddHBand="0" w:evenHBand="1" w:firstRowFirstColumn="0" w:firstRowLastColumn="0" w:lastRowFirstColumn="0" w:lastRowLastColumn="0"/>
        </w:trPr>
        <w:tc>
          <w:tcPr>
            <w:tcW w:w="4508" w:type="dxa"/>
          </w:tcPr>
          <w:p w14:paraId="28CFF5A9" w14:textId="77777777" w:rsidR="00CF3383" w:rsidRPr="00CF3383" w:rsidRDefault="00CF3383">
            <w:pPr>
              <w:spacing w:after="0"/>
              <w:rPr>
                <w:rFonts w:eastAsia="MS Mincho" w:cs="Arial"/>
                <w:bCs/>
                <w:lang w:eastAsia="zh-CN"/>
              </w:rPr>
            </w:pPr>
            <w:r w:rsidRPr="00CF3383">
              <w:rPr>
                <w:rFonts w:eastAsia="MS Mincho" w:cs="Arial"/>
                <w:bCs/>
                <w:lang w:eastAsia="zh-CN"/>
              </w:rPr>
              <w:t>Professionals/service providers/ organisations</w:t>
            </w:r>
          </w:p>
          <w:p w14:paraId="4D102E88" w14:textId="77777777" w:rsidR="00CF3383" w:rsidRPr="00CF3383" w:rsidRDefault="00CF3383" w:rsidP="003B0B17">
            <w:pPr>
              <w:numPr>
                <w:ilvl w:val="0"/>
                <w:numId w:val="167"/>
              </w:numPr>
              <w:spacing w:before="0" w:after="0"/>
              <w:rPr>
                <w:rFonts w:eastAsia="MS Mincho" w:cs="Arial"/>
                <w:bCs/>
                <w:lang w:eastAsia="zh-CN"/>
              </w:rPr>
            </w:pPr>
            <w:r w:rsidRPr="00CF3383">
              <w:rPr>
                <w:rFonts w:eastAsia="MS Mincho" w:cs="Arial"/>
                <w:bCs/>
              </w:rPr>
              <w:t xml:space="preserve">Any professional, service, or organisation that provides services in the field of ECI and support*. </w:t>
            </w:r>
          </w:p>
          <w:p w14:paraId="00D604F5" w14:textId="77777777" w:rsidR="00CF3383" w:rsidRPr="00CF3383" w:rsidRDefault="00CF3383">
            <w:pPr>
              <w:spacing w:after="0"/>
              <w:rPr>
                <w:rFonts w:eastAsia="MS Mincho" w:cs="Arial"/>
                <w:bCs/>
                <w:lang w:eastAsia="zh-CN"/>
              </w:rPr>
            </w:pPr>
            <w:r w:rsidRPr="00CF3383">
              <w:rPr>
                <w:rFonts w:eastAsia="MS Mincho" w:cs="Arial"/>
                <w:bCs/>
                <w:lang w:eastAsia="zh-CN"/>
              </w:rPr>
              <w:t xml:space="preserve">Examples include: </w:t>
            </w:r>
          </w:p>
          <w:p w14:paraId="2D88CD8C" w14:textId="77777777" w:rsidR="00CF3383" w:rsidRPr="00CF3383" w:rsidRDefault="00CF3383" w:rsidP="003B0B17">
            <w:pPr>
              <w:numPr>
                <w:ilvl w:val="0"/>
                <w:numId w:val="167"/>
              </w:numPr>
              <w:spacing w:before="0" w:after="0"/>
              <w:rPr>
                <w:rFonts w:eastAsia="MS Mincho" w:cs="Arial"/>
                <w:bCs/>
                <w:lang w:eastAsia="zh-CN"/>
              </w:rPr>
            </w:pPr>
            <w:r w:rsidRPr="00CF3383">
              <w:rPr>
                <w:rFonts w:eastAsia="MS Mincho" w:cs="Arial"/>
                <w:bCs/>
              </w:rPr>
              <w:t xml:space="preserve">therapists, educators, support workers,  </w:t>
            </w:r>
          </w:p>
          <w:p w14:paraId="74424395" w14:textId="77777777" w:rsidR="00CF3383" w:rsidRPr="00CF3383" w:rsidRDefault="00CF3383" w:rsidP="003B0B17">
            <w:pPr>
              <w:numPr>
                <w:ilvl w:val="0"/>
                <w:numId w:val="167"/>
              </w:numPr>
              <w:spacing w:before="0" w:after="0"/>
              <w:rPr>
                <w:rFonts w:eastAsia="MS Mincho" w:cs="Arial"/>
                <w:bCs/>
                <w:lang w:eastAsia="zh-CN"/>
              </w:rPr>
            </w:pPr>
            <w:r w:rsidRPr="00CF3383">
              <w:rPr>
                <w:rFonts w:eastAsia="MS Mincho" w:cs="Arial"/>
                <w:bCs/>
              </w:rPr>
              <w:t>clinical settings, playgroups, kindergarten, school</w:t>
            </w:r>
          </w:p>
          <w:p w14:paraId="2D279AA9" w14:textId="77777777" w:rsidR="00CF3383" w:rsidRPr="00CF3383" w:rsidRDefault="00CF3383">
            <w:pPr>
              <w:spacing w:after="0"/>
              <w:rPr>
                <w:rFonts w:eastAsia="MS Mincho" w:cs="Arial"/>
                <w:bCs/>
                <w:lang w:eastAsia="zh-CN"/>
              </w:rPr>
            </w:pPr>
          </w:p>
        </w:tc>
        <w:tc>
          <w:tcPr>
            <w:tcW w:w="4508" w:type="dxa"/>
          </w:tcPr>
          <w:p w14:paraId="63651A49" w14:textId="77777777" w:rsidR="00CF3383" w:rsidRPr="00CF3383" w:rsidRDefault="00CF3383">
            <w:pPr>
              <w:spacing w:after="0"/>
              <w:rPr>
                <w:rFonts w:eastAsia="MS Mincho" w:cs="Arial"/>
                <w:bCs/>
                <w:lang w:eastAsia="zh-CN"/>
              </w:rPr>
            </w:pPr>
            <w:r w:rsidRPr="00CF3383">
              <w:rPr>
                <w:rFonts w:eastAsia="MS Mincho" w:cs="Arial"/>
                <w:bCs/>
                <w:lang w:eastAsia="zh-CN"/>
              </w:rPr>
              <w:t>Professionals/service providers/ organisations</w:t>
            </w:r>
          </w:p>
          <w:p w14:paraId="38AE5B01" w14:textId="77777777" w:rsidR="00CF3383" w:rsidRPr="00CF3383" w:rsidRDefault="00CF3383" w:rsidP="003B0B17">
            <w:pPr>
              <w:numPr>
                <w:ilvl w:val="0"/>
                <w:numId w:val="167"/>
              </w:numPr>
              <w:spacing w:before="0" w:after="0"/>
              <w:rPr>
                <w:rFonts w:eastAsia="MS Mincho" w:cs="Arial"/>
                <w:bCs/>
                <w:lang w:eastAsia="zh-CN"/>
              </w:rPr>
            </w:pPr>
            <w:r w:rsidRPr="00CF3383">
              <w:rPr>
                <w:rFonts w:eastAsia="MS Mincho" w:cs="Arial"/>
                <w:bCs/>
              </w:rPr>
              <w:t>any staff, professionals or organisations not working with the included Populations 1 and/or 2 and/or not providing early childhood intervention services.</w:t>
            </w:r>
          </w:p>
        </w:tc>
      </w:tr>
      <w:tr w:rsidR="00CF3383" w:rsidRPr="000939E6" w14:paraId="657C6C54" w14:textId="77777777" w:rsidTr="0029199F">
        <w:trPr>
          <w:cnfStyle w:val="000000100000" w:firstRow="0" w:lastRow="0" w:firstColumn="0" w:lastColumn="0" w:oddVBand="0" w:evenVBand="0" w:oddHBand="1" w:evenHBand="0" w:firstRowFirstColumn="0" w:firstRowLastColumn="0" w:lastRowFirstColumn="0" w:lastRowLastColumn="0"/>
          <w:trHeight w:val="300"/>
        </w:trPr>
        <w:tc>
          <w:tcPr>
            <w:tcW w:w="9016" w:type="dxa"/>
            <w:gridSpan w:val="2"/>
            <w:shd w:val="clear" w:color="auto" w:fill="DAE2E6"/>
          </w:tcPr>
          <w:p w14:paraId="7C550A63" w14:textId="77777777" w:rsidR="00CF3383" w:rsidRPr="00CF3383" w:rsidRDefault="00CF3383">
            <w:pPr>
              <w:spacing w:after="0"/>
              <w:jc w:val="center"/>
              <w:rPr>
                <w:rFonts w:eastAsia="MS Mincho" w:cs="Arial"/>
                <w:b/>
                <w:bCs/>
                <w:lang w:eastAsia="zh-CN"/>
              </w:rPr>
            </w:pPr>
            <w:r w:rsidRPr="00CF3383">
              <w:rPr>
                <w:rFonts w:eastAsia="MS Mincho" w:cs="Arial"/>
                <w:b/>
                <w:bCs/>
                <w:lang w:eastAsia="zh-CN"/>
              </w:rPr>
              <w:t>Intervention</w:t>
            </w:r>
          </w:p>
        </w:tc>
      </w:tr>
      <w:tr w:rsidR="00CF3383" w:rsidRPr="000939E6" w14:paraId="30E2C301" w14:textId="77777777">
        <w:trPr>
          <w:cnfStyle w:val="000000010000" w:firstRow="0" w:lastRow="0" w:firstColumn="0" w:lastColumn="0" w:oddVBand="0" w:evenVBand="0" w:oddHBand="0" w:evenHBand="1" w:firstRowFirstColumn="0" w:firstRowLastColumn="0" w:lastRowFirstColumn="0" w:lastRowLastColumn="0"/>
          <w:trHeight w:val="300"/>
        </w:trPr>
        <w:tc>
          <w:tcPr>
            <w:tcW w:w="4508" w:type="dxa"/>
          </w:tcPr>
          <w:p w14:paraId="7154AFCC" w14:textId="77777777" w:rsidR="00CF3383" w:rsidRPr="00CF3383" w:rsidRDefault="00CF3383">
            <w:pPr>
              <w:spacing w:after="0"/>
              <w:rPr>
                <w:rFonts w:eastAsia="MS Mincho" w:cs="Arial"/>
                <w:bCs/>
              </w:rPr>
            </w:pPr>
            <w:r w:rsidRPr="00CF3383">
              <w:rPr>
                <w:rFonts w:eastAsia="MS Mincho" w:cs="Arial"/>
                <w:bCs/>
              </w:rPr>
              <w:t xml:space="preserve">Interventions or approaches that are directly related to: </w:t>
            </w:r>
          </w:p>
          <w:p w14:paraId="58E92AC8" w14:textId="77777777" w:rsidR="00CF3383" w:rsidRPr="00CF3383" w:rsidRDefault="00CF3383" w:rsidP="003B0B17">
            <w:pPr>
              <w:numPr>
                <w:ilvl w:val="0"/>
                <w:numId w:val="167"/>
              </w:numPr>
              <w:spacing w:before="0" w:after="0"/>
              <w:rPr>
                <w:rFonts w:eastAsia="MS Mincho" w:cs="Arial"/>
                <w:bCs/>
                <w:sz w:val="22"/>
                <w:szCs w:val="16"/>
              </w:rPr>
            </w:pPr>
            <w:r w:rsidRPr="00CF3383">
              <w:rPr>
                <w:rFonts w:eastAsia="MS Mincho" w:cs="Arial"/>
                <w:bCs/>
              </w:rPr>
              <w:t>implementation of early childhood intervention guidelines</w:t>
            </w:r>
          </w:p>
          <w:p w14:paraId="041B164C" w14:textId="77777777" w:rsidR="00CF3383" w:rsidRPr="00CF3383" w:rsidRDefault="00CF3383" w:rsidP="003B0B17">
            <w:pPr>
              <w:numPr>
                <w:ilvl w:val="0"/>
                <w:numId w:val="167"/>
              </w:numPr>
              <w:spacing w:before="0" w:after="0"/>
              <w:rPr>
                <w:rFonts w:eastAsia="MS Mincho" w:cs="Arial"/>
                <w:bCs/>
              </w:rPr>
            </w:pPr>
            <w:r w:rsidRPr="00CF3383">
              <w:rPr>
                <w:rFonts w:eastAsia="MS Mincho" w:cs="Arial"/>
                <w:bCs/>
              </w:rPr>
              <w:t>implementation of key principles of early childhood interventions including:</w:t>
            </w:r>
          </w:p>
          <w:p w14:paraId="1E331AB5" w14:textId="77777777" w:rsidR="00CF3383" w:rsidRPr="00CF3383" w:rsidRDefault="00CF3383" w:rsidP="003B0B17">
            <w:pPr>
              <w:numPr>
                <w:ilvl w:val="0"/>
                <w:numId w:val="167"/>
              </w:numPr>
              <w:spacing w:before="0" w:after="0"/>
              <w:rPr>
                <w:rFonts w:eastAsia="MS Mincho" w:cs="Arial"/>
                <w:bCs/>
              </w:rPr>
            </w:pPr>
            <w:r w:rsidRPr="00CF3383">
              <w:rPr>
                <w:rFonts w:eastAsia="MS Mincho" w:cs="Arial"/>
                <w:bCs/>
              </w:rPr>
              <w:t>family-centred and/or strengths-based practices</w:t>
            </w:r>
          </w:p>
          <w:p w14:paraId="299454F7" w14:textId="77777777" w:rsidR="00CF3383" w:rsidRPr="00CF3383" w:rsidRDefault="00CF3383" w:rsidP="003B0B17">
            <w:pPr>
              <w:numPr>
                <w:ilvl w:val="0"/>
                <w:numId w:val="167"/>
              </w:numPr>
              <w:spacing w:before="0" w:after="0"/>
              <w:rPr>
                <w:rFonts w:eastAsia="MS Mincho" w:cs="Arial"/>
                <w:bCs/>
              </w:rPr>
            </w:pPr>
            <w:r w:rsidRPr="00CF3383">
              <w:rPr>
                <w:rFonts w:eastAsia="MS Mincho" w:cs="Arial"/>
                <w:bCs/>
              </w:rPr>
              <w:t>culturally responsive practices</w:t>
            </w:r>
          </w:p>
          <w:p w14:paraId="3A8C5EF3" w14:textId="77777777" w:rsidR="00CF3383" w:rsidRPr="00CF3383" w:rsidRDefault="00CF3383" w:rsidP="003B0B17">
            <w:pPr>
              <w:numPr>
                <w:ilvl w:val="0"/>
                <w:numId w:val="167"/>
              </w:numPr>
              <w:spacing w:before="0" w:after="0"/>
              <w:rPr>
                <w:rFonts w:eastAsia="MS Mincho" w:cs="Arial"/>
                <w:bCs/>
              </w:rPr>
            </w:pPr>
            <w:r w:rsidRPr="00CF3383">
              <w:rPr>
                <w:rFonts w:eastAsia="MS Mincho" w:cs="Arial"/>
                <w:bCs/>
              </w:rPr>
              <w:t>inclusive and participatory practices</w:t>
            </w:r>
          </w:p>
          <w:p w14:paraId="3623543D" w14:textId="77777777" w:rsidR="00CF3383" w:rsidRPr="00CF3383" w:rsidRDefault="00CF3383" w:rsidP="003B0B17">
            <w:pPr>
              <w:numPr>
                <w:ilvl w:val="0"/>
                <w:numId w:val="167"/>
              </w:numPr>
              <w:spacing w:before="0" w:after="0"/>
              <w:rPr>
                <w:rFonts w:eastAsia="MS Mincho" w:cs="Arial"/>
                <w:bCs/>
              </w:rPr>
            </w:pPr>
            <w:r w:rsidRPr="00CF3383">
              <w:rPr>
                <w:rFonts w:eastAsia="MS Mincho" w:cs="Arial"/>
                <w:bCs/>
              </w:rPr>
              <w:t xml:space="preserve">engaging the child in natural environments </w:t>
            </w:r>
          </w:p>
          <w:p w14:paraId="04637856" w14:textId="77777777" w:rsidR="00CF3383" w:rsidRPr="00CF3383" w:rsidRDefault="00CF3383" w:rsidP="003B0B17">
            <w:pPr>
              <w:numPr>
                <w:ilvl w:val="0"/>
                <w:numId w:val="167"/>
              </w:numPr>
              <w:spacing w:before="0" w:after="0"/>
              <w:rPr>
                <w:rFonts w:eastAsia="MS Mincho" w:cs="Arial"/>
                <w:bCs/>
              </w:rPr>
            </w:pPr>
            <w:r w:rsidRPr="00CF3383">
              <w:rPr>
                <w:rFonts w:eastAsia="MS Mincho" w:cs="Arial"/>
                <w:bCs/>
              </w:rPr>
              <w:t>collaborative teamwork practices (e.g. transdisciplinary, key worker, multi-disciplinary, team around the child)</w:t>
            </w:r>
          </w:p>
          <w:p w14:paraId="770C3C5A" w14:textId="77777777" w:rsidR="00CF3383" w:rsidRPr="00CF3383" w:rsidRDefault="00CF3383" w:rsidP="003B0B17">
            <w:pPr>
              <w:numPr>
                <w:ilvl w:val="0"/>
                <w:numId w:val="167"/>
              </w:numPr>
              <w:spacing w:before="0" w:after="0"/>
              <w:rPr>
                <w:rFonts w:eastAsia="MS Mincho" w:cs="Arial"/>
                <w:bCs/>
              </w:rPr>
            </w:pPr>
            <w:r w:rsidRPr="00CF3383">
              <w:rPr>
                <w:rFonts w:eastAsia="MS Mincho" w:cs="Arial"/>
                <w:bCs/>
              </w:rPr>
              <w:t>capacity building practices (e.g., coaching, education, training)</w:t>
            </w:r>
          </w:p>
          <w:p w14:paraId="2B7442FB" w14:textId="77777777" w:rsidR="00CF3383" w:rsidRPr="00CF3383" w:rsidRDefault="00CF3383" w:rsidP="003B0B17">
            <w:pPr>
              <w:numPr>
                <w:ilvl w:val="0"/>
                <w:numId w:val="167"/>
              </w:numPr>
              <w:spacing w:before="0" w:after="0"/>
              <w:rPr>
                <w:rFonts w:eastAsia="MS Mincho" w:cs="Arial"/>
                <w:bCs/>
              </w:rPr>
            </w:pPr>
            <w:r w:rsidRPr="00CF3383">
              <w:rPr>
                <w:rFonts w:eastAsia="MS Mincho" w:cs="Arial"/>
                <w:bCs/>
              </w:rPr>
              <w:t>evidence-based standards, accountability, and practice</w:t>
            </w:r>
          </w:p>
          <w:p w14:paraId="263A5B72" w14:textId="77777777" w:rsidR="00CF3383" w:rsidRPr="00CF3383" w:rsidRDefault="00CF3383" w:rsidP="003B0B17">
            <w:pPr>
              <w:numPr>
                <w:ilvl w:val="0"/>
                <w:numId w:val="167"/>
              </w:numPr>
              <w:spacing w:before="0" w:after="0"/>
              <w:rPr>
                <w:rFonts w:eastAsia="MS Mincho" w:cs="Arial"/>
                <w:bCs/>
              </w:rPr>
            </w:pPr>
            <w:r w:rsidRPr="00CF3383">
              <w:rPr>
                <w:rFonts w:eastAsia="MS Mincho" w:cs="Arial"/>
                <w:bCs/>
              </w:rPr>
              <w:t>outcome based approaches (e.g., goal setting, evidence-based decision making, measurement/evaluation).</w:t>
            </w:r>
          </w:p>
          <w:p w14:paraId="27D2EA19" w14:textId="77777777" w:rsidR="00CF3383" w:rsidRPr="00CF3383" w:rsidRDefault="00CF3383" w:rsidP="003B0B17">
            <w:pPr>
              <w:numPr>
                <w:ilvl w:val="0"/>
                <w:numId w:val="167"/>
              </w:numPr>
              <w:spacing w:before="0" w:after="0"/>
              <w:rPr>
                <w:rFonts w:eastAsia="Calibri" w:cs="Arial"/>
                <w:bCs/>
                <w:kern w:val="2"/>
                <w:lang w:eastAsia="en-US"/>
                <w14:ligatures w14:val="standardContextual"/>
              </w:rPr>
            </w:pPr>
            <w:r w:rsidRPr="00CF3383">
              <w:rPr>
                <w:rFonts w:eastAsia="MS Mincho" w:cs="Arial"/>
                <w:bCs/>
              </w:rPr>
              <w:t>Implementation of education or professional development activities related to ECI approaches</w:t>
            </w:r>
          </w:p>
        </w:tc>
        <w:tc>
          <w:tcPr>
            <w:tcW w:w="4508" w:type="dxa"/>
          </w:tcPr>
          <w:p w14:paraId="616B9812" w14:textId="77777777" w:rsidR="00CF3383" w:rsidRPr="00CF3383" w:rsidRDefault="00CF3383">
            <w:pPr>
              <w:spacing w:after="0"/>
              <w:rPr>
                <w:rFonts w:eastAsia="MS Mincho" w:cs="Arial"/>
                <w:bCs/>
              </w:rPr>
            </w:pPr>
            <w:r w:rsidRPr="00CF3383">
              <w:rPr>
                <w:rFonts w:eastAsia="MS Mincho" w:cs="Arial"/>
                <w:bCs/>
              </w:rPr>
              <w:t>Interventions or approaches that are:</w:t>
            </w:r>
          </w:p>
          <w:p w14:paraId="77B5E651" w14:textId="77777777" w:rsidR="00CF3383" w:rsidRPr="00CF3383" w:rsidRDefault="00CF3383">
            <w:pPr>
              <w:spacing w:after="0"/>
              <w:rPr>
                <w:rFonts w:eastAsia="MS Mincho" w:cs="Arial"/>
                <w:bCs/>
              </w:rPr>
            </w:pPr>
            <w:r w:rsidRPr="00CF3383">
              <w:rPr>
                <w:rFonts w:eastAsia="MS Mincho" w:cs="Arial"/>
                <w:bCs/>
              </w:rPr>
              <w:t>not related to ECI services.</w:t>
            </w:r>
          </w:p>
          <w:p w14:paraId="1851B454" w14:textId="77777777" w:rsidR="00CF3383" w:rsidRPr="00CF3383" w:rsidRDefault="00CF3383" w:rsidP="003B0B17">
            <w:pPr>
              <w:numPr>
                <w:ilvl w:val="0"/>
                <w:numId w:val="168"/>
              </w:numPr>
              <w:spacing w:before="0" w:after="0"/>
              <w:rPr>
                <w:rFonts w:eastAsia="MS Mincho" w:cs="Arial"/>
                <w:bCs/>
              </w:rPr>
            </w:pPr>
            <w:r w:rsidRPr="00CF3383">
              <w:rPr>
                <w:rFonts w:eastAsia="MS Mincho" w:cs="Arial"/>
                <w:bCs/>
              </w:rPr>
              <w:t>single discipline therapies not related to an ECI service or an identified principle or guideline from the included jurisdictions</w:t>
            </w:r>
          </w:p>
          <w:p w14:paraId="117FBA95" w14:textId="77777777" w:rsidR="00CF3383" w:rsidRPr="00CF3383" w:rsidRDefault="00CF3383" w:rsidP="003B0B17">
            <w:pPr>
              <w:numPr>
                <w:ilvl w:val="0"/>
                <w:numId w:val="168"/>
              </w:numPr>
              <w:spacing w:before="0" w:after="0"/>
              <w:rPr>
                <w:rFonts w:eastAsia="MS Mincho" w:cs="Arial"/>
                <w:bCs/>
              </w:rPr>
            </w:pPr>
            <w:r w:rsidRPr="00CF3383">
              <w:rPr>
                <w:rFonts w:eastAsia="MS Mincho" w:cs="Arial"/>
                <w:bCs/>
              </w:rPr>
              <w:t>services or organisations that are not directly related to the implementation of the early childhood intervention principles from the included jurisdictions</w:t>
            </w:r>
          </w:p>
          <w:p w14:paraId="6C25A537" w14:textId="77777777" w:rsidR="00CF3383" w:rsidRPr="00CF3383" w:rsidRDefault="00CF3383" w:rsidP="003B0B17">
            <w:pPr>
              <w:numPr>
                <w:ilvl w:val="0"/>
                <w:numId w:val="168"/>
              </w:numPr>
              <w:spacing w:before="0" w:after="0"/>
              <w:rPr>
                <w:rFonts w:eastAsia="MS Mincho" w:cs="Arial"/>
                <w:bCs/>
              </w:rPr>
            </w:pPr>
            <w:r w:rsidRPr="00CF3383">
              <w:rPr>
                <w:rFonts w:eastAsia="MS Mincho" w:cs="Arial"/>
                <w:bCs/>
              </w:rPr>
              <w:t>medical procedures or intervention</w:t>
            </w:r>
          </w:p>
          <w:p w14:paraId="7B402CEE" w14:textId="77777777" w:rsidR="00CF3383" w:rsidRPr="00CF3383" w:rsidRDefault="00CF3383" w:rsidP="003B0B17">
            <w:pPr>
              <w:numPr>
                <w:ilvl w:val="0"/>
                <w:numId w:val="168"/>
              </w:numPr>
              <w:spacing w:before="0" w:after="0"/>
              <w:rPr>
                <w:rFonts w:eastAsia="MS Mincho" w:cs="Arial"/>
                <w:bCs/>
                <w:lang w:eastAsia="zh-CN"/>
              </w:rPr>
            </w:pPr>
            <w:r w:rsidRPr="00CF3383">
              <w:rPr>
                <w:rFonts w:eastAsia="MS Mincho" w:cs="Arial"/>
                <w:bCs/>
              </w:rPr>
              <w:t>pharmacological treatments</w:t>
            </w:r>
          </w:p>
          <w:p w14:paraId="6808B3B3" w14:textId="77777777" w:rsidR="00CF3383" w:rsidRPr="00CF3383" w:rsidRDefault="00CF3383">
            <w:pPr>
              <w:spacing w:after="0"/>
              <w:rPr>
                <w:rFonts w:eastAsia="MS Mincho" w:cs="Arial"/>
                <w:bCs/>
                <w:lang w:eastAsia="zh-CN"/>
              </w:rPr>
            </w:pPr>
          </w:p>
        </w:tc>
      </w:tr>
      <w:tr w:rsidR="00CF3383" w:rsidRPr="000939E6" w14:paraId="22D03A18" w14:textId="77777777" w:rsidTr="0029199F">
        <w:trPr>
          <w:cnfStyle w:val="000000100000" w:firstRow="0" w:lastRow="0" w:firstColumn="0" w:lastColumn="0" w:oddVBand="0" w:evenVBand="0" w:oddHBand="1" w:evenHBand="0" w:firstRowFirstColumn="0" w:firstRowLastColumn="0" w:lastRowFirstColumn="0" w:lastRowLastColumn="0"/>
          <w:trHeight w:val="300"/>
        </w:trPr>
        <w:tc>
          <w:tcPr>
            <w:tcW w:w="9016" w:type="dxa"/>
            <w:gridSpan w:val="2"/>
            <w:shd w:val="clear" w:color="auto" w:fill="DAE2E6"/>
          </w:tcPr>
          <w:p w14:paraId="065FC333" w14:textId="77777777" w:rsidR="00CF3383" w:rsidRPr="00CF3383" w:rsidRDefault="00CF3383">
            <w:pPr>
              <w:spacing w:after="0"/>
              <w:jc w:val="center"/>
              <w:rPr>
                <w:rFonts w:eastAsia="MS Mincho" w:cs="Arial"/>
                <w:b/>
                <w:bCs/>
              </w:rPr>
            </w:pPr>
            <w:r w:rsidRPr="00CF3383">
              <w:rPr>
                <w:rFonts w:eastAsia="MS Mincho" w:cs="Arial"/>
                <w:b/>
                <w:bCs/>
              </w:rPr>
              <w:t>Comparator</w:t>
            </w:r>
          </w:p>
        </w:tc>
      </w:tr>
      <w:tr w:rsidR="00CF3383" w:rsidRPr="000939E6" w14:paraId="5AE84CA1" w14:textId="77777777">
        <w:trPr>
          <w:cnfStyle w:val="000000010000" w:firstRow="0" w:lastRow="0" w:firstColumn="0" w:lastColumn="0" w:oddVBand="0" w:evenVBand="0" w:oddHBand="0" w:evenHBand="1" w:firstRowFirstColumn="0" w:firstRowLastColumn="0" w:lastRowFirstColumn="0" w:lastRowLastColumn="0"/>
          <w:trHeight w:val="300"/>
        </w:trPr>
        <w:tc>
          <w:tcPr>
            <w:tcW w:w="4508" w:type="dxa"/>
          </w:tcPr>
          <w:p w14:paraId="295177E6" w14:textId="77777777" w:rsidR="00CF3383" w:rsidRPr="00CF3383" w:rsidRDefault="00CF3383">
            <w:pPr>
              <w:spacing w:after="0"/>
              <w:rPr>
                <w:rFonts w:eastAsia="MS Mincho" w:cs="Arial"/>
                <w:bCs/>
              </w:rPr>
            </w:pPr>
            <w:r w:rsidRPr="00CF3383">
              <w:rPr>
                <w:rFonts w:eastAsia="MS Mincho" w:cs="Arial"/>
                <w:bCs/>
              </w:rPr>
              <w:t>Any or none</w:t>
            </w:r>
          </w:p>
        </w:tc>
        <w:tc>
          <w:tcPr>
            <w:tcW w:w="4508" w:type="dxa"/>
          </w:tcPr>
          <w:p w14:paraId="3571697A" w14:textId="77777777" w:rsidR="00CF3383" w:rsidRPr="00CF3383" w:rsidRDefault="00CF3383">
            <w:pPr>
              <w:spacing w:after="0"/>
              <w:rPr>
                <w:rFonts w:eastAsia="MS Mincho" w:cs="Arial"/>
                <w:bCs/>
              </w:rPr>
            </w:pPr>
            <w:r w:rsidRPr="00CF3383">
              <w:rPr>
                <w:rFonts w:eastAsia="MS Mincho" w:cs="Arial"/>
                <w:bCs/>
              </w:rPr>
              <w:t>-</w:t>
            </w:r>
          </w:p>
        </w:tc>
      </w:tr>
      <w:tr w:rsidR="00CF3383" w:rsidRPr="000939E6" w14:paraId="17DC8635" w14:textId="77777777" w:rsidTr="0029199F">
        <w:trPr>
          <w:cnfStyle w:val="000000100000" w:firstRow="0" w:lastRow="0" w:firstColumn="0" w:lastColumn="0" w:oddVBand="0" w:evenVBand="0" w:oddHBand="1" w:evenHBand="0" w:firstRowFirstColumn="0" w:firstRowLastColumn="0" w:lastRowFirstColumn="0" w:lastRowLastColumn="0"/>
        </w:trPr>
        <w:tc>
          <w:tcPr>
            <w:tcW w:w="9016" w:type="dxa"/>
            <w:gridSpan w:val="2"/>
            <w:shd w:val="clear" w:color="auto" w:fill="DAE2E6"/>
          </w:tcPr>
          <w:p w14:paraId="1CD09821" w14:textId="77777777" w:rsidR="00CF3383" w:rsidRPr="00CF3383" w:rsidRDefault="00CF3383">
            <w:pPr>
              <w:spacing w:after="0"/>
              <w:jc w:val="center"/>
              <w:rPr>
                <w:rFonts w:eastAsia="MS Mincho" w:cs="Arial"/>
                <w:b/>
                <w:bCs/>
                <w:lang w:eastAsia="zh-CN"/>
              </w:rPr>
            </w:pPr>
            <w:r w:rsidRPr="00CF3383">
              <w:rPr>
                <w:rFonts w:eastAsia="MS Mincho" w:cs="Arial"/>
                <w:b/>
                <w:bCs/>
                <w:lang w:eastAsia="zh-CN"/>
              </w:rPr>
              <w:t>Outcomes</w:t>
            </w:r>
          </w:p>
          <w:p w14:paraId="0968E316" w14:textId="77777777" w:rsidR="00CF3383" w:rsidRPr="00CF3383" w:rsidRDefault="00CF3383">
            <w:pPr>
              <w:spacing w:after="0"/>
              <w:jc w:val="center"/>
              <w:rPr>
                <w:rFonts w:eastAsia="MS Mincho" w:cs="Arial"/>
                <w:bCs/>
                <w:lang w:eastAsia="zh-CN"/>
              </w:rPr>
            </w:pPr>
            <w:r w:rsidRPr="00CF3383">
              <w:rPr>
                <w:rFonts w:eastAsia="MS Mincho" w:cs="Arial"/>
                <w:bCs/>
                <w:lang w:eastAsia="zh-CN"/>
              </w:rPr>
              <w:t>One or more of the outcomes of the study meet a criterion below.</w:t>
            </w:r>
          </w:p>
        </w:tc>
      </w:tr>
      <w:tr w:rsidR="00CF3383" w:rsidRPr="000939E6" w14:paraId="4ECC3550" w14:textId="77777777">
        <w:trPr>
          <w:cnfStyle w:val="000000010000" w:firstRow="0" w:lastRow="0" w:firstColumn="0" w:lastColumn="0" w:oddVBand="0" w:evenVBand="0" w:oddHBand="0" w:evenHBand="1" w:firstRowFirstColumn="0" w:firstRowLastColumn="0" w:lastRowFirstColumn="0" w:lastRowLastColumn="0"/>
        </w:trPr>
        <w:tc>
          <w:tcPr>
            <w:tcW w:w="4508" w:type="dxa"/>
          </w:tcPr>
          <w:p w14:paraId="0215501C" w14:textId="77777777" w:rsidR="00CF3383" w:rsidRPr="00CF3383" w:rsidRDefault="00CF3383">
            <w:pPr>
              <w:spacing w:after="0"/>
              <w:rPr>
                <w:rFonts w:eastAsia="MS Mincho" w:cs="Arial"/>
                <w:bCs/>
                <w:lang w:eastAsia="zh-CN"/>
              </w:rPr>
            </w:pPr>
            <w:r w:rsidRPr="00CF3383">
              <w:rPr>
                <w:rFonts w:eastAsia="MS Mincho" w:cs="Arial"/>
                <w:bCs/>
                <w:lang w:eastAsia="zh-CN"/>
              </w:rPr>
              <w:t>Children</w:t>
            </w:r>
          </w:p>
          <w:p w14:paraId="06AF0623" w14:textId="77777777" w:rsidR="00CF3383" w:rsidRPr="00CF3383" w:rsidRDefault="00CF3383" w:rsidP="003B0B17">
            <w:pPr>
              <w:numPr>
                <w:ilvl w:val="0"/>
                <w:numId w:val="169"/>
              </w:numPr>
              <w:spacing w:before="0" w:after="0"/>
              <w:rPr>
                <w:rFonts w:eastAsia="MS Mincho" w:cs="Arial"/>
                <w:bCs/>
                <w:lang w:eastAsia="zh-CN"/>
              </w:rPr>
            </w:pPr>
            <w:r w:rsidRPr="00CF3383">
              <w:rPr>
                <w:rFonts w:eastAsia="MS Mincho" w:cs="Arial"/>
                <w:bCs/>
                <w:lang w:eastAsia="zh-CN"/>
              </w:rPr>
              <w:t>Child health</w:t>
            </w:r>
          </w:p>
          <w:p w14:paraId="038B1688" w14:textId="77777777" w:rsidR="00CF3383" w:rsidRPr="00CF3383" w:rsidRDefault="00CF3383" w:rsidP="003B0B17">
            <w:pPr>
              <w:numPr>
                <w:ilvl w:val="0"/>
                <w:numId w:val="169"/>
              </w:numPr>
              <w:spacing w:before="0" w:after="0"/>
              <w:rPr>
                <w:rFonts w:eastAsia="MS Mincho" w:cs="Arial"/>
                <w:bCs/>
                <w:lang w:eastAsia="zh-CN"/>
              </w:rPr>
            </w:pPr>
            <w:r w:rsidRPr="00CF3383">
              <w:rPr>
                <w:rFonts w:eastAsia="MS Mincho" w:cs="Arial"/>
                <w:bCs/>
                <w:lang w:eastAsia="zh-CN"/>
              </w:rPr>
              <w:t xml:space="preserve">Child development, </w:t>
            </w:r>
          </w:p>
          <w:p w14:paraId="09EC1127" w14:textId="77777777" w:rsidR="00CF3383" w:rsidRPr="00CF3383" w:rsidRDefault="00CF3383" w:rsidP="003B0B17">
            <w:pPr>
              <w:numPr>
                <w:ilvl w:val="0"/>
                <w:numId w:val="169"/>
              </w:numPr>
              <w:spacing w:before="0" w:after="0"/>
              <w:rPr>
                <w:rFonts w:eastAsia="MS Mincho" w:cs="Arial"/>
                <w:bCs/>
                <w:lang w:eastAsia="zh-CN"/>
              </w:rPr>
            </w:pPr>
            <w:r w:rsidRPr="00CF3383">
              <w:rPr>
                <w:rFonts w:eastAsia="MS Mincho" w:cs="Arial"/>
                <w:bCs/>
                <w:lang w:eastAsia="zh-CN"/>
              </w:rPr>
              <w:t xml:space="preserve">Skills development in the areas of </w:t>
            </w:r>
            <w:r w:rsidRPr="00CF3383">
              <w:rPr>
                <w:rFonts w:eastAsia="MS Mincho" w:cs="Arial"/>
                <w:bCs/>
              </w:rPr>
              <w:t>social interaction, cognitive development, eating/feeding, motor skills, language/communication, self-care, sensory processing.</w:t>
            </w:r>
          </w:p>
          <w:p w14:paraId="405AC0C4" w14:textId="77777777" w:rsidR="00CF3383" w:rsidRPr="00CF3383" w:rsidRDefault="00CF3383" w:rsidP="003B0B17">
            <w:pPr>
              <w:numPr>
                <w:ilvl w:val="0"/>
                <w:numId w:val="169"/>
              </w:numPr>
              <w:spacing w:before="0" w:after="0"/>
              <w:rPr>
                <w:rFonts w:eastAsia="MS Mincho" w:cs="Arial"/>
                <w:bCs/>
                <w:lang w:eastAsia="zh-CN"/>
              </w:rPr>
            </w:pPr>
            <w:r w:rsidRPr="00CF3383">
              <w:rPr>
                <w:rFonts w:eastAsia="MS Mincho" w:cs="Arial"/>
                <w:bCs/>
                <w:lang w:eastAsia="zh-CN"/>
              </w:rPr>
              <w:t xml:space="preserve">Participation </w:t>
            </w:r>
          </w:p>
          <w:p w14:paraId="74A1E998" w14:textId="77777777" w:rsidR="00CF3383" w:rsidRPr="00CF3383" w:rsidRDefault="00CF3383" w:rsidP="003B0B17">
            <w:pPr>
              <w:numPr>
                <w:ilvl w:val="0"/>
                <w:numId w:val="169"/>
              </w:numPr>
              <w:spacing w:before="0" w:after="0"/>
              <w:rPr>
                <w:rFonts w:eastAsia="MS Mincho" w:cs="Arial"/>
                <w:bCs/>
                <w:lang w:eastAsia="zh-CN"/>
              </w:rPr>
            </w:pPr>
            <w:r w:rsidRPr="00CF3383">
              <w:rPr>
                <w:rFonts w:eastAsia="MS Mincho" w:cs="Arial"/>
                <w:bCs/>
                <w:lang w:eastAsia="zh-CN"/>
              </w:rPr>
              <w:t xml:space="preserve">Wellbeing </w:t>
            </w:r>
          </w:p>
          <w:p w14:paraId="028B6B4D" w14:textId="77777777" w:rsidR="00CF3383" w:rsidRPr="00CF3383" w:rsidRDefault="00CF3383" w:rsidP="003B0B17">
            <w:pPr>
              <w:numPr>
                <w:ilvl w:val="0"/>
                <w:numId w:val="169"/>
              </w:numPr>
              <w:spacing w:before="0" w:after="0"/>
              <w:rPr>
                <w:rFonts w:eastAsia="MS Mincho" w:cs="Arial"/>
                <w:bCs/>
                <w:lang w:eastAsia="zh-CN"/>
              </w:rPr>
            </w:pPr>
            <w:r w:rsidRPr="00CF3383">
              <w:rPr>
                <w:rFonts w:eastAsia="MS Mincho" w:cs="Arial"/>
                <w:bCs/>
                <w:lang w:eastAsia="zh-CN"/>
              </w:rPr>
              <w:t>Quality of life</w:t>
            </w:r>
          </w:p>
        </w:tc>
        <w:tc>
          <w:tcPr>
            <w:tcW w:w="4508" w:type="dxa"/>
            <w:vMerge w:val="restart"/>
          </w:tcPr>
          <w:p w14:paraId="39A01ED9" w14:textId="77777777" w:rsidR="00CF3383" w:rsidRPr="00CF3383" w:rsidRDefault="00CF3383">
            <w:pPr>
              <w:spacing w:after="0"/>
              <w:rPr>
                <w:rFonts w:eastAsia="MS Mincho" w:cs="Arial"/>
                <w:bCs/>
                <w:lang w:eastAsia="zh-CN"/>
              </w:rPr>
            </w:pPr>
            <w:r w:rsidRPr="00CF3383">
              <w:rPr>
                <w:rFonts w:eastAsia="MS Mincho" w:cs="Arial"/>
                <w:bCs/>
                <w:lang w:eastAsia="zh-CN"/>
              </w:rPr>
              <w:t>Studies that do not report on child, parent/caregiver, family, or service/organisation outcomes listed in the inclusion criteria.</w:t>
            </w:r>
          </w:p>
        </w:tc>
      </w:tr>
      <w:tr w:rsidR="00CF3383" w:rsidRPr="000939E6" w14:paraId="2586B22B" w14:textId="77777777">
        <w:trPr>
          <w:cnfStyle w:val="000000100000" w:firstRow="0" w:lastRow="0" w:firstColumn="0" w:lastColumn="0" w:oddVBand="0" w:evenVBand="0" w:oddHBand="1" w:evenHBand="0" w:firstRowFirstColumn="0" w:firstRowLastColumn="0" w:lastRowFirstColumn="0" w:lastRowLastColumn="0"/>
        </w:trPr>
        <w:tc>
          <w:tcPr>
            <w:tcW w:w="4508" w:type="dxa"/>
          </w:tcPr>
          <w:p w14:paraId="0B261DAD" w14:textId="77777777" w:rsidR="00CF3383" w:rsidRPr="00CF3383" w:rsidRDefault="00CF3383">
            <w:pPr>
              <w:spacing w:after="0"/>
              <w:rPr>
                <w:rFonts w:eastAsia="MS Mincho" w:cs="Arial"/>
                <w:bCs/>
                <w:lang w:eastAsia="zh-CN"/>
              </w:rPr>
            </w:pPr>
            <w:r w:rsidRPr="00CF3383">
              <w:rPr>
                <w:rFonts w:eastAsia="MS Mincho" w:cs="Arial"/>
                <w:bCs/>
                <w:lang w:eastAsia="zh-CN"/>
              </w:rPr>
              <w:t>Parents / caregivers</w:t>
            </w:r>
          </w:p>
          <w:p w14:paraId="504D20A2"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Satisfaction</w:t>
            </w:r>
          </w:p>
          <w:p w14:paraId="39E9B5D4"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 xml:space="preserve">Empowerment </w:t>
            </w:r>
          </w:p>
          <w:p w14:paraId="55F14AB9"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Confidence or self-efficacy</w:t>
            </w:r>
          </w:p>
          <w:p w14:paraId="24CC8AB4"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 xml:space="preserve">Skills and knowledge </w:t>
            </w:r>
          </w:p>
          <w:p w14:paraId="55F1D9A8"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Health (physical/mental)</w:t>
            </w:r>
          </w:p>
          <w:p w14:paraId="3A37D9B3"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Wellbeing</w:t>
            </w:r>
          </w:p>
          <w:p w14:paraId="0BA76F70"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Quality of life</w:t>
            </w:r>
          </w:p>
          <w:p w14:paraId="316AD323"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Family outcomes</w:t>
            </w:r>
          </w:p>
          <w:p w14:paraId="6A32A913"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 xml:space="preserve">Family functioning </w:t>
            </w:r>
          </w:p>
        </w:tc>
        <w:tc>
          <w:tcPr>
            <w:tcW w:w="4508" w:type="dxa"/>
            <w:vMerge/>
          </w:tcPr>
          <w:p w14:paraId="348D230E" w14:textId="77777777" w:rsidR="00CF3383" w:rsidRPr="00CF3383" w:rsidRDefault="00CF3383">
            <w:pPr>
              <w:spacing w:after="0"/>
              <w:rPr>
                <w:rFonts w:eastAsia="MS Mincho" w:cs="Arial"/>
                <w:bCs/>
                <w:lang w:eastAsia="zh-CN"/>
              </w:rPr>
            </w:pPr>
          </w:p>
        </w:tc>
      </w:tr>
      <w:tr w:rsidR="00CF3383" w:rsidRPr="000939E6" w14:paraId="67198AD2" w14:textId="77777777">
        <w:trPr>
          <w:cnfStyle w:val="000000010000" w:firstRow="0" w:lastRow="0" w:firstColumn="0" w:lastColumn="0" w:oddVBand="0" w:evenVBand="0" w:oddHBand="0" w:evenHBand="1" w:firstRowFirstColumn="0" w:firstRowLastColumn="0" w:lastRowFirstColumn="0" w:lastRowLastColumn="0"/>
        </w:trPr>
        <w:tc>
          <w:tcPr>
            <w:tcW w:w="4508" w:type="dxa"/>
          </w:tcPr>
          <w:p w14:paraId="3B6DEC8B" w14:textId="77777777" w:rsidR="00CF3383" w:rsidRPr="00CF3383" w:rsidRDefault="00CF3383">
            <w:pPr>
              <w:spacing w:after="0"/>
              <w:rPr>
                <w:rFonts w:eastAsia="MS Mincho" w:cs="Arial"/>
                <w:bCs/>
                <w:lang w:eastAsia="zh-CN"/>
              </w:rPr>
            </w:pPr>
            <w:r w:rsidRPr="00CF3383">
              <w:rPr>
                <w:rFonts w:eastAsia="MS Mincho" w:cs="Arial"/>
                <w:bCs/>
                <w:lang w:eastAsia="zh-CN"/>
              </w:rPr>
              <w:t xml:space="preserve">Professionals/workers change in </w:t>
            </w:r>
          </w:p>
          <w:p w14:paraId="031870EF" w14:textId="77777777" w:rsidR="00CF3383" w:rsidRPr="00CF3383" w:rsidRDefault="00CF3383" w:rsidP="003B0B17">
            <w:pPr>
              <w:numPr>
                <w:ilvl w:val="0"/>
                <w:numId w:val="173"/>
              </w:numPr>
              <w:spacing w:before="0" w:after="0"/>
              <w:rPr>
                <w:rFonts w:eastAsia="MS Mincho" w:cs="Arial"/>
                <w:bCs/>
                <w:lang w:eastAsia="zh-CN"/>
              </w:rPr>
            </w:pPr>
            <w:r w:rsidRPr="00CF3383">
              <w:rPr>
                <w:rFonts w:eastAsia="MS Mincho" w:cs="Arial"/>
                <w:bCs/>
                <w:lang w:eastAsia="zh-CN"/>
              </w:rPr>
              <w:t xml:space="preserve">Knowledge, attitudes, behaviours, </w:t>
            </w:r>
          </w:p>
          <w:p w14:paraId="5BB12B88"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Skills</w:t>
            </w:r>
          </w:p>
          <w:p w14:paraId="36DFEEC7"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Competences</w:t>
            </w:r>
          </w:p>
          <w:p w14:paraId="47D82820" w14:textId="77777777" w:rsidR="00CF3383" w:rsidRPr="00CF3383" w:rsidRDefault="00CF3383" w:rsidP="003B0B17">
            <w:pPr>
              <w:numPr>
                <w:ilvl w:val="0"/>
                <w:numId w:val="170"/>
              </w:numPr>
              <w:spacing w:before="0" w:after="0"/>
              <w:rPr>
                <w:rFonts w:eastAsia="MS Mincho" w:cs="Arial"/>
                <w:bCs/>
                <w:lang w:eastAsia="zh-CN"/>
              </w:rPr>
            </w:pPr>
            <w:r w:rsidRPr="00CF3383">
              <w:rPr>
                <w:rFonts w:eastAsia="MS Mincho" w:cs="Arial"/>
                <w:bCs/>
                <w:lang w:eastAsia="zh-CN"/>
              </w:rPr>
              <w:t xml:space="preserve">Implementation behaviours/outcomes </w:t>
            </w:r>
          </w:p>
        </w:tc>
        <w:tc>
          <w:tcPr>
            <w:tcW w:w="4508" w:type="dxa"/>
            <w:vMerge/>
          </w:tcPr>
          <w:p w14:paraId="4A8839AD" w14:textId="77777777" w:rsidR="00CF3383" w:rsidRPr="00CF3383" w:rsidRDefault="00CF3383">
            <w:pPr>
              <w:spacing w:after="0"/>
              <w:rPr>
                <w:rFonts w:eastAsia="MS Mincho" w:cs="Arial"/>
                <w:bCs/>
                <w:lang w:eastAsia="zh-CN"/>
              </w:rPr>
            </w:pPr>
          </w:p>
        </w:tc>
      </w:tr>
      <w:tr w:rsidR="00CF3383" w:rsidRPr="000939E6" w14:paraId="15D009ED" w14:textId="77777777">
        <w:trPr>
          <w:cnfStyle w:val="000000100000" w:firstRow="0" w:lastRow="0" w:firstColumn="0" w:lastColumn="0" w:oddVBand="0" w:evenVBand="0" w:oddHBand="1" w:evenHBand="0" w:firstRowFirstColumn="0" w:firstRowLastColumn="0" w:lastRowFirstColumn="0" w:lastRowLastColumn="0"/>
        </w:trPr>
        <w:tc>
          <w:tcPr>
            <w:tcW w:w="4508" w:type="dxa"/>
          </w:tcPr>
          <w:p w14:paraId="59EF867C" w14:textId="77777777" w:rsidR="00CF3383" w:rsidRPr="00CF3383" w:rsidRDefault="00CF3383">
            <w:pPr>
              <w:spacing w:after="0"/>
              <w:rPr>
                <w:rFonts w:eastAsia="MS Mincho" w:cs="Arial"/>
                <w:bCs/>
                <w:lang w:eastAsia="zh-CN"/>
              </w:rPr>
            </w:pPr>
            <w:r w:rsidRPr="00CF3383">
              <w:rPr>
                <w:rFonts w:eastAsia="MS Mincho" w:cs="Arial"/>
                <w:bCs/>
                <w:lang w:eastAsia="zh-CN"/>
              </w:rPr>
              <w:t>Organisations</w:t>
            </w:r>
          </w:p>
          <w:p w14:paraId="550727F9"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Service structures, mandates, approaches</w:t>
            </w:r>
          </w:p>
        </w:tc>
        <w:tc>
          <w:tcPr>
            <w:tcW w:w="4508" w:type="dxa"/>
            <w:vMerge/>
          </w:tcPr>
          <w:p w14:paraId="0E956F00" w14:textId="77777777" w:rsidR="00CF3383" w:rsidRPr="00CF3383" w:rsidRDefault="00CF3383">
            <w:pPr>
              <w:spacing w:after="0"/>
              <w:rPr>
                <w:rFonts w:eastAsia="MS Mincho" w:cs="Arial"/>
                <w:bCs/>
                <w:lang w:eastAsia="zh-CN"/>
              </w:rPr>
            </w:pPr>
          </w:p>
        </w:tc>
      </w:tr>
      <w:tr w:rsidR="00CF3383" w:rsidRPr="000939E6" w14:paraId="129EBBA3" w14:textId="77777777" w:rsidTr="0029199F">
        <w:trPr>
          <w:cnfStyle w:val="000000010000" w:firstRow="0" w:lastRow="0" w:firstColumn="0" w:lastColumn="0" w:oddVBand="0" w:evenVBand="0" w:oddHBand="0" w:evenHBand="1" w:firstRowFirstColumn="0" w:firstRowLastColumn="0" w:lastRowFirstColumn="0" w:lastRowLastColumn="0"/>
        </w:trPr>
        <w:tc>
          <w:tcPr>
            <w:tcW w:w="9016" w:type="dxa"/>
            <w:gridSpan w:val="2"/>
            <w:shd w:val="clear" w:color="auto" w:fill="DAE2E6"/>
          </w:tcPr>
          <w:p w14:paraId="6919820A" w14:textId="77777777" w:rsidR="00CF3383" w:rsidRPr="00CF3383" w:rsidRDefault="00CF3383">
            <w:pPr>
              <w:spacing w:after="0"/>
              <w:jc w:val="center"/>
              <w:rPr>
                <w:rFonts w:eastAsia="MS Mincho" w:cs="Arial"/>
                <w:b/>
                <w:bCs/>
                <w:lang w:eastAsia="zh-CN"/>
              </w:rPr>
            </w:pPr>
            <w:r w:rsidRPr="00CF3383">
              <w:rPr>
                <w:rFonts w:eastAsia="MS Mincho" w:cs="Arial"/>
                <w:b/>
                <w:bCs/>
                <w:lang w:eastAsia="zh-CN"/>
              </w:rPr>
              <w:t>Research design</w:t>
            </w:r>
          </w:p>
        </w:tc>
      </w:tr>
      <w:tr w:rsidR="00CF3383" w:rsidRPr="000939E6" w14:paraId="051D8834" w14:textId="77777777">
        <w:trPr>
          <w:cnfStyle w:val="000000100000" w:firstRow="0" w:lastRow="0" w:firstColumn="0" w:lastColumn="0" w:oddVBand="0" w:evenVBand="0" w:oddHBand="1" w:evenHBand="0" w:firstRowFirstColumn="0" w:firstRowLastColumn="0" w:lastRowFirstColumn="0" w:lastRowLastColumn="0"/>
          <w:trHeight w:val="300"/>
        </w:trPr>
        <w:tc>
          <w:tcPr>
            <w:tcW w:w="4508" w:type="dxa"/>
          </w:tcPr>
          <w:p w14:paraId="6E91154F"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Systematic reviews published since 2019</w:t>
            </w:r>
            <w:r w:rsidRPr="00CF3383">
              <w:rPr>
                <w:rFonts w:eastAsia="MS Mincho" w:cs="Arial"/>
                <w:bCs/>
                <w:vertAlign w:val="superscript"/>
                <w:lang w:eastAsia="zh-CN"/>
              </w:rPr>
              <w:t>a</w:t>
            </w:r>
            <w:r w:rsidRPr="00CF3383">
              <w:rPr>
                <w:rFonts w:eastAsia="MS Mincho" w:cs="Arial"/>
                <w:bCs/>
                <w:lang w:eastAsia="zh-CN"/>
              </w:rPr>
              <w:t xml:space="preserve"> of interventions/approaches will be preferentially sourced where most (&gt;70%) of included studies were older than 2014</w:t>
            </w:r>
          </w:p>
          <w:p w14:paraId="4EEB6146"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Randomised trials</w:t>
            </w:r>
          </w:p>
          <w:p w14:paraId="36FF91B9"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 xml:space="preserve">Quasi-experimental studies </w:t>
            </w:r>
          </w:p>
          <w:p w14:paraId="05863124"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Pre-test, post-test studies</w:t>
            </w:r>
          </w:p>
          <w:p w14:paraId="0817D7C5"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 xml:space="preserve">Case series, </w:t>
            </w:r>
          </w:p>
          <w:p w14:paraId="15BD620F"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Single case experimental designs</w:t>
            </w:r>
          </w:p>
          <w:p w14:paraId="1D67837D"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Longitudinal follow up</w:t>
            </w:r>
          </w:p>
          <w:p w14:paraId="272C0211"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 xml:space="preserve">Qualitative studies if the research objective is on the outcome of intervention/approach </w:t>
            </w:r>
          </w:p>
          <w:p w14:paraId="5E580DBB"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Studies may employ quantitative, qualitative or mixed methods data collection approaches</w:t>
            </w:r>
          </w:p>
        </w:tc>
        <w:tc>
          <w:tcPr>
            <w:tcW w:w="4508" w:type="dxa"/>
          </w:tcPr>
          <w:p w14:paraId="7313AAAD"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Systematic reviews published since 2019, in which most included studies were older than 2014</w:t>
            </w:r>
          </w:p>
          <w:p w14:paraId="5487B6B1"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Non-empirical research</w:t>
            </w:r>
          </w:p>
          <w:p w14:paraId="75788A46"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Non-systematic literature review (i.e. narrative reviews)</w:t>
            </w:r>
          </w:p>
          <w:p w14:paraId="2C5DA7CD"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 xml:space="preserve">Prevalence or risks studies </w:t>
            </w:r>
          </w:p>
          <w:p w14:paraId="1FFB2D6E"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 xml:space="preserve">Measurement studies </w:t>
            </w:r>
          </w:p>
          <w:p w14:paraId="020A9328"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Qualitative studies if the research objective is not to explore the outcome of an intervention or approach</w:t>
            </w:r>
          </w:p>
          <w:p w14:paraId="6ABC0FDD"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rPr>
              <w:t>Study protocols</w:t>
            </w:r>
          </w:p>
          <w:p w14:paraId="4BB9832E"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Consensus statements/guidelines</w:t>
            </w:r>
          </w:p>
          <w:p w14:paraId="26EA49CA" w14:textId="77777777" w:rsidR="00CF3383" w:rsidRPr="00CF3383" w:rsidRDefault="00CF3383" w:rsidP="003B0B17">
            <w:pPr>
              <w:numPr>
                <w:ilvl w:val="0"/>
                <w:numId w:val="171"/>
              </w:numPr>
              <w:spacing w:before="0" w:after="0"/>
              <w:rPr>
                <w:rFonts w:eastAsia="MS Mincho" w:cs="Arial"/>
                <w:bCs/>
                <w:lang w:eastAsia="zh-CN"/>
              </w:rPr>
            </w:pPr>
            <w:r w:rsidRPr="00CF3383">
              <w:rPr>
                <w:rFonts w:eastAsia="MS Mincho" w:cs="Arial"/>
                <w:bCs/>
                <w:lang w:eastAsia="zh-CN"/>
              </w:rPr>
              <w:t>Corrigendum</w:t>
            </w:r>
            <w:r w:rsidRPr="00CF3383">
              <w:rPr>
                <w:rFonts w:eastAsia="MS Mincho" w:cs="Arial"/>
                <w:bCs/>
                <w:vertAlign w:val="superscript"/>
                <w:lang w:eastAsia="zh-CN"/>
              </w:rPr>
              <w:t>b</w:t>
            </w:r>
          </w:p>
        </w:tc>
      </w:tr>
      <w:tr w:rsidR="00CF3383" w:rsidRPr="000939E6" w14:paraId="4500DF85" w14:textId="77777777" w:rsidTr="0029199F">
        <w:trPr>
          <w:cnfStyle w:val="000000010000" w:firstRow="0" w:lastRow="0" w:firstColumn="0" w:lastColumn="0" w:oddVBand="0" w:evenVBand="0" w:oddHBand="0" w:evenHBand="1" w:firstRowFirstColumn="0" w:firstRowLastColumn="0" w:lastRowFirstColumn="0" w:lastRowLastColumn="0"/>
          <w:trHeight w:val="300"/>
        </w:trPr>
        <w:tc>
          <w:tcPr>
            <w:tcW w:w="9016" w:type="dxa"/>
            <w:gridSpan w:val="2"/>
            <w:shd w:val="clear" w:color="auto" w:fill="DAE2E6"/>
          </w:tcPr>
          <w:p w14:paraId="58FEE0BF" w14:textId="77777777" w:rsidR="00CF3383" w:rsidRPr="00CF3383" w:rsidRDefault="00CF3383">
            <w:pPr>
              <w:spacing w:after="0"/>
              <w:jc w:val="center"/>
              <w:rPr>
                <w:rFonts w:eastAsia="MS Mincho" w:cs="Arial"/>
                <w:b/>
                <w:bCs/>
                <w:lang w:eastAsia="zh-CN"/>
              </w:rPr>
            </w:pPr>
            <w:r w:rsidRPr="00CF3383">
              <w:rPr>
                <w:rFonts w:eastAsia="MS Mincho" w:cs="Arial"/>
                <w:b/>
                <w:bCs/>
                <w:lang w:eastAsia="zh-CN"/>
              </w:rPr>
              <w:t>Context</w:t>
            </w:r>
          </w:p>
        </w:tc>
      </w:tr>
      <w:tr w:rsidR="00CF3383" w:rsidRPr="000939E6" w14:paraId="7FA59BD6" w14:textId="77777777">
        <w:trPr>
          <w:cnfStyle w:val="000000100000" w:firstRow="0" w:lastRow="0" w:firstColumn="0" w:lastColumn="0" w:oddVBand="0" w:evenVBand="0" w:oddHBand="1" w:evenHBand="0" w:firstRowFirstColumn="0" w:firstRowLastColumn="0" w:lastRowFirstColumn="0" w:lastRowLastColumn="0"/>
          <w:trHeight w:val="300"/>
        </w:trPr>
        <w:tc>
          <w:tcPr>
            <w:tcW w:w="4508" w:type="dxa"/>
          </w:tcPr>
          <w:p w14:paraId="4D8BCCE1" w14:textId="77777777" w:rsidR="00CF3383" w:rsidRPr="00CF3383" w:rsidRDefault="00CF3383">
            <w:pPr>
              <w:spacing w:after="0"/>
              <w:rPr>
                <w:rFonts w:eastAsia="MS Mincho" w:cs="Arial"/>
                <w:bCs/>
                <w:lang w:eastAsia="zh-CN"/>
              </w:rPr>
            </w:pPr>
            <w:r w:rsidRPr="00CF3383">
              <w:rPr>
                <w:rFonts w:eastAsia="MS Mincho" w:cs="Arial"/>
                <w:bCs/>
              </w:rPr>
              <w:t xml:space="preserve">Early childhood or early learning settings, special education settings, healthcare, school or special schools or services delivering early intervention or support </w:t>
            </w:r>
          </w:p>
          <w:p w14:paraId="073FAC3B" w14:textId="77777777" w:rsidR="00CF3383" w:rsidRPr="00CF3383" w:rsidRDefault="00CF3383">
            <w:pPr>
              <w:spacing w:after="0"/>
              <w:rPr>
                <w:rFonts w:eastAsia="MS Mincho" w:cs="Arial"/>
                <w:bCs/>
              </w:rPr>
            </w:pPr>
            <w:r w:rsidRPr="00CF3383">
              <w:rPr>
                <w:rFonts w:eastAsia="MS Mincho" w:cs="Arial"/>
                <w:bCs/>
              </w:rPr>
              <w:t>Recruitment of sample should have occurred in</w:t>
            </w:r>
          </w:p>
          <w:p w14:paraId="30BF1AC4" w14:textId="77777777" w:rsidR="00CF3383" w:rsidRPr="00CF3383" w:rsidRDefault="00CF3383" w:rsidP="003B0B17">
            <w:pPr>
              <w:numPr>
                <w:ilvl w:val="0"/>
                <w:numId w:val="172"/>
              </w:numPr>
              <w:spacing w:before="0" w:after="0"/>
              <w:rPr>
                <w:rFonts w:eastAsia="Calibri" w:cs="Arial"/>
                <w:bCs/>
                <w:kern w:val="2"/>
                <w:lang w:eastAsia="en-US"/>
                <w14:ligatures w14:val="standardContextual"/>
              </w:rPr>
            </w:pPr>
            <w:r w:rsidRPr="00CF3383">
              <w:rPr>
                <w:rFonts w:eastAsia="MS Mincho" w:cs="Arial"/>
                <w:bCs/>
              </w:rPr>
              <w:t xml:space="preserve">Australia, New Zealand, Europe, USA, and UK or/and with Aboriginal and Torres Straits Islanders children and families. </w:t>
            </w:r>
          </w:p>
        </w:tc>
        <w:tc>
          <w:tcPr>
            <w:tcW w:w="4508" w:type="dxa"/>
          </w:tcPr>
          <w:p w14:paraId="2E72A80C" w14:textId="77777777" w:rsidR="00CF3383" w:rsidRPr="00CF3383" w:rsidRDefault="00CF3383">
            <w:pPr>
              <w:spacing w:after="0"/>
              <w:rPr>
                <w:rFonts w:eastAsia="MS Mincho" w:cs="Arial"/>
                <w:bCs/>
                <w:lang w:eastAsia="zh-CN"/>
              </w:rPr>
            </w:pPr>
            <w:r w:rsidRPr="00CF3383">
              <w:rPr>
                <w:rFonts w:eastAsia="MS Mincho" w:cs="Arial"/>
                <w:bCs/>
              </w:rPr>
              <w:t>Setting and/or countries other than those specified in the inclusion criteria.</w:t>
            </w:r>
          </w:p>
        </w:tc>
      </w:tr>
      <w:tr w:rsidR="00CF3383" w:rsidRPr="000939E6" w14:paraId="4E2FA2C7" w14:textId="77777777" w:rsidTr="0029199F">
        <w:trPr>
          <w:cnfStyle w:val="000000010000" w:firstRow="0" w:lastRow="0" w:firstColumn="0" w:lastColumn="0" w:oddVBand="0" w:evenVBand="0" w:oddHBand="0" w:evenHBand="1" w:firstRowFirstColumn="0" w:firstRowLastColumn="0" w:lastRowFirstColumn="0" w:lastRowLastColumn="0"/>
          <w:trHeight w:val="300"/>
        </w:trPr>
        <w:tc>
          <w:tcPr>
            <w:tcW w:w="9016" w:type="dxa"/>
            <w:gridSpan w:val="2"/>
            <w:shd w:val="clear" w:color="auto" w:fill="DAE2E6"/>
          </w:tcPr>
          <w:p w14:paraId="0F586BE3" w14:textId="77777777" w:rsidR="00CF3383" w:rsidRPr="00CF3383" w:rsidRDefault="00CF3383">
            <w:pPr>
              <w:spacing w:after="0"/>
              <w:jc w:val="center"/>
              <w:rPr>
                <w:rFonts w:eastAsia="MS Mincho" w:cs="Arial"/>
                <w:b/>
                <w:bCs/>
                <w:lang w:eastAsia="zh-CN"/>
              </w:rPr>
            </w:pPr>
            <w:r w:rsidRPr="00CF3383">
              <w:rPr>
                <w:rFonts w:eastAsia="MS Mincho" w:cs="Arial"/>
                <w:b/>
                <w:bCs/>
                <w:lang w:eastAsia="zh-CN"/>
              </w:rPr>
              <w:t>Publication type</w:t>
            </w:r>
          </w:p>
        </w:tc>
      </w:tr>
      <w:tr w:rsidR="00CF3383" w:rsidRPr="000939E6" w14:paraId="4194B835" w14:textId="77777777">
        <w:trPr>
          <w:cnfStyle w:val="000000100000" w:firstRow="0" w:lastRow="0" w:firstColumn="0" w:lastColumn="0" w:oddVBand="0" w:evenVBand="0" w:oddHBand="1" w:evenHBand="0" w:firstRowFirstColumn="0" w:firstRowLastColumn="0" w:lastRowFirstColumn="0" w:lastRowLastColumn="0"/>
          <w:trHeight w:val="300"/>
        </w:trPr>
        <w:tc>
          <w:tcPr>
            <w:tcW w:w="4508" w:type="dxa"/>
          </w:tcPr>
          <w:p w14:paraId="148498CB"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lang w:eastAsia="zh-CN"/>
              </w:rPr>
              <w:t>Peer reviewed full texts</w:t>
            </w:r>
          </w:p>
          <w:p w14:paraId="3DE657D2"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lang w:eastAsia="zh-CN"/>
              </w:rPr>
              <w:t>Grey literature that otherwise meets criteria</w:t>
            </w:r>
          </w:p>
          <w:p w14:paraId="48C3F658"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lang w:eastAsia="zh-CN"/>
              </w:rPr>
              <w:t>Conference proceeding full paper</w:t>
            </w:r>
          </w:p>
          <w:p w14:paraId="20CE6CC1" w14:textId="77777777" w:rsidR="00CF3383" w:rsidRPr="00CF3383" w:rsidRDefault="00CF3383">
            <w:pPr>
              <w:spacing w:after="0"/>
              <w:ind w:left="720"/>
              <w:rPr>
                <w:rFonts w:eastAsia="MS Mincho" w:cs="Arial"/>
                <w:bCs/>
                <w:lang w:eastAsia="zh-CN"/>
              </w:rPr>
            </w:pPr>
          </w:p>
          <w:p w14:paraId="2A2EF956" w14:textId="77777777" w:rsidR="00CF3383" w:rsidRPr="00CF3383" w:rsidRDefault="00CF3383">
            <w:pPr>
              <w:spacing w:after="0"/>
              <w:rPr>
                <w:rFonts w:eastAsia="MS Mincho" w:cs="Arial"/>
                <w:bCs/>
                <w:lang w:eastAsia="zh-CN"/>
              </w:rPr>
            </w:pPr>
          </w:p>
          <w:p w14:paraId="67202E2F" w14:textId="77777777" w:rsidR="00CF3383" w:rsidRPr="00CF3383" w:rsidRDefault="00CF3383">
            <w:pPr>
              <w:spacing w:after="0"/>
              <w:rPr>
                <w:rFonts w:eastAsia="MS Mincho" w:cs="Arial"/>
                <w:bCs/>
                <w:lang w:eastAsia="zh-CN"/>
              </w:rPr>
            </w:pPr>
          </w:p>
        </w:tc>
        <w:tc>
          <w:tcPr>
            <w:tcW w:w="4508" w:type="dxa"/>
          </w:tcPr>
          <w:p w14:paraId="5898A806"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lang w:eastAsia="zh-CN"/>
              </w:rPr>
              <w:t xml:space="preserve">Editorials, commentaries and opinion pieces </w:t>
            </w:r>
          </w:p>
          <w:p w14:paraId="7372DE0B"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lang w:eastAsia="zh-CN"/>
              </w:rPr>
              <w:t>Abstracts</w:t>
            </w:r>
          </w:p>
          <w:p w14:paraId="18BD5378"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rPr>
              <w:t>Letters</w:t>
            </w:r>
          </w:p>
          <w:p w14:paraId="3237E5A8"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rPr>
              <w:t xml:space="preserve">Blogs </w:t>
            </w:r>
          </w:p>
          <w:p w14:paraId="25722750"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rPr>
              <w:t>Websites</w:t>
            </w:r>
          </w:p>
          <w:p w14:paraId="275AF444"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lang w:eastAsia="zh-CN"/>
              </w:rPr>
              <w:t>Conference proceeding abstracts</w:t>
            </w:r>
          </w:p>
          <w:p w14:paraId="6759A420" w14:textId="77777777" w:rsidR="00CF3383" w:rsidRPr="00CF3383" w:rsidRDefault="00CF3383" w:rsidP="003B0B17">
            <w:pPr>
              <w:numPr>
                <w:ilvl w:val="0"/>
                <w:numId w:val="172"/>
              </w:numPr>
              <w:spacing w:before="0" w:after="0"/>
              <w:rPr>
                <w:rFonts w:eastAsia="MS Mincho" w:cs="Arial"/>
                <w:bCs/>
                <w:lang w:eastAsia="zh-CN"/>
              </w:rPr>
            </w:pPr>
            <w:r w:rsidRPr="00CF3383">
              <w:rPr>
                <w:rFonts w:eastAsia="MS Mincho" w:cs="Arial"/>
                <w:bCs/>
                <w:lang w:eastAsia="zh-CN"/>
              </w:rPr>
              <w:t>Thesis dissertations</w:t>
            </w:r>
          </w:p>
          <w:p w14:paraId="74FA4E24" w14:textId="77777777" w:rsidR="00CF3383" w:rsidRPr="00CF3383" w:rsidRDefault="00CF3383">
            <w:pPr>
              <w:spacing w:after="0"/>
              <w:rPr>
                <w:rFonts w:eastAsia="MS Mincho" w:cs="Arial"/>
                <w:bCs/>
                <w:lang w:eastAsia="zh-CN"/>
              </w:rPr>
            </w:pPr>
          </w:p>
        </w:tc>
      </w:tr>
      <w:tr w:rsidR="00CF3383" w:rsidRPr="000939E6" w14:paraId="1B50CAE4" w14:textId="77777777" w:rsidTr="0029199F">
        <w:trPr>
          <w:cnfStyle w:val="000000010000" w:firstRow="0" w:lastRow="0" w:firstColumn="0" w:lastColumn="0" w:oddVBand="0" w:evenVBand="0" w:oddHBand="0" w:evenHBand="1" w:firstRowFirstColumn="0" w:firstRowLastColumn="0" w:lastRowFirstColumn="0" w:lastRowLastColumn="0"/>
          <w:trHeight w:val="300"/>
        </w:trPr>
        <w:tc>
          <w:tcPr>
            <w:tcW w:w="9016" w:type="dxa"/>
            <w:gridSpan w:val="2"/>
            <w:shd w:val="clear" w:color="auto" w:fill="DAE2E6"/>
          </w:tcPr>
          <w:p w14:paraId="016BB022" w14:textId="77777777" w:rsidR="00CF3383" w:rsidRPr="00CF3383" w:rsidRDefault="00CF3383">
            <w:pPr>
              <w:spacing w:after="0"/>
              <w:jc w:val="center"/>
              <w:rPr>
                <w:rFonts w:eastAsia="MS Mincho" w:cs="Arial"/>
                <w:b/>
                <w:bCs/>
                <w:lang w:eastAsia="zh-CN"/>
              </w:rPr>
            </w:pPr>
            <w:r w:rsidRPr="00CF3383">
              <w:rPr>
                <w:rFonts w:eastAsia="MS Mincho" w:cs="Arial"/>
                <w:b/>
                <w:bCs/>
                <w:lang w:eastAsia="zh-CN"/>
              </w:rPr>
              <w:t>Year of publication</w:t>
            </w:r>
          </w:p>
        </w:tc>
      </w:tr>
      <w:tr w:rsidR="00CF3383" w:rsidRPr="000939E6" w14:paraId="49DEBBA5" w14:textId="77777777">
        <w:trPr>
          <w:cnfStyle w:val="000000100000" w:firstRow="0" w:lastRow="0" w:firstColumn="0" w:lastColumn="0" w:oddVBand="0" w:evenVBand="0" w:oddHBand="1" w:evenHBand="0" w:firstRowFirstColumn="0" w:firstRowLastColumn="0" w:lastRowFirstColumn="0" w:lastRowLastColumn="0"/>
          <w:trHeight w:val="300"/>
        </w:trPr>
        <w:tc>
          <w:tcPr>
            <w:tcW w:w="4508" w:type="dxa"/>
          </w:tcPr>
          <w:p w14:paraId="05844BB3" w14:textId="77777777" w:rsidR="00CF3383" w:rsidRPr="00CF3383" w:rsidRDefault="00CF3383">
            <w:pPr>
              <w:spacing w:after="0"/>
              <w:rPr>
                <w:rFonts w:eastAsia="MS Mincho" w:cs="Arial"/>
                <w:bCs/>
                <w:lang w:eastAsia="zh-CN"/>
              </w:rPr>
            </w:pPr>
            <w:r w:rsidRPr="00CF3383">
              <w:rPr>
                <w:rFonts w:eastAsia="MS Mincho" w:cs="Arial"/>
                <w:bCs/>
                <w:lang w:eastAsia="zh-CN"/>
              </w:rPr>
              <w:t>Studies published between 2014-2024.</w:t>
            </w:r>
          </w:p>
        </w:tc>
        <w:tc>
          <w:tcPr>
            <w:tcW w:w="4508" w:type="dxa"/>
          </w:tcPr>
          <w:p w14:paraId="3F58B9DA" w14:textId="77777777" w:rsidR="00CF3383" w:rsidRPr="00CF3383" w:rsidRDefault="00CF3383">
            <w:pPr>
              <w:spacing w:after="0"/>
              <w:rPr>
                <w:rFonts w:eastAsia="MS Mincho" w:cs="Arial"/>
                <w:bCs/>
                <w:lang w:eastAsia="zh-CN"/>
              </w:rPr>
            </w:pPr>
            <w:r w:rsidRPr="00CF3383">
              <w:rPr>
                <w:rFonts w:eastAsia="MS Mincho" w:cs="Arial"/>
                <w:bCs/>
                <w:lang w:eastAsia="zh-CN"/>
              </w:rPr>
              <w:t>All not included in range of inclusion criteria.</w:t>
            </w:r>
          </w:p>
        </w:tc>
      </w:tr>
    </w:tbl>
    <w:p w14:paraId="2B604875" w14:textId="3372220E" w:rsidR="00CB2DA7" w:rsidRDefault="00134EC7" w:rsidP="00644400">
      <w:pPr>
        <w:rPr>
          <w:rFonts w:cs="Arial"/>
          <w:color w:val="000000" w:themeColor="text1"/>
          <w:sz w:val="20"/>
          <w:szCs w:val="20"/>
          <w:lang w:val="en-US"/>
        </w:rPr>
      </w:pPr>
      <w:r w:rsidRPr="003449F7">
        <w:rPr>
          <w:rFonts w:cs="Arial"/>
          <w:color w:val="000000" w:themeColor="text1"/>
          <w:sz w:val="20"/>
          <w:szCs w:val="20"/>
          <w:lang w:val="en-US"/>
        </w:rPr>
        <w:t xml:space="preserve">Notes: </w:t>
      </w:r>
      <w:r w:rsidR="00806FF4" w:rsidRPr="003449F7">
        <w:rPr>
          <w:rFonts w:cs="Arial"/>
          <w:b/>
          <w:color w:val="000000" w:themeColor="text1"/>
          <w:sz w:val="20"/>
          <w:szCs w:val="20"/>
          <w:lang w:val="en-US"/>
        </w:rPr>
        <w:t>a</w:t>
      </w:r>
      <w:r w:rsidRPr="003449F7">
        <w:rPr>
          <w:rFonts w:cs="Arial"/>
          <w:color w:val="000000" w:themeColor="text1"/>
          <w:sz w:val="20"/>
          <w:szCs w:val="20"/>
          <w:lang w:val="en-US"/>
        </w:rPr>
        <w:t xml:space="preserve"> Where systematic reviews were available, and there were no newer publications on the topic, we used the review as the primary source of data. When they were available, and additional newer sources had been published we excluded the review and used all the relevant primary research to make meta-analysis possible. </w:t>
      </w:r>
      <w:r w:rsidR="00806FF4" w:rsidRPr="003449F7">
        <w:rPr>
          <w:rFonts w:cs="Arial"/>
          <w:b/>
          <w:color w:val="000000" w:themeColor="text1"/>
          <w:sz w:val="20"/>
          <w:szCs w:val="20"/>
          <w:lang w:val="en-US"/>
        </w:rPr>
        <w:t>b</w:t>
      </w:r>
      <w:r w:rsidR="00806FF4" w:rsidRPr="003449F7">
        <w:rPr>
          <w:rFonts w:cs="Arial"/>
          <w:color w:val="000000" w:themeColor="text1"/>
          <w:sz w:val="20"/>
          <w:szCs w:val="20"/>
          <w:lang w:val="en-US"/>
        </w:rPr>
        <w:t xml:space="preserve"> </w:t>
      </w:r>
      <w:r w:rsidRPr="003449F7">
        <w:rPr>
          <w:rFonts w:cs="Arial"/>
          <w:color w:val="000000" w:themeColor="text1"/>
          <w:sz w:val="20"/>
          <w:szCs w:val="20"/>
          <w:lang w:val="en-US"/>
        </w:rPr>
        <w:t>Corrigendum (documents reporting errata in publications) are excluded at screening, but they were ‘tagged, and retrieved if the main study was included to ensure correct data are extracted.</w:t>
      </w:r>
    </w:p>
    <w:p w14:paraId="2886B833" w14:textId="77777777" w:rsidR="003449F7" w:rsidRPr="003449F7" w:rsidRDefault="003449F7" w:rsidP="00644400">
      <w:pPr>
        <w:rPr>
          <w:rFonts w:cs="Arial"/>
          <w:color w:val="000000" w:themeColor="text1"/>
          <w:sz w:val="20"/>
          <w:szCs w:val="20"/>
          <w:lang w:val="en-US"/>
        </w:rPr>
      </w:pPr>
    </w:p>
    <w:p w14:paraId="5FE91A59" w14:textId="77777777" w:rsidR="00CB2DA7" w:rsidRPr="00CB2DA7" w:rsidRDefault="00CB2DA7" w:rsidP="00CB2DA7">
      <w:pPr>
        <w:rPr>
          <w:rFonts w:cs="Arial"/>
          <w:b/>
          <w:bCs/>
          <w:color w:val="000000" w:themeColor="text1"/>
          <w:lang w:val="en-US"/>
        </w:rPr>
      </w:pPr>
      <w:r w:rsidRPr="00CB2DA7">
        <w:rPr>
          <w:rFonts w:cs="Arial"/>
          <w:b/>
          <w:bCs/>
          <w:color w:val="000000" w:themeColor="text1"/>
          <w:lang w:val="en-US"/>
        </w:rPr>
        <w:t>Document selection process</w:t>
      </w:r>
    </w:p>
    <w:p w14:paraId="51A71834" w14:textId="0CA4B249" w:rsidR="00CB2DA7" w:rsidRDefault="00CB2DA7" w:rsidP="00CB2DA7">
      <w:pPr>
        <w:rPr>
          <w:rFonts w:cs="Arial"/>
          <w:color w:val="000000" w:themeColor="text1"/>
          <w:lang w:val="en-US"/>
        </w:rPr>
      </w:pPr>
      <w:r w:rsidRPr="00CB2DA7">
        <w:rPr>
          <w:rFonts w:cs="Arial"/>
          <w:color w:val="000000" w:themeColor="text1"/>
          <w:lang w:val="en-US"/>
        </w:rPr>
        <w:t>Following inclusion/exclusion criteria, pairs of reviewers independently determined eligibility at title/abstract and then full text as required. Consensus processes were used to address disagreements.</w:t>
      </w:r>
    </w:p>
    <w:p w14:paraId="2CA898A0" w14:textId="77777777" w:rsidR="00CB2DA7" w:rsidRDefault="00CB2DA7" w:rsidP="00CB2DA7">
      <w:pPr>
        <w:rPr>
          <w:rFonts w:cs="Arial"/>
          <w:color w:val="000000" w:themeColor="text1"/>
          <w:lang w:val="en-US"/>
        </w:rPr>
      </w:pPr>
    </w:p>
    <w:p w14:paraId="5DA7497B" w14:textId="77777777" w:rsidR="00CB2DA7" w:rsidRDefault="00CB2DA7" w:rsidP="00CB2DA7">
      <w:pPr>
        <w:rPr>
          <w:rFonts w:cs="Arial"/>
          <w:color w:val="000000" w:themeColor="text1"/>
          <w:lang w:val="en-US"/>
        </w:rPr>
      </w:pPr>
    </w:p>
    <w:p w14:paraId="1D485E60" w14:textId="77777777" w:rsidR="00CB2DA7" w:rsidRDefault="00CB2DA7" w:rsidP="00CB2DA7">
      <w:pPr>
        <w:rPr>
          <w:rFonts w:cs="Arial"/>
          <w:color w:val="000000" w:themeColor="text1"/>
          <w:lang w:val="en-US"/>
        </w:rPr>
      </w:pPr>
    </w:p>
    <w:p w14:paraId="09DCB2CC" w14:textId="77777777" w:rsidR="00CB2DA7" w:rsidRDefault="00CB2DA7" w:rsidP="00CB2DA7">
      <w:pPr>
        <w:rPr>
          <w:rFonts w:cs="Arial"/>
          <w:color w:val="000000" w:themeColor="text1"/>
          <w:lang w:val="en-US"/>
        </w:rPr>
      </w:pPr>
    </w:p>
    <w:p w14:paraId="62779767" w14:textId="77777777" w:rsidR="00CB2DA7" w:rsidRDefault="00CB2DA7" w:rsidP="00CB2DA7">
      <w:pPr>
        <w:rPr>
          <w:rFonts w:cs="Arial"/>
          <w:color w:val="000000" w:themeColor="text1"/>
          <w:lang w:val="en-US"/>
        </w:rPr>
      </w:pPr>
    </w:p>
    <w:p w14:paraId="1094E385" w14:textId="77777777" w:rsidR="005472BC" w:rsidRPr="005472BC" w:rsidRDefault="005472BC" w:rsidP="005472BC">
      <w:pPr>
        <w:pStyle w:val="Heading2"/>
        <w:rPr>
          <w:lang w:val="en-US"/>
        </w:rPr>
      </w:pPr>
      <w:bookmarkStart w:id="81" w:name="_Toc177730857"/>
      <w:r w:rsidRPr="005472BC">
        <w:rPr>
          <w:lang w:val="en-US"/>
        </w:rPr>
        <w:t>Data extraction and analysis</w:t>
      </w:r>
      <w:bookmarkEnd w:id="81"/>
    </w:p>
    <w:p w14:paraId="3AE921C9" w14:textId="77777777" w:rsidR="005472BC" w:rsidRPr="005472BC" w:rsidRDefault="005472BC" w:rsidP="003F6AFE">
      <w:pPr>
        <w:rPr>
          <w:rFonts w:cs="Arial"/>
          <w:color w:val="000000" w:themeColor="text1"/>
          <w:lang w:val="en-US"/>
        </w:rPr>
      </w:pPr>
      <w:r w:rsidRPr="005472BC">
        <w:rPr>
          <w:rFonts w:cs="Arial"/>
          <w:color w:val="000000" w:themeColor="text1"/>
          <w:lang w:val="en-US"/>
        </w:rPr>
        <w:t>Due to the large volume of eligible reports retrieved through the search and data selection process, a tiered approach was taken to selecting studies for data extraction, as follows:</w:t>
      </w:r>
    </w:p>
    <w:p w14:paraId="1CC1E5E7" w14:textId="1C366138" w:rsidR="005472BC" w:rsidRPr="003F6AFE" w:rsidRDefault="005472BC" w:rsidP="003B0B17">
      <w:pPr>
        <w:pStyle w:val="ListParagraph"/>
        <w:numPr>
          <w:ilvl w:val="0"/>
          <w:numId w:val="175"/>
        </w:numPr>
        <w:ind w:left="714" w:hanging="357"/>
        <w:contextualSpacing w:val="0"/>
        <w:rPr>
          <w:rFonts w:cs="Arial"/>
          <w:color w:val="000000" w:themeColor="text1"/>
          <w:lang w:val="en-US"/>
        </w:rPr>
      </w:pPr>
      <w:r w:rsidRPr="003F6AFE">
        <w:rPr>
          <w:rFonts w:cs="Arial"/>
          <w:color w:val="000000" w:themeColor="text1"/>
          <w:lang w:val="en-US"/>
        </w:rPr>
        <w:t xml:space="preserve">Systematic reviews of the outcomes of intervention trials that otherwise met inclusion criteria were included for extraction if: </w:t>
      </w:r>
    </w:p>
    <w:p w14:paraId="559D8624" w14:textId="6D3C6899" w:rsidR="005472BC" w:rsidRPr="003F6AFE" w:rsidRDefault="005472BC" w:rsidP="003B0B17">
      <w:pPr>
        <w:pStyle w:val="ListParagraph"/>
        <w:numPr>
          <w:ilvl w:val="1"/>
          <w:numId w:val="176"/>
        </w:numPr>
        <w:contextualSpacing w:val="0"/>
        <w:rPr>
          <w:rFonts w:cs="Arial"/>
          <w:color w:val="000000" w:themeColor="text1"/>
          <w:lang w:val="en-US"/>
        </w:rPr>
      </w:pPr>
      <w:r w:rsidRPr="003F6AFE">
        <w:rPr>
          <w:rFonts w:cs="Arial"/>
          <w:color w:val="000000" w:themeColor="text1"/>
          <w:lang w:val="en-US"/>
        </w:rPr>
        <w:t xml:space="preserve">Published 2019 or later, </w:t>
      </w:r>
    </w:p>
    <w:p w14:paraId="172FE7E6" w14:textId="4185ABD2" w:rsidR="005472BC" w:rsidRPr="003F6AFE" w:rsidRDefault="005472BC" w:rsidP="003B0B17">
      <w:pPr>
        <w:pStyle w:val="ListParagraph"/>
        <w:numPr>
          <w:ilvl w:val="1"/>
          <w:numId w:val="176"/>
        </w:numPr>
        <w:contextualSpacing w:val="0"/>
        <w:rPr>
          <w:rFonts w:cs="Arial"/>
          <w:color w:val="000000" w:themeColor="text1"/>
          <w:lang w:val="en-US"/>
        </w:rPr>
      </w:pPr>
      <w:r w:rsidRPr="003F6AFE">
        <w:rPr>
          <w:rFonts w:cs="Arial"/>
          <w:color w:val="000000" w:themeColor="text1"/>
          <w:lang w:val="en-US"/>
        </w:rPr>
        <w:t>&gt;70% of included papers published after 2014</w:t>
      </w:r>
    </w:p>
    <w:p w14:paraId="23E02DB6" w14:textId="401D62E4" w:rsidR="005472BC" w:rsidRPr="003F6AFE" w:rsidRDefault="005472BC" w:rsidP="003B0B17">
      <w:pPr>
        <w:pStyle w:val="ListParagraph"/>
        <w:numPr>
          <w:ilvl w:val="1"/>
          <w:numId w:val="176"/>
        </w:numPr>
        <w:contextualSpacing w:val="0"/>
        <w:rPr>
          <w:rFonts w:cs="Arial"/>
          <w:color w:val="000000" w:themeColor="text1"/>
          <w:lang w:val="en-US"/>
        </w:rPr>
      </w:pPr>
      <w:r w:rsidRPr="003F6AFE">
        <w:rPr>
          <w:rFonts w:cs="Arial"/>
          <w:color w:val="000000" w:themeColor="text1"/>
          <w:lang w:val="en-US"/>
        </w:rPr>
        <w:t>Provided quantitative data on outcomes</w:t>
      </w:r>
    </w:p>
    <w:p w14:paraId="6A4659B5" w14:textId="4267A93B" w:rsidR="005472BC" w:rsidRPr="003F6AFE" w:rsidRDefault="005472BC" w:rsidP="003B0B17">
      <w:pPr>
        <w:pStyle w:val="ListParagraph"/>
        <w:numPr>
          <w:ilvl w:val="1"/>
          <w:numId w:val="176"/>
        </w:numPr>
        <w:contextualSpacing w:val="0"/>
        <w:rPr>
          <w:rFonts w:cs="Arial"/>
          <w:color w:val="000000" w:themeColor="text1"/>
          <w:lang w:val="en-US"/>
        </w:rPr>
      </w:pPr>
      <w:r w:rsidRPr="003F6AFE">
        <w:rPr>
          <w:rFonts w:cs="Arial"/>
          <w:color w:val="000000" w:themeColor="text1"/>
          <w:lang w:val="en-US"/>
        </w:rPr>
        <w:t>No significant overlap of topic and included studies (where overlap occurred, the most comprehensive review was included)</w:t>
      </w:r>
    </w:p>
    <w:p w14:paraId="27EC769B" w14:textId="1DD4258F" w:rsidR="005472BC" w:rsidRPr="003F6AFE" w:rsidRDefault="005472BC" w:rsidP="003B0B17">
      <w:pPr>
        <w:pStyle w:val="ListParagraph"/>
        <w:numPr>
          <w:ilvl w:val="0"/>
          <w:numId w:val="175"/>
        </w:numPr>
        <w:ind w:left="714" w:hanging="357"/>
        <w:contextualSpacing w:val="0"/>
        <w:rPr>
          <w:rFonts w:cs="Arial"/>
          <w:color w:val="000000" w:themeColor="text1"/>
          <w:lang w:val="en-US"/>
        </w:rPr>
      </w:pPr>
      <w:r w:rsidRPr="003F6AFE">
        <w:rPr>
          <w:rFonts w:cs="Arial"/>
          <w:color w:val="000000" w:themeColor="text1"/>
          <w:lang w:val="en-US"/>
        </w:rPr>
        <w:t xml:space="preserve">Randomised controlled trials </w:t>
      </w:r>
    </w:p>
    <w:p w14:paraId="358EE9D5" w14:textId="6EB1B2B7" w:rsidR="005472BC" w:rsidRPr="003F6AFE" w:rsidRDefault="005472BC" w:rsidP="003B0B17">
      <w:pPr>
        <w:pStyle w:val="ListParagraph"/>
        <w:numPr>
          <w:ilvl w:val="0"/>
          <w:numId w:val="175"/>
        </w:numPr>
        <w:ind w:left="714" w:hanging="357"/>
        <w:contextualSpacing w:val="0"/>
        <w:rPr>
          <w:rFonts w:cs="Arial"/>
          <w:color w:val="000000" w:themeColor="text1"/>
          <w:lang w:val="en-US"/>
        </w:rPr>
      </w:pPr>
      <w:r w:rsidRPr="003F6AFE">
        <w:rPr>
          <w:rFonts w:cs="Arial"/>
          <w:color w:val="000000" w:themeColor="text1"/>
          <w:lang w:val="en-US"/>
        </w:rPr>
        <w:t>Mixed methods studies that included qualitative data about the lived experience of approaches / interventions</w:t>
      </w:r>
    </w:p>
    <w:p w14:paraId="03A8D0DA" w14:textId="59D584CB" w:rsidR="005472BC" w:rsidRPr="003F6AFE" w:rsidRDefault="005472BC" w:rsidP="003B0B17">
      <w:pPr>
        <w:pStyle w:val="ListParagraph"/>
        <w:numPr>
          <w:ilvl w:val="0"/>
          <w:numId w:val="175"/>
        </w:numPr>
        <w:ind w:left="714" w:hanging="357"/>
        <w:contextualSpacing w:val="0"/>
        <w:rPr>
          <w:rFonts w:cs="Arial"/>
          <w:color w:val="000000" w:themeColor="text1"/>
          <w:lang w:val="en-US"/>
        </w:rPr>
      </w:pPr>
      <w:r w:rsidRPr="003F6AFE">
        <w:rPr>
          <w:rFonts w:cs="Arial"/>
          <w:color w:val="000000" w:themeColor="text1"/>
          <w:lang w:val="en-US"/>
        </w:rPr>
        <w:t>Qualitative studies of the lived experience of the strategies/ interventions/approaches and</w:t>
      </w:r>
    </w:p>
    <w:p w14:paraId="6577E7C3" w14:textId="79A475FE" w:rsidR="005472BC" w:rsidRPr="005472BC" w:rsidRDefault="005472BC" w:rsidP="005472BC">
      <w:pPr>
        <w:rPr>
          <w:rFonts w:cs="Arial"/>
          <w:color w:val="000000" w:themeColor="text1"/>
          <w:lang w:val="en-US"/>
        </w:rPr>
      </w:pPr>
      <w:r w:rsidRPr="005472BC">
        <w:rPr>
          <w:rFonts w:cs="Arial"/>
          <w:color w:val="000000" w:themeColor="text1"/>
          <w:lang w:val="en-US"/>
        </w:rPr>
        <w:t xml:space="preserve">The following types of studies were not included in the data extraction and synthesis but are included in the list of relevant studies providing evidence about ECI practices. </w:t>
      </w:r>
    </w:p>
    <w:p w14:paraId="44030792" w14:textId="354F79B9" w:rsidR="005472BC" w:rsidRPr="005472BC" w:rsidRDefault="005472BC" w:rsidP="003B0B17">
      <w:pPr>
        <w:pStyle w:val="ListParagraph"/>
        <w:numPr>
          <w:ilvl w:val="0"/>
          <w:numId w:val="174"/>
        </w:numPr>
        <w:ind w:left="714" w:hanging="357"/>
        <w:contextualSpacing w:val="0"/>
        <w:rPr>
          <w:rFonts w:cs="Arial"/>
          <w:color w:val="000000" w:themeColor="text1"/>
          <w:lang w:val="en-US"/>
        </w:rPr>
      </w:pPr>
      <w:r w:rsidRPr="005472BC">
        <w:rPr>
          <w:rFonts w:cs="Arial"/>
          <w:color w:val="000000" w:themeColor="text1"/>
          <w:lang w:val="en-US"/>
        </w:rPr>
        <w:t>Non-randomised comparison studies of ECI practices</w:t>
      </w:r>
    </w:p>
    <w:p w14:paraId="43463CD0" w14:textId="44FD8FFD" w:rsidR="005472BC" w:rsidRPr="005472BC" w:rsidRDefault="005472BC" w:rsidP="003B0B17">
      <w:pPr>
        <w:pStyle w:val="ListParagraph"/>
        <w:numPr>
          <w:ilvl w:val="0"/>
          <w:numId w:val="174"/>
        </w:numPr>
        <w:ind w:left="714" w:hanging="357"/>
        <w:contextualSpacing w:val="0"/>
        <w:rPr>
          <w:rFonts w:cs="Arial"/>
          <w:color w:val="000000" w:themeColor="text1"/>
          <w:lang w:val="en-US"/>
        </w:rPr>
      </w:pPr>
      <w:r w:rsidRPr="005472BC">
        <w:rPr>
          <w:rFonts w:cs="Arial"/>
          <w:color w:val="000000" w:themeColor="text1"/>
          <w:lang w:val="en-US"/>
        </w:rPr>
        <w:t>Single-case experimental designs and related experimental methods where the intervention in focus could be related to an early childhood approach/principle. Studies where the intervention in focus was a highly specific technique were excluded.</w:t>
      </w:r>
    </w:p>
    <w:p w14:paraId="722F7AC3" w14:textId="5B26619B" w:rsidR="005472BC" w:rsidRPr="005472BC" w:rsidRDefault="005472BC" w:rsidP="003B0B17">
      <w:pPr>
        <w:pStyle w:val="ListParagraph"/>
        <w:numPr>
          <w:ilvl w:val="0"/>
          <w:numId w:val="174"/>
        </w:numPr>
        <w:ind w:left="714" w:hanging="357"/>
        <w:contextualSpacing w:val="0"/>
        <w:rPr>
          <w:rFonts w:cs="Arial"/>
          <w:color w:val="000000" w:themeColor="text1"/>
          <w:lang w:val="en-US"/>
        </w:rPr>
      </w:pPr>
      <w:r w:rsidRPr="005472BC">
        <w:rPr>
          <w:rFonts w:cs="Arial"/>
          <w:color w:val="000000" w:themeColor="text1"/>
          <w:lang w:val="en-US"/>
        </w:rPr>
        <w:t>Pilot studies and quasi-experimental studies.</w:t>
      </w:r>
    </w:p>
    <w:p w14:paraId="756B16D0" w14:textId="4635A43D" w:rsidR="005472BC" w:rsidRPr="005472BC" w:rsidRDefault="005472BC" w:rsidP="005472BC">
      <w:pPr>
        <w:rPr>
          <w:rFonts w:cs="Arial"/>
          <w:color w:val="000000" w:themeColor="text1"/>
          <w:lang w:val="en-US"/>
        </w:rPr>
      </w:pPr>
      <w:r w:rsidRPr="005472BC">
        <w:rPr>
          <w:rFonts w:cs="Arial"/>
          <w:color w:val="000000" w:themeColor="text1"/>
          <w:lang w:val="en-US"/>
        </w:rPr>
        <w:t>Given the limited volume of research addressing the outcomes for First Nations children with developmental concerns, delay or disability, all studies (regardless of design) providing quantitative or qualitative outcome data from early childhood approaches were included and the included year range was extended to 2006. Findings from research focused on early childhood approaches for First Nations children and families are identified separately in reporting.</w:t>
      </w:r>
    </w:p>
    <w:p w14:paraId="28572280" w14:textId="77777777" w:rsidR="005472BC" w:rsidRPr="003F6AFE" w:rsidRDefault="005472BC" w:rsidP="005472BC">
      <w:pPr>
        <w:rPr>
          <w:rFonts w:cs="Arial"/>
          <w:b/>
          <w:bCs/>
          <w:color w:val="000000" w:themeColor="text1"/>
          <w:lang w:val="en-US"/>
        </w:rPr>
      </w:pPr>
      <w:r w:rsidRPr="003F6AFE">
        <w:rPr>
          <w:rFonts w:cs="Arial"/>
          <w:b/>
          <w:bCs/>
          <w:color w:val="000000" w:themeColor="text1"/>
          <w:lang w:val="en-US"/>
        </w:rPr>
        <w:t>Data extraction process</w:t>
      </w:r>
    </w:p>
    <w:p w14:paraId="31D3426C" w14:textId="77777777" w:rsidR="005472BC" w:rsidRPr="005472BC" w:rsidRDefault="005472BC" w:rsidP="005472BC">
      <w:pPr>
        <w:rPr>
          <w:rFonts w:cs="Arial"/>
          <w:color w:val="000000" w:themeColor="text1"/>
          <w:lang w:val="en-US"/>
        </w:rPr>
      </w:pPr>
      <w:r w:rsidRPr="005472BC">
        <w:rPr>
          <w:rFonts w:cs="Arial"/>
          <w:color w:val="000000" w:themeColor="text1"/>
          <w:lang w:val="en-US"/>
        </w:rPr>
        <w:t xml:space="preserve">Data were extracted using a customised data extraction form to identify and consistently extract elements of information required for data analysis and synthesis. This was done by one reviewer, and checked by a second reviewer, with consensus sought where disagreements/errors were identified. </w:t>
      </w:r>
    </w:p>
    <w:p w14:paraId="10A7EC60" w14:textId="77777777" w:rsidR="005472BC" w:rsidRPr="003F6AFE" w:rsidRDefault="005472BC" w:rsidP="005472BC">
      <w:pPr>
        <w:rPr>
          <w:rFonts w:cs="Arial"/>
          <w:b/>
          <w:bCs/>
          <w:color w:val="000000" w:themeColor="text1"/>
          <w:lang w:val="en-US"/>
        </w:rPr>
      </w:pPr>
      <w:r w:rsidRPr="003F6AFE">
        <w:rPr>
          <w:rFonts w:cs="Arial"/>
          <w:b/>
          <w:bCs/>
          <w:color w:val="000000" w:themeColor="text1"/>
          <w:lang w:val="en-US"/>
        </w:rPr>
        <w:t xml:space="preserve">Assessing risk of bias </w:t>
      </w:r>
    </w:p>
    <w:p w14:paraId="1523C8C3" w14:textId="57FC19F7" w:rsidR="005472BC" w:rsidRPr="005472BC" w:rsidRDefault="005472BC" w:rsidP="005472BC">
      <w:pPr>
        <w:rPr>
          <w:rFonts w:cs="Arial"/>
          <w:color w:val="000000" w:themeColor="text1"/>
          <w:lang w:val="en-US"/>
        </w:rPr>
      </w:pPr>
      <w:r w:rsidRPr="005472BC">
        <w:rPr>
          <w:rFonts w:cs="Arial"/>
          <w:color w:val="000000" w:themeColor="text1"/>
          <w:lang w:val="en-US"/>
        </w:rPr>
        <w:t>Risk of bias of included randomised controlled trials was assessed using the Checklist to Evaluate a Report of a Non-pharmacological trial (CLEAR-NPT) (32). For qualitative studies, we used the Joanna Briggs risk of bias tool</w:t>
      </w:r>
      <w:r w:rsidR="001619F0">
        <w:rPr>
          <w:rFonts w:cs="Arial"/>
          <w:color w:val="000000" w:themeColor="text1"/>
          <w:lang w:val="en-US"/>
        </w:rPr>
        <w:t>.</w:t>
      </w:r>
      <w:r w:rsidR="001619F0">
        <w:rPr>
          <w:rStyle w:val="FootnoteReference"/>
          <w:rFonts w:cs="Arial"/>
          <w:color w:val="000000" w:themeColor="text1"/>
          <w:lang w:val="en-US"/>
        </w:rPr>
        <w:footnoteReference w:id="41"/>
      </w:r>
      <w:r w:rsidRPr="005472BC">
        <w:rPr>
          <w:rFonts w:cs="Arial"/>
          <w:color w:val="000000" w:themeColor="text1"/>
          <w:lang w:val="en-US"/>
        </w:rPr>
        <w:t xml:space="preserve"> Assessment was undertaken by the pairs of data extractors and consensus processes used to come to agreement.</w:t>
      </w:r>
    </w:p>
    <w:p w14:paraId="18D9A8EC" w14:textId="77777777" w:rsidR="005472BC" w:rsidRPr="009573AA" w:rsidRDefault="005472BC" w:rsidP="005472BC">
      <w:pPr>
        <w:rPr>
          <w:rFonts w:cs="Arial"/>
          <w:b/>
          <w:bCs/>
          <w:color w:val="000000" w:themeColor="text1"/>
          <w:lang w:val="en-US"/>
        </w:rPr>
      </w:pPr>
      <w:r w:rsidRPr="009573AA">
        <w:rPr>
          <w:rFonts w:cs="Arial"/>
          <w:b/>
          <w:bCs/>
          <w:color w:val="000000" w:themeColor="text1"/>
          <w:lang w:val="en-US"/>
        </w:rPr>
        <w:t>Data analysis</w:t>
      </w:r>
    </w:p>
    <w:p w14:paraId="71323588" w14:textId="77777777" w:rsidR="005472BC" w:rsidRPr="005472BC" w:rsidRDefault="005472BC" w:rsidP="005472BC">
      <w:pPr>
        <w:rPr>
          <w:rFonts w:cs="Arial"/>
          <w:color w:val="000000" w:themeColor="text1"/>
          <w:lang w:val="en-US"/>
        </w:rPr>
      </w:pPr>
      <w:r w:rsidRPr="005472BC">
        <w:rPr>
          <w:rFonts w:cs="Arial"/>
          <w:color w:val="000000" w:themeColor="text1"/>
          <w:lang w:val="en-US"/>
        </w:rPr>
        <w:t xml:space="preserve">The included studies were summarised and tabulated to characterise the nature of the research that provides evidence about the effects of ECI (i.e., we describe country, research design, outcome focus) and populations included to address questions 2a. and 2d. To address question 2b, descriptions of approaches/interventions were summarised according to the Template for Intervention Description and Replication (TIDieR) reporting guide (34), where sufficient data were available. </w:t>
      </w:r>
    </w:p>
    <w:p w14:paraId="2E3C8D68" w14:textId="77777777" w:rsidR="005472BC" w:rsidRPr="005472BC" w:rsidRDefault="005472BC" w:rsidP="005472BC">
      <w:pPr>
        <w:rPr>
          <w:rFonts w:cs="Arial"/>
          <w:color w:val="000000" w:themeColor="text1"/>
          <w:lang w:val="en-US"/>
        </w:rPr>
      </w:pPr>
      <w:r w:rsidRPr="005472BC">
        <w:rPr>
          <w:rFonts w:cs="Arial"/>
          <w:color w:val="000000" w:themeColor="text1"/>
          <w:lang w:val="en-US"/>
        </w:rPr>
        <w:t xml:space="preserve">To address question 2c, all included outcome variables were collated by their focus according to (i) who or what was measured (child, parent/caregiver, family or service); and (ii) the domain of interest which was subsequently categorised using the International Classification of Functioning Disability and Health (ICF) (WHO 2001) framework for outcomes related to people (i.e., body structures/function, activity, participation, environment or personal factors), and using the Environmental Chapters of the ICF to organise outcomes related to services, systems or policies (i.e., Products and technologies, Natural and human made environments, Support and relationships, Attitudes, and Service systems and policies). Mapping to ICF categories was undertaken at a broad level, based on the primary purpose of the outcome measure, not at an individual subscale or item level. </w:t>
      </w:r>
    </w:p>
    <w:p w14:paraId="640990F1" w14:textId="77777777" w:rsidR="005472BC" w:rsidRPr="005472BC" w:rsidRDefault="005472BC" w:rsidP="005472BC">
      <w:pPr>
        <w:rPr>
          <w:rFonts w:cs="Arial"/>
          <w:color w:val="000000" w:themeColor="text1"/>
          <w:lang w:val="en-US"/>
        </w:rPr>
      </w:pPr>
      <w:r w:rsidRPr="005472BC">
        <w:rPr>
          <w:rFonts w:cs="Arial"/>
          <w:color w:val="000000" w:themeColor="text1"/>
          <w:lang w:val="en-US"/>
        </w:rPr>
        <w:t xml:space="preserve">A list of measures used for each variable was collated, in preparation for a subsequent evaluation of validity, reliability, responsiveness and cultural relevance. To address question 2e. outcomes for children and families were summarised separately and collated according to the domain in focus. </w:t>
      </w:r>
    </w:p>
    <w:p w14:paraId="5E0A564D" w14:textId="77777777" w:rsidR="005472BC" w:rsidRPr="005472BC" w:rsidRDefault="005472BC" w:rsidP="005472BC">
      <w:pPr>
        <w:rPr>
          <w:rFonts w:cs="Arial"/>
          <w:color w:val="000000" w:themeColor="text1"/>
          <w:lang w:val="en-US"/>
        </w:rPr>
      </w:pPr>
      <w:r w:rsidRPr="005472BC">
        <w:rPr>
          <w:rFonts w:cs="Arial"/>
          <w:color w:val="000000" w:themeColor="text1"/>
          <w:lang w:val="en-US"/>
        </w:rPr>
        <w:t xml:space="preserve">Where a meta-analysis was available from an included systematic review, findings were summarised and reported. Where there was sufficient evidence from included randomised controlled trials, that a meta-analysis was valid – that is, there was homogeneity across multiple studies in relation to study purpose, population, comparisons, outcome and measures used – meta-analysis techniques were planned to be used to summarise effect sizes. </w:t>
      </w:r>
    </w:p>
    <w:p w14:paraId="4D9D9F43" w14:textId="77777777" w:rsidR="005472BC" w:rsidRPr="005472BC" w:rsidRDefault="005472BC" w:rsidP="005472BC">
      <w:pPr>
        <w:rPr>
          <w:rFonts w:cs="Arial"/>
          <w:color w:val="000000" w:themeColor="text1"/>
          <w:lang w:val="en-US"/>
        </w:rPr>
      </w:pPr>
      <w:r w:rsidRPr="005472BC">
        <w:rPr>
          <w:rFonts w:cs="Arial"/>
          <w:color w:val="000000" w:themeColor="text1"/>
          <w:lang w:val="en-US"/>
        </w:rPr>
        <w:t>In making the decision regarding meta-analysis, the following rules were applied:</w:t>
      </w:r>
    </w:p>
    <w:p w14:paraId="4BE518E7" w14:textId="568B9FA5" w:rsidR="005472BC" w:rsidRPr="00367A88" w:rsidRDefault="005472BC" w:rsidP="003B0B17">
      <w:pPr>
        <w:pStyle w:val="ListParagraph"/>
        <w:numPr>
          <w:ilvl w:val="0"/>
          <w:numId w:val="177"/>
        </w:numPr>
        <w:ind w:left="714" w:hanging="357"/>
        <w:contextualSpacing w:val="0"/>
        <w:rPr>
          <w:rFonts w:cs="Arial"/>
          <w:color w:val="000000" w:themeColor="text1"/>
          <w:lang w:val="en-US"/>
        </w:rPr>
      </w:pPr>
      <w:r w:rsidRPr="00367A88">
        <w:rPr>
          <w:rFonts w:cs="Arial"/>
          <w:color w:val="000000" w:themeColor="text1"/>
          <w:lang w:val="en-US"/>
        </w:rPr>
        <w:t>Only RCTs were considered</w:t>
      </w:r>
      <w:r w:rsidR="00367A88">
        <w:rPr>
          <w:rFonts w:cs="Arial"/>
          <w:color w:val="000000" w:themeColor="text1"/>
          <w:lang w:val="en-US"/>
        </w:rPr>
        <w:t xml:space="preserve"> </w:t>
      </w:r>
      <w:r w:rsidRPr="00367A88">
        <w:rPr>
          <w:rFonts w:cs="Arial"/>
          <w:color w:val="000000" w:themeColor="text1"/>
          <w:lang w:val="en-US"/>
        </w:rPr>
        <w:t>and</w:t>
      </w:r>
    </w:p>
    <w:p w14:paraId="2AC37EF7" w14:textId="3647BB0B" w:rsidR="005472BC" w:rsidRPr="00367A88" w:rsidRDefault="005472BC" w:rsidP="003B0B17">
      <w:pPr>
        <w:pStyle w:val="ListParagraph"/>
        <w:numPr>
          <w:ilvl w:val="0"/>
          <w:numId w:val="177"/>
        </w:numPr>
        <w:ind w:left="714" w:hanging="357"/>
        <w:contextualSpacing w:val="0"/>
        <w:rPr>
          <w:rFonts w:cs="Arial"/>
          <w:color w:val="000000" w:themeColor="text1"/>
          <w:lang w:val="en-US"/>
        </w:rPr>
      </w:pPr>
      <w:r w:rsidRPr="00367A88">
        <w:rPr>
          <w:rFonts w:cs="Arial"/>
          <w:color w:val="000000" w:themeColor="text1"/>
          <w:lang w:val="en-US"/>
        </w:rPr>
        <w:t>A minimum of four studies met all the meta-analysis inclusion criteria (Myung, 2023; Ryan &amp; Cochrane Consumers and Communication Group, 2016)</w:t>
      </w:r>
      <w:r w:rsidR="00367A88">
        <w:rPr>
          <w:rFonts w:cs="Arial"/>
          <w:color w:val="000000" w:themeColor="text1"/>
          <w:lang w:val="en-US"/>
        </w:rPr>
        <w:t xml:space="preserve"> </w:t>
      </w:r>
      <w:r w:rsidRPr="00367A88">
        <w:rPr>
          <w:rFonts w:cs="Arial"/>
          <w:color w:val="000000" w:themeColor="text1"/>
          <w:lang w:val="en-US"/>
        </w:rPr>
        <w:t xml:space="preserve">and </w:t>
      </w:r>
    </w:p>
    <w:p w14:paraId="28EA9FC0" w14:textId="442F3F31" w:rsidR="005472BC" w:rsidRPr="00367A88" w:rsidRDefault="005472BC" w:rsidP="003B0B17">
      <w:pPr>
        <w:pStyle w:val="ListParagraph"/>
        <w:numPr>
          <w:ilvl w:val="0"/>
          <w:numId w:val="177"/>
        </w:numPr>
        <w:ind w:left="714" w:hanging="357"/>
        <w:contextualSpacing w:val="0"/>
        <w:rPr>
          <w:rFonts w:cs="Arial"/>
          <w:color w:val="000000" w:themeColor="text1"/>
          <w:lang w:val="en-US"/>
        </w:rPr>
      </w:pPr>
      <w:r w:rsidRPr="00367A88">
        <w:rPr>
          <w:rFonts w:cs="Arial"/>
          <w:color w:val="000000" w:themeColor="text1"/>
          <w:lang w:val="en-US"/>
        </w:rPr>
        <w:t xml:space="preserve">Interventions were the same or similar – that is, </w:t>
      </w:r>
    </w:p>
    <w:p w14:paraId="4BFF504E" w14:textId="639810F7" w:rsidR="005472BC" w:rsidRPr="00367A88" w:rsidRDefault="005472BC" w:rsidP="003B0B17">
      <w:pPr>
        <w:pStyle w:val="ListParagraph"/>
        <w:numPr>
          <w:ilvl w:val="1"/>
          <w:numId w:val="177"/>
        </w:numPr>
        <w:contextualSpacing w:val="0"/>
        <w:rPr>
          <w:rFonts w:cs="Arial"/>
          <w:color w:val="000000" w:themeColor="text1"/>
          <w:lang w:val="en-US"/>
        </w:rPr>
      </w:pPr>
      <w:r w:rsidRPr="00367A88">
        <w:rPr>
          <w:rFonts w:cs="Arial"/>
          <w:color w:val="000000" w:themeColor="text1"/>
          <w:lang w:val="en-US"/>
        </w:rPr>
        <w:t xml:space="preserve">targeting the same practice or principle (e.g., ‘interventions’ that aim to create an inclusive early childhood setting, or professional development to increase family centred approaches in practice; or a particular approach is investigated across four or more studies (e.g., ESDM)) </w:t>
      </w:r>
    </w:p>
    <w:p w14:paraId="73AE831C" w14:textId="1565F7DA" w:rsidR="005472BC" w:rsidRPr="00367A88" w:rsidRDefault="005472BC" w:rsidP="003B0B17">
      <w:pPr>
        <w:pStyle w:val="ListParagraph"/>
        <w:numPr>
          <w:ilvl w:val="1"/>
          <w:numId w:val="177"/>
        </w:numPr>
        <w:contextualSpacing w:val="0"/>
        <w:rPr>
          <w:rFonts w:cs="Arial"/>
          <w:color w:val="000000" w:themeColor="text1"/>
          <w:lang w:val="en-US"/>
        </w:rPr>
      </w:pPr>
      <w:r w:rsidRPr="00367A88">
        <w:rPr>
          <w:rFonts w:cs="Arial"/>
          <w:color w:val="000000" w:themeColor="text1"/>
          <w:lang w:val="en-US"/>
        </w:rPr>
        <w:t>at a similar age for the child</w:t>
      </w:r>
      <w:r w:rsidR="00367A88">
        <w:rPr>
          <w:rFonts w:cs="Arial"/>
          <w:color w:val="000000" w:themeColor="text1"/>
          <w:lang w:val="en-US"/>
        </w:rPr>
        <w:t xml:space="preserve"> </w:t>
      </w:r>
      <w:r w:rsidRPr="00367A88">
        <w:rPr>
          <w:rFonts w:cs="Arial"/>
          <w:color w:val="000000" w:themeColor="text1"/>
          <w:lang w:val="en-US"/>
        </w:rPr>
        <w:t>and</w:t>
      </w:r>
    </w:p>
    <w:p w14:paraId="619146F0" w14:textId="637FEBFB" w:rsidR="005472BC" w:rsidRPr="006E0955" w:rsidRDefault="005472BC" w:rsidP="003B0B17">
      <w:pPr>
        <w:pStyle w:val="ListParagraph"/>
        <w:numPr>
          <w:ilvl w:val="0"/>
          <w:numId w:val="177"/>
        </w:numPr>
        <w:ind w:left="714" w:hanging="357"/>
        <w:contextualSpacing w:val="0"/>
        <w:rPr>
          <w:rFonts w:cs="Arial"/>
          <w:color w:val="000000" w:themeColor="text1"/>
          <w:lang w:val="en-US"/>
        </w:rPr>
      </w:pPr>
      <w:r w:rsidRPr="00367A88">
        <w:rPr>
          <w:rFonts w:cs="Arial"/>
          <w:color w:val="000000" w:themeColor="text1"/>
          <w:lang w:val="en-US"/>
        </w:rPr>
        <w:t xml:space="preserve">Population of interest is similar </w:t>
      </w:r>
      <w:r w:rsidRPr="006E0955">
        <w:rPr>
          <w:rFonts w:cs="Arial"/>
          <w:color w:val="000000" w:themeColor="text1"/>
          <w:lang w:val="en-US"/>
        </w:rPr>
        <w:t>and</w:t>
      </w:r>
    </w:p>
    <w:p w14:paraId="1D5B59A1" w14:textId="29D668DF" w:rsidR="005472BC" w:rsidRPr="00367A88" w:rsidRDefault="005472BC" w:rsidP="003B0B17">
      <w:pPr>
        <w:pStyle w:val="ListParagraph"/>
        <w:numPr>
          <w:ilvl w:val="0"/>
          <w:numId w:val="177"/>
        </w:numPr>
        <w:ind w:left="714" w:hanging="357"/>
        <w:contextualSpacing w:val="0"/>
        <w:rPr>
          <w:rFonts w:cs="Arial"/>
          <w:color w:val="000000" w:themeColor="text1"/>
          <w:lang w:val="en-US"/>
        </w:rPr>
      </w:pPr>
      <w:r w:rsidRPr="00367A88">
        <w:rPr>
          <w:rFonts w:cs="Arial"/>
          <w:color w:val="000000" w:themeColor="text1"/>
          <w:lang w:val="en-US"/>
        </w:rPr>
        <w:t xml:space="preserve">Outcome variables were the same with effects measured in the same way, and data required are available in the published document/s. </w:t>
      </w:r>
    </w:p>
    <w:p w14:paraId="54DF0B8E" w14:textId="5D0616D7" w:rsidR="005472BC" w:rsidRPr="006E0955" w:rsidRDefault="005472BC" w:rsidP="003B0B17">
      <w:pPr>
        <w:pStyle w:val="ListParagraph"/>
        <w:numPr>
          <w:ilvl w:val="0"/>
          <w:numId w:val="177"/>
        </w:numPr>
        <w:ind w:left="714" w:hanging="357"/>
        <w:contextualSpacing w:val="0"/>
        <w:rPr>
          <w:rFonts w:cs="Arial"/>
          <w:color w:val="000000" w:themeColor="text1"/>
          <w:lang w:val="en-US"/>
        </w:rPr>
      </w:pPr>
      <w:r w:rsidRPr="00367A88">
        <w:rPr>
          <w:rFonts w:cs="Arial"/>
          <w:color w:val="000000" w:themeColor="text1"/>
          <w:lang w:val="en-US"/>
        </w:rPr>
        <w:t>Timing of outcome measurement was considered, and where sufficient data available to do a meta-analysis, used to consider outcomes at different time point</w:t>
      </w:r>
      <w:r w:rsidR="006E0955">
        <w:rPr>
          <w:rFonts w:cs="Arial"/>
          <w:color w:val="000000" w:themeColor="text1"/>
          <w:lang w:val="en-US"/>
        </w:rPr>
        <w:t xml:space="preserve">s </w:t>
      </w:r>
      <w:r w:rsidRPr="006E0955">
        <w:rPr>
          <w:rFonts w:cs="Arial"/>
          <w:color w:val="000000" w:themeColor="text1"/>
          <w:lang w:val="en-US"/>
        </w:rPr>
        <w:t xml:space="preserve">and </w:t>
      </w:r>
    </w:p>
    <w:p w14:paraId="0BCB26B9" w14:textId="1034B26C" w:rsidR="005472BC" w:rsidRPr="00367A88" w:rsidRDefault="005472BC" w:rsidP="003B0B17">
      <w:pPr>
        <w:pStyle w:val="ListParagraph"/>
        <w:numPr>
          <w:ilvl w:val="0"/>
          <w:numId w:val="177"/>
        </w:numPr>
        <w:ind w:left="714" w:hanging="357"/>
        <w:contextualSpacing w:val="0"/>
        <w:rPr>
          <w:rFonts w:cs="Arial"/>
          <w:color w:val="000000" w:themeColor="text1"/>
          <w:lang w:val="en-US"/>
        </w:rPr>
      </w:pPr>
      <w:r w:rsidRPr="00367A88">
        <w:rPr>
          <w:rFonts w:cs="Arial"/>
          <w:color w:val="000000" w:themeColor="text1"/>
          <w:lang w:val="en-US"/>
        </w:rPr>
        <w:t xml:space="preserve">No recent meta-analysis on the strategy/intervention available. Given the approach taken to this systematic review may have excluded meta-analysis for one or more reasons, a separate search for recent (past 5 years) meta-analyses was undertaken for approaches that otherwise met the inclusion criteria. </w:t>
      </w:r>
    </w:p>
    <w:p w14:paraId="0B993C69" w14:textId="77777777" w:rsidR="005472BC" w:rsidRPr="005472BC" w:rsidRDefault="005472BC" w:rsidP="005472BC">
      <w:pPr>
        <w:rPr>
          <w:rFonts w:cs="Arial"/>
          <w:color w:val="000000" w:themeColor="text1"/>
          <w:lang w:val="en-US"/>
        </w:rPr>
      </w:pPr>
      <w:r w:rsidRPr="005472BC">
        <w:rPr>
          <w:rFonts w:cs="Arial"/>
          <w:color w:val="000000" w:themeColor="text1"/>
          <w:lang w:val="en-US"/>
        </w:rPr>
        <w:t xml:space="preserve">Data related to Question 2f, when reported in the included studies, was collated and deductively categorised as facilitators or barriers according to systems, practitioners, settings, children and families or other. Findings from all other qualitative or mixed methods studies were organised according to the intervention in focus and findings summarised. </w:t>
      </w:r>
    </w:p>
    <w:p w14:paraId="10AF3A46" w14:textId="77777777" w:rsidR="005472BC" w:rsidRPr="005472BC" w:rsidRDefault="005472BC" w:rsidP="005472BC">
      <w:pPr>
        <w:rPr>
          <w:rFonts w:cs="Arial"/>
          <w:color w:val="000000" w:themeColor="text1"/>
          <w:lang w:val="en-US"/>
        </w:rPr>
      </w:pPr>
      <w:r w:rsidRPr="005472BC">
        <w:rPr>
          <w:rFonts w:cs="Arial"/>
          <w:color w:val="000000" w:themeColor="text1"/>
          <w:lang w:val="en-US"/>
        </w:rPr>
        <w:t xml:space="preserve">The Leadership team and National and International Experts were invited to review the list of included studies and approach to article selection as part of an overall workshop discussing the background evidence and comparison of frameworks. </w:t>
      </w:r>
    </w:p>
    <w:p w14:paraId="2D5B56C3" w14:textId="77777777" w:rsidR="005472BC" w:rsidRPr="006E0955" w:rsidRDefault="005472BC" w:rsidP="005472BC">
      <w:pPr>
        <w:rPr>
          <w:rFonts w:cs="Arial"/>
          <w:b/>
          <w:bCs/>
          <w:color w:val="000000" w:themeColor="text1"/>
          <w:lang w:val="en-US"/>
        </w:rPr>
      </w:pPr>
      <w:r w:rsidRPr="006E0955">
        <w:rPr>
          <w:rFonts w:cs="Arial"/>
          <w:b/>
          <w:bCs/>
          <w:color w:val="000000" w:themeColor="text1"/>
          <w:lang w:val="en-US"/>
        </w:rPr>
        <w:t xml:space="preserve">Creating a GRADE evidence profile </w:t>
      </w:r>
    </w:p>
    <w:p w14:paraId="6CDCFA0E" w14:textId="726F75EA" w:rsidR="005472BC" w:rsidRPr="005472BC" w:rsidRDefault="005472BC" w:rsidP="005472BC">
      <w:pPr>
        <w:rPr>
          <w:rFonts w:cs="Arial"/>
          <w:color w:val="000000" w:themeColor="text1"/>
          <w:lang w:val="en-US"/>
        </w:rPr>
      </w:pPr>
      <w:r w:rsidRPr="005472BC">
        <w:rPr>
          <w:rFonts w:cs="Arial"/>
          <w:color w:val="000000" w:themeColor="text1"/>
          <w:lang w:val="en-US"/>
        </w:rPr>
        <w:t>To support making clear recommendations about the application of evidence to practice, the Grades of Recommendation, Assessment, Development and Evaluation (GRADE) approach (Guyatt et al., 2011) can be used. To be eligible for GRADE, research addressing a clearly focused research question with identified outcomes of importance is required. The GRADE profile provides information about the level of confidence in the evidence and a summary of the quality of the evidence based on risk of bias, inconsistency of evidence, indirectness, imprecision, publication bias, presence of a large effect, dose response and opposing bias and confounders (creating uncertainty). Creation of the GRADE evidence profiles are undertaken by 3-4 reviewers for each outcome, as the process involves making judgements about the evidence available.</w:t>
      </w:r>
    </w:p>
    <w:p w14:paraId="4D4036F6" w14:textId="15ED729B" w:rsidR="005472BC" w:rsidRPr="005472BC" w:rsidRDefault="005472BC" w:rsidP="005472BC">
      <w:pPr>
        <w:rPr>
          <w:rFonts w:cs="Arial"/>
          <w:color w:val="000000" w:themeColor="text1"/>
          <w:lang w:val="en-US"/>
        </w:rPr>
      </w:pPr>
      <w:r w:rsidRPr="005472BC">
        <w:rPr>
          <w:rFonts w:cs="Arial"/>
          <w:color w:val="000000" w:themeColor="text1"/>
          <w:lang w:val="en-US"/>
        </w:rPr>
        <w:t xml:space="preserve">Given the overarching question of this review involved evaluation of effects of a range of ECI practices, we sought to organise the research about the included interventions by practice approach. This was to allow us to consider the body of evidence according to GRADE on those approaches that addressed the same or similar practices (e.g., family centred practices, capacity-building, inclusion or participation as so forth). </w:t>
      </w:r>
    </w:p>
    <w:p w14:paraId="338967F0" w14:textId="77777777" w:rsidR="005472BC" w:rsidRPr="005472BC" w:rsidRDefault="005472BC" w:rsidP="005472BC">
      <w:pPr>
        <w:rPr>
          <w:rFonts w:cs="Arial"/>
          <w:color w:val="000000" w:themeColor="text1"/>
          <w:lang w:val="en-US"/>
        </w:rPr>
      </w:pPr>
      <w:r w:rsidRPr="005472BC">
        <w:rPr>
          <w:rFonts w:cs="Arial"/>
          <w:color w:val="000000" w:themeColor="text1"/>
          <w:lang w:val="en-US"/>
        </w:rPr>
        <w:t xml:space="preserve">Because a GRADE approach is not always suitable (Guyatt et al., 2011; Guyatt et al., 2008), we considered the following criteria in deciding whether it was reasonable to complete a GRADE profile for the included ECI approaches. Consistent with Guyatt et al recommendations, we did not complete GRADE on approaches where there was: </w:t>
      </w:r>
    </w:p>
    <w:p w14:paraId="39654398" w14:textId="51526306" w:rsidR="005472BC" w:rsidRPr="006F792D" w:rsidRDefault="005472BC" w:rsidP="00F51D81">
      <w:pPr>
        <w:pStyle w:val="ListParagraph"/>
        <w:numPr>
          <w:ilvl w:val="0"/>
          <w:numId w:val="178"/>
        </w:numPr>
        <w:ind w:left="714" w:hanging="357"/>
        <w:contextualSpacing w:val="0"/>
        <w:rPr>
          <w:rFonts w:cs="Arial"/>
          <w:color w:val="000000" w:themeColor="text1"/>
          <w:lang w:val="en-US"/>
        </w:rPr>
      </w:pPr>
      <w:r w:rsidRPr="006F792D">
        <w:rPr>
          <w:rFonts w:cs="Arial"/>
          <w:b/>
          <w:bCs/>
          <w:color w:val="000000" w:themeColor="text1"/>
          <w:lang w:val="en-US"/>
        </w:rPr>
        <w:t>Limited Evidence:</w:t>
      </w:r>
      <w:r w:rsidRPr="006F792D">
        <w:rPr>
          <w:rFonts w:cs="Arial"/>
          <w:color w:val="000000" w:themeColor="text1"/>
          <w:lang w:val="en-US"/>
        </w:rPr>
        <w:t xml:space="preserve"> In approaches where there was insufficient evidence, such as very few studies or studies with significant methodological flaws</w:t>
      </w:r>
    </w:p>
    <w:p w14:paraId="7CDEFD26" w14:textId="60ADB84A" w:rsidR="005472BC" w:rsidRPr="006F792D" w:rsidRDefault="005472BC" w:rsidP="00F51D81">
      <w:pPr>
        <w:pStyle w:val="ListParagraph"/>
        <w:numPr>
          <w:ilvl w:val="0"/>
          <w:numId w:val="178"/>
        </w:numPr>
        <w:ind w:left="714" w:hanging="357"/>
        <w:contextualSpacing w:val="0"/>
        <w:rPr>
          <w:rFonts w:cs="Arial"/>
          <w:color w:val="000000" w:themeColor="text1"/>
          <w:lang w:val="en-US"/>
        </w:rPr>
      </w:pPr>
      <w:r w:rsidRPr="006F792D">
        <w:rPr>
          <w:rFonts w:cs="Arial"/>
          <w:b/>
          <w:bCs/>
          <w:color w:val="000000" w:themeColor="text1"/>
          <w:lang w:val="en-US"/>
        </w:rPr>
        <w:t>Highly Context-Specific Situations:</w:t>
      </w:r>
      <w:r w:rsidRPr="006F792D">
        <w:rPr>
          <w:rFonts w:cs="Arial"/>
          <w:color w:val="000000" w:themeColor="text1"/>
          <w:lang w:val="en-US"/>
        </w:rPr>
        <w:t xml:space="preserve"> In studies examining unique clinical or practice settings where the evidence does not generalise well to the ECI setting </w:t>
      </w:r>
    </w:p>
    <w:p w14:paraId="11A2A054" w14:textId="0383EA4B" w:rsidR="005472BC" w:rsidRPr="006F792D" w:rsidRDefault="005472BC" w:rsidP="00F51D81">
      <w:pPr>
        <w:pStyle w:val="ListParagraph"/>
        <w:numPr>
          <w:ilvl w:val="0"/>
          <w:numId w:val="178"/>
        </w:numPr>
        <w:ind w:left="714" w:hanging="357"/>
        <w:contextualSpacing w:val="0"/>
        <w:rPr>
          <w:rFonts w:cs="Arial"/>
          <w:color w:val="000000" w:themeColor="text1"/>
          <w:lang w:val="en-US"/>
        </w:rPr>
      </w:pPr>
      <w:r w:rsidRPr="006F792D">
        <w:rPr>
          <w:rFonts w:cs="Arial"/>
          <w:b/>
          <w:bCs/>
          <w:color w:val="000000" w:themeColor="text1"/>
          <w:lang w:val="en-US"/>
        </w:rPr>
        <w:t>Qualitative Evidence:</w:t>
      </w:r>
      <w:r w:rsidRPr="006F792D">
        <w:rPr>
          <w:rFonts w:cs="Arial"/>
          <w:color w:val="000000" w:themeColor="text1"/>
          <w:lang w:val="en-US"/>
        </w:rPr>
        <w:t xml:space="preserve"> When only qualitative research was available on an approach as GRADE takes a quantitative approach</w:t>
      </w:r>
    </w:p>
    <w:p w14:paraId="26ED8438" w14:textId="76BFF8F0" w:rsidR="005472BC" w:rsidRPr="006F792D" w:rsidRDefault="005472BC" w:rsidP="00F51D81">
      <w:pPr>
        <w:pStyle w:val="ListParagraph"/>
        <w:numPr>
          <w:ilvl w:val="0"/>
          <w:numId w:val="178"/>
        </w:numPr>
        <w:ind w:left="714" w:hanging="357"/>
        <w:contextualSpacing w:val="0"/>
        <w:rPr>
          <w:rFonts w:cs="Arial"/>
          <w:color w:val="000000" w:themeColor="text1"/>
          <w:lang w:val="en-US"/>
        </w:rPr>
      </w:pPr>
      <w:r w:rsidRPr="006F792D">
        <w:rPr>
          <w:rFonts w:cs="Arial"/>
          <w:b/>
          <w:bCs/>
          <w:color w:val="000000" w:themeColor="text1"/>
          <w:lang w:val="en-US"/>
        </w:rPr>
        <w:t>Intervention Complexity:</w:t>
      </w:r>
      <w:r w:rsidRPr="006F792D">
        <w:rPr>
          <w:rFonts w:cs="Arial"/>
          <w:color w:val="000000" w:themeColor="text1"/>
          <w:lang w:val="en-US"/>
        </w:rPr>
        <w:t xml:space="preserve"> For interventions that were complex or multifaceted, where the effects were difficult to isolate or measure, as GRADE may not adequately reflect the evidence quality</w:t>
      </w:r>
    </w:p>
    <w:p w14:paraId="7C441108" w14:textId="38FF8409" w:rsidR="005472BC" w:rsidRPr="006F792D" w:rsidRDefault="005472BC" w:rsidP="00F51D81">
      <w:pPr>
        <w:pStyle w:val="ListParagraph"/>
        <w:numPr>
          <w:ilvl w:val="0"/>
          <w:numId w:val="178"/>
        </w:numPr>
        <w:ind w:left="714" w:hanging="357"/>
        <w:contextualSpacing w:val="0"/>
        <w:rPr>
          <w:rFonts w:cs="Arial"/>
          <w:color w:val="000000" w:themeColor="text1"/>
          <w:lang w:val="en-US"/>
        </w:rPr>
      </w:pPr>
      <w:r w:rsidRPr="006F792D">
        <w:rPr>
          <w:rFonts w:cs="Arial"/>
          <w:b/>
          <w:bCs/>
          <w:color w:val="000000" w:themeColor="text1"/>
          <w:lang w:val="en-US"/>
        </w:rPr>
        <w:t>Outcomes of importance to ECI:</w:t>
      </w:r>
      <w:r w:rsidRPr="006F792D">
        <w:rPr>
          <w:rFonts w:cs="Arial"/>
          <w:color w:val="000000" w:themeColor="text1"/>
          <w:lang w:val="en-US"/>
        </w:rPr>
        <w:t xml:space="preserve"> Where interventions did not present outcomes addressing the overall aims of ECI related to ensuring children’s meaningful participation in home, community and ECEC/school settings, and/or promoting building the capacity of caregivers to provide children with the opportunities to practice functional skills. </w:t>
      </w:r>
    </w:p>
    <w:p w14:paraId="5A4E6487" w14:textId="3D791773" w:rsidR="005472BC" w:rsidRPr="006F792D" w:rsidRDefault="005472BC" w:rsidP="006F792D">
      <w:pPr>
        <w:pStyle w:val="Heading2"/>
      </w:pPr>
      <w:bookmarkStart w:id="82" w:name="_Toc177730858"/>
      <w:r w:rsidRPr="006F792D">
        <w:t>Results</w:t>
      </w:r>
      <w:bookmarkEnd w:id="82"/>
    </w:p>
    <w:p w14:paraId="0C7387C2" w14:textId="77777777" w:rsidR="005472BC" w:rsidRPr="006F792D" w:rsidRDefault="005472BC" w:rsidP="005472BC">
      <w:pPr>
        <w:rPr>
          <w:rFonts w:cs="Arial"/>
          <w:b/>
          <w:bCs/>
          <w:color w:val="000000" w:themeColor="text1"/>
          <w:lang w:val="en-US"/>
        </w:rPr>
      </w:pPr>
      <w:r w:rsidRPr="006F792D">
        <w:rPr>
          <w:rFonts w:cs="Arial"/>
          <w:b/>
          <w:bCs/>
          <w:color w:val="000000" w:themeColor="text1"/>
          <w:lang w:val="en-US"/>
        </w:rPr>
        <w:t>Results of the search</w:t>
      </w:r>
    </w:p>
    <w:p w14:paraId="472BC27E" w14:textId="77777777" w:rsidR="005472BC" w:rsidRPr="005472BC" w:rsidRDefault="005472BC" w:rsidP="005472BC">
      <w:pPr>
        <w:rPr>
          <w:rFonts w:cs="Arial"/>
          <w:color w:val="000000" w:themeColor="text1"/>
          <w:lang w:val="en-US"/>
        </w:rPr>
      </w:pPr>
      <w:r w:rsidRPr="005472BC">
        <w:rPr>
          <w:rFonts w:cs="Arial"/>
          <w:color w:val="000000" w:themeColor="text1"/>
          <w:lang w:val="en-US"/>
        </w:rPr>
        <w:t xml:space="preserve">The combined search strategies resulted in a pool of 7937 documents, and 5883 after duplicates were removed. The PRISMA flow diagram displays the outcome of the search (see Figure 2). </w:t>
      </w:r>
    </w:p>
    <w:p w14:paraId="6DB2E5B1" w14:textId="20B09EB1" w:rsidR="00CB2DA7" w:rsidRDefault="005472BC" w:rsidP="005472BC">
      <w:pPr>
        <w:rPr>
          <w:rFonts w:cs="Arial"/>
          <w:color w:val="000000" w:themeColor="text1"/>
          <w:lang w:val="en-US"/>
        </w:rPr>
      </w:pPr>
      <w:r w:rsidRPr="005472BC">
        <w:rPr>
          <w:rFonts w:cs="Arial"/>
          <w:color w:val="000000" w:themeColor="text1"/>
          <w:lang w:val="en-US"/>
        </w:rPr>
        <w:t xml:space="preserve">In total, 185 publications were identified as providing relevant data for ECI practices. Of these, 38 RCTs, 22 qualitative studies and 17 papers providing evidence about Aboriginal and Torres Strait Islander practices were included in the data extraction and summary of findings. </w:t>
      </w:r>
      <w:r w:rsidR="00F51D81">
        <w:rPr>
          <w:rFonts w:cs="Arial"/>
          <w:color w:val="000000" w:themeColor="text1"/>
          <w:lang w:val="en-US"/>
        </w:rPr>
        <w:fldChar w:fldCharType="begin"/>
      </w:r>
      <w:r w:rsidR="00F51D81">
        <w:rPr>
          <w:rFonts w:cs="Arial"/>
          <w:color w:val="000000" w:themeColor="text1"/>
          <w:lang w:val="en-US"/>
        </w:rPr>
        <w:instrText xml:space="preserve"> REF _Ref177725110 \h </w:instrText>
      </w:r>
      <w:r w:rsidR="00F51D81">
        <w:rPr>
          <w:rFonts w:cs="Arial"/>
          <w:color w:val="000000" w:themeColor="text1"/>
          <w:lang w:val="en-US"/>
        </w:rPr>
      </w:r>
      <w:r w:rsidR="00F51D81">
        <w:rPr>
          <w:rFonts w:cs="Arial"/>
          <w:color w:val="000000" w:themeColor="text1"/>
          <w:lang w:val="en-US"/>
        </w:rPr>
        <w:fldChar w:fldCharType="separate"/>
      </w:r>
      <w:r w:rsidR="00303407" w:rsidRPr="00F51D81">
        <w:rPr>
          <w:b/>
          <w:bCs/>
        </w:rPr>
        <w:t xml:space="preserve">Table </w:t>
      </w:r>
      <w:r w:rsidR="00303407">
        <w:rPr>
          <w:b/>
          <w:bCs/>
          <w:noProof/>
        </w:rPr>
        <w:t>21</w:t>
      </w:r>
      <w:r w:rsidR="00F51D81">
        <w:rPr>
          <w:rFonts w:cs="Arial"/>
          <w:color w:val="000000" w:themeColor="text1"/>
          <w:lang w:val="en-US"/>
        </w:rPr>
        <w:fldChar w:fldCharType="end"/>
      </w:r>
      <w:r w:rsidR="00F51D81" w:rsidRPr="005472BC">
        <w:rPr>
          <w:rFonts w:cs="Arial"/>
          <w:color w:val="000000" w:themeColor="text1"/>
          <w:lang w:val="en-US"/>
        </w:rPr>
        <w:t xml:space="preserve"> </w:t>
      </w:r>
      <w:r w:rsidRPr="005472BC">
        <w:rPr>
          <w:rFonts w:cs="Arial"/>
          <w:color w:val="000000" w:themeColor="text1"/>
          <w:lang w:val="en-US"/>
        </w:rPr>
        <w:t>(in the list of references) provides a full list of the retrieved papers.</w:t>
      </w:r>
    </w:p>
    <w:p w14:paraId="750F8012" w14:textId="77777777" w:rsidR="00124F25" w:rsidRDefault="00124F25" w:rsidP="005472BC">
      <w:pPr>
        <w:rPr>
          <w:rFonts w:cs="Arial"/>
          <w:color w:val="000000" w:themeColor="text1"/>
          <w:lang w:val="en-US"/>
        </w:rPr>
      </w:pPr>
    </w:p>
    <w:p w14:paraId="1D3408F3" w14:textId="77777777" w:rsidR="00124F25" w:rsidRDefault="00124F25" w:rsidP="005472BC">
      <w:pPr>
        <w:rPr>
          <w:rFonts w:cs="Arial"/>
          <w:color w:val="000000" w:themeColor="text1"/>
          <w:lang w:val="en-US"/>
        </w:rPr>
      </w:pPr>
    </w:p>
    <w:p w14:paraId="15AA1372" w14:textId="77777777" w:rsidR="00124F25" w:rsidRDefault="00124F25" w:rsidP="005472BC">
      <w:pPr>
        <w:rPr>
          <w:rFonts w:cs="Arial"/>
          <w:color w:val="000000" w:themeColor="text1"/>
          <w:lang w:val="en-US"/>
        </w:rPr>
      </w:pPr>
    </w:p>
    <w:p w14:paraId="1F6BD913" w14:textId="77777777" w:rsidR="00124F25" w:rsidRDefault="00124F25" w:rsidP="005472BC">
      <w:pPr>
        <w:rPr>
          <w:rFonts w:cs="Arial"/>
          <w:color w:val="000000" w:themeColor="text1"/>
          <w:lang w:val="en-US"/>
        </w:rPr>
      </w:pPr>
    </w:p>
    <w:p w14:paraId="700F9C0C" w14:textId="77777777" w:rsidR="00124F25" w:rsidRDefault="00124F25" w:rsidP="005472BC">
      <w:pPr>
        <w:rPr>
          <w:rFonts w:cs="Arial"/>
          <w:color w:val="000000" w:themeColor="text1"/>
          <w:lang w:val="en-US"/>
        </w:rPr>
      </w:pPr>
    </w:p>
    <w:p w14:paraId="04EAE416" w14:textId="77777777" w:rsidR="00124F25" w:rsidRDefault="00124F25" w:rsidP="005472BC">
      <w:pPr>
        <w:rPr>
          <w:rFonts w:cs="Arial"/>
          <w:color w:val="000000" w:themeColor="text1"/>
          <w:lang w:val="en-US"/>
        </w:rPr>
      </w:pPr>
    </w:p>
    <w:p w14:paraId="311C64B1" w14:textId="77777777" w:rsidR="00124F25" w:rsidRDefault="00124F25" w:rsidP="005472BC">
      <w:pPr>
        <w:rPr>
          <w:rFonts w:cs="Arial"/>
          <w:color w:val="000000" w:themeColor="text1"/>
          <w:lang w:val="en-US"/>
        </w:rPr>
      </w:pPr>
    </w:p>
    <w:p w14:paraId="6F9F5331" w14:textId="77777777" w:rsidR="00124F25" w:rsidRDefault="00124F25" w:rsidP="005472BC">
      <w:pPr>
        <w:rPr>
          <w:rFonts w:cs="Arial"/>
          <w:color w:val="000000" w:themeColor="text1"/>
          <w:lang w:val="en-US"/>
        </w:rPr>
      </w:pPr>
    </w:p>
    <w:p w14:paraId="23CCA9FC" w14:textId="77777777" w:rsidR="00124F25" w:rsidRDefault="00124F25" w:rsidP="005472BC">
      <w:pPr>
        <w:rPr>
          <w:rFonts w:cs="Arial"/>
          <w:color w:val="000000" w:themeColor="text1"/>
          <w:lang w:val="en-US"/>
        </w:rPr>
      </w:pPr>
    </w:p>
    <w:p w14:paraId="4568C504" w14:textId="77777777" w:rsidR="00124F25" w:rsidRDefault="00124F25" w:rsidP="005472BC">
      <w:pPr>
        <w:rPr>
          <w:rFonts w:cs="Arial"/>
          <w:color w:val="000000" w:themeColor="text1"/>
          <w:lang w:val="en-US"/>
        </w:rPr>
      </w:pPr>
    </w:p>
    <w:p w14:paraId="418145C3" w14:textId="77777777" w:rsidR="00124F25" w:rsidRDefault="00124F25" w:rsidP="005472BC">
      <w:pPr>
        <w:rPr>
          <w:rFonts w:cs="Arial"/>
          <w:color w:val="000000" w:themeColor="text1"/>
          <w:lang w:val="en-US"/>
        </w:rPr>
      </w:pPr>
    </w:p>
    <w:p w14:paraId="1391049B" w14:textId="77777777" w:rsidR="00124F25" w:rsidRDefault="00124F25" w:rsidP="005472BC">
      <w:pPr>
        <w:rPr>
          <w:rFonts w:cs="Arial"/>
          <w:color w:val="000000" w:themeColor="text1"/>
          <w:lang w:val="en-US"/>
        </w:rPr>
      </w:pPr>
    </w:p>
    <w:p w14:paraId="38F6427F" w14:textId="77777777" w:rsidR="00124F25" w:rsidRDefault="00124F25" w:rsidP="005472BC">
      <w:pPr>
        <w:rPr>
          <w:rFonts w:cs="Arial"/>
          <w:color w:val="000000" w:themeColor="text1"/>
          <w:lang w:val="en-US"/>
        </w:rPr>
      </w:pPr>
    </w:p>
    <w:p w14:paraId="77E1D03F" w14:textId="77777777" w:rsidR="00124F25" w:rsidRDefault="00124F25" w:rsidP="005472BC">
      <w:pPr>
        <w:rPr>
          <w:rFonts w:cs="Arial"/>
          <w:color w:val="000000" w:themeColor="text1"/>
          <w:lang w:val="en-US"/>
        </w:rPr>
      </w:pPr>
    </w:p>
    <w:p w14:paraId="4DB162EA" w14:textId="77777777" w:rsidR="00124F25" w:rsidRDefault="00124F25" w:rsidP="005472BC">
      <w:pPr>
        <w:rPr>
          <w:rFonts w:cs="Arial"/>
          <w:color w:val="000000" w:themeColor="text1"/>
          <w:lang w:val="en-US"/>
        </w:rPr>
      </w:pPr>
    </w:p>
    <w:p w14:paraId="2A11401A" w14:textId="77777777" w:rsidR="00124F25" w:rsidRDefault="00124F25" w:rsidP="005472BC">
      <w:pPr>
        <w:rPr>
          <w:rFonts w:cs="Arial"/>
          <w:color w:val="000000" w:themeColor="text1"/>
          <w:lang w:val="en-US"/>
        </w:rPr>
      </w:pPr>
    </w:p>
    <w:p w14:paraId="6FE809F9" w14:textId="77777777" w:rsidR="00124F25" w:rsidRDefault="00124F25" w:rsidP="005472BC">
      <w:pPr>
        <w:rPr>
          <w:rFonts w:cs="Arial"/>
          <w:color w:val="000000" w:themeColor="text1"/>
          <w:lang w:val="en-US"/>
        </w:rPr>
      </w:pPr>
    </w:p>
    <w:p w14:paraId="56ED8878" w14:textId="77777777" w:rsidR="00124F25" w:rsidRDefault="00124F25" w:rsidP="005472BC">
      <w:pPr>
        <w:rPr>
          <w:rFonts w:cs="Arial"/>
          <w:color w:val="000000" w:themeColor="text1"/>
          <w:lang w:val="en-US"/>
        </w:rPr>
      </w:pPr>
    </w:p>
    <w:p w14:paraId="1F6EF625" w14:textId="77777777" w:rsidR="00124F25" w:rsidRDefault="00124F25" w:rsidP="005472BC">
      <w:pPr>
        <w:rPr>
          <w:rFonts w:cs="Arial"/>
          <w:color w:val="000000" w:themeColor="text1"/>
          <w:lang w:val="en-US"/>
        </w:rPr>
      </w:pPr>
    </w:p>
    <w:p w14:paraId="4B76A163" w14:textId="77777777" w:rsidR="00124F25" w:rsidRDefault="00124F25" w:rsidP="005472BC">
      <w:pPr>
        <w:rPr>
          <w:rFonts w:cs="Arial"/>
          <w:color w:val="000000" w:themeColor="text1"/>
          <w:lang w:val="en-US"/>
        </w:rPr>
      </w:pPr>
    </w:p>
    <w:p w14:paraId="264BD7A4" w14:textId="77777777" w:rsidR="00124F25" w:rsidRDefault="00124F25" w:rsidP="005472BC">
      <w:pPr>
        <w:rPr>
          <w:rFonts w:cs="Arial"/>
          <w:color w:val="000000" w:themeColor="text1"/>
          <w:lang w:val="en-US"/>
        </w:rPr>
        <w:sectPr w:rsidR="00124F25" w:rsidSect="00840466">
          <w:pgSz w:w="11906" w:h="16838"/>
          <w:pgMar w:top="1440" w:right="1440" w:bottom="1440" w:left="1440" w:header="709" w:footer="709" w:gutter="0"/>
          <w:cols w:space="708"/>
          <w:titlePg/>
          <w:docGrid w:linePitch="360"/>
        </w:sectPr>
      </w:pPr>
    </w:p>
    <w:p w14:paraId="02418304" w14:textId="469C8858" w:rsidR="00124F25" w:rsidRDefault="00124F25" w:rsidP="005472BC">
      <w:pPr>
        <w:rPr>
          <w:rFonts w:cs="Arial"/>
          <w:color w:val="000000" w:themeColor="text1"/>
          <w:lang w:val="en-US"/>
        </w:rPr>
      </w:pPr>
      <w:r>
        <w:rPr>
          <w:noProof/>
        </w:rPr>
        <w:drawing>
          <wp:inline distT="0" distB="0" distL="0" distR="0" wp14:anchorId="7E2779AC" wp14:editId="7BBD20FF">
            <wp:extent cx="8863330" cy="5284563"/>
            <wp:effectExtent l="0" t="0" r="1270" b="0"/>
            <wp:docPr id="1413345848" name="Picture 9"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45848" name="Picture 9" descr="A screenshot of a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3330" cy="5284563"/>
                    </a:xfrm>
                    <a:prstGeom prst="rect">
                      <a:avLst/>
                    </a:prstGeom>
                    <a:noFill/>
                  </pic:spPr>
                </pic:pic>
              </a:graphicData>
            </a:graphic>
          </wp:inline>
        </w:drawing>
      </w:r>
    </w:p>
    <w:p w14:paraId="3A456618" w14:textId="602BF423" w:rsidR="000765E4" w:rsidRDefault="00B81224" w:rsidP="00B81224">
      <w:pPr>
        <w:pStyle w:val="Caption"/>
        <w:rPr>
          <w:rFonts w:cs="Arial"/>
          <w:color w:val="000000" w:themeColor="text1"/>
          <w:lang w:val="en-US"/>
        </w:rPr>
        <w:sectPr w:rsidR="000765E4" w:rsidSect="00124F25">
          <w:pgSz w:w="16838" w:h="11906" w:orient="landscape"/>
          <w:pgMar w:top="1440" w:right="1440" w:bottom="1440" w:left="1440" w:header="709" w:footer="709" w:gutter="0"/>
          <w:cols w:space="708"/>
          <w:titlePg/>
          <w:docGrid w:linePitch="360"/>
        </w:sectPr>
      </w:pPr>
      <w:bookmarkStart w:id="83" w:name="_Toc177730756"/>
      <w:r w:rsidRPr="00B5106F">
        <w:rPr>
          <w:b/>
          <w:bCs/>
        </w:rPr>
        <w:t xml:space="preserve">Figure </w:t>
      </w:r>
      <w:r w:rsidR="0097294A" w:rsidRPr="00B5106F">
        <w:rPr>
          <w:b/>
          <w:bCs/>
        </w:rPr>
        <w:fldChar w:fldCharType="begin"/>
      </w:r>
      <w:r w:rsidR="0097294A" w:rsidRPr="00B5106F">
        <w:rPr>
          <w:b/>
          <w:bCs/>
        </w:rPr>
        <w:instrText xml:space="preserve"> SEQ Figure \* ARABIC </w:instrText>
      </w:r>
      <w:r w:rsidR="0097294A" w:rsidRPr="00B5106F">
        <w:rPr>
          <w:b/>
          <w:bCs/>
        </w:rPr>
        <w:fldChar w:fldCharType="separate"/>
      </w:r>
      <w:r w:rsidR="00303407">
        <w:rPr>
          <w:b/>
          <w:bCs/>
          <w:noProof/>
        </w:rPr>
        <w:t>2</w:t>
      </w:r>
      <w:r w:rsidR="0097294A" w:rsidRPr="00B5106F">
        <w:rPr>
          <w:b/>
          <w:bCs/>
          <w:noProof/>
        </w:rPr>
        <w:fldChar w:fldCharType="end"/>
      </w:r>
      <w:r w:rsidRPr="00B5106F">
        <w:rPr>
          <w:b/>
          <w:bCs/>
        </w:rPr>
        <w:t>.</w:t>
      </w:r>
      <w:r w:rsidRPr="00B53F8C">
        <w:t xml:space="preserve"> PRISMA flow diagram for the systematic review</w:t>
      </w:r>
      <w:bookmarkEnd w:id="83"/>
    </w:p>
    <w:p w14:paraId="33FED263" w14:textId="77777777" w:rsidR="000E0E91" w:rsidRPr="000E0E91" w:rsidRDefault="000E0E91" w:rsidP="000E0E91">
      <w:pPr>
        <w:rPr>
          <w:rFonts w:cs="Arial"/>
          <w:b/>
          <w:bCs/>
          <w:color w:val="000000" w:themeColor="text1"/>
          <w:lang w:val="en-US"/>
        </w:rPr>
      </w:pPr>
      <w:r w:rsidRPr="000E0E91">
        <w:rPr>
          <w:rFonts w:cs="Arial"/>
          <w:b/>
          <w:bCs/>
          <w:color w:val="000000" w:themeColor="text1"/>
          <w:lang w:val="en-US"/>
        </w:rPr>
        <w:t xml:space="preserve">Characterising the available evidence  </w:t>
      </w:r>
    </w:p>
    <w:p w14:paraId="14451BBA" w14:textId="51D9E785" w:rsidR="000765E4" w:rsidRDefault="000E0E91" w:rsidP="000E0E91">
      <w:pPr>
        <w:rPr>
          <w:rFonts w:cs="Arial"/>
          <w:color w:val="000000" w:themeColor="text1"/>
          <w:lang w:val="en-US"/>
        </w:rPr>
      </w:pPr>
      <w:r w:rsidRPr="000E0E91">
        <w:rPr>
          <w:rFonts w:cs="Arial"/>
          <w:color w:val="000000" w:themeColor="text1"/>
          <w:lang w:val="en-US"/>
        </w:rPr>
        <w:t>Figures 3 to 6 present a description of the volume of publications (n=185) according to year published (Figure 3), study design (Figure 4), children in focus (Figure 5), population in focus in the outcomes (Figure 6).  Of note, there has been an increase in the volume of research published in the past 5 years (71.2% published between 2019 to 2024) in comparison to the preceding five years (2014 to 2018). Forty-four (23.8%) of the included studies were RCTs, and a further 57 (30.8%) were SCEDs, suggesting experimental designs comprise approximately 55% of the research designs investigating ECI practices. The population of interest in the included studies was predominantly children (rather than parents/caregivers or practitioners), and most studies (52.9%) were focused on children with, or showing early signs of, autism (commonly defined in the studies as ‘at risk’).</w:t>
      </w:r>
    </w:p>
    <w:p w14:paraId="73BB457C" w14:textId="77777777" w:rsidR="004B3C58" w:rsidRDefault="004B3C58" w:rsidP="000E0E91">
      <w:pPr>
        <w:rPr>
          <w:rFonts w:cs="Arial"/>
          <w:color w:val="000000" w:themeColor="text1"/>
          <w:lang w:val="en-US"/>
        </w:rPr>
      </w:pPr>
    </w:p>
    <w:p w14:paraId="3DCAB7E7" w14:textId="24FDDB15" w:rsidR="004B3C58" w:rsidRDefault="004B3C58" w:rsidP="000E0E91">
      <w:pPr>
        <w:rPr>
          <w:rFonts w:cs="Arial"/>
          <w:color w:val="000000" w:themeColor="text1"/>
          <w:lang w:val="en-US"/>
        </w:rPr>
      </w:pPr>
      <w:r w:rsidRPr="006E3DBB">
        <w:rPr>
          <w:rFonts w:ascii="Calibri" w:eastAsia="Times New Roman" w:hAnsi="Calibri" w:cs="Calibri"/>
          <w:b/>
          <w:noProof/>
          <w:szCs w:val="22"/>
          <w:lang w:eastAsia="en-AU"/>
        </w:rPr>
        <w:drawing>
          <wp:inline distT="0" distB="0" distL="0" distR="0" wp14:anchorId="39CA7704" wp14:editId="1925E23B">
            <wp:extent cx="5731510" cy="2642382"/>
            <wp:effectExtent l="0" t="0" r="8890" b="12065"/>
            <wp:docPr id="586489834" name="Chart 1">
              <a:extLst xmlns:a="http://schemas.openxmlformats.org/drawingml/2006/main">
                <a:ext uri="{FF2B5EF4-FFF2-40B4-BE49-F238E27FC236}">
                  <a16:creationId xmlns:a16="http://schemas.microsoft.com/office/drawing/2014/main" id="{08745F0B-7AA6-E4E6-B6B3-3B35FF549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DD6B076" w14:textId="77777777" w:rsidR="00564930" w:rsidRDefault="00564930" w:rsidP="000E0E91">
      <w:pPr>
        <w:rPr>
          <w:rFonts w:cs="Arial"/>
          <w:color w:val="000000" w:themeColor="text1"/>
          <w:lang w:val="en-US"/>
        </w:rPr>
      </w:pPr>
    </w:p>
    <w:p w14:paraId="224A54B8" w14:textId="59EBEF1A" w:rsidR="00564930" w:rsidRPr="001619F0" w:rsidRDefault="006D4402" w:rsidP="006D4402">
      <w:pPr>
        <w:pStyle w:val="Caption"/>
        <w:rPr>
          <w:rFonts w:cs="Arial"/>
          <w:color w:val="000000" w:themeColor="text1"/>
          <w:sz w:val="20"/>
          <w:szCs w:val="20"/>
          <w:lang w:val="en-US"/>
        </w:rPr>
      </w:pPr>
      <w:bookmarkStart w:id="84" w:name="_Toc177730757"/>
      <w:r w:rsidRPr="0099264A">
        <w:rPr>
          <w:b/>
          <w:bCs/>
        </w:rPr>
        <w:t xml:space="preserve">Figure </w:t>
      </w:r>
      <w:r w:rsidRPr="0099264A">
        <w:rPr>
          <w:b/>
          <w:bCs/>
        </w:rPr>
        <w:fldChar w:fldCharType="begin"/>
      </w:r>
      <w:r w:rsidRPr="0099264A">
        <w:rPr>
          <w:b/>
          <w:bCs/>
        </w:rPr>
        <w:instrText xml:space="preserve"> SEQ Figure \* ARABIC </w:instrText>
      </w:r>
      <w:r w:rsidRPr="0099264A">
        <w:rPr>
          <w:b/>
          <w:bCs/>
        </w:rPr>
        <w:fldChar w:fldCharType="separate"/>
      </w:r>
      <w:r w:rsidR="00303407">
        <w:rPr>
          <w:b/>
          <w:bCs/>
          <w:noProof/>
        </w:rPr>
        <w:t>3</w:t>
      </w:r>
      <w:r w:rsidRPr="0099264A">
        <w:rPr>
          <w:b/>
          <w:bCs/>
        </w:rPr>
        <w:fldChar w:fldCharType="end"/>
      </w:r>
      <w:r w:rsidRPr="0099264A">
        <w:rPr>
          <w:b/>
          <w:bCs/>
        </w:rPr>
        <w:t>.</w:t>
      </w:r>
      <w:r w:rsidRPr="00D82BAC">
        <w:t xml:space="preserve"> Number of publications by year of publication</w:t>
      </w:r>
      <w:bookmarkEnd w:id="84"/>
    </w:p>
    <w:p w14:paraId="756FF4A3" w14:textId="236C4ACF" w:rsidR="00222E93" w:rsidRPr="0099264A" w:rsidRDefault="0099264A" w:rsidP="0099264A">
      <w:pPr>
        <w:rPr>
          <w:sz w:val="20"/>
          <w:szCs w:val="20"/>
        </w:rPr>
      </w:pPr>
      <w:r w:rsidRPr="0099264A">
        <w:rPr>
          <w:sz w:val="20"/>
          <w:szCs w:val="20"/>
        </w:rPr>
        <w:t>Note. Two publications outside the included year range provide Aboriginal and Torres Strait Islander data. 70.3% of papers were published since 2019.</w:t>
      </w:r>
    </w:p>
    <w:p w14:paraId="6E4FC338" w14:textId="77777777" w:rsidR="00222E93" w:rsidRDefault="00222E93" w:rsidP="00564930">
      <w:pPr>
        <w:rPr>
          <w:rFonts w:cs="Arial"/>
          <w:color w:val="000000" w:themeColor="text1"/>
          <w:lang w:val="en-US"/>
        </w:rPr>
      </w:pPr>
    </w:p>
    <w:p w14:paraId="18903B7A" w14:textId="77777777" w:rsidR="00222E93" w:rsidRDefault="00222E93" w:rsidP="00564930">
      <w:pPr>
        <w:rPr>
          <w:rFonts w:cs="Arial"/>
          <w:color w:val="000000" w:themeColor="text1"/>
          <w:lang w:val="en-US"/>
        </w:rPr>
      </w:pPr>
    </w:p>
    <w:p w14:paraId="5B7B6340" w14:textId="77777777" w:rsidR="00222E93" w:rsidRDefault="00222E93" w:rsidP="00564930">
      <w:pPr>
        <w:rPr>
          <w:rFonts w:cs="Arial"/>
          <w:color w:val="000000" w:themeColor="text1"/>
          <w:lang w:val="en-US"/>
        </w:rPr>
      </w:pPr>
    </w:p>
    <w:p w14:paraId="11BB3799" w14:textId="77777777" w:rsidR="00222E93" w:rsidRDefault="00222E93" w:rsidP="00564930">
      <w:pPr>
        <w:rPr>
          <w:rFonts w:cs="Arial"/>
          <w:color w:val="000000" w:themeColor="text1"/>
          <w:lang w:val="en-US"/>
        </w:rPr>
      </w:pPr>
    </w:p>
    <w:p w14:paraId="6D96BC16" w14:textId="77777777" w:rsidR="00222E93" w:rsidRDefault="00222E93" w:rsidP="00564930">
      <w:pPr>
        <w:rPr>
          <w:rFonts w:cs="Arial"/>
          <w:color w:val="000000" w:themeColor="text1"/>
          <w:lang w:val="en-US"/>
        </w:rPr>
      </w:pPr>
    </w:p>
    <w:p w14:paraId="6E6B8196" w14:textId="77777777" w:rsidR="00222E93" w:rsidRDefault="00222E93" w:rsidP="00564930">
      <w:pPr>
        <w:rPr>
          <w:rFonts w:cs="Arial"/>
          <w:color w:val="000000" w:themeColor="text1"/>
          <w:lang w:val="en-US"/>
        </w:rPr>
      </w:pPr>
    </w:p>
    <w:p w14:paraId="0B41F409" w14:textId="77777777" w:rsidR="00222E93" w:rsidRDefault="00222E93" w:rsidP="00564930">
      <w:pPr>
        <w:rPr>
          <w:rFonts w:cs="Arial"/>
          <w:color w:val="000000" w:themeColor="text1"/>
          <w:lang w:val="en-US"/>
        </w:rPr>
      </w:pPr>
    </w:p>
    <w:p w14:paraId="1C53DA65" w14:textId="77777777" w:rsidR="00222E93" w:rsidRDefault="00222E93" w:rsidP="00564930">
      <w:pPr>
        <w:rPr>
          <w:rFonts w:cs="Arial"/>
          <w:color w:val="000000" w:themeColor="text1"/>
          <w:lang w:val="en-US"/>
        </w:rPr>
      </w:pPr>
    </w:p>
    <w:p w14:paraId="60FE73D4" w14:textId="77777777" w:rsidR="00222E93" w:rsidRDefault="00222E93" w:rsidP="00564930">
      <w:pPr>
        <w:rPr>
          <w:rFonts w:cs="Arial"/>
          <w:color w:val="000000" w:themeColor="text1"/>
          <w:lang w:val="en-US"/>
        </w:rPr>
      </w:pPr>
    </w:p>
    <w:p w14:paraId="69F94F0E" w14:textId="77777777" w:rsidR="00222E93" w:rsidRDefault="00222E93" w:rsidP="00564930">
      <w:pPr>
        <w:rPr>
          <w:rFonts w:cs="Arial"/>
          <w:color w:val="000000" w:themeColor="text1"/>
          <w:lang w:val="en-US"/>
        </w:rPr>
      </w:pPr>
    </w:p>
    <w:p w14:paraId="6095D8FD" w14:textId="77777777" w:rsidR="00222E93" w:rsidRDefault="00222E93" w:rsidP="00564930">
      <w:pPr>
        <w:rPr>
          <w:rFonts w:cs="Arial"/>
          <w:color w:val="000000" w:themeColor="text1"/>
          <w:lang w:val="en-US"/>
        </w:rPr>
      </w:pPr>
    </w:p>
    <w:p w14:paraId="23718903" w14:textId="55A1F0CF" w:rsidR="00222E93" w:rsidRDefault="00222E93" w:rsidP="00564930">
      <w:pPr>
        <w:rPr>
          <w:rFonts w:cs="Arial"/>
          <w:color w:val="000000" w:themeColor="text1"/>
          <w:lang w:val="en-US"/>
        </w:rPr>
      </w:pPr>
      <w:r w:rsidRPr="006E3DBB">
        <w:rPr>
          <w:rFonts w:ascii="Calibri" w:eastAsia="Times New Roman" w:hAnsi="Calibri" w:cs="Calibri"/>
          <w:b/>
          <w:noProof/>
          <w:szCs w:val="22"/>
          <w:lang w:eastAsia="en-AU"/>
        </w:rPr>
        <w:drawing>
          <wp:inline distT="0" distB="0" distL="0" distR="0" wp14:anchorId="40A0224C" wp14:editId="2561C331">
            <wp:extent cx="5731510" cy="2762888"/>
            <wp:effectExtent l="0" t="0" r="8890" b="18415"/>
            <wp:docPr id="1582636121" name="Chart 1">
              <a:extLst xmlns:a="http://schemas.openxmlformats.org/drawingml/2006/main">
                <a:ext uri="{FF2B5EF4-FFF2-40B4-BE49-F238E27FC236}">
                  <a16:creationId xmlns:a16="http://schemas.microsoft.com/office/drawing/2014/main" id="{6B44048C-A840-EE25-9BE1-9C3CCAFF3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0DFEAE9" w14:textId="08133B66" w:rsidR="003259EF" w:rsidRDefault="003259EF" w:rsidP="003259EF">
      <w:pPr>
        <w:pStyle w:val="Caption"/>
      </w:pPr>
      <w:bookmarkStart w:id="85" w:name="_Toc177730758"/>
      <w:r w:rsidRPr="00B5106F">
        <w:rPr>
          <w:b/>
          <w:bCs/>
        </w:rPr>
        <w:t xml:space="preserve">Figure </w:t>
      </w:r>
      <w:r w:rsidR="0097294A" w:rsidRPr="00B5106F">
        <w:rPr>
          <w:b/>
          <w:bCs/>
        </w:rPr>
        <w:fldChar w:fldCharType="begin"/>
      </w:r>
      <w:r w:rsidR="0097294A" w:rsidRPr="00B5106F">
        <w:rPr>
          <w:b/>
          <w:bCs/>
        </w:rPr>
        <w:instrText xml:space="preserve"> SEQ Figure \* ARABIC </w:instrText>
      </w:r>
      <w:r w:rsidR="0097294A" w:rsidRPr="00B5106F">
        <w:rPr>
          <w:b/>
          <w:bCs/>
        </w:rPr>
        <w:fldChar w:fldCharType="separate"/>
      </w:r>
      <w:r w:rsidR="00303407">
        <w:rPr>
          <w:b/>
          <w:bCs/>
          <w:noProof/>
        </w:rPr>
        <w:t>4</w:t>
      </w:r>
      <w:r w:rsidR="0097294A" w:rsidRPr="00B5106F">
        <w:rPr>
          <w:b/>
          <w:bCs/>
          <w:noProof/>
        </w:rPr>
        <w:fldChar w:fldCharType="end"/>
      </w:r>
      <w:r w:rsidRPr="00B5106F">
        <w:rPr>
          <w:b/>
          <w:bCs/>
        </w:rPr>
        <w:t>.</w:t>
      </w:r>
      <w:r w:rsidRPr="004D084C">
        <w:t xml:space="preserve">  Study design of relevant papers.</w:t>
      </w:r>
      <w:bookmarkEnd w:id="85"/>
    </w:p>
    <w:p w14:paraId="2DE6FB73" w14:textId="149D4800" w:rsidR="00222E93" w:rsidRPr="001619F0" w:rsidRDefault="00713855" w:rsidP="003259EF">
      <w:pPr>
        <w:pStyle w:val="Caption"/>
        <w:rPr>
          <w:rFonts w:cs="Arial"/>
          <w:color w:val="000000" w:themeColor="text1"/>
          <w:sz w:val="20"/>
          <w:szCs w:val="20"/>
          <w:lang w:val="en-US"/>
        </w:rPr>
      </w:pPr>
      <w:r w:rsidRPr="001619F0">
        <w:rPr>
          <w:rFonts w:cs="Arial"/>
          <w:color w:val="000000" w:themeColor="text1"/>
          <w:sz w:val="20"/>
          <w:szCs w:val="20"/>
          <w:lang w:val="en-US"/>
        </w:rPr>
        <w:t>Note. Papers reporting First Nations data involved a range of design and publication types, including government reports, program evaluations, consultations, qualitative or mixed methods research papers.</w:t>
      </w:r>
    </w:p>
    <w:p w14:paraId="7FC9FA7B" w14:textId="77777777" w:rsidR="00713855" w:rsidRDefault="00713855" w:rsidP="00713855">
      <w:pPr>
        <w:rPr>
          <w:rFonts w:cs="Arial"/>
          <w:color w:val="000000" w:themeColor="text1"/>
          <w:lang w:val="en-US"/>
        </w:rPr>
      </w:pPr>
    </w:p>
    <w:p w14:paraId="1796C757" w14:textId="36488B52" w:rsidR="00713855" w:rsidRDefault="00F55254" w:rsidP="00713855">
      <w:pPr>
        <w:rPr>
          <w:rFonts w:cs="Arial"/>
          <w:color w:val="000000" w:themeColor="text1"/>
          <w:lang w:val="en-US"/>
        </w:rPr>
      </w:pPr>
      <w:r w:rsidRPr="006E3DBB">
        <w:rPr>
          <w:rFonts w:ascii="Calibri" w:eastAsia="Times New Roman" w:hAnsi="Calibri" w:cs="Calibri"/>
          <w:b/>
          <w:noProof/>
          <w:szCs w:val="22"/>
          <w:lang w:eastAsia="en-AU"/>
        </w:rPr>
        <w:drawing>
          <wp:inline distT="0" distB="0" distL="0" distR="0" wp14:anchorId="1815985E" wp14:editId="12F9AE33">
            <wp:extent cx="5731510" cy="2957088"/>
            <wp:effectExtent l="0" t="0" r="8890" b="15240"/>
            <wp:docPr id="1508595746" name="Chart 1">
              <a:extLst xmlns:a="http://schemas.openxmlformats.org/drawingml/2006/main">
                <a:ext uri="{FF2B5EF4-FFF2-40B4-BE49-F238E27FC236}">
                  <a16:creationId xmlns:a16="http://schemas.microsoft.com/office/drawing/2014/main" id="{3A795CCB-F2F6-6C3C-9728-46562EC6F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AD8CABB" w14:textId="2EE938E8" w:rsidR="007B4E3F" w:rsidRDefault="007B4E3F" w:rsidP="007B4E3F">
      <w:pPr>
        <w:pStyle w:val="Caption"/>
      </w:pPr>
      <w:bookmarkStart w:id="86" w:name="_Toc177730759"/>
      <w:r w:rsidRPr="00B5106F">
        <w:rPr>
          <w:b/>
          <w:bCs/>
        </w:rPr>
        <w:t xml:space="preserve">Figure </w:t>
      </w:r>
      <w:r w:rsidR="0097294A" w:rsidRPr="00B5106F">
        <w:rPr>
          <w:b/>
          <w:bCs/>
        </w:rPr>
        <w:fldChar w:fldCharType="begin"/>
      </w:r>
      <w:r w:rsidR="0097294A" w:rsidRPr="00B5106F">
        <w:rPr>
          <w:b/>
          <w:bCs/>
        </w:rPr>
        <w:instrText xml:space="preserve"> SEQ Figure \* ARABIC </w:instrText>
      </w:r>
      <w:r w:rsidR="0097294A" w:rsidRPr="00B5106F">
        <w:rPr>
          <w:b/>
          <w:bCs/>
        </w:rPr>
        <w:fldChar w:fldCharType="separate"/>
      </w:r>
      <w:r w:rsidR="00303407">
        <w:rPr>
          <w:b/>
          <w:bCs/>
          <w:noProof/>
        </w:rPr>
        <w:t>5</w:t>
      </w:r>
      <w:r w:rsidR="0097294A" w:rsidRPr="00B5106F">
        <w:rPr>
          <w:b/>
          <w:bCs/>
          <w:noProof/>
        </w:rPr>
        <w:fldChar w:fldCharType="end"/>
      </w:r>
      <w:r w:rsidRPr="00B5106F">
        <w:rPr>
          <w:b/>
          <w:bCs/>
        </w:rPr>
        <w:t>.</w:t>
      </w:r>
      <w:r w:rsidRPr="00FE6ADB">
        <w:t xml:space="preserve"> Child condition in focus in relevant publications</w:t>
      </w:r>
      <w:bookmarkEnd w:id="86"/>
    </w:p>
    <w:p w14:paraId="3941639D" w14:textId="6D17F32C" w:rsidR="00F55254" w:rsidRPr="001619F0" w:rsidRDefault="00DB263D" w:rsidP="007B4E3F">
      <w:pPr>
        <w:pStyle w:val="Caption"/>
        <w:rPr>
          <w:rFonts w:cs="Arial"/>
          <w:color w:val="000000" w:themeColor="text1"/>
          <w:sz w:val="20"/>
          <w:szCs w:val="20"/>
          <w:lang w:val="en-US"/>
        </w:rPr>
      </w:pPr>
      <w:r w:rsidRPr="001619F0">
        <w:rPr>
          <w:rFonts w:cs="Arial"/>
          <w:color w:val="000000" w:themeColor="text1"/>
          <w:sz w:val="20"/>
          <w:szCs w:val="20"/>
          <w:lang w:val="en-US"/>
        </w:rPr>
        <w:t>Note. Studies involving First Nations samples were categorized as such, given most included children without health conditions or included all young children in the community or setting. 52.9% of papers relate to children with autism or showing early signs of autism.</w:t>
      </w:r>
    </w:p>
    <w:p w14:paraId="278E0B81" w14:textId="77777777" w:rsidR="00DB263D" w:rsidRDefault="00DB263D" w:rsidP="00DB263D">
      <w:pPr>
        <w:rPr>
          <w:rFonts w:cs="Arial"/>
          <w:color w:val="000000" w:themeColor="text1"/>
          <w:lang w:val="en-US"/>
        </w:rPr>
      </w:pPr>
    </w:p>
    <w:p w14:paraId="5D74CE05" w14:textId="77777777" w:rsidR="00DB263D" w:rsidRDefault="00DB263D" w:rsidP="00DB263D">
      <w:pPr>
        <w:rPr>
          <w:rFonts w:cs="Arial"/>
          <w:color w:val="000000" w:themeColor="text1"/>
          <w:lang w:val="en-US"/>
        </w:rPr>
      </w:pPr>
    </w:p>
    <w:p w14:paraId="4416A081" w14:textId="549E4C9F" w:rsidR="00DB263D" w:rsidRDefault="0081625E" w:rsidP="00DB263D">
      <w:pPr>
        <w:rPr>
          <w:rFonts w:cs="Arial"/>
          <w:color w:val="000000" w:themeColor="text1"/>
          <w:lang w:val="en-US"/>
        </w:rPr>
      </w:pPr>
      <w:r w:rsidRPr="006E3DBB">
        <w:rPr>
          <w:rFonts w:ascii="Calibri" w:eastAsia="Times New Roman" w:hAnsi="Calibri" w:cs="Calibri"/>
          <w:b/>
          <w:noProof/>
          <w:szCs w:val="22"/>
          <w:lang w:eastAsia="en-AU"/>
        </w:rPr>
        <w:drawing>
          <wp:inline distT="0" distB="0" distL="0" distR="0" wp14:anchorId="57EE4C86" wp14:editId="044AA3D9">
            <wp:extent cx="5731510" cy="3023112"/>
            <wp:effectExtent l="0" t="0" r="8890" b="12700"/>
            <wp:docPr id="809080432" name="Chart 1">
              <a:extLst xmlns:a="http://schemas.openxmlformats.org/drawingml/2006/main">
                <a:ext uri="{FF2B5EF4-FFF2-40B4-BE49-F238E27FC236}">
                  <a16:creationId xmlns:a16="http://schemas.microsoft.com/office/drawing/2014/main" id="{AD1EAFC9-71E4-593C-11D4-5E68AC2D3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A80527B" w14:textId="5A24202D" w:rsidR="0097294A" w:rsidRDefault="0097294A" w:rsidP="0097294A">
      <w:pPr>
        <w:pStyle w:val="Caption"/>
      </w:pPr>
      <w:bookmarkStart w:id="87" w:name="_Toc177730760"/>
      <w:r w:rsidRPr="00B5106F">
        <w:rPr>
          <w:b/>
          <w:bCs/>
        </w:rPr>
        <w:t xml:space="preserve">Figure </w:t>
      </w:r>
      <w:r w:rsidRPr="00B5106F">
        <w:rPr>
          <w:b/>
          <w:bCs/>
        </w:rPr>
        <w:fldChar w:fldCharType="begin"/>
      </w:r>
      <w:r w:rsidRPr="00B5106F">
        <w:rPr>
          <w:b/>
          <w:bCs/>
        </w:rPr>
        <w:instrText xml:space="preserve"> SEQ Figure \* ARABIC </w:instrText>
      </w:r>
      <w:r w:rsidRPr="00B5106F">
        <w:rPr>
          <w:b/>
          <w:bCs/>
        </w:rPr>
        <w:fldChar w:fldCharType="separate"/>
      </w:r>
      <w:r w:rsidR="00303407">
        <w:rPr>
          <w:b/>
          <w:bCs/>
          <w:noProof/>
        </w:rPr>
        <w:t>6</w:t>
      </w:r>
      <w:r w:rsidRPr="00B5106F">
        <w:rPr>
          <w:b/>
          <w:bCs/>
          <w:noProof/>
        </w:rPr>
        <w:fldChar w:fldCharType="end"/>
      </w:r>
      <w:r w:rsidRPr="00B5106F">
        <w:rPr>
          <w:b/>
          <w:bCs/>
        </w:rPr>
        <w:t>.</w:t>
      </w:r>
      <w:r>
        <w:t xml:space="preserve"> </w:t>
      </w:r>
      <w:r w:rsidRPr="00C26254">
        <w:t>Populations in focus in the outcomes collected.</w:t>
      </w:r>
      <w:bookmarkEnd w:id="87"/>
    </w:p>
    <w:p w14:paraId="225BE73F" w14:textId="1D6C9AEE" w:rsidR="004772DF" w:rsidRPr="001619F0" w:rsidRDefault="004772DF" w:rsidP="0097294A">
      <w:pPr>
        <w:pStyle w:val="Caption"/>
        <w:rPr>
          <w:rFonts w:cs="Arial"/>
          <w:color w:val="000000" w:themeColor="text1"/>
          <w:sz w:val="20"/>
          <w:szCs w:val="20"/>
          <w:lang w:val="en-US"/>
        </w:rPr>
      </w:pPr>
      <w:r w:rsidRPr="001619F0">
        <w:rPr>
          <w:rFonts w:cs="Arial"/>
          <w:color w:val="000000" w:themeColor="text1"/>
          <w:sz w:val="20"/>
          <w:szCs w:val="20"/>
          <w:lang w:val="en-US"/>
        </w:rPr>
        <w:t>Note. Cost relates to a cost-effectiveness analysis within an RCT investigating effectiveness of communication-focused therapy for children with autism.</w:t>
      </w:r>
    </w:p>
    <w:p w14:paraId="4C160195" w14:textId="77777777" w:rsidR="00AB4C51" w:rsidRPr="004772DF" w:rsidRDefault="00AB4C51" w:rsidP="004772DF">
      <w:pPr>
        <w:rPr>
          <w:rFonts w:cs="Arial"/>
          <w:color w:val="000000" w:themeColor="text1"/>
          <w:lang w:val="en-US"/>
        </w:rPr>
      </w:pPr>
    </w:p>
    <w:p w14:paraId="411E1182" w14:textId="3AC30E17" w:rsidR="0081625E" w:rsidRDefault="004772DF" w:rsidP="004772DF">
      <w:pPr>
        <w:rPr>
          <w:rFonts w:cs="Arial"/>
          <w:color w:val="000000" w:themeColor="text1"/>
          <w:lang w:val="en-US"/>
        </w:rPr>
      </w:pPr>
      <w:r w:rsidRPr="004772DF">
        <w:rPr>
          <w:rFonts w:cs="Arial"/>
          <w:color w:val="000000" w:themeColor="text1"/>
          <w:lang w:val="en-US"/>
        </w:rPr>
        <w:t>In the following sections, results are reported according to study design or focus, in the following order: systematic reviews, RCTs, qualitative studies, and evidence using a range of methods relevant to Aboriginal and Torres Strait Islander children, families and communities.</w:t>
      </w:r>
    </w:p>
    <w:p w14:paraId="19E32EC9" w14:textId="77777777" w:rsidR="00AB4C51" w:rsidRPr="00AB4C51" w:rsidRDefault="00AB4C51" w:rsidP="00AB4C51">
      <w:pPr>
        <w:rPr>
          <w:rFonts w:cs="Arial"/>
          <w:b/>
          <w:bCs/>
          <w:color w:val="000000" w:themeColor="text1"/>
          <w:lang w:val="en-US"/>
        </w:rPr>
      </w:pPr>
      <w:r w:rsidRPr="00AB4C51">
        <w:rPr>
          <w:rFonts w:cs="Arial"/>
          <w:b/>
          <w:bCs/>
          <w:color w:val="000000" w:themeColor="text1"/>
          <w:lang w:val="en-US"/>
        </w:rPr>
        <w:t>Outcomes from reviews and trials</w:t>
      </w:r>
    </w:p>
    <w:p w14:paraId="3B869A2E" w14:textId="77777777" w:rsidR="00AB4C51" w:rsidRPr="00AB4C51" w:rsidRDefault="00AB4C51" w:rsidP="00AB4C51">
      <w:pPr>
        <w:rPr>
          <w:rFonts w:cs="Arial"/>
          <w:color w:val="000000" w:themeColor="text1"/>
          <w:lang w:val="en-US"/>
        </w:rPr>
      </w:pPr>
      <w:r w:rsidRPr="00AB4C51">
        <w:rPr>
          <w:rFonts w:cs="Arial"/>
          <w:color w:val="000000" w:themeColor="text1"/>
          <w:lang w:val="en-US"/>
        </w:rPr>
        <w:t>Systematic reviews</w:t>
      </w:r>
    </w:p>
    <w:p w14:paraId="5FE619C9" w14:textId="5FF9B119" w:rsidR="00AB4C51" w:rsidRPr="00AB4C51" w:rsidRDefault="00AB4C51" w:rsidP="00AB4C51">
      <w:pPr>
        <w:rPr>
          <w:rFonts w:cs="Arial"/>
          <w:color w:val="000000" w:themeColor="text1"/>
          <w:lang w:val="en-US"/>
        </w:rPr>
      </w:pPr>
      <w:r w:rsidRPr="00AB4C51">
        <w:rPr>
          <w:rFonts w:cs="Arial"/>
          <w:color w:val="000000" w:themeColor="text1"/>
          <w:lang w:val="en-US"/>
        </w:rPr>
        <w:t xml:space="preserve">There were five included systematic reviews, three of which are reported in the evidence relating to Aboriginal and Torres Strait Islander children and families (see Table 20) and two are reported here (see Table 4). Both included reviews focus on children with or showing early signs of autism. Alatar et al, 2023 examined effects of telehealth delivery of naturalistic developmental early interventions to improve children’s social communication skills. Telehealth approaches focus on parent coaching – a capacity-building ECI practice. Alatar et al, did not include a meta-analysis. </w:t>
      </w:r>
    </w:p>
    <w:p w14:paraId="3ADAF829" w14:textId="19780DF0" w:rsidR="00AB4C51" w:rsidRDefault="00AB4C51" w:rsidP="00AB4C51">
      <w:pPr>
        <w:rPr>
          <w:rFonts w:cs="Arial"/>
          <w:color w:val="000000" w:themeColor="text1"/>
          <w:lang w:val="en-US"/>
        </w:rPr>
      </w:pPr>
      <w:r w:rsidRPr="00AB4C51">
        <w:rPr>
          <w:rFonts w:cs="Arial"/>
          <w:color w:val="000000" w:themeColor="text1"/>
          <w:lang w:val="en-US"/>
        </w:rPr>
        <w:t xml:space="preserve">Hampton et al, 2022 also reviewed the evidence for pre-emptive behavioural or developmental interventions delivered to children showing early signs of autism on child and/or parent/family outcomes. The core identified intervention approach in this review was teaching parents to respond to communication attempts and build joint engagement – a capacity building ECI practice.  </w:t>
      </w:r>
    </w:p>
    <w:p w14:paraId="0870A7D7" w14:textId="77777777" w:rsidR="0032741E" w:rsidRDefault="0032741E" w:rsidP="00AB4C51">
      <w:pPr>
        <w:rPr>
          <w:rFonts w:cs="Arial"/>
          <w:color w:val="000000" w:themeColor="text1"/>
          <w:lang w:val="en-US"/>
        </w:rPr>
      </w:pPr>
    </w:p>
    <w:p w14:paraId="0BEC0E98" w14:textId="77777777" w:rsidR="0032741E" w:rsidRDefault="0032741E" w:rsidP="00AB4C51">
      <w:pPr>
        <w:rPr>
          <w:rFonts w:cs="Arial"/>
          <w:color w:val="000000" w:themeColor="text1"/>
          <w:lang w:val="en-US"/>
        </w:rPr>
      </w:pPr>
    </w:p>
    <w:p w14:paraId="51F5F5C3" w14:textId="77777777" w:rsidR="0032741E" w:rsidRDefault="0032741E" w:rsidP="00AB4C51">
      <w:pPr>
        <w:rPr>
          <w:rFonts w:cs="Arial"/>
          <w:color w:val="000000" w:themeColor="text1"/>
          <w:lang w:val="en-US"/>
        </w:rPr>
      </w:pPr>
    </w:p>
    <w:p w14:paraId="766CA599" w14:textId="77777777" w:rsidR="0032741E" w:rsidRDefault="0032741E" w:rsidP="00AB4C51">
      <w:pPr>
        <w:rPr>
          <w:rFonts w:cs="Arial"/>
          <w:color w:val="000000" w:themeColor="text1"/>
          <w:lang w:val="en-US"/>
        </w:rPr>
      </w:pPr>
    </w:p>
    <w:p w14:paraId="0CB2113A" w14:textId="77777777" w:rsidR="00505733" w:rsidRDefault="00505733" w:rsidP="00AB4C51">
      <w:pPr>
        <w:rPr>
          <w:rFonts w:cs="Arial"/>
          <w:color w:val="000000" w:themeColor="text1"/>
          <w:lang w:val="en-US"/>
        </w:rPr>
        <w:sectPr w:rsidR="00505733" w:rsidSect="000765E4">
          <w:pgSz w:w="11906" w:h="16838"/>
          <w:pgMar w:top="1440" w:right="1440" w:bottom="1440" w:left="1440" w:header="709" w:footer="709" w:gutter="0"/>
          <w:cols w:space="708"/>
          <w:titlePg/>
          <w:docGrid w:linePitch="360"/>
        </w:sectPr>
      </w:pPr>
    </w:p>
    <w:p w14:paraId="199E4A18" w14:textId="1E732DB8" w:rsidR="0032741E" w:rsidRDefault="00300864" w:rsidP="00300864">
      <w:pPr>
        <w:pStyle w:val="Caption"/>
        <w:rPr>
          <w:rFonts w:cs="Arial"/>
          <w:color w:val="000000" w:themeColor="text1"/>
          <w:lang w:val="en-US"/>
        </w:rPr>
      </w:pPr>
      <w:bookmarkStart w:id="88" w:name="_Ref177725112"/>
      <w:bookmarkStart w:id="89" w:name="_Toc177725003"/>
      <w:bookmarkStart w:id="90" w:name="_Toc177727323"/>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5</w:t>
      </w:r>
      <w:r w:rsidR="00627239" w:rsidRPr="00B5106F">
        <w:rPr>
          <w:b/>
          <w:bCs/>
          <w:noProof/>
        </w:rPr>
        <w:fldChar w:fldCharType="end"/>
      </w:r>
      <w:bookmarkEnd w:id="88"/>
      <w:r w:rsidRPr="00B5106F">
        <w:rPr>
          <w:b/>
          <w:bCs/>
        </w:rPr>
        <w:t>.</w:t>
      </w:r>
      <w:r w:rsidRPr="001F6A75">
        <w:t xml:space="preserve"> Characteristics and outcomes of systematic reviews</w:t>
      </w:r>
      <w:bookmarkEnd w:id="89"/>
      <w:bookmarkEnd w:id="90"/>
    </w:p>
    <w:tbl>
      <w:tblPr>
        <w:tblStyle w:val="UniofMelTable311"/>
        <w:tblpPr w:leftFromText="180" w:rightFromText="180" w:vertAnchor="text" w:tblpY="1"/>
        <w:tblOverlap w:val="never"/>
        <w:tblW w:w="13750" w:type="dxa"/>
        <w:tblLook w:val="04A0" w:firstRow="1" w:lastRow="0" w:firstColumn="1" w:lastColumn="0" w:noHBand="0" w:noVBand="1"/>
      </w:tblPr>
      <w:tblGrid>
        <w:gridCol w:w="1949"/>
        <w:gridCol w:w="2019"/>
        <w:gridCol w:w="1885"/>
        <w:gridCol w:w="2369"/>
        <w:gridCol w:w="5528"/>
      </w:tblGrid>
      <w:tr w:rsidR="00787D71" w:rsidRPr="00787D71" w14:paraId="655B174C" w14:textId="77777777" w:rsidTr="00787D71">
        <w:trPr>
          <w:cnfStyle w:val="100000000000" w:firstRow="1" w:lastRow="0" w:firstColumn="0" w:lastColumn="0" w:oddVBand="0" w:evenVBand="0" w:oddHBand="0" w:evenHBand="0" w:firstRowFirstColumn="0" w:firstRowLastColumn="0" w:lastRowFirstColumn="0" w:lastRowLastColumn="0"/>
          <w:trHeight w:val="838"/>
        </w:trPr>
        <w:tc>
          <w:tcPr>
            <w:tcW w:w="1949" w:type="dxa"/>
            <w:shd w:val="clear" w:color="auto" w:fill="0C2C74"/>
          </w:tcPr>
          <w:p w14:paraId="5249CCB5" w14:textId="77777777" w:rsidR="00787D71" w:rsidRPr="00787D71" w:rsidRDefault="00787D71">
            <w:pPr>
              <w:suppressAutoHyphens/>
              <w:spacing w:before="40" w:after="40" w:line="200" w:lineRule="atLeast"/>
              <w:rPr>
                <w:rFonts w:eastAsia="Times New Roman" w:cs="Arial"/>
                <w:b/>
                <w:lang w:eastAsia="en-AU"/>
              </w:rPr>
            </w:pPr>
            <w:r w:rsidRPr="00787D71">
              <w:rPr>
                <w:rFonts w:eastAsia="Times New Roman" w:cs="Arial"/>
                <w:b/>
                <w:lang w:eastAsia="en-AU"/>
              </w:rPr>
              <w:t xml:space="preserve">Author Year, Jurisdiction </w:t>
            </w:r>
          </w:p>
        </w:tc>
        <w:tc>
          <w:tcPr>
            <w:tcW w:w="2019" w:type="dxa"/>
            <w:shd w:val="clear" w:color="auto" w:fill="0C2C74"/>
          </w:tcPr>
          <w:p w14:paraId="743F0C26" w14:textId="77777777" w:rsidR="00787D71" w:rsidRPr="00787D71" w:rsidRDefault="00787D71">
            <w:pPr>
              <w:suppressAutoHyphens/>
              <w:spacing w:before="40" w:after="40" w:line="200" w:lineRule="atLeast"/>
              <w:rPr>
                <w:rFonts w:eastAsia="Times New Roman" w:cs="Arial"/>
                <w:b/>
                <w:szCs w:val="22"/>
                <w:lang w:eastAsia="en-AU"/>
              </w:rPr>
            </w:pPr>
            <w:r w:rsidRPr="00787D71">
              <w:rPr>
                <w:rFonts w:eastAsia="Times New Roman" w:cs="Arial"/>
                <w:b/>
                <w:szCs w:val="22"/>
                <w:lang w:eastAsia="en-AU"/>
              </w:rPr>
              <w:t xml:space="preserve">Study purpose </w:t>
            </w:r>
          </w:p>
        </w:tc>
        <w:tc>
          <w:tcPr>
            <w:tcW w:w="1885" w:type="dxa"/>
            <w:shd w:val="clear" w:color="auto" w:fill="0C2C74"/>
          </w:tcPr>
          <w:p w14:paraId="31C20A30" w14:textId="77777777" w:rsidR="00787D71" w:rsidRPr="00787D71" w:rsidRDefault="00787D71">
            <w:pPr>
              <w:suppressAutoHyphens/>
              <w:spacing w:before="40" w:after="40" w:line="200" w:lineRule="atLeast"/>
              <w:jc w:val="center"/>
              <w:rPr>
                <w:rFonts w:eastAsia="Times New Roman" w:cs="Arial"/>
                <w:b/>
                <w:szCs w:val="22"/>
                <w:lang w:eastAsia="en-AU"/>
              </w:rPr>
            </w:pPr>
            <w:r w:rsidRPr="00787D71">
              <w:rPr>
                <w:rFonts w:eastAsia="Times New Roman" w:cs="Arial"/>
                <w:b/>
                <w:szCs w:val="22"/>
                <w:lang w:eastAsia="en-AU"/>
              </w:rPr>
              <w:t>Intervention/s in focus</w:t>
            </w:r>
          </w:p>
        </w:tc>
        <w:tc>
          <w:tcPr>
            <w:tcW w:w="2369" w:type="dxa"/>
            <w:shd w:val="clear" w:color="auto" w:fill="0C2C74"/>
          </w:tcPr>
          <w:p w14:paraId="7C0D9AFE" w14:textId="77777777" w:rsidR="00787D71" w:rsidRPr="00787D71" w:rsidRDefault="00787D71">
            <w:pPr>
              <w:suppressAutoHyphens/>
              <w:spacing w:before="40" w:after="40" w:line="200" w:lineRule="atLeast"/>
              <w:jc w:val="center"/>
              <w:rPr>
                <w:rFonts w:eastAsia="Times New Roman" w:cs="Arial"/>
                <w:b/>
                <w:szCs w:val="22"/>
                <w:lang w:eastAsia="en-AU"/>
              </w:rPr>
            </w:pPr>
            <w:r w:rsidRPr="00787D71">
              <w:rPr>
                <w:rFonts w:eastAsia="Times New Roman" w:cs="Arial"/>
                <w:b/>
                <w:szCs w:val="22"/>
                <w:lang w:eastAsia="en-AU"/>
              </w:rPr>
              <w:t>Studies (k); children (n) included</w:t>
            </w:r>
          </w:p>
        </w:tc>
        <w:tc>
          <w:tcPr>
            <w:tcW w:w="5528" w:type="dxa"/>
            <w:shd w:val="clear" w:color="auto" w:fill="0C2C74"/>
          </w:tcPr>
          <w:p w14:paraId="30FFEE06" w14:textId="77777777" w:rsidR="00787D71" w:rsidRPr="00787D71" w:rsidRDefault="00787D71">
            <w:pPr>
              <w:suppressAutoHyphens/>
              <w:spacing w:before="40" w:after="40" w:line="200" w:lineRule="atLeast"/>
              <w:rPr>
                <w:rFonts w:eastAsia="Times New Roman" w:cs="Arial"/>
                <w:b/>
                <w:szCs w:val="22"/>
                <w:lang w:eastAsia="en-AU"/>
              </w:rPr>
            </w:pPr>
            <w:r w:rsidRPr="00787D71">
              <w:rPr>
                <w:rFonts w:eastAsia="Times New Roman" w:cs="Arial"/>
                <w:b/>
                <w:szCs w:val="22"/>
                <w:lang w:eastAsia="en-AU"/>
              </w:rPr>
              <w:t>Summary of findings</w:t>
            </w:r>
          </w:p>
        </w:tc>
      </w:tr>
      <w:tr w:rsidR="00787D71" w:rsidRPr="00787D71" w14:paraId="51D11124" w14:textId="77777777">
        <w:trPr>
          <w:cnfStyle w:val="000000100000" w:firstRow="0" w:lastRow="0" w:firstColumn="0" w:lastColumn="0" w:oddVBand="0" w:evenVBand="0" w:oddHBand="1" w:evenHBand="0" w:firstRowFirstColumn="0" w:firstRowLastColumn="0" w:lastRowFirstColumn="0" w:lastRowLastColumn="0"/>
          <w:trHeight w:val="340"/>
        </w:trPr>
        <w:tc>
          <w:tcPr>
            <w:tcW w:w="1949" w:type="dxa"/>
          </w:tcPr>
          <w:p w14:paraId="7299A482" w14:textId="77777777" w:rsidR="00787D71" w:rsidRPr="00787D71" w:rsidRDefault="00787D71">
            <w:pPr>
              <w:suppressAutoHyphens/>
              <w:spacing w:before="40" w:after="40" w:line="200" w:lineRule="atLeast"/>
              <w:rPr>
                <w:rFonts w:cs="Arial"/>
                <w:b/>
                <w:bCs/>
              </w:rPr>
            </w:pPr>
            <w:r w:rsidRPr="00787D71">
              <w:rPr>
                <w:rFonts w:cs="Arial"/>
                <w:b/>
                <w:bCs/>
              </w:rPr>
              <w:t xml:space="preserve">Alatar </w:t>
            </w:r>
          </w:p>
          <w:p w14:paraId="0B4910A2" w14:textId="77777777" w:rsidR="00787D71" w:rsidRPr="00787D71" w:rsidRDefault="00787D71">
            <w:pPr>
              <w:suppressAutoHyphens/>
              <w:spacing w:before="40" w:after="40" w:line="200" w:lineRule="atLeast"/>
              <w:rPr>
                <w:rFonts w:cs="Arial"/>
                <w:b/>
                <w:bCs/>
              </w:rPr>
            </w:pPr>
            <w:r w:rsidRPr="00787D71">
              <w:rPr>
                <w:rFonts w:cs="Arial"/>
                <w:b/>
                <w:bCs/>
              </w:rPr>
              <w:t>2023</w:t>
            </w:r>
          </w:p>
          <w:p w14:paraId="0D0FBEA4" w14:textId="77777777" w:rsidR="00787D71" w:rsidRPr="00787D71" w:rsidRDefault="00787D71">
            <w:pPr>
              <w:spacing w:before="40" w:after="40" w:line="200" w:lineRule="atLeast"/>
              <w:rPr>
                <w:rFonts w:cs="Arial"/>
              </w:rPr>
            </w:pPr>
          </w:p>
          <w:p w14:paraId="30115E5D" w14:textId="77777777" w:rsidR="00787D71" w:rsidRPr="00787D71" w:rsidRDefault="00787D71">
            <w:pPr>
              <w:spacing w:before="40" w:after="40" w:line="200" w:lineRule="atLeast"/>
              <w:rPr>
                <w:rFonts w:cs="Arial"/>
              </w:rPr>
            </w:pPr>
            <w:r w:rsidRPr="00787D71">
              <w:rPr>
                <w:rFonts w:cs="Arial"/>
              </w:rPr>
              <w:t>Search publication date range: 2000 – 2021</w:t>
            </w:r>
          </w:p>
          <w:p w14:paraId="255DE5E3" w14:textId="77777777" w:rsidR="00787D71" w:rsidRPr="00787D71" w:rsidRDefault="00787D71">
            <w:pPr>
              <w:spacing w:before="40" w:after="40" w:line="200" w:lineRule="atLeast"/>
              <w:rPr>
                <w:rFonts w:cs="Arial"/>
              </w:rPr>
            </w:pPr>
          </w:p>
          <w:p w14:paraId="1E48EF9D" w14:textId="77777777" w:rsidR="00787D71" w:rsidRPr="00787D71" w:rsidRDefault="00787D71">
            <w:pPr>
              <w:spacing w:before="40" w:after="40" w:line="200" w:lineRule="atLeast"/>
              <w:rPr>
                <w:rFonts w:cs="Arial"/>
              </w:rPr>
            </w:pPr>
            <w:r w:rsidRPr="00787D71">
              <w:rPr>
                <w:rFonts w:cs="Arial"/>
              </w:rPr>
              <w:t>Included studies jurisdiction:</w:t>
            </w:r>
          </w:p>
          <w:p w14:paraId="6F1D0BB6" w14:textId="77777777" w:rsidR="00787D71" w:rsidRPr="00787D71" w:rsidRDefault="00787D71">
            <w:pPr>
              <w:spacing w:before="40" w:after="40" w:line="200" w:lineRule="atLeast"/>
              <w:rPr>
                <w:rFonts w:cs="Arial"/>
              </w:rPr>
            </w:pPr>
            <w:r w:rsidRPr="00787D71">
              <w:rPr>
                <w:rFonts w:cs="Arial"/>
              </w:rPr>
              <w:t xml:space="preserve">US (n=3); </w:t>
            </w:r>
          </w:p>
          <w:p w14:paraId="48572F5E" w14:textId="77777777" w:rsidR="00787D71" w:rsidRPr="00787D71" w:rsidRDefault="00787D71">
            <w:pPr>
              <w:spacing w:before="40" w:after="40" w:line="200" w:lineRule="atLeast"/>
              <w:rPr>
                <w:rFonts w:cs="Arial"/>
              </w:rPr>
            </w:pPr>
            <w:r w:rsidRPr="00787D71">
              <w:rPr>
                <w:rFonts w:cs="Arial"/>
              </w:rPr>
              <w:t xml:space="preserve">Iceland (n=2); Canada (n=1); US/Canada (n=1); Singapore (n=1); </w:t>
            </w:r>
          </w:p>
          <w:p w14:paraId="53C0F25A" w14:textId="77777777" w:rsidR="00787D71" w:rsidRPr="00787D71" w:rsidRDefault="00787D71">
            <w:pPr>
              <w:spacing w:before="40" w:after="40" w:line="200" w:lineRule="atLeast"/>
              <w:rPr>
                <w:rFonts w:cs="Arial"/>
              </w:rPr>
            </w:pPr>
            <w:r w:rsidRPr="00787D71">
              <w:rPr>
                <w:rFonts w:cs="Arial"/>
              </w:rPr>
              <w:t>NR (n=1)</w:t>
            </w:r>
          </w:p>
          <w:p w14:paraId="2C1E524B" w14:textId="77777777" w:rsidR="00787D71" w:rsidRPr="00787D71" w:rsidRDefault="00787D71">
            <w:pPr>
              <w:suppressAutoHyphens/>
              <w:spacing w:before="40" w:after="40" w:line="200" w:lineRule="atLeast"/>
              <w:rPr>
                <w:rFonts w:cs="Arial"/>
                <w:lang w:eastAsia="en-AU"/>
              </w:rPr>
            </w:pPr>
          </w:p>
        </w:tc>
        <w:tc>
          <w:tcPr>
            <w:tcW w:w="2019" w:type="dxa"/>
          </w:tcPr>
          <w:p w14:paraId="2247DACB" w14:textId="77777777" w:rsidR="00787D71" w:rsidRPr="00787D71" w:rsidRDefault="00787D71">
            <w:pPr>
              <w:suppressAutoHyphens/>
              <w:spacing w:after="160" w:line="276" w:lineRule="auto"/>
              <w:rPr>
                <w:rFonts w:cs="Arial"/>
              </w:rPr>
            </w:pPr>
            <w:r w:rsidRPr="00787D71">
              <w:rPr>
                <w:rFonts w:cs="Arial"/>
              </w:rPr>
              <w:t>To examine the literature on the effectiveness of telemedicine on children’s social communication following parent-mediated naturalistic developmental early interventions.</w:t>
            </w:r>
          </w:p>
          <w:p w14:paraId="39A16587" w14:textId="77777777" w:rsidR="00787D71" w:rsidRPr="00787D71" w:rsidRDefault="00787D71">
            <w:pPr>
              <w:suppressAutoHyphens/>
              <w:spacing w:after="160" w:line="276" w:lineRule="auto"/>
              <w:rPr>
                <w:rFonts w:cs="Arial"/>
              </w:rPr>
            </w:pPr>
          </w:p>
          <w:p w14:paraId="7FC0C654" w14:textId="77777777" w:rsidR="00787D71" w:rsidRPr="00787D71" w:rsidRDefault="00787D71">
            <w:pPr>
              <w:suppressAutoHyphens/>
              <w:spacing w:after="160" w:line="276" w:lineRule="auto"/>
              <w:rPr>
                <w:rFonts w:cs="Arial"/>
              </w:rPr>
            </w:pPr>
            <w:r w:rsidRPr="00787D71">
              <w:rPr>
                <w:rFonts w:cs="Arial"/>
              </w:rPr>
              <w:t>Child condition in focus: Autism.</w:t>
            </w:r>
          </w:p>
          <w:p w14:paraId="21858000" w14:textId="77777777" w:rsidR="00787D71" w:rsidRPr="00787D71" w:rsidRDefault="00787D71">
            <w:pPr>
              <w:suppressAutoHyphens/>
              <w:spacing w:before="40" w:after="40" w:line="200" w:lineRule="atLeast"/>
              <w:rPr>
                <w:rFonts w:eastAsia="Times New Roman" w:cs="Arial"/>
                <w:lang w:eastAsia="en-AU"/>
              </w:rPr>
            </w:pPr>
          </w:p>
          <w:p w14:paraId="198C40AA" w14:textId="77777777" w:rsidR="00787D71" w:rsidRPr="00787D71" w:rsidRDefault="00787D71">
            <w:pPr>
              <w:suppressAutoHyphens/>
              <w:spacing w:before="40" w:after="40" w:line="200" w:lineRule="atLeast"/>
              <w:rPr>
                <w:rFonts w:eastAsia="Times New Roman" w:cs="Arial"/>
                <w:szCs w:val="22"/>
                <w:lang w:eastAsia="en-AU"/>
              </w:rPr>
            </w:pPr>
          </w:p>
        </w:tc>
        <w:tc>
          <w:tcPr>
            <w:tcW w:w="1885" w:type="dxa"/>
          </w:tcPr>
          <w:p w14:paraId="34998A3B"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 xml:space="preserve">Naturalistic developmental early intervention via telemedicine </w:t>
            </w:r>
          </w:p>
          <w:p w14:paraId="0158D66C" w14:textId="77777777" w:rsidR="00787D71" w:rsidRPr="00787D71" w:rsidRDefault="00787D71">
            <w:pPr>
              <w:suppressAutoHyphens/>
              <w:spacing w:before="40" w:after="40" w:line="200" w:lineRule="atLeast"/>
              <w:rPr>
                <w:rFonts w:eastAsia="Times New Roman" w:cs="Arial"/>
                <w:lang w:eastAsia="en-AU"/>
              </w:rPr>
            </w:pPr>
          </w:p>
          <w:p w14:paraId="4826B0AB"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(comparisons = no treatment (including wait-list control) or treatment-as-usual)</w:t>
            </w:r>
          </w:p>
        </w:tc>
        <w:tc>
          <w:tcPr>
            <w:tcW w:w="2369" w:type="dxa"/>
          </w:tcPr>
          <w:p w14:paraId="0F547C3F"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Studies:</w:t>
            </w:r>
          </w:p>
          <w:p w14:paraId="372F3FF3"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 xml:space="preserve">RCTs and SCEDs </w:t>
            </w:r>
          </w:p>
          <w:p w14:paraId="2AB5168F"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(k =9)</w:t>
            </w:r>
          </w:p>
          <w:p w14:paraId="002F3828" w14:textId="77777777" w:rsidR="00787D71" w:rsidRPr="00787D71" w:rsidRDefault="00787D71">
            <w:pPr>
              <w:suppressAutoHyphens/>
              <w:spacing w:before="40" w:after="40" w:line="200" w:lineRule="atLeast"/>
              <w:rPr>
                <w:rFonts w:eastAsia="Times New Roman" w:cs="Arial"/>
                <w:lang w:eastAsia="en-AU"/>
              </w:rPr>
            </w:pPr>
          </w:p>
          <w:p w14:paraId="2E89FF98"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Children:</w:t>
            </w:r>
          </w:p>
          <w:p w14:paraId="7F1F325F"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 xml:space="preserve">6 years or younger </w:t>
            </w:r>
          </w:p>
          <w:p w14:paraId="6ADC7207"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(n=86)</w:t>
            </w:r>
          </w:p>
        </w:tc>
        <w:tc>
          <w:tcPr>
            <w:tcW w:w="5528" w:type="dxa"/>
          </w:tcPr>
          <w:p w14:paraId="260F58A0" w14:textId="77777777" w:rsidR="00787D71" w:rsidRPr="00787D71" w:rsidRDefault="00787D71">
            <w:pPr>
              <w:spacing w:after="160" w:line="276" w:lineRule="auto"/>
              <w:rPr>
                <w:rFonts w:eastAsia="MS Mincho" w:cs="Arial"/>
              </w:rPr>
            </w:pPr>
            <w:r w:rsidRPr="00787D71">
              <w:rPr>
                <w:rFonts w:eastAsia="MS Mincho" w:cs="Arial"/>
                <w:b/>
              </w:rPr>
              <w:t>Child outcomes (k = 9):</w:t>
            </w:r>
            <w:r w:rsidRPr="00787D71">
              <w:rPr>
                <w:rFonts w:eastAsia="MS Mincho" w:cs="Arial"/>
              </w:rPr>
              <w:t xml:space="preserve"> Overall conclusion was that there was little evidence for the effectiveness of telemedicine on social communication.</w:t>
            </w:r>
          </w:p>
          <w:p w14:paraId="35C7C320" w14:textId="77777777" w:rsidR="00787D71" w:rsidRPr="00787D71" w:rsidRDefault="00787D71" w:rsidP="003B0B17">
            <w:pPr>
              <w:numPr>
                <w:ilvl w:val="0"/>
                <w:numId w:val="179"/>
              </w:numPr>
              <w:suppressAutoHyphens/>
              <w:spacing w:before="0" w:after="160"/>
              <w:ind w:left="319"/>
              <w:contextualSpacing/>
              <w:rPr>
                <w:rFonts w:eastAsia="MS Mincho" w:cs="Arial"/>
              </w:rPr>
            </w:pPr>
            <w:r w:rsidRPr="00787D71">
              <w:rPr>
                <w:rFonts w:eastAsia="MS Mincho" w:cs="Arial"/>
              </w:rPr>
              <w:t xml:space="preserve">Four SCED studies reported no effect on child’s social communication. </w:t>
            </w:r>
          </w:p>
          <w:p w14:paraId="4B9563AA" w14:textId="77777777" w:rsidR="00787D71" w:rsidRPr="00787D71" w:rsidRDefault="00787D71" w:rsidP="003B0B17">
            <w:pPr>
              <w:numPr>
                <w:ilvl w:val="0"/>
                <w:numId w:val="179"/>
              </w:numPr>
              <w:suppressAutoHyphens/>
              <w:spacing w:before="0" w:after="160"/>
              <w:ind w:left="319"/>
              <w:contextualSpacing/>
              <w:rPr>
                <w:rFonts w:eastAsia="MS Mincho" w:cs="Arial"/>
              </w:rPr>
            </w:pPr>
            <w:r w:rsidRPr="00787D71">
              <w:rPr>
                <w:rFonts w:eastAsia="MS Mincho" w:cs="Arial"/>
              </w:rPr>
              <w:t>One SCED and one RCT reported no effect on child joint attention.</w:t>
            </w:r>
          </w:p>
          <w:p w14:paraId="3D1D3DB6" w14:textId="77777777" w:rsidR="00787D71" w:rsidRPr="00787D71" w:rsidRDefault="00787D71" w:rsidP="003B0B17">
            <w:pPr>
              <w:numPr>
                <w:ilvl w:val="0"/>
                <w:numId w:val="179"/>
              </w:numPr>
              <w:suppressAutoHyphens/>
              <w:spacing w:before="0" w:after="160"/>
              <w:ind w:left="319"/>
              <w:contextualSpacing/>
              <w:rPr>
                <w:rFonts w:eastAsia="MS Mincho" w:cs="Arial"/>
              </w:rPr>
            </w:pPr>
            <w:r w:rsidRPr="00787D71">
              <w:rPr>
                <w:rFonts w:eastAsia="MS Mincho" w:cs="Arial"/>
              </w:rPr>
              <w:t>One study reported no effect on child imitation skills. One study reported improvements in imitation for both telemedicine and control groups.</w:t>
            </w:r>
          </w:p>
          <w:p w14:paraId="25D53780" w14:textId="77777777" w:rsidR="00787D71" w:rsidRPr="00787D71" w:rsidRDefault="00787D71" w:rsidP="003B0B17">
            <w:pPr>
              <w:numPr>
                <w:ilvl w:val="0"/>
                <w:numId w:val="179"/>
              </w:numPr>
              <w:suppressAutoHyphens/>
              <w:spacing w:before="0" w:after="160"/>
              <w:ind w:left="319"/>
              <w:contextualSpacing/>
              <w:rPr>
                <w:rFonts w:eastAsia="MS Mincho" w:cs="Arial"/>
              </w:rPr>
            </w:pPr>
            <w:r w:rsidRPr="00787D71">
              <w:rPr>
                <w:rFonts w:eastAsia="MS Mincho" w:cs="Arial"/>
              </w:rPr>
              <w:t xml:space="preserve">Improvements in social attending during intervention and follow-up were reported in two SCED studies. </w:t>
            </w:r>
          </w:p>
          <w:p w14:paraId="7FBEEECE" w14:textId="77777777" w:rsidR="00787D71" w:rsidRPr="00787D71" w:rsidRDefault="00787D71" w:rsidP="003B0B17">
            <w:pPr>
              <w:numPr>
                <w:ilvl w:val="0"/>
                <w:numId w:val="179"/>
              </w:numPr>
              <w:suppressAutoHyphens/>
              <w:spacing w:before="0" w:after="160"/>
              <w:ind w:left="319"/>
              <w:contextualSpacing/>
              <w:rPr>
                <w:rFonts w:eastAsia="MS Mincho" w:cs="Arial"/>
              </w:rPr>
            </w:pPr>
            <w:r w:rsidRPr="00787D71">
              <w:rPr>
                <w:rFonts w:eastAsia="MS Mincho" w:cs="Arial"/>
              </w:rPr>
              <w:t>Improvements in functional communication were reported in two SCED studies and one RCT.</w:t>
            </w:r>
          </w:p>
          <w:p w14:paraId="5ADC55B6" w14:textId="77777777" w:rsidR="00787D71" w:rsidRPr="00787D71" w:rsidRDefault="00787D71">
            <w:pPr>
              <w:suppressAutoHyphens/>
              <w:spacing w:after="160" w:line="276" w:lineRule="auto"/>
              <w:rPr>
                <w:rFonts w:eastAsia="MS Mincho" w:cs="Arial"/>
              </w:rPr>
            </w:pPr>
            <w:r w:rsidRPr="00787D71">
              <w:rPr>
                <w:rFonts w:eastAsia="MS Mincho" w:cs="Arial"/>
                <w:b/>
              </w:rPr>
              <w:t>Parent outcomes (k=7 of 9):</w:t>
            </w:r>
            <w:r w:rsidRPr="00787D71">
              <w:rPr>
                <w:rFonts w:eastAsia="MS Mincho" w:cs="Arial"/>
              </w:rPr>
              <w:t xml:space="preserve"> Overall, studies reported high acceptability and satisfaction following remote parent training and coaching.</w:t>
            </w:r>
          </w:p>
        </w:tc>
      </w:tr>
      <w:tr w:rsidR="00787D71" w:rsidRPr="00787D71" w14:paraId="59DDB596" w14:textId="77777777">
        <w:trPr>
          <w:cnfStyle w:val="000000010000" w:firstRow="0" w:lastRow="0" w:firstColumn="0" w:lastColumn="0" w:oddVBand="0" w:evenVBand="0" w:oddHBand="0" w:evenHBand="1" w:firstRowFirstColumn="0" w:firstRowLastColumn="0" w:lastRowFirstColumn="0" w:lastRowLastColumn="0"/>
          <w:trHeight w:val="340"/>
        </w:trPr>
        <w:tc>
          <w:tcPr>
            <w:tcW w:w="1949" w:type="dxa"/>
          </w:tcPr>
          <w:p w14:paraId="5C8B6CBD" w14:textId="77777777" w:rsidR="00787D71" w:rsidRPr="00787D71" w:rsidRDefault="00787D71">
            <w:pPr>
              <w:suppressAutoHyphens/>
              <w:spacing w:before="40" w:after="40" w:line="200" w:lineRule="atLeast"/>
              <w:rPr>
                <w:rFonts w:cs="Arial"/>
                <w:b/>
                <w:bCs/>
              </w:rPr>
            </w:pPr>
            <w:r w:rsidRPr="00787D71">
              <w:rPr>
                <w:rFonts w:cs="Arial"/>
                <w:b/>
                <w:bCs/>
              </w:rPr>
              <w:t xml:space="preserve">Hampton </w:t>
            </w:r>
          </w:p>
          <w:p w14:paraId="6BD7869E" w14:textId="77777777" w:rsidR="00787D71" w:rsidRPr="00787D71" w:rsidRDefault="00787D71">
            <w:pPr>
              <w:suppressAutoHyphens/>
              <w:spacing w:before="40" w:after="40" w:line="200" w:lineRule="atLeast"/>
              <w:rPr>
                <w:rFonts w:cs="Arial"/>
                <w:b/>
                <w:bCs/>
              </w:rPr>
            </w:pPr>
            <w:r w:rsidRPr="00787D71">
              <w:rPr>
                <w:rFonts w:cs="Arial"/>
                <w:b/>
                <w:bCs/>
              </w:rPr>
              <w:t>2022</w:t>
            </w:r>
          </w:p>
          <w:p w14:paraId="4654542F" w14:textId="77777777" w:rsidR="00787D71" w:rsidRPr="00787D71" w:rsidRDefault="00787D71">
            <w:pPr>
              <w:spacing w:before="40" w:after="40" w:line="200" w:lineRule="atLeast"/>
              <w:rPr>
                <w:rFonts w:cs="Arial"/>
              </w:rPr>
            </w:pPr>
          </w:p>
          <w:p w14:paraId="2C2E616C" w14:textId="77777777" w:rsidR="00787D71" w:rsidRPr="00787D71" w:rsidRDefault="00787D71">
            <w:pPr>
              <w:spacing w:before="40" w:after="40" w:line="200" w:lineRule="atLeast"/>
              <w:rPr>
                <w:rFonts w:cs="Arial"/>
              </w:rPr>
            </w:pPr>
            <w:r w:rsidRPr="00787D71">
              <w:rPr>
                <w:rFonts w:cs="Arial"/>
              </w:rPr>
              <w:t xml:space="preserve">Search publication date range: 2008-2021 </w:t>
            </w:r>
          </w:p>
          <w:p w14:paraId="0A5C379E" w14:textId="77777777" w:rsidR="00787D71" w:rsidRPr="00787D71" w:rsidRDefault="00787D71">
            <w:pPr>
              <w:spacing w:before="40" w:after="40" w:line="200" w:lineRule="atLeast"/>
              <w:rPr>
                <w:rFonts w:cs="Arial"/>
              </w:rPr>
            </w:pPr>
          </w:p>
          <w:p w14:paraId="0ECE518A" w14:textId="77777777" w:rsidR="00787D71" w:rsidRPr="00787D71" w:rsidRDefault="00787D71">
            <w:pPr>
              <w:spacing w:before="40" w:after="40" w:line="200" w:lineRule="atLeast"/>
              <w:rPr>
                <w:rFonts w:cs="Arial"/>
              </w:rPr>
            </w:pPr>
            <w:r w:rsidRPr="00787D71">
              <w:rPr>
                <w:rFonts w:cs="Arial"/>
              </w:rPr>
              <w:t xml:space="preserve">Included studies jurisdiction: </w:t>
            </w:r>
          </w:p>
          <w:p w14:paraId="1C1AC3E5" w14:textId="77777777" w:rsidR="00787D71" w:rsidRPr="00787D71" w:rsidRDefault="00787D71">
            <w:pPr>
              <w:spacing w:before="40" w:after="40" w:line="200" w:lineRule="atLeast"/>
              <w:rPr>
                <w:rFonts w:cs="Arial"/>
              </w:rPr>
            </w:pPr>
            <w:r w:rsidRPr="00787D71">
              <w:rPr>
                <w:rFonts w:cs="Arial"/>
              </w:rPr>
              <w:t>Australia (n=1)</w:t>
            </w:r>
          </w:p>
          <w:p w14:paraId="49D9FAD6" w14:textId="77777777" w:rsidR="00787D71" w:rsidRPr="00787D71" w:rsidRDefault="00787D71">
            <w:pPr>
              <w:spacing w:before="40" w:after="40" w:line="200" w:lineRule="atLeast"/>
              <w:rPr>
                <w:rFonts w:cs="Arial"/>
              </w:rPr>
            </w:pPr>
            <w:r w:rsidRPr="00787D71">
              <w:rPr>
                <w:rFonts w:cs="Arial"/>
              </w:rPr>
              <w:t>Canada (n=1)</w:t>
            </w:r>
          </w:p>
          <w:p w14:paraId="4A78CAFE" w14:textId="77777777" w:rsidR="00787D71" w:rsidRPr="00787D71" w:rsidRDefault="00787D71">
            <w:pPr>
              <w:spacing w:before="40" w:after="40" w:line="200" w:lineRule="atLeast"/>
              <w:rPr>
                <w:rFonts w:cs="Arial"/>
              </w:rPr>
            </w:pPr>
            <w:r w:rsidRPr="00787D71">
              <w:rPr>
                <w:rFonts w:cs="Arial"/>
              </w:rPr>
              <w:t>UK (n=1)</w:t>
            </w:r>
          </w:p>
          <w:p w14:paraId="171057A7" w14:textId="77777777" w:rsidR="00787D71" w:rsidRPr="00787D71" w:rsidRDefault="00787D71">
            <w:pPr>
              <w:spacing w:before="40" w:after="40" w:line="200" w:lineRule="atLeast"/>
              <w:rPr>
                <w:rFonts w:cs="Arial"/>
              </w:rPr>
            </w:pPr>
            <w:r w:rsidRPr="00787D71">
              <w:rPr>
                <w:rFonts w:cs="Arial"/>
              </w:rPr>
              <w:t>US (n=10)</w:t>
            </w:r>
          </w:p>
          <w:p w14:paraId="68FF724A" w14:textId="77777777" w:rsidR="00787D71" w:rsidRPr="00787D71" w:rsidRDefault="00787D71">
            <w:pPr>
              <w:suppressAutoHyphens/>
              <w:spacing w:before="40" w:after="40" w:line="200" w:lineRule="atLeast"/>
              <w:rPr>
                <w:rFonts w:cs="Arial"/>
              </w:rPr>
            </w:pPr>
          </w:p>
          <w:p w14:paraId="2AD06BCF" w14:textId="77777777" w:rsidR="00787D71" w:rsidRPr="00787D71" w:rsidRDefault="00787D71">
            <w:pPr>
              <w:suppressAutoHyphens/>
              <w:spacing w:before="40" w:after="40" w:line="200" w:lineRule="atLeast"/>
              <w:rPr>
                <w:rFonts w:cs="Arial"/>
              </w:rPr>
            </w:pPr>
          </w:p>
          <w:p w14:paraId="18C49F65" w14:textId="77777777" w:rsidR="00787D71" w:rsidRPr="00787D71" w:rsidRDefault="00787D71">
            <w:pPr>
              <w:suppressAutoHyphens/>
              <w:spacing w:before="40" w:after="40" w:line="200" w:lineRule="atLeast"/>
              <w:rPr>
                <w:rFonts w:cs="Arial"/>
              </w:rPr>
            </w:pPr>
          </w:p>
        </w:tc>
        <w:tc>
          <w:tcPr>
            <w:tcW w:w="2019" w:type="dxa"/>
          </w:tcPr>
          <w:p w14:paraId="4A23AC33" w14:textId="77777777" w:rsidR="00787D71" w:rsidRPr="00787D71" w:rsidRDefault="00787D71">
            <w:pPr>
              <w:suppressAutoHyphens/>
              <w:spacing w:after="160" w:line="276" w:lineRule="auto"/>
              <w:rPr>
                <w:rFonts w:cs="Arial"/>
              </w:rPr>
            </w:pPr>
            <w:r w:rsidRPr="00787D71">
              <w:rPr>
                <w:rFonts w:cs="Arial"/>
              </w:rPr>
              <w:t>To understand the impact of pre-emptive interventions on family and developmental outcomes for infants and toddlers with a high likelihood for autism and to identify the pathways toward improving prodromal interventions.</w:t>
            </w:r>
          </w:p>
          <w:p w14:paraId="5591F771" w14:textId="77777777" w:rsidR="00787D71" w:rsidRPr="00787D71" w:rsidRDefault="00787D71">
            <w:pPr>
              <w:suppressAutoHyphens/>
              <w:spacing w:after="160" w:line="276" w:lineRule="auto"/>
              <w:rPr>
                <w:rFonts w:cs="Arial"/>
              </w:rPr>
            </w:pPr>
            <w:r w:rsidRPr="00787D71">
              <w:rPr>
                <w:rFonts w:cs="Arial"/>
              </w:rPr>
              <w:t>Child condition in focus: Autism.</w:t>
            </w:r>
          </w:p>
          <w:p w14:paraId="5BCE9EDD" w14:textId="77777777" w:rsidR="00787D71" w:rsidRPr="00787D71" w:rsidRDefault="00787D71">
            <w:pPr>
              <w:suppressAutoHyphens/>
              <w:spacing w:before="40" w:after="40" w:line="200" w:lineRule="atLeast"/>
              <w:rPr>
                <w:rFonts w:eastAsia="Times New Roman" w:cs="Arial"/>
                <w:lang w:eastAsia="en-AU"/>
              </w:rPr>
            </w:pPr>
          </w:p>
        </w:tc>
        <w:tc>
          <w:tcPr>
            <w:tcW w:w="1885" w:type="dxa"/>
          </w:tcPr>
          <w:p w14:paraId="20B164F2"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Behavioural intervention, including Developmental (k=7) &amp; NDBI (k=6)</w:t>
            </w:r>
          </w:p>
          <w:p w14:paraId="507A5787" w14:textId="77777777" w:rsidR="00787D71" w:rsidRPr="00787D71" w:rsidRDefault="00787D71">
            <w:pPr>
              <w:suppressAutoHyphens/>
              <w:spacing w:before="40" w:after="40" w:line="200" w:lineRule="atLeast"/>
              <w:rPr>
                <w:rFonts w:eastAsia="Times New Roman" w:cs="Arial"/>
                <w:lang w:eastAsia="en-AU"/>
              </w:rPr>
            </w:pPr>
          </w:p>
          <w:p w14:paraId="007CB80E"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(comparison: business as usual or control)</w:t>
            </w:r>
          </w:p>
        </w:tc>
        <w:tc>
          <w:tcPr>
            <w:tcW w:w="2369" w:type="dxa"/>
          </w:tcPr>
          <w:p w14:paraId="4BAD94AD"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Studies:</w:t>
            </w:r>
          </w:p>
          <w:p w14:paraId="5D2D9567"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 xml:space="preserve">RCTs &amp; Quasi-experimental group comparisons </w:t>
            </w:r>
          </w:p>
          <w:p w14:paraId="38C96C95"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(k = 13, reported in 17 publications)</w:t>
            </w:r>
          </w:p>
          <w:p w14:paraId="225753A4" w14:textId="77777777" w:rsidR="00787D71" w:rsidRPr="00787D71" w:rsidRDefault="00787D71">
            <w:pPr>
              <w:suppressAutoHyphens/>
              <w:spacing w:before="40" w:after="40" w:line="200" w:lineRule="atLeast"/>
              <w:rPr>
                <w:rFonts w:eastAsia="Times New Roman" w:cs="Arial"/>
                <w:lang w:eastAsia="en-AU"/>
              </w:rPr>
            </w:pPr>
          </w:p>
          <w:p w14:paraId="0B30874F"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Children:</w:t>
            </w:r>
          </w:p>
          <w:p w14:paraId="5FC3952C" w14:textId="77777777" w:rsidR="00787D71" w:rsidRPr="00787D71" w:rsidRDefault="00787D71">
            <w:pPr>
              <w:suppressAutoHyphens/>
              <w:spacing w:before="40" w:after="40" w:line="200" w:lineRule="atLeast"/>
              <w:rPr>
                <w:rFonts w:eastAsia="Times New Roman" w:cs="Arial"/>
                <w:lang w:eastAsia="en-AU"/>
              </w:rPr>
            </w:pPr>
            <w:r w:rsidRPr="00787D71">
              <w:rPr>
                <w:rFonts w:eastAsia="Times New Roman" w:cs="Arial"/>
                <w:lang w:eastAsia="en-AU"/>
              </w:rPr>
              <w:t>36 months or younger (n=715)</w:t>
            </w:r>
          </w:p>
        </w:tc>
        <w:tc>
          <w:tcPr>
            <w:tcW w:w="5528" w:type="dxa"/>
          </w:tcPr>
          <w:p w14:paraId="6D3EB104" w14:textId="77777777" w:rsidR="00787D71" w:rsidRPr="00787D71" w:rsidRDefault="00787D71">
            <w:pPr>
              <w:spacing w:after="160" w:line="276" w:lineRule="auto"/>
              <w:rPr>
                <w:rFonts w:cs="Arial"/>
              </w:rPr>
            </w:pPr>
            <w:r w:rsidRPr="00787D71">
              <w:rPr>
                <w:rFonts w:cs="Arial"/>
              </w:rPr>
              <w:t>Findings suggest that parent-mediated interventions are associated with improved parent use of strategies, although these results do not translate into direct child developmental outcomes. Evidence that parents with the greatest implementation facilitate later improved communication outcomes for their children.</w:t>
            </w:r>
          </w:p>
          <w:p w14:paraId="1919E635" w14:textId="77777777" w:rsidR="00787D71" w:rsidRPr="00787D71" w:rsidRDefault="00787D71">
            <w:pPr>
              <w:suppressAutoHyphens/>
              <w:spacing w:before="40" w:after="40" w:line="200" w:lineRule="atLeast"/>
              <w:rPr>
                <w:rFonts w:cs="Arial"/>
              </w:rPr>
            </w:pPr>
            <w:r w:rsidRPr="00787D71">
              <w:rPr>
                <w:rFonts w:cs="Arial"/>
                <w:b/>
                <w:bCs/>
              </w:rPr>
              <w:t xml:space="preserve">Child outcomes: </w:t>
            </w:r>
            <w:r w:rsidRPr="00787D71">
              <w:rPr>
                <w:rFonts w:cs="Arial"/>
              </w:rPr>
              <w:t>Across all developmental outcomes, meta-analyses found no evidence of effects in favour of the intervention. Subgroup analyses by outcome indicated also found no evidence of effects on</w:t>
            </w:r>
          </w:p>
          <w:p w14:paraId="11A14D8F" w14:textId="77777777" w:rsidR="00787D71" w:rsidRPr="00787D71" w:rsidRDefault="00787D71" w:rsidP="003B0B17">
            <w:pPr>
              <w:numPr>
                <w:ilvl w:val="0"/>
                <w:numId w:val="179"/>
              </w:numPr>
              <w:suppressAutoHyphens/>
              <w:spacing w:before="40" w:after="40" w:line="200" w:lineRule="atLeast"/>
              <w:contextualSpacing/>
              <w:rPr>
                <w:rFonts w:cs="Arial"/>
                <w:b/>
                <w:bCs/>
              </w:rPr>
            </w:pPr>
            <w:r w:rsidRPr="00787D71">
              <w:rPr>
                <w:rFonts w:cs="Arial"/>
              </w:rPr>
              <w:t xml:space="preserve">expressive language; </w:t>
            </w:r>
          </w:p>
          <w:p w14:paraId="7429134E" w14:textId="77777777" w:rsidR="00787D71" w:rsidRPr="00787D71" w:rsidRDefault="00787D71" w:rsidP="003B0B17">
            <w:pPr>
              <w:numPr>
                <w:ilvl w:val="0"/>
                <w:numId w:val="179"/>
              </w:numPr>
              <w:suppressAutoHyphens/>
              <w:spacing w:before="40" w:after="40" w:line="200" w:lineRule="atLeast"/>
              <w:contextualSpacing/>
              <w:rPr>
                <w:rFonts w:cs="Arial"/>
                <w:b/>
                <w:bCs/>
              </w:rPr>
            </w:pPr>
            <w:r w:rsidRPr="00787D71">
              <w:rPr>
                <w:rFonts w:cs="Arial"/>
              </w:rPr>
              <w:t xml:space="preserve">receptive language; </w:t>
            </w:r>
          </w:p>
          <w:p w14:paraId="66D6858E" w14:textId="77777777" w:rsidR="00787D71" w:rsidRPr="00787D71" w:rsidRDefault="00787D71" w:rsidP="003B0B17">
            <w:pPr>
              <w:numPr>
                <w:ilvl w:val="0"/>
                <w:numId w:val="179"/>
              </w:numPr>
              <w:suppressAutoHyphens/>
              <w:spacing w:before="40" w:after="40" w:line="200" w:lineRule="atLeast"/>
              <w:contextualSpacing/>
              <w:rPr>
                <w:rFonts w:cs="Arial"/>
                <w:b/>
                <w:bCs/>
              </w:rPr>
            </w:pPr>
            <w:r w:rsidRPr="00787D71">
              <w:rPr>
                <w:rFonts w:cs="Arial"/>
              </w:rPr>
              <w:t xml:space="preserve">social communication; or </w:t>
            </w:r>
          </w:p>
          <w:p w14:paraId="4ECE79EB" w14:textId="77777777" w:rsidR="00787D71" w:rsidRPr="00787D71" w:rsidRDefault="00787D71" w:rsidP="003B0B17">
            <w:pPr>
              <w:numPr>
                <w:ilvl w:val="0"/>
                <w:numId w:val="179"/>
              </w:numPr>
              <w:suppressAutoHyphens/>
              <w:spacing w:before="40" w:after="40" w:line="200" w:lineRule="atLeast"/>
              <w:contextualSpacing/>
              <w:rPr>
                <w:rFonts w:cs="Arial"/>
                <w:b/>
                <w:bCs/>
              </w:rPr>
            </w:pPr>
            <w:r w:rsidRPr="00787D71">
              <w:rPr>
                <w:rFonts w:cs="Arial"/>
              </w:rPr>
              <w:t xml:space="preserve">autism symptoms. </w:t>
            </w:r>
          </w:p>
          <w:p w14:paraId="62280456" w14:textId="77777777" w:rsidR="00787D71" w:rsidRPr="00787D71" w:rsidRDefault="00787D71">
            <w:pPr>
              <w:suppressAutoHyphens/>
              <w:spacing w:before="40" w:after="40" w:line="200" w:lineRule="atLeast"/>
              <w:rPr>
                <w:rFonts w:cs="Arial"/>
              </w:rPr>
            </w:pPr>
            <w:r w:rsidRPr="00787D71">
              <w:rPr>
                <w:rFonts w:cs="Arial"/>
              </w:rPr>
              <w:t xml:space="preserve">A similar pattern was observed across other outcomes (socialization, joint attention, motor, developmental) although the number of studies reporting effects were too few for meta-analysis. Follow-up data collected 6–12months did not change the outcome. </w:t>
            </w:r>
          </w:p>
          <w:p w14:paraId="343B3A86" w14:textId="77777777" w:rsidR="00787D71" w:rsidRPr="00787D71" w:rsidRDefault="00787D71">
            <w:pPr>
              <w:suppressAutoHyphens/>
              <w:spacing w:before="40" w:after="40" w:line="200" w:lineRule="atLeast"/>
              <w:rPr>
                <w:rFonts w:cs="Arial"/>
                <w:b/>
                <w:bCs/>
              </w:rPr>
            </w:pPr>
          </w:p>
          <w:p w14:paraId="5F40F401" w14:textId="77777777" w:rsidR="00787D71" w:rsidRPr="00787D71" w:rsidRDefault="00787D71">
            <w:pPr>
              <w:suppressAutoHyphens/>
              <w:spacing w:before="40" w:after="40" w:line="200" w:lineRule="atLeast"/>
              <w:rPr>
                <w:rFonts w:cs="Arial"/>
                <w:b/>
              </w:rPr>
            </w:pPr>
            <w:r w:rsidRPr="00787D71">
              <w:rPr>
                <w:rFonts w:cs="Arial"/>
                <w:b/>
                <w:bCs/>
              </w:rPr>
              <w:t xml:space="preserve">Parent outcomes: </w:t>
            </w:r>
            <w:r w:rsidRPr="00787D71">
              <w:rPr>
                <w:rFonts w:cs="Arial"/>
              </w:rPr>
              <w:t>There was evidence of increased parent responsiveness and fidelity of delivering naturalistic strategies following intervention. These results appear to diminish or maintain (varied across studies) over time. Too few studies reported follow-up data to produce a stable average estimate of effects. Broader family outcomes (i.e. stress and efficacy) were infrequently reported but demonstrate a pattern of improvement immediately following intervention.</w:t>
            </w:r>
          </w:p>
        </w:tc>
      </w:tr>
    </w:tbl>
    <w:p w14:paraId="712923A8" w14:textId="59F56636" w:rsidR="00787D71" w:rsidRPr="001619F0" w:rsidRDefault="00C63F8B" w:rsidP="00AB4C51">
      <w:pPr>
        <w:rPr>
          <w:rFonts w:cs="Arial"/>
          <w:color w:val="000000" w:themeColor="text1"/>
          <w:sz w:val="20"/>
          <w:szCs w:val="20"/>
          <w:lang w:val="en-US"/>
        </w:rPr>
      </w:pPr>
      <w:r w:rsidRPr="001619F0">
        <w:rPr>
          <w:rFonts w:cs="Arial"/>
          <w:color w:val="000000" w:themeColor="text1"/>
          <w:sz w:val="20"/>
          <w:szCs w:val="20"/>
          <w:lang w:val="en-US"/>
        </w:rPr>
        <w:t>Note: k = number of studies; n = total number of children; RCT = randomised controlled trial; SCED = single case experimental design; US = Unites States; UK = United Kingdom.</w:t>
      </w:r>
    </w:p>
    <w:p w14:paraId="799FAD74" w14:textId="77777777" w:rsidR="00C63F8B" w:rsidRDefault="00C63F8B" w:rsidP="00AB4C51">
      <w:pPr>
        <w:rPr>
          <w:rFonts w:cs="Arial"/>
          <w:color w:val="000000" w:themeColor="text1"/>
          <w:lang w:val="en-US"/>
        </w:rPr>
      </w:pPr>
    </w:p>
    <w:p w14:paraId="680A3BB4" w14:textId="77777777" w:rsidR="00C63F8B" w:rsidRDefault="00C63F8B" w:rsidP="00AB4C51">
      <w:pPr>
        <w:rPr>
          <w:rFonts w:cs="Arial"/>
          <w:color w:val="000000" w:themeColor="text1"/>
          <w:lang w:val="en-US"/>
        </w:rPr>
      </w:pPr>
    </w:p>
    <w:p w14:paraId="28D7B0AC" w14:textId="77777777" w:rsidR="00C63F8B" w:rsidRDefault="00C63F8B" w:rsidP="00AB4C51">
      <w:pPr>
        <w:rPr>
          <w:rFonts w:cs="Arial"/>
          <w:color w:val="000000" w:themeColor="text1"/>
          <w:lang w:val="en-US"/>
        </w:rPr>
      </w:pPr>
    </w:p>
    <w:p w14:paraId="4CF4CDD5" w14:textId="77777777" w:rsidR="00C63F8B" w:rsidRDefault="00C63F8B" w:rsidP="00AB4C51">
      <w:pPr>
        <w:rPr>
          <w:rFonts w:cs="Arial"/>
          <w:color w:val="000000" w:themeColor="text1"/>
          <w:lang w:val="en-US"/>
        </w:rPr>
      </w:pPr>
    </w:p>
    <w:p w14:paraId="392D8723" w14:textId="77777777" w:rsidR="00C63F8B" w:rsidRDefault="00C63F8B" w:rsidP="00AB4C51">
      <w:pPr>
        <w:rPr>
          <w:rFonts w:cs="Arial"/>
          <w:color w:val="000000" w:themeColor="text1"/>
          <w:lang w:val="en-US"/>
        </w:rPr>
      </w:pPr>
    </w:p>
    <w:p w14:paraId="5BFC4141" w14:textId="77777777" w:rsidR="00C63F8B" w:rsidRDefault="00C63F8B" w:rsidP="00AB4C51">
      <w:pPr>
        <w:rPr>
          <w:rFonts w:cs="Arial"/>
          <w:color w:val="000000" w:themeColor="text1"/>
          <w:lang w:val="en-US"/>
        </w:rPr>
      </w:pPr>
    </w:p>
    <w:p w14:paraId="43D134E5" w14:textId="77777777" w:rsidR="00C63F8B" w:rsidRDefault="00C63F8B" w:rsidP="00AB4C51">
      <w:pPr>
        <w:rPr>
          <w:rFonts w:cs="Arial"/>
          <w:color w:val="000000" w:themeColor="text1"/>
          <w:lang w:val="en-US"/>
        </w:rPr>
      </w:pPr>
    </w:p>
    <w:p w14:paraId="3EFB80D4" w14:textId="77777777" w:rsidR="000E571A" w:rsidRDefault="000E571A" w:rsidP="00AB4C51">
      <w:pPr>
        <w:rPr>
          <w:rFonts w:cs="Arial"/>
          <w:color w:val="000000" w:themeColor="text1"/>
          <w:lang w:val="en-US"/>
        </w:rPr>
        <w:sectPr w:rsidR="000E571A" w:rsidSect="00505733">
          <w:pgSz w:w="16838" w:h="11906" w:orient="landscape"/>
          <w:pgMar w:top="1440" w:right="1440" w:bottom="1440" w:left="1440" w:header="709" w:footer="709" w:gutter="0"/>
          <w:cols w:space="708"/>
          <w:titlePg/>
          <w:docGrid w:linePitch="360"/>
        </w:sectPr>
      </w:pPr>
    </w:p>
    <w:p w14:paraId="7A21789C" w14:textId="18B2EC13" w:rsidR="00C63F8B" w:rsidRDefault="000E571A" w:rsidP="00AB4C51">
      <w:pPr>
        <w:rPr>
          <w:rFonts w:cs="Arial"/>
          <w:color w:val="000000" w:themeColor="text1"/>
          <w:lang w:val="en-US"/>
        </w:rPr>
      </w:pPr>
      <w:r w:rsidRPr="000E571A">
        <w:rPr>
          <w:rFonts w:cs="Arial"/>
          <w:color w:val="000000" w:themeColor="text1"/>
          <w:lang w:val="en-US"/>
        </w:rPr>
        <w:t xml:space="preserve">Risk of bias of the two systematic reviews was low, as displayed in </w:t>
      </w:r>
      <w:r w:rsidR="00B5106F">
        <w:rPr>
          <w:rFonts w:cs="Arial"/>
          <w:color w:val="000000" w:themeColor="text1"/>
          <w:lang w:val="en-US"/>
        </w:rPr>
        <w:fldChar w:fldCharType="begin"/>
      </w:r>
      <w:r w:rsidR="00B5106F">
        <w:rPr>
          <w:rFonts w:cs="Arial"/>
          <w:color w:val="000000" w:themeColor="text1"/>
          <w:lang w:val="en-US"/>
        </w:rPr>
        <w:instrText xml:space="preserve"> REF _Ref177725112 \h </w:instrText>
      </w:r>
      <w:r w:rsidR="00B5106F">
        <w:rPr>
          <w:rFonts w:cs="Arial"/>
          <w:color w:val="000000" w:themeColor="text1"/>
          <w:lang w:val="en-US"/>
        </w:rPr>
      </w:r>
      <w:r w:rsidR="00B5106F">
        <w:rPr>
          <w:rFonts w:cs="Arial"/>
          <w:color w:val="000000" w:themeColor="text1"/>
          <w:lang w:val="en-US"/>
        </w:rPr>
        <w:fldChar w:fldCharType="separate"/>
      </w:r>
      <w:r w:rsidR="00303407" w:rsidRPr="00B5106F">
        <w:rPr>
          <w:b/>
          <w:bCs/>
        </w:rPr>
        <w:t xml:space="preserve">Table </w:t>
      </w:r>
      <w:r w:rsidR="00303407">
        <w:rPr>
          <w:b/>
          <w:bCs/>
          <w:noProof/>
        </w:rPr>
        <w:t>5</w:t>
      </w:r>
      <w:r w:rsidR="00B5106F">
        <w:rPr>
          <w:rFonts w:cs="Arial"/>
          <w:color w:val="000000" w:themeColor="text1"/>
          <w:lang w:val="en-US"/>
        </w:rPr>
        <w:fldChar w:fldCharType="end"/>
      </w:r>
      <w:r w:rsidRPr="000E571A">
        <w:rPr>
          <w:rFonts w:cs="Arial"/>
          <w:color w:val="000000" w:themeColor="text1"/>
          <w:lang w:val="en-US"/>
        </w:rPr>
        <w:t>.</w:t>
      </w:r>
    </w:p>
    <w:p w14:paraId="2019947B" w14:textId="77777777" w:rsidR="00D84FC2" w:rsidRDefault="00D84FC2" w:rsidP="00AB4C51">
      <w:pPr>
        <w:rPr>
          <w:rFonts w:cs="Arial"/>
          <w:color w:val="000000" w:themeColor="text1"/>
          <w:lang w:val="en-US"/>
        </w:rPr>
      </w:pPr>
    </w:p>
    <w:p w14:paraId="16F87960" w14:textId="6593AD79" w:rsidR="00D84FC2" w:rsidRPr="00300864" w:rsidRDefault="00300864" w:rsidP="00300864">
      <w:pPr>
        <w:pStyle w:val="Caption"/>
        <w:keepNext/>
      </w:pPr>
      <w:bookmarkStart w:id="91" w:name="_Toc177725004"/>
      <w:bookmarkStart w:id="92" w:name="_Toc177727324"/>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6</w:t>
      </w:r>
      <w:r w:rsidR="00627239" w:rsidRPr="00B5106F">
        <w:rPr>
          <w:b/>
          <w:bCs/>
          <w:noProof/>
        </w:rPr>
        <w:fldChar w:fldCharType="end"/>
      </w:r>
      <w:r w:rsidRPr="00B5106F">
        <w:rPr>
          <w:b/>
          <w:bCs/>
        </w:rPr>
        <w:t>.</w:t>
      </w:r>
      <w:r w:rsidRPr="00B82663">
        <w:t xml:space="preserve"> Risk of bias of included systematic reviews</w:t>
      </w:r>
      <w:bookmarkEnd w:id="91"/>
      <w:bookmarkEnd w:id="92"/>
    </w:p>
    <w:tbl>
      <w:tblPr>
        <w:tblW w:w="0" w:type="auto"/>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637D5C" w:rsidRPr="00367B2E" w14:paraId="16300420" w14:textId="77777777">
        <w:trPr>
          <w:trHeight w:val="330"/>
        </w:trPr>
        <w:tc>
          <w:tcPr>
            <w:tcW w:w="2304" w:type="dxa"/>
            <w:tcBorders>
              <w:top w:val="single" w:sz="8" w:space="0" w:color="auto"/>
              <w:left w:val="single" w:sz="8" w:space="0" w:color="auto"/>
              <w:bottom w:val="single" w:sz="8" w:space="0" w:color="auto"/>
              <w:right w:val="single" w:sz="8" w:space="0" w:color="000000"/>
            </w:tcBorders>
            <w:shd w:val="clear" w:color="auto" w:fill="082A75"/>
          </w:tcPr>
          <w:p w14:paraId="060036E4" w14:textId="77777777" w:rsidR="00637D5C" w:rsidRPr="00637D5C" w:rsidRDefault="00637D5C">
            <w:pPr>
              <w:spacing w:after="240"/>
              <w:rPr>
                <w:rFonts w:eastAsia="Segoe UI" w:cs="Arial"/>
                <w:b/>
                <w:bCs/>
                <w:color w:val="FFFFFF"/>
                <w:sz w:val="20"/>
                <w:szCs w:val="20"/>
              </w:rPr>
            </w:pPr>
          </w:p>
        </w:tc>
        <w:tc>
          <w:tcPr>
            <w:tcW w:w="6336" w:type="dxa"/>
            <w:gridSpan w:val="11"/>
            <w:tcBorders>
              <w:top w:val="single" w:sz="8" w:space="0" w:color="auto"/>
              <w:left w:val="single" w:sz="8" w:space="0" w:color="000000"/>
              <w:bottom w:val="single" w:sz="8" w:space="0" w:color="000000"/>
              <w:right w:val="single" w:sz="8" w:space="0" w:color="000000"/>
            </w:tcBorders>
            <w:shd w:val="clear" w:color="auto" w:fill="082A75"/>
          </w:tcPr>
          <w:p w14:paraId="51466F7E" w14:textId="77777777" w:rsidR="00637D5C" w:rsidRPr="00637D5C" w:rsidRDefault="00637D5C">
            <w:pPr>
              <w:spacing w:after="240"/>
              <w:jc w:val="center"/>
              <w:rPr>
                <w:rFonts w:eastAsia="Segoe UI" w:cs="Arial"/>
                <w:b/>
                <w:bCs/>
                <w:color w:val="FFFFFF"/>
                <w:sz w:val="20"/>
                <w:szCs w:val="20"/>
              </w:rPr>
            </w:pPr>
            <w:r w:rsidRPr="00637D5C">
              <w:rPr>
                <w:rFonts w:eastAsia="Segoe UI" w:cs="Arial"/>
                <w:b/>
                <w:bCs/>
                <w:color w:val="FFFFFF"/>
                <w:sz w:val="20"/>
                <w:szCs w:val="20"/>
              </w:rPr>
              <w:t>JBI RoB Item Numbers</w:t>
            </w:r>
          </w:p>
        </w:tc>
      </w:tr>
      <w:tr w:rsidR="00637D5C" w:rsidRPr="00367B2E" w14:paraId="7BD52C91" w14:textId="77777777">
        <w:trPr>
          <w:trHeight w:val="330"/>
        </w:trPr>
        <w:tc>
          <w:tcPr>
            <w:tcW w:w="2304" w:type="dxa"/>
            <w:tcBorders>
              <w:top w:val="single" w:sz="8" w:space="0" w:color="auto"/>
              <w:left w:val="single" w:sz="8" w:space="0" w:color="auto"/>
              <w:bottom w:val="single" w:sz="8" w:space="0" w:color="auto"/>
              <w:right w:val="single" w:sz="8" w:space="0" w:color="auto"/>
            </w:tcBorders>
            <w:shd w:val="clear" w:color="auto" w:fill="082A75"/>
          </w:tcPr>
          <w:p w14:paraId="4B1B00D0" w14:textId="77777777" w:rsidR="00637D5C" w:rsidRPr="00637D5C" w:rsidRDefault="00637D5C">
            <w:pPr>
              <w:spacing w:after="0"/>
              <w:rPr>
                <w:rFonts w:eastAsia="Segoe UI" w:cs="Arial"/>
                <w:b/>
                <w:bCs/>
                <w:color w:val="FFFFFF"/>
                <w:sz w:val="20"/>
                <w:szCs w:val="20"/>
              </w:rPr>
            </w:pPr>
            <w:r w:rsidRPr="00637D5C">
              <w:rPr>
                <w:rFonts w:eastAsia="Segoe UI" w:cs="Arial"/>
                <w:b/>
                <w:bCs/>
                <w:color w:val="FFFFFF"/>
                <w:sz w:val="20"/>
                <w:szCs w:val="20"/>
              </w:rPr>
              <w:t xml:space="preserve">Author Year  </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65FB0673"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1</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6A335047"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2</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4D9BA037"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3</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665E3173"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4</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469BEFF4"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5</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6751420C"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6</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335FC178"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7</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7B8DDCC6"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8</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0C5BA360"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9</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32974EB3"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10</w:t>
            </w:r>
          </w:p>
        </w:tc>
        <w:tc>
          <w:tcPr>
            <w:tcW w:w="576" w:type="dxa"/>
            <w:tcBorders>
              <w:top w:val="single" w:sz="8" w:space="0" w:color="auto"/>
              <w:left w:val="single" w:sz="8" w:space="0" w:color="auto"/>
              <w:bottom w:val="single" w:sz="8" w:space="0" w:color="auto"/>
              <w:right w:val="single" w:sz="8" w:space="0" w:color="auto"/>
            </w:tcBorders>
            <w:shd w:val="clear" w:color="auto" w:fill="082A75"/>
          </w:tcPr>
          <w:p w14:paraId="71B30509" w14:textId="77777777" w:rsidR="00637D5C" w:rsidRPr="00637D5C" w:rsidRDefault="00637D5C">
            <w:pPr>
              <w:spacing w:after="0"/>
              <w:jc w:val="center"/>
              <w:rPr>
                <w:rFonts w:eastAsia="Segoe UI" w:cs="Arial"/>
                <w:b/>
                <w:bCs/>
                <w:color w:val="FFFFFF"/>
                <w:sz w:val="20"/>
                <w:szCs w:val="20"/>
              </w:rPr>
            </w:pPr>
            <w:r w:rsidRPr="00637D5C">
              <w:rPr>
                <w:rFonts w:eastAsia="Segoe UI" w:cs="Arial"/>
                <w:b/>
                <w:bCs/>
                <w:color w:val="FFFFFF"/>
                <w:sz w:val="20"/>
                <w:szCs w:val="20"/>
              </w:rPr>
              <w:t>11</w:t>
            </w:r>
          </w:p>
        </w:tc>
      </w:tr>
      <w:tr w:rsidR="00637D5C" w:rsidRPr="00367B2E" w14:paraId="35CA6859" w14:textId="77777777">
        <w:trPr>
          <w:trHeight w:val="300"/>
        </w:trPr>
        <w:tc>
          <w:tcPr>
            <w:tcW w:w="2304" w:type="dxa"/>
            <w:tcBorders>
              <w:top w:val="single" w:sz="8" w:space="0" w:color="auto"/>
              <w:left w:val="single" w:sz="8" w:space="0" w:color="000000"/>
              <w:bottom w:val="single" w:sz="8" w:space="0" w:color="000000"/>
              <w:right w:val="single" w:sz="8" w:space="0" w:color="000000"/>
            </w:tcBorders>
            <w:vAlign w:val="bottom"/>
          </w:tcPr>
          <w:p w14:paraId="3C1BB215" w14:textId="77777777" w:rsidR="00637D5C" w:rsidRPr="00637D5C" w:rsidRDefault="00637D5C">
            <w:pPr>
              <w:spacing w:after="0"/>
              <w:rPr>
                <w:rFonts w:eastAsia="Calibri" w:cs="Arial"/>
              </w:rPr>
            </w:pPr>
            <w:r w:rsidRPr="00637D5C">
              <w:rPr>
                <w:rFonts w:eastAsia="Calibri" w:cs="Arial"/>
                <w:color w:val="000000"/>
                <w:sz w:val="20"/>
                <w:szCs w:val="20"/>
              </w:rPr>
              <w:t>Hampton 2022</w:t>
            </w:r>
          </w:p>
        </w:tc>
        <w:tc>
          <w:tcPr>
            <w:tcW w:w="576" w:type="dxa"/>
            <w:tcBorders>
              <w:top w:val="single" w:sz="8" w:space="0" w:color="auto"/>
              <w:left w:val="single" w:sz="8" w:space="0" w:color="000000"/>
              <w:bottom w:val="nil"/>
              <w:right w:val="nil"/>
            </w:tcBorders>
            <w:shd w:val="clear" w:color="auto" w:fill="92D050"/>
            <w:vAlign w:val="bottom"/>
          </w:tcPr>
          <w:p w14:paraId="0D8BAFC4"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42E2A767"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0C3CF2E9"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193F9BFB"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384F9CAA"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6139ED3D"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064F21F1"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24D5D9CB"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3B10FFE9"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16366C35" w14:textId="77777777" w:rsidR="00637D5C" w:rsidRPr="00637D5C" w:rsidRDefault="00637D5C">
            <w:pPr>
              <w:spacing w:after="0"/>
              <w:rPr>
                <w:rFonts w:eastAsia="Calibri" w:cs="Arial"/>
                <w:color w:val="000000"/>
                <w:sz w:val="22"/>
                <w:szCs w:val="22"/>
              </w:rPr>
            </w:pPr>
          </w:p>
        </w:tc>
        <w:tc>
          <w:tcPr>
            <w:tcW w:w="576" w:type="dxa"/>
            <w:tcBorders>
              <w:top w:val="single" w:sz="8" w:space="0" w:color="auto"/>
              <w:left w:val="nil"/>
              <w:bottom w:val="nil"/>
              <w:right w:val="nil"/>
            </w:tcBorders>
            <w:shd w:val="clear" w:color="auto" w:fill="92D050"/>
            <w:vAlign w:val="bottom"/>
          </w:tcPr>
          <w:p w14:paraId="40E1E992" w14:textId="77777777" w:rsidR="00637D5C" w:rsidRPr="00637D5C" w:rsidRDefault="00637D5C">
            <w:pPr>
              <w:spacing w:after="160" w:line="276" w:lineRule="auto"/>
              <w:rPr>
                <w:rFonts w:eastAsia="Calibri" w:cs="Arial"/>
                <w:color w:val="000000"/>
                <w:sz w:val="22"/>
                <w:szCs w:val="22"/>
              </w:rPr>
            </w:pPr>
          </w:p>
        </w:tc>
      </w:tr>
      <w:tr w:rsidR="00637D5C" w:rsidRPr="00367B2E" w14:paraId="32131E0B" w14:textId="77777777">
        <w:trPr>
          <w:trHeight w:val="300"/>
        </w:trPr>
        <w:tc>
          <w:tcPr>
            <w:tcW w:w="2304" w:type="dxa"/>
            <w:tcBorders>
              <w:top w:val="single" w:sz="8" w:space="0" w:color="000000"/>
              <w:left w:val="single" w:sz="8" w:space="0" w:color="000000"/>
              <w:bottom w:val="single" w:sz="8" w:space="0" w:color="000000"/>
              <w:right w:val="single" w:sz="8" w:space="0" w:color="000000"/>
            </w:tcBorders>
            <w:vAlign w:val="bottom"/>
          </w:tcPr>
          <w:p w14:paraId="3111DDCC" w14:textId="77777777" w:rsidR="00637D5C" w:rsidRPr="00637D5C" w:rsidRDefault="00637D5C">
            <w:pPr>
              <w:spacing w:after="0"/>
              <w:rPr>
                <w:rFonts w:eastAsia="Calibri" w:cs="Arial"/>
              </w:rPr>
            </w:pPr>
            <w:r w:rsidRPr="00637D5C">
              <w:rPr>
                <w:rFonts w:eastAsia="Calibri" w:cs="Arial"/>
                <w:color w:val="000000"/>
                <w:sz w:val="20"/>
                <w:szCs w:val="20"/>
              </w:rPr>
              <w:t>Alatar 2023</w:t>
            </w:r>
          </w:p>
        </w:tc>
        <w:tc>
          <w:tcPr>
            <w:tcW w:w="576" w:type="dxa"/>
            <w:tcBorders>
              <w:top w:val="nil"/>
              <w:left w:val="single" w:sz="8" w:space="0" w:color="000000"/>
              <w:bottom w:val="nil"/>
              <w:right w:val="nil"/>
            </w:tcBorders>
            <w:shd w:val="clear" w:color="auto" w:fill="92D050"/>
            <w:vAlign w:val="bottom"/>
          </w:tcPr>
          <w:p w14:paraId="1576AF2F"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92D050"/>
            <w:vAlign w:val="bottom"/>
          </w:tcPr>
          <w:p w14:paraId="052B49E9"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92D050"/>
            <w:vAlign w:val="bottom"/>
          </w:tcPr>
          <w:p w14:paraId="68BF2D15"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92D050"/>
            <w:vAlign w:val="bottom"/>
          </w:tcPr>
          <w:p w14:paraId="09317CBD"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92D050"/>
            <w:vAlign w:val="bottom"/>
          </w:tcPr>
          <w:p w14:paraId="4A8B06AC"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92D050"/>
            <w:vAlign w:val="bottom"/>
          </w:tcPr>
          <w:p w14:paraId="528BCE2C"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92D050"/>
            <w:vAlign w:val="bottom"/>
          </w:tcPr>
          <w:p w14:paraId="58715815"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D6E9F5"/>
            <w:vAlign w:val="bottom"/>
          </w:tcPr>
          <w:p w14:paraId="0F4CFF44"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FFC000"/>
            <w:vAlign w:val="bottom"/>
          </w:tcPr>
          <w:p w14:paraId="17E97AD2"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92D050"/>
            <w:vAlign w:val="bottom"/>
          </w:tcPr>
          <w:p w14:paraId="731976B8" w14:textId="77777777" w:rsidR="00637D5C" w:rsidRPr="00637D5C" w:rsidRDefault="00637D5C">
            <w:pPr>
              <w:spacing w:after="0"/>
              <w:rPr>
                <w:rFonts w:eastAsia="Calibri" w:cs="Arial"/>
                <w:color w:val="000000"/>
                <w:sz w:val="22"/>
                <w:szCs w:val="22"/>
              </w:rPr>
            </w:pPr>
          </w:p>
        </w:tc>
        <w:tc>
          <w:tcPr>
            <w:tcW w:w="576" w:type="dxa"/>
            <w:tcBorders>
              <w:top w:val="nil"/>
              <w:left w:val="nil"/>
              <w:bottom w:val="nil"/>
              <w:right w:val="nil"/>
            </w:tcBorders>
            <w:shd w:val="clear" w:color="auto" w:fill="92D050"/>
            <w:vAlign w:val="bottom"/>
          </w:tcPr>
          <w:p w14:paraId="32EC6608" w14:textId="77777777" w:rsidR="00637D5C" w:rsidRPr="00637D5C" w:rsidRDefault="00637D5C">
            <w:pPr>
              <w:spacing w:after="160" w:line="276" w:lineRule="auto"/>
              <w:rPr>
                <w:rFonts w:eastAsia="Calibri" w:cs="Arial"/>
                <w:color w:val="000000"/>
                <w:sz w:val="22"/>
                <w:szCs w:val="22"/>
              </w:rPr>
            </w:pPr>
          </w:p>
        </w:tc>
      </w:tr>
    </w:tbl>
    <w:p w14:paraId="69E0FCF6"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Note: RoB = risk of bias; JBI = Joanna Briggs Institute, items from the quality assessment metric for systematic reviews: </w:t>
      </w:r>
    </w:p>
    <w:p w14:paraId="775555DC"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1. Is the review question clearly and explicitly stated? </w:t>
      </w:r>
    </w:p>
    <w:p w14:paraId="1FCBD9BA"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2. Were the inclusion criteria appropriate for the review question? </w:t>
      </w:r>
    </w:p>
    <w:p w14:paraId="6A6C7156"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3. Was the search strategy appropriate? </w:t>
      </w:r>
    </w:p>
    <w:p w14:paraId="5D44D5FE"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4. Were the sources and resources used to search for studies adequate? </w:t>
      </w:r>
    </w:p>
    <w:p w14:paraId="34D264BD"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5. Were the criteria for appraising studies appropriate? </w:t>
      </w:r>
    </w:p>
    <w:p w14:paraId="066F7CFB"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6. Was critical appraisal conducted by two or more reviewers independently? </w:t>
      </w:r>
    </w:p>
    <w:p w14:paraId="7E1A663F"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7. Were there methods to minimize errors in data extraction? </w:t>
      </w:r>
    </w:p>
    <w:p w14:paraId="55D18083"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8. Were the methods used to combine studies appropriate? </w:t>
      </w:r>
    </w:p>
    <w:p w14:paraId="613C0492"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9. Was the likelihood of publication bias assessed? </w:t>
      </w:r>
    </w:p>
    <w:p w14:paraId="56882CDB"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10. Were recommendations for policy and/or practice supported by the reported data? </w:t>
      </w:r>
    </w:p>
    <w:p w14:paraId="412DA2E7" w14:textId="77777777" w:rsidR="00F733B3"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 xml:space="preserve">11. Were the specific directives for new research appropriate? </w:t>
      </w:r>
    </w:p>
    <w:p w14:paraId="199F0E9C" w14:textId="0ECF4D7D" w:rsidR="00637D5C" w:rsidRPr="001619F0" w:rsidRDefault="00F733B3" w:rsidP="00F733B3">
      <w:pPr>
        <w:rPr>
          <w:rFonts w:cs="Arial"/>
          <w:color w:val="000000" w:themeColor="text1"/>
          <w:sz w:val="20"/>
          <w:szCs w:val="20"/>
          <w:lang w:val="en-US"/>
        </w:rPr>
      </w:pPr>
      <w:r w:rsidRPr="001619F0">
        <w:rPr>
          <w:rFonts w:cs="Arial"/>
          <w:color w:val="000000" w:themeColor="text1"/>
          <w:sz w:val="20"/>
          <w:szCs w:val="20"/>
          <w:lang w:val="en-US"/>
        </w:rPr>
        <w:t>Colour coding: Red = No; Yellow = Unclear; Green =Yes; Pale blue = Not Applicable.</w:t>
      </w:r>
    </w:p>
    <w:p w14:paraId="4208646D" w14:textId="77777777" w:rsidR="00F733B3" w:rsidRDefault="00F733B3" w:rsidP="00F733B3">
      <w:pPr>
        <w:rPr>
          <w:rFonts w:cs="Arial"/>
          <w:color w:val="000000" w:themeColor="text1"/>
          <w:lang w:val="en-US"/>
        </w:rPr>
      </w:pPr>
    </w:p>
    <w:p w14:paraId="1A860F8E" w14:textId="77777777" w:rsidR="00E336B2" w:rsidRPr="00E336B2" w:rsidRDefault="00E336B2" w:rsidP="00E336B2">
      <w:pPr>
        <w:rPr>
          <w:rFonts w:cs="Arial"/>
          <w:b/>
          <w:bCs/>
          <w:color w:val="000000" w:themeColor="text1"/>
          <w:lang w:val="en-US"/>
        </w:rPr>
      </w:pPr>
      <w:r w:rsidRPr="00E336B2">
        <w:rPr>
          <w:rFonts w:cs="Arial"/>
          <w:b/>
          <w:bCs/>
          <w:color w:val="000000" w:themeColor="text1"/>
          <w:lang w:val="en-US"/>
        </w:rPr>
        <w:t>Characteristics of the randomised controlled trials</w:t>
      </w:r>
    </w:p>
    <w:p w14:paraId="02766587" w14:textId="389B0C35" w:rsidR="00E336B2" w:rsidRPr="00E336B2" w:rsidRDefault="00E336B2" w:rsidP="00E336B2">
      <w:pPr>
        <w:rPr>
          <w:rFonts w:cs="Arial"/>
          <w:color w:val="000000" w:themeColor="text1"/>
          <w:lang w:val="en-US"/>
        </w:rPr>
      </w:pPr>
      <w:r w:rsidRPr="00E336B2">
        <w:rPr>
          <w:rFonts w:cs="Arial"/>
          <w:color w:val="000000" w:themeColor="text1"/>
          <w:lang w:val="en-US"/>
        </w:rPr>
        <w:t>There were 44 RCTs identified in the search and 36 are included in the data extraction. Eight reviews were also included in the included systematic reviews and so were not extracted for separate RCT reporting. Table 6 provides an overview of the characteristics of the 36 included RCTs. Most studies originated in the US (n = 28), and no New Zealand based RCTs were found. Twenty-six of the RCTs involved children with autism. While studies may have reported culturally diverse samples, only one US-based RCT identified that the sample was predominantly children from cultural minorities.  No other RCT reported outcomes pertinent to a particular culturally or linguistically diverse group or other identity that may increase systemic disadvantage due to intersectionality.</w:t>
      </w:r>
    </w:p>
    <w:p w14:paraId="0AC3B093" w14:textId="00CD7DB8" w:rsidR="00E336B2" w:rsidRPr="00E336B2" w:rsidRDefault="00E336B2" w:rsidP="00E336B2">
      <w:pPr>
        <w:rPr>
          <w:rFonts w:cs="Arial"/>
          <w:color w:val="000000" w:themeColor="text1"/>
          <w:lang w:val="en-US"/>
        </w:rPr>
      </w:pPr>
      <w:r w:rsidRPr="00E336B2">
        <w:rPr>
          <w:rFonts w:cs="Arial"/>
          <w:color w:val="000000" w:themeColor="text1"/>
          <w:lang w:val="en-US"/>
        </w:rPr>
        <w:t>Thirty-two studies focused on outcomes for children. Six studies included a measure categorised at the ICF level of body function (e.g., executive functions, sleep, reach to objects), 31 included activity-level measures, three included participation-level measures and one included a quality-of-life measure.  Consistent with the predominant inclusion of studies related to children with autism, communication and social skills were most commonly captured across the studies.  Seven studies included measures that are used for diagnostic purposes in autism, reporting outcomes related to changes in symptom severity and or diagnostic classification level.</w:t>
      </w:r>
    </w:p>
    <w:p w14:paraId="1059A5C9" w14:textId="77777777" w:rsidR="00E336B2" w:rsidRDefault="00E336B2" w:rsidP="00E336B2">
      <w:pPr>
        <w:rPr>
          <w:rFonts w:cs="Arial"/>
          <w:color w:val="000000" w:themeColor="text1"/>
          <w:lang w:val="en-US"/>
        </w:rPr>
      </w:pPr>
      <w:r w:rsidRPr="00E336B2">
        <w:rPr>
          <w:rFonts w:cs="Arial"/>
          <w:color w:val="000000" w:themeColor="text1"/>
          <w:lang w:val="en-US"/>
        </w:rPr>
        <w:t>The 14 studies that included parent/caregiver outcomes focused on reducing parent/caregiver stress and/or increasing wellbeing, building capacity and confidence in their parenting or to deliver an intervention, including building responsive interactions with their child. Two studies included measures of family-level quality of life. Four RCTs examined outcomes for professionals (measuring knowledge or strategy use, self-efficacy, wellbeing) and/or organisations (measuring resource use, absenteeism, costs).</w:t>
      </w:r>
    </w:p>
    <w:p w14:paraId="0D2909AE" w14:textId="77777777" w:rsidR="00E336B2" w:rsidRDefault="00E336B2" w:rsidP="00E336B2">
      <w:pPr>
        <w:rPr>
          <w:rFonts w:cs="Arial"/>
          <w:color w:val="000000" w:themeColor="text1"/>
          <w:lang w:val="en-US"/>
        </w:rPr>
      </w:pPr>
    </w:p>
    <w:p w14:paraId="134A1BEC" w14:textId="77777777" w:rsidR="00E336B2" w:rsidRDefault="00E336B2" w:rsidP="00E336B2">
      <w:pPr>
        <w:rPr>
          <w:rFonts w:cs="Arial"/>
          <w:color w:val="000000" w:themeColor="text1"/>
          <w:lang w:val="en-US"/>
        </w:rPr>
      </w:pPr>
    </w:p>
    <w:p w14:paraId="1D0A167C" w14:textId="77777777" w:rsidR="00E336B2" w:rsidRDefault="00E336B2" w:rsidP="00E336B2">
      <w:pPr>
        <w:rPr>
          <w:rFonts w:cs="Arial"/>
          <w:color w:val="000000" w:themeColor="text1"/>
          <w:lang w:val="en-US"/>
        </w:rPr>
      </w:pPr>
    </w:p>
    <w:p w14:paraId="4306D7F9" w14:textId="77777777" w:rsidR="00E336B2" w:rsidRDefault="00E336B2" w:rsidP="00E336B2">
      <w:pPr>
        <w:rPr>
          <w:rFonts w:cs="Arial"/>
          <w:color w:val="000000" w:themeColor="text1"/>
          <w:lang w:val="en-US"/>
        </w:rPr>
      </w:pPr>
    </w:p>
    <w:p w14:paraId="04A1868B" w14:textId="77777777" w:rsidR="00E336B2" w:rsidRDefault="00E336B2" w:rsidP="00E336B2">
      <w:pPr>
        <w:rPr>
          <w:rFonts w:cs="Arial"/>
          <w:color w:val="000000" w:themeColor="text1"/>
          <w:lang w:val="en-US"/>
        </w:rPr>
      </w:pPr>
    </w:p>
    <w:p w14:paraId="4E5555AE" w14:textId="77777777" w:rsidR="00E336B2" w:rsidRDefault="00E336B2" w:rsidP="00E336B2">
      <w:pPr>
        <w:rPr>
          <w:rFonts w:cs="Arial"/>
          <w:color w:val="000000" w:themeColor="text1"/>
          <w:lang w:val="en-US"/>
        </w:rPr>
      </w:pPr>
    </w:p>
    <w:p w14:paraId="2A13668E" w14:textId="77777777" w:rsidR="00E336B2" w:rsidRDefault="00E336B2" w:rsidP="00E336B2">
      <w:pPr>
        <w:rPr>
          <w:rFonts w:cs="Arial"/>
          <w:color w:val="000000" w:themeColor="text1"/>
          <w:lang w:val="en-US"/>
        </w:rPr>
      </w:pPr>
    </w:p>
    <w:p w14:paraId="77B0F6CA" w14:textId="77777777" w:rsidR="00E336B2" w:rsidRDefault="00E336B2" w:rsidP="00E336B2">
      <w:pPr>
        <w:rPr>
          <w:rFonts w:cs="Arial"/>
          <w:color w:val="000000" w:themeColor="text1"/>
          <w:lang w:val="en-US"/>
        </w:rPr>
      </w:pPr>
    </w:p>
    <w:p w14:paraId="1129B1EA" w14:textId="77777777" w:rsidR="00E336B2" w:rsidRDefault="00E336B2" w:rsidP="00E336B2">
      <w:pPr>
        <w:rPr>
          <w:rFonts w:cs="Arial"/>
          <w:color w:val="000000" w:themeColor="text1"/>
          <w:lang w:val="en-US"/>
        </w:rPr>
      </w:pPr>
    </w:p>
    <w:p w14:paraId="61B00297" w14:textId="77777777" w:rsidR="00E336B2" w:rsidRDefault="00E336B2" w:rsidP="00E336B2">
      <w:pPr>
        <w:rPr>
          <w:rFonts w:cs="Arial"/>
          <w:color w:val="000000" w:themeColor="text1"/>
          <w:lang w:val="en-US"/>
        </w:rPr>
      </w:pPr>
    </w:p>
    <w:p w14:paraId="5FC96BB4" w14:textId="77777777" w:rsidR="00E336B2" w:rsidRDefault="00E336B2" w:rsidP="00E336B2">
      <w:pPr>
        <w:rPr>
          <w:rFonts w:cs="Arial"/>
          <w:color w:val="000000" w:themeColor="text1"/>
          <w:lang w:val="en-US"/>
        </w:rPr>
      </w:pPr>
    </w:p>
    <w:p w14:paraId="211A2690" w14:textId="77777777" w:rsidR="00E336B2" w:rsidRDefault="00E336B2" w:rsidP="00E336B2">
      <w:pPr>
        <w:rPr>
          <w:rFonts w:cs="Arial"/>
          <w:color w:val="000000" w:themeColor="text1"/>
          <w:lang w:val="en-US"/>
        </w:rPr>
      </w:pPr>
    </w:p>
    <w:p w14:paraId="3603326C" w14:textId="77777777" w:rsidR="00E336B2" w:rsidRDefault="00E336B2" w:rsidP="00E336B2">
      <w:pPr>
        <w:rPr>
          <w:rFonts w:cs="Arial"/>
          <w:color w:val="000000" w:themeColor="text1"/>
          <w:lang w:val="en-US"/>
        </w:rPr>
      </w:pPr>
    </w:p>
    <w:p w14:paraId="54CEBA8D" w14:textId="77777777" w:rsidR="00E336B2" w:rsidRDefault="00E336B2" w:rsidP="00E336B2">
      <w:pPr>
        <w:rPr>
          <w:rFonts w:cs="Arial"/>
          <w:color w:val="000000" w:themeColor="text1"/>
          <w:lang w:val="en-US"/>
        </w:rPr>
      </w:pPr>
    </w:p>
    <w:p w14:paraId="01398339" w14:textId="77777777" w:rsidR="00E336B2" w:rsidRDefault="00E336B2" w:rsidP="00E336B2">
      <w:pPr>
        <w:rPr>
          <w:rFonts w:cs="Arial"/>
          <w:color w:val="000000" w:themeColor="text1"/>
          <w:lang w:val="en-US"/>
        </w:rPr>
      </w:pPr>
    </w:p>
    <w:p w14:paraId="441D23E2" w14:textId="77777777" w:rsidR="00E336B2" w:rsidRDefault="00E336B2" w:rsidP="00E336B2">
      <w:pPr>
        <w:rPr>
          <w:rFonts w:cs="Arial"/>
          <w:color w:val="000000" w:themeColor="text1"/>
          <w:lang w:val="en-US"/>
        </w:rPr>
      </w:pPr>
    </w:p>
    <w:p w14:paraId="03EA0243" w14:textId="77777777" w:rsidR="00E336B2" w:rsidRDefault="00E336B2" w:rsidP="00E336B2">
      <w:pPr>
        <w:rPr>
          <w:rFonts w:cs="Arial"/>
          <w:color w:val="000000" w:themeColor="text1"/>
          <w:lang w:val="en-US"/>
        </w:rPr>
      </w:pPr>
    </w:p>
    <w:p w14:paraId="25FA66E0" w14:textId="77777777" w:rsidR="00E336B2" w:rsidRDefault="00E336B2" w:rsidP="00E336B2">
      <w:pPr>
        <w:rPr>
          <w:rFonts w:cs="Arial"/>
          <w:color w:val="000000" w:themeColor="text1"/>
          <w:lang w:val="en-US"/>
        </w:rPr>
      </w:pPr>
    </w:p>
    <w:p w14:paraId="26F2CDB5" w14:textId="77777777" w:rsidR="00E336B2" w:rsidRDefault="00E336B2" w:rsidP="00E336B2">
      <w:pPr>
        <w:rPr>
          <w:rFonts w:cs="Arial"/>
          <w:color w:val="000000" w:themeColor="text1"/>
          <w:lang w:val="en-US"/>
        </w:rPr>
      </w:pPr>
    </w:p>
    <w:p w14:paraId="2DC6A37B" w14:textId="77777777" w:rsidR="00E336B2" w:rsidRDefault="00E336B2" w:rsidP="00E336B2">
      <w:pPr>
        <w:rPr>
          <w:rFonts w:cs="Arial"/>
          <w:color w:val="000000" w:themeColor="text1"/>
          <w:lang w:val="en-US"/>
        </w:rPr>
      </w:pPr>
    </w:p>
    <w:p w14:paraId="4ED14579" w14:textId="77777777" w:rsidR="00E336B2" w:rsidRDefault="00E336B2" w:rsidP="00E336B2">
      <w:pPr>
        <w:rPr>
          <w:rFonts w:cs="Arial"/>
          <w:color w:val="000000" w:themeColor="text1"/>
          <w:lang w:val="en-US"/>
        </w:rPr>
      </w:pPr>
    </w:p>
    <w:p w14:paraId="6A95CF4C" w14:textId="77777777" w:rsidR="00E336B2" w:rsidRDefault="00E336B2" w:rsidP="00E336B2">
      <w:pPr>
        <w:rPr>
          <w:rFonts w:cs="Arial"/>
          <w:color w:val="000000" w:themeColor="text1"/>
          <w:lang w:val="en-US"/>
        </w:rPr>
      </w:pPr>
    </w:p>
    <w:p w14:paraId="4B7A4341" w14:textId="77777777" w:rsidR="00E336B2" w:rsidRDefault="00E336B2" w:rsidP="00E336B2">
      <w:pPr>
        <w:rPr>
          <w:rFonts w:cs="Arial"/>
          <w:color w:val="000000" w:themeColor="text1"/>
          <w:lang w:val="en-US"/>
        </w:rPr>
      </w:pPr>
    </w:p>
    <w:p w14:paraId="4E2D4117" w14:textId="77777777" w:rsidR="00E336B2" w:rsidRDefault="00E336B2" w:rsidP="00E336B2">
      <w:pPr>
        <w:rPr>
          <w:rFonts w:cs="Arial"/>
          <w:color w:val="000000" w:themeColor="text1"/>
          <w:lang w:val="en-US"/>
        </w:rPr>
      </w:pPr>
    </w:p>
    <w:p w14:paraId="26AA1F5F" w14:textId="77777777" w:rsidR="00E336B2" w:rsidRDefault="00E336B2" w:rsidP="00E336B2">
      <w:pPr>
        <w:rPr>
          <w:rFonts w:cs="Arial"/>
          <w:color w:val="000000" w:themeColor="text1"/>
          <w:lang w:val="en-US"/>
        </w:rPr>
      </w:pPr>
    </w:p>
    <w:p w14:paraId="6FEB2E57" w14:textId="77777777" w:rsidR="00D86A31" w:rsidRDefault="00D86A31" w:rsidP="00E336B2">
      <w:pPr>
        <w:rPr>
          <w:rFonts w:cs="Arial"/>
          <w:color w:val="000000" w:themeColor="text1"/>
          <w:lang w:val="en-US"/>
        </w:rPr>
        <w:sectPr w:rsidR="00D86A31" w:rsidSect="000E571A">
          <w:pgSz w:w="11906" w:h="16838"/>
          <w:pgMar w:top="1440" w:right="1440" w:bottom="1440" w:left="1440" w:header="709" w:footer="709" w:gutter="0"/>
          <w:cols w:space="708"/>
          <w:titlePg/>
          <w:docGrid w:linePitch="360"/>
        </w:sectPr>
      </w:pPr>
    </w:p>
    <w:p w14:paraId="09D0DB3D" w14:textId="7D24FFB6" w:rsidR="00E336B2" w:rsidRDefault="00EE6E91" w:rsidP="00EE6E91">
      <w:pPr>
        <w:pStyle w:val="Caption"/>
        <w:rPr>
          <w:rFonts w:cs="Arial"/>
          <w:color w:val="000000" w:themeColor="text1"/>
          <w:lang w:val="en-US"/>
        </w:rPr>
      </w:pPr>
      <w:bookmarkStart w:id="93" w:name="_Ref177725113"/>
      <w:bookmarkStart w:id="94" w:name="_Toc177725005"/>
      <w:bookmarkStart w:id="95" w:name="_Toc177727325"/>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7</w:t>
      </w:r>
      <w:r w:rsidR="00627239" w:rsidRPr="00B5106F">
        <w:rPr>
          <w:b/>
          <w:bCs/>
          <w:noProof/>
        </w:rPr>
        <w:fldChar w:fldCharType="end"/>
      </w:r>
      <w:bookmarkEnd w:id="93"/>
      <w:r w:rsidRPr="00B5106F">
        <w:rPr>
          <w:b/>
          <w:bCs/>
        </w:rPr>
        <w:t>.</w:t>
      </w:r>
      <w:r w:rsidRPr="006D564A">
        <w:t xml:space="preserve"> Study characteristics of included randomised controlled trials (n = 36)</w:t>
      </w:r>
      <w:bookmarkEnd w:id="94"/>
      <w:bookmarkEnd w:id="95"/>
    </w:p>
    <w:tbl>
      <w:tblPr>
        <w:tblStyle w:val="UniofMelTable312"/>
        <w:tblpPr w:leftFromText="180" w:rightFromText="180" w:vertAnchor="text" w:tblpY="1"/>
        <w:tblOverlap w:val="never"/>
        <w:tblW w:w="14598" w:type="dxa"/>
        <w:tblLook w:val="04A0" w:firstRow="1" w:lastRow="0" w:firstColumn="1" w:lastColumn="0" w:noHBand="0" w:noVBand="1"/>
      </w:tblPr>
      <w:tblGrid>
        <w:gridCol w:w="1428"/>
        <w:gridCol w:w="1551"/>
        <w:gridCol w:w="3638"/>
        <w:gridCol w:w="2513"/>
        <w:gridCol w:w="2235"/>
        <w:gridCol w:w="2026"/>
        <w:gridCol w:w="1207"/>
      </w:tblGrid>
      <w:tr w:rsidR="006E60B1" w:rsidRPr="006E60B1" w14:paraId="0F9B7765" w14:textId="77777777">
        <w:trPr>
          <w:cnfStyle w:val="100000000000" w:firstRow="1" w:lastRow="0" w:firstColumn="0" w:lastColumn="0" w:oddVBand="0" w:evenVBand="0" w:oddHBand="0" w:evenHBand="0" w:firstRowFirstColumn="0" w:firstRowLastColumn="0" w:lastRowFirstColumn="0" w:lastRowLastColumn="0"/>
          <w:trHeight w:val="340"/>
        </w:trPr>
        <w:tc>
          <w:tcPr>
            <w:tcW w:w="1338" w:type="dxa"/>
            <w:vMerge w:val="restart"/>
            <w:shd w:val="clear" w:color="auto" w:fill="082A75"/>
          </w:tcPr>
          <w:p w14:paraId="74FB5870" w14:textId="77777777" w:rsidR="006E60B1" w:rsidRPr="006E60B1" w:rsidRDefault="006E60B1">
            <w:pPr>
              <w:suppressAutoHyphens/>
              <w:spacing w:before="40" w:after="40" w:line="200" w:lineRule="atLeast"/>
              <w:rPr>
                <w:rFonts w:eastAsia="Times New Roman" w:cs="Arial"/>
                <w:b/>
                <w:szCs w:val="22"/>
                <w:lang w:eastAsia="en-AU"/>
              </w:rPr>
            </w:pPr>
            <w:r w:rsidRPr="006E60B1">
              <w:rPr>
                <w:rFonts w:eastAsia="Times New Roman" w:cs="Arial"/>
                <w:b/>
                <w:szCs w:val="22"/>
                <w:lang w:eastAsia="en-AU"/>
              </w:rPr>
              <w:t xml:space="preserve">Author Year, Jurisdiction </w:t>
            </w:r>
          </w:p>
        </w:tc>
        <w:tc>
          <w:tcPr>
            <w:tcW w:w="1458" w:type="dxa"/>
            <w:vMerge w:val="restart"/>
            <w:shd w:val="clear" w:color="auto" w:fill="082A75"/>
          </w:tcPr>
          <w:p w14:paraId="697CA8D6" w14:textId="77777777" w:rsidR="006E60B1" w:rsidRPr="006E60B1" w:rsidRDefault="006E60B1">
            <w:pPr>
              <w:suppressAutoHyphens/>
              <w:spacing w:before="40" w:after="40" w:line="200" w:lineRule="atLeast"/>
              <w:rPr>
                <w:rFonts w:eastAsia="Times New Roman" w:cs="Arial"/>
                <w:b/>
                <w:szCs w:val="22"/>
                <w:lang w:eastAsia="en-AU"/>
              </w:rPr>
            </w:pPr>
            <w:r w:rsidRPr="006E60B1">
              <w:rPr>
                <w:rFonts w:eastAsia="Times New Roman" w:cs="Arial"/>
                <w:b/>
                <w:szCs w:val="22"/>
                <w:lang w:eastAsia="en-AU"/>
              </w:rPr>
              <w:t xml:space="preserve">Disability </w:t>
            </w:r>
          </w:p>
        </w:tc>
        <w:tc>
          <w:tcPr>
            <w:tcW w:w="3725" w:type="dxa"/>
            <w:vMerge w:val="restart"/>
            <w:shd w:val="clear" w:color="auto" w:fill="082A75"/>
          </w:tcPr>
          <w:p w14:paraId="6E660603" w14:textId="77777777" w:rsidR="006E60B1" w:rsidRPr="006E60B1" w:rsidRDefault="006E60B1">
            <w:pPr>
              <w:suppressAutoHyphens/>
              <w:spacing w:before="40" w:after="40" w:line="200" w:lineRule="atLeast"/>
              <w:rPr>
                <w:rFonts w:eastAsia="Times New Roman" w:cs="Arial"/>
                <w:b/>
                <w:szCs w:val="22"/>
                <w:lang w:eastAsia="en-AU"/>
              </w:rPr>
            </w:pPr>
            <w:r w:rsidRPr="006E60B1">
              <w:rPr>
                <w:rFonts w:eastAsia="Times New Roman" w:cs="Arial"/>
                <w:b/>
                <w:szCs w:val="22"/>
                <w:lang w:eastAsia="en-AU"/>
              </w:rPr>
              <w:t xml:space="preserve">Intervention; Comparison </w:t>
            </w:r>
          </w:p>
        </w:tc>
        <w:tc>
          <w:tcPr>
            <w:tcW w:w="6870" w:type="dxa"/>
            <w:gridSpan w:val="3"/>
            <w:shd w:val="clear" w:color="auto" w:fill="082A75"/>
          </w:tcPr>
          <w:p w14:paraId="5B018CFC" w14:textId="77777777" w:rsidR="006E60B1" w:rsidRPr="006E60B1" w:rsidRDefault="006E60B1">
            <w:pPr>
              <w:suppressAutoHyphens/>
              <w:spacing w:before="40" w:after="40" w:line="200" w:lineRule="atLeast"/>
              <w:jc w:val="center"/>
              <w:rPr>
                <w:rFonts w:eastAsia="Times New Roman" w:cs="Arial"/>
                <w:b/>
                <w:szCs w:val="22"/>
                <w:lang w:eastAsia="en-AU"/>
              </w:rPr>
            </w:pPr>
            <w:r w:rsidRPr="006E60B1">
              <w:rPr>
                <w:rFonts w:eastAsia="Times New Roman" w:cs="Arial"/>
                <w:b/>
                <w:szCs w:val="22"/>
                <w:lang w:eastAsia="en-AU"/>
              </w:rPr>
              <w:t>Outcomes</w:t>
            </w:r>
          </w:p>
        </w:tc>
        <w:tc>
          <w:tcPr>
            <w:tcW w:w="1207" w:type="dxa"/>
            <w:vMerge w:val="restart"/>
            <w:shd w:val="clear" w:color="auto" w:fill="082A75"/>
          </w:tcPr>
          <w:p w14:paraId="658A8EF7" w14:textId="77777777" w:rsidR="006E60B1" w:rsidRPr="006E60B1" w:rsidRDefault="006E60B1">
            <w:pPr>
              <w:suppressAutoHyphens/>
              <w:spacing w:before="40" w:after="40" w:line="200" w:lineRule="atLeast"/>
              <w:rPr>
                <w:rFonts w:eastAsia="Times New Roman" w:cs="Arial"/>
                <w:b/>
                <w:szCs w:val="22"/>
                <w:lang w:eastAsia="en-AU"/>
              </w:rPr>
            </w:pPr>
            <w:r w:rsidRPr="006E60B1">
              <w:rPr>
                <w:rFonts w:eastAsia="Times New Roman" w:cs="Arial"/>
                <w:b/>
                <w:szCs w:val="22"/>
                <w:lang w:eastAsia="en-AU"/>
              </w:rPr>
              <w:t xml:space="preserve">Relevance for specific groups </w:t>
            </w:r>
          </w:p>
        </w:tc>
      </w:tr>
      <w:tr w:rsidR="006E60B1" w:rsidRPr="006E60B1" w14:paraId="1E956AF0"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vMerge/>
          </w:tcPr>
          <w:p w14:paraId="5A40131D" w14:textId="77777777" w:rsidR="006E60B1" w:rsidRPr="006E60B1" w:rsidRDefault="006E60B1">
            <w:pPr>
              <w:suppressAutoHyphens/>
              <w:spacing w:before="40" w:after="40" w:line="200" w:lineRule="atLeast"/>
              <w:rPr>
                <w:rFonts w:eastAsia="Times New Roman" w:cs="Arial"/>
                <w:b/>
                <w:color w:val="082A75"/>
                <w:szCs w:val="22"/>
                <w:lang w:eastAsia="en-AU"/>
              </w:rPr>
            </w:pPr>
          </w:p>
        </w:tc>
        <w:tc>
          <w:tcPr>
            <w:tcW w:w="1458" w:type="dxa"/>
            <w:vMerge/>
          </w:tcPr>
          <w:p w14:paraId="672A2CEE" w14:textId="77777777" w:rsidR="006E60B1" w:rsidRPr="006E60B1" w:rsidRDefault="006E60B1">
            <w:pPr>
              <w:suppressAutoHyphens/>
              <w:spacing w:before="40" w:after="40" w:line="200" w:lineRule="atLeast"/>
              <w:rPr>
                <w:rFonts w:eastAsia="Times New Roman" w:cs="Arial"/>
                <w:b/>
                <w:szCs w:val="22"/>
                <w:lang w:eastAsia="en-AU"/>
              </w:rPr>
            </w:pPr>
          </w:p>
        </w:tc>
        <w:tc>
          <w:tcPr>
            <w:tcW w:w="3725" w:type="dxa"/>
            <w:vMerge/>
          </w:tcPr>
          <w:p w14:paraId="580A87CB" w14:textId="77777777" w:rsidR="006E60B1" w:rsidRPr="006E60B1" w:rsidRDefault="006E60B1">
            <w:pPr>
              <w:suppressAutoHyphens/>
              <w:spacing w:before="40" w:after="40" w:line="200" w:lineRule="atLeast"/>
              <w:rPr>
                <w:rFonts w:eastAsia="Times New Roman" w:cs="Arial"/>
                <w:b/>
                <w:szCs w:val="22"/>
                <w:lang w:eastAsia="en-AU"/>
              </w:rPr>
            </w:pPr>
          </w:p>
        </w:tc>
        <w:tc>
          <w:tcPr>
            <w:tcW w:w="2551" w:type="dxa"/>
            <w:shd w:val="clear" w:color="auto" w:fill="082A75"/>
          </w:tcPr>
          <w:p w14:paraId="27084EB7" w14:textId="77777777" w:rsidR="006E60B1" w:rsidRPr="006E60B1" w:rsidRDefault="006E60B1">
            <w:pPr>
              <w:suppressAutoHyphens/>
              <w:spacing w:before="40" w:after="40" w:line="200" w:lineRule="atLeast"/>
              <w:jc w:val="center"/>
              <w:rPr>
                <w:rFonts w:eastAsia="Times New Roman" w:cs="Arial"/>
                <w:b/>
                <w:szCs w:val="22"/>
                <w:lang w:eastAsia="en-AU"/>
              </w:rPr>
            </w:pPr>
            <w:r w:rsidRPr="006E60B1">
              <w:rPr>
                <w:rFonts w:eastAsia="Times New Roman" w:cs="Arial"/>
                <w:b/>
                <w:szCs w:val="22"/>
                <w:lang w:eastAsia="en-AU"/>
              </w:rPr>
              <w:t>For children</w:t>
            </w:r>
          </w:p>
        </w:tc>
        <w:tc>
          <w:tcPr>
            <w:tcW w:w="2268" w:type="dxa"/>
            <w:shd w:val="clear" w:color="auto" w:fill="082A75"/>
          </w:tcPr>
          <w:p w14:paraId="04C07F67" w14:textId="77777777" w:rsidR="006E60B1" w:rsidRPr="006E60B1" w:rsidRDefault="006E60B1">
            <w:pPr>
              <w:suppressAutoHyphens/>
              <w:spacing w:before="40" w:after="40" w:line="200" w:lineRule="atLeast"/>
              <w:jc w:val="center"/>
              <w:rPr>
                <w:rFonts w:eastAsia="Times New Roman" w:cs="Arial"/>
                <w:b/>
                <w:szCs w:val="22"/>
                <w:lang w:eastAsia="en-AU"/>
              </w:rPr>
            </w:pPr>
            <w:r w:rsidRPr="006E60B1">
              <w:rPr>
                <w:rFonts w:eastAsia="Times New Roman" w:cs="Arial"/>
                <w:b/>
                <w:szCs w:val="22"/>
                <w:lang w:eastAsia="en-AU"/>
              </w:rPr>
              <w:t>For parents</w:t>
            </w:r>
          </w:p>
        </w:tc>
        <w:tc>
          <w:tcPr>
            <w:tcW w:w="2051" w:type="dxa"/>
            <w:shd w:val="clear" w:color="auto" w:fill="082A75"/>
          </w:tcPr>
          <w:p w14:paraId="67E43961" w14:textId="77777777" w:rsidR="006E60B1" w:rsidRPr="006E60B1" w:rsidRDefault="006E60B1">
            <w:pPr>
              <w:suppressAutoHyphens/>
              <w:spacing w:before="40" w:after="40" w:line="200" w:lineRule="atLeast"/>
              <w:jc w:val="center"/>
              <w:rPr>
                <w:rFonts w:eastAsia="Times New Roman" w:cs="Arial"/>
                <w:b/>
                <w:szCs w:val="22"/>
                <w:lang w:eastAsia="en-AU"/>
              </w:rPr>
            </w:pPr>
            <w:r w:rsidRPr="006E60B1">
              <w:rPr>
                <w:rFonts w:eastAsia="Times New Roman" w:cs="Arial"/>
                <w:b/>
                <w:szCs w:val="22"/>
                <w:lang w:eastAsia="en-AU"/>
              </w:rPr>
              <w:t>For practitioners or organisations</w:t>
            </w:r>
          </w:p>
        </w:tc>
        <w:tc>
          <w:tcPr>
            <w:tcW w:w="1207" w:type="dxa"/>
            <w:vMerge/>
          </w:tcPr>
          <w:p w14:paraId="397A2976" w14:textId="77777777" w:rsidR="006E60B1" w:rsidRPr="006E60B1" w:rsidRDefault="006E60B1">
            <w:pPr>
              <w:suppressAutoHyphens/>
              <w:spacing w:before="40" w:after="40" w:line="200" w:lineRule="atLeast"/>
              <w:rPr>
                <w:rFonts w:eastAsia="Times New Roman" w:cs="Arial"/>
                <w:b/>
                <w:szCs w:val="22"/>
                <w:lang w:eastAsia="en-AU"/>
              </w:rPr>
            </w:pPr>
          </w:p>
        </w:tc>
      </w:tr>
      <w:tr w:rsidR="006E60B1" w:rsidRPr="006E60B1" w14:paraId="481544BD"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65342F35"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Vivanti 2019, Australia</w:t>
            </w:r>
          </w:p>
        </w:tc>
        <w:tc>
          <w:tcPr>
            <w:tcW w:w="1458" w:type="dxa"/>
          </w:tcPr>
          <w:p w14:paraId="1E040309"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1AF530A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Group-Early Start Denver Model - Specialised Setting (G-ESDM Specialised); Group-Early Start Denver Model - Inclusive Setting (G-ESDM Inclusive)</w:t>
            </w:r>
          </w:p>
        </w:tc>
        <w:tc>
          <w:tcPr>
            <w:tcW w:w="2551" w:type="dxa"/>
          </w:tcPr>
          <w:p w14:paraId="4B5791D0" w14:textId="77777777" w:rsidR="006E60B1" w:rsidRPr="006E60B1" w:rsidRDefault="006E60B1">
            <w:pPr>
              <w:suppressAutoHyphens/>
              <w:spacing w:before="40" w:after="40" w:line="200" w:lineRule="atLeast"/>
              <w:rPr>
                <w:rFonts w:eastAsia="Times New Roman" w:cs="Arial"/>
                <w:lang w:eastAsia="en-AU"/>
              </w:rPr>
            </w:pPr>
            <w:r w:rsidRPr="006E60B1">
              <w:rPr>
                <w:rFonts w:cs="Arial"/>
              </w:rPr>
              <w:t>Vocalisations, Social Interaction, Imitation, Child Development, Adaptive Behaviour, Social Communication, Autism Symptom Severity, Restricted and Repetitive Behaviour</w:t>
            </w:r>
          </w:p>
        </w:tc>
        <w:tc>
          <w:tcPr>
            <w:tcW w:w="2268" w:type="dxa"/>
          </w:tcPr>
          <w:p w14:paraId="7981C60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Parenting Stress</w:t>
            </w:r>
          </w:p>
        </w:tc>
        <w:tc>
          <w:tcPr>
            <w:tcW w:w="2051" w:type="dxa"/>
          </w:tcPr>
          <w:p w14:paraId="02970936"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77490A1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39208A53"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72FAE76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Whitehouse 2021, Australia</w:t>
            </w:r>
          </w:p>
        </w:tc>
        <w:tc>
          <w:tcPr>
            <w:tcW w:w="1458" w:type="dxa"/>
          </w:tcPr>
          <w:p w14:paraId="1E8BD447"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755B5F50" w14:textId="77777777" w:rsidR="006E60B1" w:rsidRPr="006E60B1" w:rsidRDefault="006E60B1">
            <w:pPr>
              <w:suppressAutoHyphens/>
              <w:spacing w:before="40" w:after="40" w:line="200" w:lineRule="atLeast"/>
              <w:rPr>
                <w:rFonts w:cs="Arial"/>
              </w:rPr>
            </w:pPr>
            <w:r w:rsidRPr="006E60B1">
              <w:rPr>
                <w:rFonts w:cs="Arial"/>
              </w:rPr>
              <w:t xml:space="preserve">iBASIS-Video Interaction for Promoting Positive Parenting (iBASIS-VIPP); </w:t>
            </w:r>
          </w:p>
          <w:p w14:paraId="4D6470C1" w14:textId="77777777" w:rsidR="006E60B1" w:rsidRPr="006E60B1" w:rsidRDefault="006E60B1">
            <w:pPr>
              <w:suppressAutoHyphens/>
              <w:spacing w:before="40" w:after="40" w:line="200" w:lineRule="atLeast"/>
              <w:rPr>
                <w:rFonts w:eastAsia="Times New Roman" w:cs="Arial"/>
                <w:lang w:eastAsia="en-AU"/>
              </w:rPr>
            </w:pPr>
            <w:r w:rsidRPr="006E60B1">
              <w:rPr>
                <w:rFonts w:cs="Arial"/>
              </w:rPr>
              <w:t>Services as Usual (SAU)</w:t>
            </w:r>
          </w:p>
        </w:tc>
        <w:tc>
          <w:tcPr>
            <w:tcW w:w="2551" w:type="dxa"/>
          </w:tcPr>
          <w:p w14:paraId="21467D26"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Autism Symptom Severity, Autism Diagnosis, Parent-Child Interactions, Child Development, Language, Adaptive Behaviour</w:t>
            </w:r>
          </w:p>
        </w:tc>
        <w:tc>
          <w:tcPr>
            <w:tcW w:w="2268" w:type="dxa"/>
          </w:tcPr>
          <w:p w14:paraId="283BD6E6"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Competence</w:t>
            </w:r>
          </w:p>
        </w:tc>
        <w:tc>
          <w:tcPr>
            <w:tcW w:w="2051" w:type="dxa"/>
          </w:tcPr>
          <w:p w14:paraId="1AB002F5"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6D6E3CD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780300F6"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30676EFD"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Young 2023, Australia</w:t>
            </w:r>
          </w:p>
        </w:tc>
        <w:tc>
          <w:tcPr>
            <w:tcW w:w="1458" w:type="dxa"/>
          </w:tcPr>
          <w:p w14:paraId="0B19BBC7"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 xml:space="preserve">Various disabilities </w:t>
            </w:r>
          </w:p>
        </w:tc>
        <w:tc>
          <w:tcPr>
            <w:tcW w:w="3725" w:type="dxa"/>
          </w:tcPr>
          <w:p w14:paraId="754568ED"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Pursuit of Wellbeing Program (PWP); Control</w:t>
            </w:r>
          </w:p>
        </w:tc>
        <w:tc>
          <w:tcPr>
            <w:tcW w:w="2551" w:type="dxa"/>
          </w:tcPr>
          <w:p w14:paraId="02D74FAD" w14:textId="77777777" w:rsidR="006E60B1" w:rsidRPr="006E60B1" w:rsidRDefault="006E60B1">
            <w:pPr>
              <w:suppressAutoHyphens/>
              <w:spacing w:before="40" w:after="40" w:line="200" w:lineRule="atLeast"/>
              <w:rPr>
                <w:rFonts w:eastAsia="Times New Roman" w:cs="Arial"/>
                <w:szCs w:val="22"/>
                <w:lang w:eastAsia="en-AU"/>
              </w:rPr>
            </w:pPr>
          </w:p>
        </w:tc>
        <w:tc>
          <w:tcPr>
            <w:tcW w:w="2268" w:type="dxa"/>
          </w:tcPr>
          <w:p w14:paraId="191851D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Mental Wellbeing, Satisfaction</w:t>
            </w:r>
          </w:p>
        </w:tc>
        <w:tc>
          <w:tcPr>
            <w:tcW w:w="2051" w:type="dxa"/>
          </w:tcPr>
          <w:p w14:paraId="5507EB69" w14:textId="77777777" w:rsidR="006E60B1" w:rsidRPr="006E60B1" w:rsidRDefault="006E60B1">
            <w:pPr>
              <w:suppressAutoHyphens/>
              <w:spacing w:before="40" w:after="40" w:line="200" w:lineRule="atLeast"/>
              <w:rPr>
                <w:rFonts w:cs="Arial"/>
              </w:rPr>
            </w:pPr>
            <w:r w:rsidRPr="006E60B1">
              <w:rPr>
                <w:rFonts w:cs="Arial"/>
              </w:rPr>
              <w:t xml:space="preserve">Practitioners: </w:t>
            </w:r>
          </w:p>
          <w:p w14:paraId="2BDF113C" w14:textId="77777777" w:rsidR="006E60B1" w:rsidRPr="006E60B1" w:rsidRDefault="006E60B1">
            <w:pPr>
              <w:suppressAutoHyphens/>
              <w:spacing w:before="40" w:after="40" w:line="200" w:lineRule="atLeast"/>
              <w:rPr>
                <w:rFonts w:cs="Arial"/>
              </w:rPr>
            </w:pPr>
            <w:r w:rsidRPr="006E60B1">
              <w:rPr>
                <w:rFonts w:cs="Arial"/>
              </w:rPr>
              <w:t xml:space="preserve">Self-Efficacy, Job-Related Wellbeing, Perceived Support; Organisations: </w:t>
            </w:r>
          </w:p>
          <w:p w14:paraId="27A4E877"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Staff Absenteeism</w:t>
            </w:r>
          </w:p>
        </w:tc>
        <w:tc>
          <w:tcPr>
            <w:tcW w:w="1207" w:type="dxa"/>
          </w:tcPr>
          <w:p w14:paraId="7C76E38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52B78B56"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2648DE9F"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Sgandurra 2017, Europe (Italy, Denmark)</w:t>
            </w:r>
          </w:p>
        </w:tc>
        <w:tc>
          <w:tcPr>
            <w:tcW w:w="1458" w:type="dxa"/>
          </w:tcPr>
          <w:p w14:paraId="549139F9"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Preterm infants</w:t>
            </w:r>
          </w:p>
        </w:tc>
        <w:tc>
          <w:tcPr>
            <w:tcW w:w="3725" w:type="dxa"/>
          </w:tcPr>
          <w:p w14:paraId="6269F8D8" w14:textId="77777777" w:rsidR="006E60B1" w:rsidRPr="006E60B1" w:rsidRDefault="006E60B1">
            <w:pPr>
              <w:suppressAutoHyphens/>
              <w:spacing w:before="40" w:after="40" w:line="200" w:lineRule="atLeast"/>
              <w:rPr>
                <w:rFonts w:cs="Arial"/>
              </w:rPr>
            </w:pPr>
            <w:r w:rsidRPr="006E60B1">
              <w:rPr>
                <w:rFonts w:cs="Arial"/>
              </w:rPr>
              <w:t xml:space="preserve">CareToy; </w:t>
            </w:r>
          </w:p>
          <w:p w14:paraId="167C6C2F" w14:textId="77777777" w:rsidR="006E60B1" w:rsidRPr="006E60B1" w:rsidRDefault="006E60B1">
            <w:pPr>
              <w:suppressAutoHyphens/>
              <w:spacing w:before="40" w:after="40" w:line="200" w:lineRule="atLeast"/>
              <w:rPr>
                <w:rFonts w:cs="Arial"/>
                <w:lang w:eastAsia="en-AU"/>
              </w:rPr>
            </w:pPr>
            <w:r w:rsidRPr="006E60B1">
              <w:rPr>
                <w:rFonts w:cs="Arial"/>
              </w:rPr>
              <w:t>Standard Care</w:t>
            </w:r>
          </w:p>
        </w:tc>
        <w:tc>
          <w:tcPr>
            <w:tcW w:w="2551" w:type="dxa"/>
          </w:tcPr>
          <w:p w14:paraId="3E4F084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Motor Abilities, Motor Behaviours, Visual Acuity</w:t>
            </w:r>
          </w:p>
        </w:tc>
        <w:tc>
          <w:tcPr>
            <w:tcW w:w="2268" w:type="dxa"/>
          </w:tcPr>
          <w:p w14:paraId="78FCCD3A"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155A1093"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3B3A9D76"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4836508D"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6669496B"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Sgandurra 2019, Europe (Italy, Denmark)</w:t>
            </w:r>
          </w:p>
        </w:tc>
        <w:tc>
          <w:tcPr>
            <w:tcW w:w="1458" w:type="dxa"/>
          </w:tcPr>
          <w:p w14:paraId="70326C47"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Preterm infants</w:t>
            </w:r>
          </w:p>
        </w:tc>
        <w:tc>
          <w:tcPr>
            <w:tcW w:w="3725" w:type="dxa"/>
          </w:tcPr>
          <w:p w14:paraId="5970DAE6" w14:textId="77777777" w:rsidR="006E60B1" w:rsidRPr="006E60B1" w:rsidRDefault="006E60B1">
            <w:pPr>
              <w:suppressAutoHyphens/>
              <w:spacing w:before="40" w:after="40" w:line="200" w:lineRule="atLeast"/>
              <w:rPr>
                <w:rFonts w:cs="Arial"/>
              </w:rPr>
            </w:pPr>
            <w:r w:rsidRPr="006E60B1">
              <w:rPr>
                <w:rFonts w:cs="Arial"/>
              </w:rPr>
              <w:t xml:space="preserve">CareToy; </w:t>
            </w:r>
          </w:p>
          <w:p w14:paraId="598A942D"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Standard Care</w:t>
            </w:r>
          </w:p>
        </w:tc>
        <w:tc>
          <w:tcPr>
            <w:tcW w:w="2551" w:type="dxa"/>
          </w:tcPr>
          <w:p w14:paraId="34636E65" w14:textId="77777777" w:rsidR="006E60B1" w:rsidRPr="006E60B1" w:rsidRDefault="006E60B1">
            <w:pPr>
              <w:suppressAutoHyphens/>
              <w:spacing w:before="40" w:after="40" w:line="200" w:lineRule="atLeast"/>
              <w:rPr>
                <w:rFonts w:eastAsia="Times New Roman" w:cs="Arial"/>
                <w:szCs w:val="22"/>
                <w:lang w:eastAsia="en-AU"/>
              </w:rPr>
            </w:pPr>
          </w:p>
        </w:tc>
        <w:tc>
          <w:tcPr>
            <w:tcW w:w="2268" w:type="dxa"/>
          </w:tcPr>
          <w:p w14:paraId="658EEFAE"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Parenting Stress</w:t>
            </w:r>
          </w:p>
        </w:tc>
        <w:tc>
          <w:tcPr>
            <w:tcW w:w="2051" w:type="dxa"/>
          </w:tcPr>
          <w:p w14:paraId="378DE1FE"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5923A9CF"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03BA23DD"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66BD0FB5"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Hielkema 2020, Europe (Netherlands)</w:t>
            </w:r>
          </w:p>
        </w:tc>
        <w:tc>
          <w:tcPr>
            <w:tcW w:w="1458" w:type="dxa"/>
          </w:tcPr>
          <w:p w14:paraId="7E106E76"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Infants at very high risk of Cerebral Palsy</w:t>
            </w:r>
          </w:p>
        </w:tc>
        <w:tc>
          <w:tcPr>
            <w:tcW w:w="3725" w:type="dxa"/>
          </w:tcPr>
          <w:p w14:paraId="576AB1A8" w14:textId="77777777" w:rsidR="006E60B1" w:rsidRPr="006E60B1" w:rsidRDefault="006E60B1">
            <w:pPr>
              <w:suppressAutoHyphens/>
              <w:spacing w:before="40" w:after="40" w:line="200" w:lineRule="atLeast"/>
              <w:rPr>
                <w:rFonts w:cs="Arial"/>
              </w:rPr>
            </w:pPr>
            <w:r w:rsidRPr="006E60B1">
              <w:rPr>
                <w:rFonts w:cs="Arial"/>
              </w:rPr>
              <w:t xml:space="preserve">COPing with and CAring for Infants with Special Needs (COPCA); </w:t>
            </w:r>
          </w:p>
          <w:p w14:paraId="332E5F8F" w14:textId="77777777" w:rsidR="006E60B1" w:rsidRPr="006E60B1" w:rsidRDefault="006E60B1">
            <w:pPr>
              <w:suppressAutoHyphens/>
              <w:spacing w:before="40" w:after="40" w:line="200" w:lineRule="atLeast"/>
              <w:rPr>
                <w:rFonts w:cs="Arial"/>
                <w:lang w:eastAsia="en-AU"/>
              </w:rPr>
            </w:pPr>
            <w:r w:rsidRPr="006E60B1">
              <w:rPr>
                <w:rFonts w:cs="Arial"/>
              </w:rPr>
              <w:t>Standard Infant Physiotherapy (SIP)</w:t>
            </w:r>
          </w:p>
        </w:tc>
        <w:tc>
          <w:tcPr>
            <w:tcW w:w="2551" w:type="dxa"/>
          </w:tcPr>
          <w:p w14:paraId="1514CF8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Functional Capabilities &amp; Performance, Adaptive Behaviour, Quality of Life</w:t>
            </w:r>
          </w:p>
        </w:tc>
        <w:tc>
          <w:tcPr>
            <w:tcW w:w="2268" w:type="dxa"/>
          </w:tcPr>
          <w:p w14:paraId="5A6990E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Empowerment, Parenting Stress, Coping, Family Quality of Life</w:t>
            </w:r>
          </w:p>
        </w:tc>
        <w:tc>
          <w:tcPr>
            <w:tcW w:w="2051" w:type="dxa"/>
          </w:tcPr>
          <w:p w14:paraId="1EE8F697"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6A48BE51"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1B4ABFAF"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16FE811F"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Byford 2015, United Kingdom</w:t>
            </w:r>
          </w:p>
        </w:tc>
        <w:tc>
          <w:tcPr>
            <w:tcW w:w="1458" w:type="dxa"/>
          </w:tcPr>
          <w:p w14:paraId="3CAC3FB4"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3714B422" w14:textId="77777777" w:rsidR="006E60B1" w:rsidRPr="006E60B1" w:rsidRDefault="006E60B1">
            <w:pPr>
              <w:suppressAutoHyphens/>
              <w:spacing w:before="40" w:after="40" w:line="200" w:lineRule="atLeast"/>
              <w:rPr>
                <w:rFonts w:cs="Arial"/>
              </w:rPr>
            </w:pPr>
            <w:r w:rsidRPr="006E60B1">
              <w:rPr>
                <w:rFonts w:cs="Arial"/>
              </w:rPr>
              <w:t xml:space="preserve">Preschool Autism Communication Trial Therapy (PACT); </w:t>
            </w:r>
          </w:p>
          <w:p w14:paraId="304F4AB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Treatment as Usual (TAU)</w:t>
            </w:r>
          </w:p>
        </w:tc>
        <w:tc>
          <w:tcPr>
            <w:tcW w:w="2551" w:type="dxa"/>
          </w:tcPr>
          <w:p w14:paraId="6CF29B42"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Autism Symptom Severity </w:t>
            </w:r>
          </w:p>
        </w:tc>
        <w:tc>
          <w:tcPr>
            <w:tcW w:w="2268" w:type="dxa"/>
          </w:tcPr>
          <w:p w14:paraId="323B1D1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Productivity Loss,</w:t>
            </w:r>
          </w:p>
        </w:tc>
        <w:tc>
          <w:tcPr>
            <w:tcW w:w="2051" w:type="dxa"/>
          </w:tcPr>
          <w:p w14:paraId="20D74389" w14:textId="77777777" w:rsidR="006E60B1" w:rsidRPr="006E60B1" w:rsidRDefault="006E60B1">
            <w:pPr>
              <w:suppressAutoHyphens/>
              <w:spacing w:before="40" w:after="40" w:line="200" w:lineRule="atLeast"/>
              <w:rPr>
                <w:rFonts w:eastAsia="Times New Roman" w:cs="Arial"/>
                <w:lang w:eastAsia="en-AU"/>
              </w:rPr>
            </w:pPr>
            <w:r w:rsidRPr="006E60B1">
              <w:rPr>
                <w:rFonts w:cs="Arial"/>
              </w:rPr>
              <w:t>Organisations: Resource Use, Total Service Costs</w:t>
            </w:r>
          </w:p>
        </w:tc>
        <w:tc>
          <w:tcPr>
            <w:tcW w:w="1207" w:type="dxa"/>
          </w:tcPr>
          <w:p w14:paraId="7D46AC3E"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54C59E9B"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1DA86B7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Pickles 2016, United Kingdom</w:t>
            </w:r>
          </w:p>
        </w:tc>
        <w:tc>
          <w:tcPr>
            <w:tcW w:w="1458" w:type="dxa"/>
          </w:tcPr>
          <w:p w14:paraId="612FE50F"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05736411" w14:textId="77777777" w:rsidR="006E60B1" w:rsidRPr="006E60B1" w:rsidRDefault="006E60B1">
            <w:pPr>
              <w:suppressAutoHyphens/>
              <w:spacing w:before="40" w:after="40" w:line="200" w:lineRule="atLeast"/>
              <w:rPr>
                <w:rFonts w:cs="Arial"/>
              </w:rPr>
            </w:pPr>
            <w:r w:rsidRPr="006E60B1">
              <w:rPr>
                <w:rFonts w:cs="Arial"/>
              </w:rPr>
              <w:t>Preschool Autism Communication Trial Therapy (PACT);</w:t>
            </w:r>
          </w:p>
          <w:p w14:paraId="36D29E11"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Treatment as Usual (TAU)</w:t>
            </w:r>
          </w:p>
        </w:tc>
        <w:tc>
          <w:tcPr>
            <w:tcW w:w="2551" w:type="dxa"/>
          </w:tcPr>
          <w:p w14:paraId="4906CD5D" w14:textId="77777777" w:rsidR="006E60B1" w:rsidRPr="006E60B1" w:rsidRDefault="006E60B1">
            <w:pPr>
              <w:suppressAutoHyphens/>
              <w:spacing w:before="40" w:after="40" w:line="200" w:lineRule="atLeast"/>
              <w:rPr>
                <w:rFonts w:eastAsia="Times New Roman" w:cs="Arial"/>
                <w:lang w:eastAsia="en-AU"/>
              </w:rPr>
            </w:pPr>
            <w:r w:rsidRPr="006E60B1">
              <w:rPr>
                <w:rFonts w:cs="Arial"/>
              </w:rPr>
              <w:t xml:space="preserve">Autism Symptom Severity, Language, Restricted &amp; Repetitive Behaviours, Parent-Child Communication, Adaptive Behaviour </w:t>
            </w:r>
          </w:p>
        </w:tc>
        <w:tc>
          <w:tcPr>
            <w:tcW w:w="2268" w:type="dxa"/>
          </w:tcPr>
          <w:p w14:paraId="250144CD"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3CB9220C"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255BFB5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22CE2F5B"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3C627906"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Bagner 2023, United States</w:t>
            </w:r>
          </w:p>
        </w:tc>
        <w:tc>
          <w:tcPr>
            <w:tcW w:w="1458" w:type="dxa"/>
          </w:tcPr>
          <w:p w14:paraId="28C9B76B"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 xml:space="preserve">Developmental delay </w:t>
            </w:r>
          </w:p>
        </w:tc>
        <w:tc>
          <w:tcPr>
            <w:tcW w:w="3725" w:type="dxa"/>
          </w:tcPr>
          <w:p w14:paraId="5D8E4E59" w14:textId="77777777" w:rsidR="006E60B1" w:rsidRPr="006E60B1" w:rsidRDefault="006E60B1">
            <w:pPr>
              <w:suppressAutoHyphens/>
              <w:spacing w:before="40" w:after="40" w:line="200" w:lineRule="atLeast"/>
              <w:rPr>
                <w:rFonts w:cs="Arial"/>
              </w:rPr>
            </w:pPr>
            <w:r w:rsidRPr="006E60B1">
              <w:rPr>
                <w:rFonts w:cs="Arial"/>
              </w:rPr>
              <w:t xml:space="preserve">Internet-delivered Parent-Child Interaction Therapy (iPCIT); </w:t>
            </w:r>
          </w:p>
          <w:p w14:paraId="37609B4D"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Services as Usual (SAU)</w:t>
            </w:r>
          </w:p>
        </w:tc>
        <w:tc>
          <w:tcPr>
            <w:tcW w:w="2551" w:type="dxa"/>
          </w:tcPr>
          <w:p w14:paraId="1032B331"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Behavioural Problems, Observed Compliance</w:t>
            </w:r>
          </w:p>
        </w:tc>
        <w:tc>
          <w:tcPr>
            <w:tcW w:w="2268" w:type="dxa"/>
          </w:tcPr>
          <w:p w14:paraId="04110697"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Parenting Behaviour, Discipline Approach, Parenting Stress</w:t>
            </w:r>
          </w:p>
        </w:tc>
        <w:tc>
          <w:tcPr>
            <w:tcW w:w="2051" w:type="dxa"/>
          </w:tcPr>
          <w:p w14:paraId="1C3693A4"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74CACAAC" w14:textId="77777777" w:rsidR="006E60B1" w:rsidRPr="006E60B1" w:rsidRDefault="006E60B1">
            <w:pPr>
              <w:suppressAutoHyphens/>
              <w:spacing w:before="40" w:after="40" w:line="200" w:lineRule="atLeast"/>
              <w:rPr>
                <w:rFonts w:cs="Arial"/>
                <w:lang w:eastAsia="en-AU"/>
              </w:rPr>
            </w:pPr>
            <w:r w:rsidRPr="006E60B1">
              <w:rPr>
                <w:rFonts w:cs="Arial"/>
              </w:rPr>
              <w:t>Yes, CALD, low SES</w:t>
            </w:r>
          </w:p>
        </w:tc>
      </w:tr>
      <w:tr w:rsidR="006E60B1" w:rsidRPr="006E60B1" w14:paraId="3CD53A15"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5AFB8E19"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Barrett 2020, United States</w:t>
            </w:r>
          </w:p>
        </w:tc>
        <w:tc>
          <w:tcPr>
            <w:tcW w:w="1458" w:type="dxa"/>
          </w:tcPr>
          <w:p w14:paraId="7F873F54"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02956917" w14:textId="77777777" w:rsidR="006E60B1" w:rsidRPr="006E60B1" w:rsidRDefault="006E60B1">
            <w:pPr>
              <w:suppressAutoHyphens/>
              <w:spacing w:before="40" w:after="40" w:line="200" w:lineRule="atLeast"/>
              <w:rPr>
                <w:rFonts w:cs="Arial"/>
              </w:rPr>
            </w:pPr>
            <w:r w:rsidRPr="006E60B1">
              <w:rPr>
                <w:rFonts w:cs="Arial"/>
              </w:rPr>
              <w:t xml:space="preserve">Pivotal Response Intervention for Social Motivation (PRISM); </w:t>
            </w:r>
          </w:p>
          <w:p w14:paraId="38ED364D"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Treatment as Usual (TAU)</w:t>
            </w:r>
          </w:p>
        </w:tc>
        <w:tc>
          <w:tcPr>
            <w:tcW w:w="2551" w:type="dxa"/>
          </w:tcPr>
          <w:p w14:paraId="7F49027C"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Social Responsiveness, Total Words Spoken, Different Words Spoken, Length of Word Utterance</w:t>
            </w:r>
          </w:p>
        </w:tc>
        <w:tc>
          <w:tcPr>
            <w:tcW w:w="2268" w:type="dxa"/>
          </w:tcPr>
          <w:p w14:paraId="2EF1501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Caregiver Verbal Initiations</w:t>
            </w:r>
          </w:p>
        </w:tc>
        <w:tc>
          <w:tcPr>
            <w:tcW w:w="2051" w:type="dxa"/>
          </w:tcPr>
          <w:p w14:paraId="7A99BA7F"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769492EB"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7F5DF303"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5B220315"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Buzhardt 2018, United States</w:t>
            </w:r>
          </w:p>
        </w:tc>
        <w:tc>
          <w:tcPr>
            <w:tcW w:w="1458" w:type="dxa"/>
          </w:tcPr>
          <w:p w14:paraId="42DD1319"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At risk for language delay</w:t>
            </w:r>
          </w:p>
        </w:tc>
        <w:tc>
          <w:tcPr>
            <w:tcW w:w="3725" w:type="dxa"/>
          </w:tcPr>
          <w:p w14:paraId="36327116"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Promoting Communication Tools for Accelerating Language in Kids + Making Online Decisions (PC TALK+MOD); Promoting Communication Tools for Accelerating Language in Kids (PC TALK)</w:t>
            </w:r>
          </w:p>
        </w:tc>
        <w:tc>
          <w:tcPr>
            <w:tcW w:w="2551" w:type="dxa"/>
          </w:tcPr>
          <w:p w14:paraId="48292C0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Expressive Communication</w:t>
            </w:r>
          </w:p>
        </w:tc>
        <w:tc>
          <w:tcPr>
            <w:tcW w:w="2268" w:type="dxa"/>
          </w:tcPr>
          <w:p w14:paraId="6E8A52D1"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4B981310"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24201F50"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501344A7"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5240A7B6"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Engelstad 2020, United States</w:t>
            </w:r>
          </w:p>
        </w:tc>
        <w:tc>
          <w:tcPr>
            <w:tcW w:w="1458" w:type="dxa"/>
          </w:tcPr>
          <w:p w14:paraId="156EC112"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 xml:space="preserve">Autism </w:t>
            </w:r>
          </w:p>
        </w:tc>
        <w:tc>
          <w:tcPr>
            <w:tcW w:w="3725" w:type="dxa"/>
          </w:tcPr>
          <w:p w14:paraId="54F17BBF" w14:textId="77777777" w:rsidR="006E60B1" w:rsidRPr="006E60B1" w:rsidRDefault="006E60B1">
            <w:pPr>
              <w:suppressAutoHyphens/>
              <w:spacing w:before="40" w:after="40" w:line="200" w:lineRule="atLeast"/>
              <w:rPr>
                <w:rFonts w:cs="Arial"/>
              </w:rPr>
            </w:pPr>
            <w:r w:rsidRPr="006E60B1">
              <w:rPr>
                <w:rFonts w:cs="Arial"/>
              </w:rPr>
              <w:t xml:space="preserve">Early Achievements for Education Settings (EA-ES); </w:t>
            </w:r>
          </w:p>
          <w:p w14:paraId="4F252EAB" w14:textId="77777777" w:rsidR="006E60B1" w:rsidRPr="006E60B1" w:rsidRDefault="006E60B1">
            <w:pPr>
              <w:suppressAutoHyphens/>
              <w:spacing w:before="40" w:after="40" w:line="200" w:lineRule="atLeast"/>
              <w:rPr>
                <w:rFonts w:eastAsia="Times New Roman" w:cs="Arial"/>
                <w:lang w:eastAsia="en-AU"/>
              </w:rPr>
            </w:pPr>
            <w:r w:rsidRPr="006E60B1">
              <w:rPr>
                <w:rFonts w:cs="Arial"/>
              </w:rPr>
              <w:t>Business as Usual (BAU)</w:t>
            </w:r>
          </w:p>
        </w:tc>
        <w:tc>
          <w:tcPr>
            <w:tcW w:w="2551" w:type="dxa"/>
          </w:tcPr>
          <w:p w14:paraId="607C3F9E" w14:textId="77777777" w:rsidR="006E60B1" w:rsidRPr="006E60B1" w:rsidRDefault="006E60B1">
            <w:pPr>
              <w:suppressAutoHyphens/>
              <w:spacing w:before="40" w:after="40" w:line="200" w:lineRule="atLeast"/>
              <w:rPr>
                <w:rFonts w:eastAsia="Times New Roman" w:cs="Arial"/>
                <w:szCs w:val="22"/>
                <w:lang w:eastAsia="en-AU"/>
              </w:rPr>
            </w:pPr>
            <w:r w:rsidRPr="006E60B1" w:rsidDel="00C32F67">
              <w:rPr>
                <w:rFonts w:cs="Arial"/>
              </w:rPr>
              <w:t>Social</w:t>
            </w:r>
            <w:r w:rsidRPr="006E60B1">
              <w:rPr>
                <w:rFonts w:cs="Arial"/>
              </w:rPr>
              <w:t xml:space="preserve"> Communication Behaviours, Child Development</w:t>
            </w:r>
          </w:p>
        </w:tc>
        <w:tc>
          <w:tcPr>
            <w:tcW w:w="2268" w:type="dxa"/>
          </w:tcPr>
          <w:p w14:paraId="19A18703"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64C5462B"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7F21D5C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1772B65F"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0E3DA332"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Estes 2014, United States</w:t>
            </w:r>
          </w:p>
        </w:tc>
        <w:tc>
          <w:tcPr>
            <w:tcW w:w="1458" w:type="dxa"/>
          </w:tcPr>
          <w:p w14:paraId="6DAA778C"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 xml:space="preserve">Autism </w:t>
            </w:r>
          </w:p>
        </w:tc>
        <w:tc>
          <w:tcPr>
            <w:tcW w:w="3725" w:type="dxa"/>
          </w:tcPr>
          <w:p w14:paraId="3FB9338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Early Start Denver Model (ESDM); Community</w:t>
            </w:r>
          </w:p>
        </w:tc>
        <w:tc>
          <w:tcPr>
            <w:tcW w:w="2551" w:type="dxa"/>
          </w:tcPr>
          <w:p w14:paraId="3EFA19F5" w14:textId="77777777" w:rsidR="006E60B1" w:rsidRPr="006E60B1" w:rsidRDefault="006E60B1">
            <w:pPr>
              <w:suppressAutoHyphens/>
              <w:spacing w:before="40" w:after="40" w:line="200" w:lineRule="atLeast"/>
              <w:rPr>
                <w:rFonts w:eastAsia="Times New Roman" w:cs="Arial"/>
                <w:szCs w:val="22"/>
                <w:lang w:eastAsia="en-AU"/>
              </w:rPr>
            </w:pPr>
          </w:p>
        </w:tc>
        <w:tc>
          <w:tcPr>
            <w:tcW w:w="2268" w:type="dxa"/>
          </w:tcPr>
          <w:p w14:paraId="1BC29F07"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Parenting Stress, Competence</w:t>
            </w:r>
          </w:p>
        </w:tc>
        <w:tc>
          <w:tcPr>
            <w:tcW w:w="2051" w:type="dxa"/>
          </w:tcPr>
          <w:p w14:paraId="145B8CEA"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1739976C"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7CF6C006"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26CB0D77"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Feuerstein 2020, United States</w:t>
            </w:r>
          </w:p>
        </w:tc>
        <w:tc>
          <w:tcPr>
            <w:tcW w:w="1458" w:type="dxa"/>
          </w:tcPr>
          <w:p w14:paraId="56D0557C"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 or delay in cognitive or language skills</w:t>
            </w:r>
          </w:p>
        </w:tc>
        <w:tc>
          <w:tcPr>
            <w:tcW w:w="3725" w:type="dxa"/>
          </w:tcPr>
          <w:p w14:paraId="116C6C49" w14:textId="77777777" w:rsidR="006E60B1" w:rsidRPr="006E60B1" w:rsidRDefault="006E60B1">
            <w:pPr>
              <w:suppressAutoHyphens/>
              <w:spacing w:before="40" w:after="40" w:line="200" w:lineRule="atLeast"/>
              <w:rPr>
                <w:rFonts w:cs="Arial"/>
              </w:rPr>
            </w:pPr>
            <w:r w:rsidRPr="006E60B1">
              <w:rPr>
                <w:rFonts w:cs="Arial"/>
              </w:rPr>
              <w:t xml:space="preserve">Early Achievements for Child Care Providers (EA-CP); </w:t>
            </w:r>
          </w:p>
          <w:p w14:paraId="0782F820" w14:textId="77777777" w:rsidR="006E60B1" w:rsidRPr="006E60B1" w:rsidRDefault="006E60B1">
            <w:pPr>
              <w:suppressAutoHyphens/>
              <w:spacing w:before="40" w:after="40" w:line="200" w:lineRule="atLeast"/>
              <w:rPr>
                <w:rFonts w:eastAsia="Times New Roman" w:cs="Arial"/>
                <w:lang w:eastAsia="en-AU"/>
              </w:rPr>
            </w:pPr>
            <w:r w:rsidRPr="006E60B1">
              <w:rPr>
                <w:rFonts w:cs="Arial"/>
              </w:rPr>
              <w:t>Instruction as Usual (IAU)</w:t>
            </w:r>
          </w:p>
        </w:tc>
        <w:tc>
          <w:tcPr>
            <w:tcW w:w="2551" w:type="dxa"/>
          </w:tcPr>
          <w:p w14:paraId="4675A1A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Child Language Development, Social Communication</w:t>
            </w:r>
          </w:p>
        </w:tc>
        <w:tc>
          <w:tcPr>
            <w:tcW w:w="2268" w:type="dxa"/>
          </w:tcPr>
          <w:p w14:paraId="29C7DFE2"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73E4B4DE"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27FBABB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7D68C72F"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2131A9C2"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Fidler 2021, United States</w:t>
            </w:r>
          </w:p>
        </w:tc>
        <w:tc>
          <w:tcPr>
            <w:tcW w:w="1458" w:type="dxa"/>
          </w:tcPr>
          <w:p w14:paraId="094A2975"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Down Syndrome</w:t>
            </w:r>
          </w:p>
        </w:tc>
        <w:tc>
          <w:tcPr>
            <w:tcW w:w="3725" w:type="dxa"/>
          </w:tcPr>
          <w:p w14:paraId="7D2526E5" w14:textId="77777777" w:rsidR="006E60B1" w:rsidRPr="006E60B1" w:rsidRDefault="006E60B1">
            <w:pPr>
              <w:suppressAutoHyphens/>
              <w:spacing w:before="40" w:after="40" w:line="200" w:lineRule="atLeast"/>
              <w:rPr>
                <w:rFonts w:eastAsia="Times New Roman" w:cs="Arial"/>
                <w:highlight w:val="yellow"/>
                <w:lang w:eastAsia="en-AU"/>
              </w:rPr>
            </w:pPr>
            <w:r w:rsidRPr="006E60B1">
              <w:rPr>
                <w:rFonts w:cs="Arial"/>
              </w:rPr>
              <w:t>Study-Specific Early Intervention + Sticky Mittens; Study-Specific Early Intervention</w:t>
            </w:r>
          </w:p>
        </w:tc>
        <w:tc>
          <w:tcPr>
            <w:tcW w:w="2551" w:type="dxa"/>
          </w:tcPr>
          <w:p w14:paraId="155224A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Motor Behaviours</w:t>
            </w:r>
          </w:p>
        </w:tc>
        <w:tc>
          <w:tcPr>
            <w:tcW w:w="2268" w:type="dxa"/>
          </w:tcPr>
          <w:p w14:paraId="0B546E64"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411B9864"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5AB218A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15DA5A63"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37AE545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Gulsrud 2024, United States</w:t>
            </w:r>
          </w:p>
        </w:tc>
        <w:tc>
          <w:tcPr>
            <w:tcW w:w="1458" w:type="dxa"/>
          </w:tcPr>
          <w:p w14:paraId="35E5F6E7"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At risk of autism</w:t>
            </w:r>
          </w:p>
        </w:tc>
        <w:tc>
          <w:tcPr>
            <w:tcW w:w="3725" w:type="dxa"/>
          </w:tcPr>
          <w:p w14:paraId="523DD455" w14:textId="77777777" w:rsidR="006E60B1" w:rsidRPr="006E60B1" w:rsidRDefault="006E60B1">
            <w:pPr>
              <w:suppressAutoHyphens/>
              <w:spacing w:before="40" w:after="40" w:line="200" w:lineRule="atLeast"/>
              <w:rPr>
                <w:rFonts w:cs="Arial"/>
                <w:lang w:eastAsia="en-AU"/>
              </w:rPr>
            </w:pPr>
            <w:r w:rsidRPr="006E60B1">
              <w:rPr>
                <w:rFonts w:cs="Arial"/>
              </w:rPr>
              <w:t>Joint Attention, Symbolic Play, Engagement, and Regulation (JASPER); Parent Psychoeducation (PP)</w:t>
            </w:r>
          </w:p>
        </w:tc>
        <w:tc>
          <w:tcPr>
            <w:tcW w:w="2551" w:type="dxa"/>
          </w:tcPr>
          <w:p w14:paraId="2907A79B"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Child Initiated Joint Engagement, Child Initiated Joint Attention Child Development, Play</w:t>
            </w:r>
          </w:p>
        </w:tc>
        <w:tc>
          <w:tcPr>
            <w:tcW w:w="2268" w:type="dxa"/>
          </w:tcPr>
          <w:p w14:paraId="25B5C046"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489E0489"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7120E411"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6E48C804"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74CA455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Guthrie 2023, United States</w:t>
            </w:r>
          </w:p>
        </w:tc>
        <w:tc>
          <w:tcPr>
            <w:tcW w:w="1458" w:type="dxa"/>
          </w:tcPr>
          <w:p w14:paraId="0ED29EA8"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411D3F2A" w14:textId="77777777" w:rsidR="006E60B1" w:rsidRPr="006E60B1" w:rsidRDefault="006E60B1">
            <w:pPr>
              <w:suppressAutoHyphens/>
              <w:spacing w:before="40" w:after="40" w:line="200" w:lineRule="atLeast"/>
              <w:rPr>
                <w:rFonts w:cs="Arial"/>
              </w:rPr>
            </w:pPr>
            <w:r w:rsidRPr="006E60B1">
              <w:rPr>
                <w:rFonts w:cs="Arial"/>
              </w:rPr>
              <w:t xml:space="preserve">Social Communication, Emotional Regulation, and Transactional Supports – Individual (SCERTS – Individual); </w:t>
            </w:r>
          </w:p>
          <w:p w14:paraId="1A0D0793" w14:textId="77777777" w:rsidR="006E60B1" w:rsidRPr="006E60B1" w:rsidRDefault="006E60B1">
            <w:pPr>
              <w:suppressAutoHyphens/>
              <w:spacing w:before="40" w:after="40" w:line="200" w:lineRule="atLeast"/>
              <w:rPr>
                <w:rFonts w:eastAsia="Times New Roman" w:cs="Arial"/>
                <w:lang w:eastAsia="en-AU"/>
              </w:rPr>
            </w:pPr>
            <w:r w:rsidRPr="006E60B1">
              <w:rPr>
                <w:rFonts w:cs="Arial"/>
              </w:rPr>
              <w:t>Social Communication, Emotional Regulation, and Transactional Supports – Group (SCERTS – Group)</w:t>
            </w:r>
          </w:p>
        </w:tc>
        <w:tc>
          <w:tcPr>
            <w:tcW w:w="2551" w:type="dxa"/>
          </w:tcPr>
          <w:p w14:paraId="00E859A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Social Communication, Child Development, Adaptive Behaviour, Autism Symptom Severity</w:t>
            </w:r>
          </w:p>
        </w:tc>
        <w:tc>
          <w:tcPr>
            <w:tcW w:w="2268" w:type="dxa"/>
          </w:tcPr>
          <w:p w14:paraId="6CC47844"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4846BAAC"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5C7421FD"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77C93A31"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792E2AE0"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Harrop 2017, United States</w:t>
            </w:r>
          </w:p>
        </w:tc>
        <w:tc>
          <w:tcPr>
            <w:tcW w:w="1458" w:type="dxa"/>
          </w:tcPr>
          <w:p w14:paraId="7B2FC317"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725C42F6"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Joint Attention, Symbolic Play, Engagement, and Regulation (JASPER); Psychoeducational Intervention (PEI)</w:t>
            </w:r>
          </w:p>
        </w:tc>
        <w:tc>
          <w:tcPr>
            <w:tcW w:w="2551" w:type="dxa"/>
          </w:tcPr>
          <w:p w14:paraId="5881D01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Restricted and Repetitive Behaviours</w:t>
            </w:r>
          </w:p>
        </w:tc>
        <w:tc>
          <w:tcPr>
            <w:tcW w:w="2268" w:type="dxa"/>
          </w:tcPr>
          <w:p w14:paraId="07185AB9"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Caregiver Response</w:t>
            </w:r>
          </w:p>
        </w:tc>
        <w:tc>
          <w:tcPr>
            <w:tcW w:w="2051" w:type="dxa"/>
          </w:tcPr>
          <w:p w14:paraId="4C5D1B50"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2AED9711"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05F6C997"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7DCA73E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Johnson 2023, United States</w:t>
            </w:r>
          </w:p>
        </w:tc>
        <w:tc>
          <w:tcPr>
            <w:tcW w:w="1458" w:type="dxa"/>
          </w:tcPr>
          <w:p w14:paraId="5ACCE90A"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 xml:space="preserve">Autism </w:t>
            </w:r>
          </w:p>
        </w:tc>
        <w:tc>
          <w:tcPr>
            <w:tcW w:w="3725" w:type="dxa"/>
          </w:tcPr>
          <w:p w14:paraId="0214FE2D" w14:textId="77777777" w:rsidR="006E60B1" w:rsidRPr="006E60B1" w:rsidRDefault="006E60B1">
            <w:pPr>
              <w:suppressAutoHyphens/>
              <w:spacing w:before="40" w:after="40" w:line="200" w:lineRule="atLeast"/>
              <w:rPr>
                <w:rFonts w:cs="Arial"/>
              </w:rPr>
            </w:pPr>
            <w:r w:rsidRPr="006E60B1">
              <w:rPr>
                <w:rFonts w:cs="Arial"/>
              </w:rPr>
              <w:t xml:space="preserve">Sleep Parent Training (SPT); </w:t>
            </w:r>
          </w:p>
          <w:p w14:paraId="7A67BA25"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Parent Education Program (PEP)</w:t>
            </w:r>
          </w:p>
        </w:tc>
        <w:tc>
          <w:tcPr>
            <w:tcW w:w="2551" w:type="dxa"/>
          </w:tcPr>
          <w:p w14:paraId="785D0750"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Sleep, Clinical Improvement, Irritability</w:t>
            </w:r>
          </w:p>
        </w:tc>
        <w:tc>
          <w:tcPr>
            <w:tcW w:w="2268" w:type="dxa"/>
          </w:tcPr>
          <w:p w14:paraId="23EE922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Parenting Stress, Parenting Self-Efficacy, </w:t>
            </w:r>
          </w:p>
        </w:tc>
        <w:tc>
          <w:tcPr>
            <w:tcW w:w="2051" w:type="dxa"/>
          </w:tcPr>
          <w:p w14:paraId="1269D962"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01C537B5"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51E58EED"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67A04720"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Kasari 2015, United States</w:t>
            </w:r>
          </w:p>
        </w:tc>
        <w:tc>
          <w:tcPr>
            <w:tcW w:w="1458" w:type="dxa"/>
          </w:tcPr>
          <w:p w14:paraId="0AD579FB"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3AB53879"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Joint Attention, Symbolic Play, Engagement and Regulation (JASPER); Psychoeducational Intervention (PEI) </w:t>
            </w:r>
          </w:p>
        </w:tc>
        <w:tc>
          <w:tcPr>
            <w:tcW w:w="2551" w:type="dxa"/>
          </w:tcPr>
          <w:p w14:paraId="55444CD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Joint Engagement, Joint Attention, Play, Language, Engagement in Classroom</w:t>
            </w:r>
          </w:p>
        </w:tc>
        <w:tc>
          <w:tcPr>
            <w:tcW w:w="2268" w:type="dxa"/>
          </w:tcPr>
          <w:p w14:paraId="384436CF"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Parenting Stress</w:t>
            </w:r>
          </w:p>
        </w:tc>
        <w:tc>
          <w:tcPr>
            <w:tcW w:w="2051" w:type="dxa"/>
          </w:tcPr>
          <w:p w14:paraId="2BF77C37"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50651BB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05913EE0"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6EA90A90"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Klein 2021, United States</w:t>
            </w:r>
          </w:p>
        </w:tc>
        <w:tc>
          <w:tcPr>
            <w:tcW w:w="1458" w:type="dxa"/>
          </w:tcPr>
          <w:p w14:paraId="660728CD"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3BB52F4B" w14:textId="77777777" w:rsidR="006E60B1" w:rsidRPr="006E60B1" w:rsidRDefault="006E60B1">
            <w:pPr>
              <w:suppressAutoHyphens/>
              <w:spacing w:before="40" w:after="40" w:line="200" w:lineRule="atLeast"/>
              <w:rPr>
                <w:rFonts w:eastAsia="Times New Roman" w:cs="Arial"/>
                <w:lang w:eastAsia="en-AU"/>
              </w:rPr>
            </w:pPr>
            <w:r w:rsidRPr="006E60B1">
              <w:rPr>
                <w:rFonts w:cs="Arial"/>
              </w:rPr>
              <w:t>Naturalistic Developmental Behavioural Intervention + Video Feedback (NDBI+VF); Naturalistic Developmental Behavioural Intervention (NDBI)</w:t>
            </w:r>
          </w:p>
        </w:tc>
        <w:tc>
          <w:tcPr>
            <w:tcW w:w="2551" w:type="dxa"/>
          </w:tcPr>
          <w:p w14:paraId="30E41C86"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Autism Symptom Severity, Child Development, Adaptive Behaviour</w:t>
            </w:r>
          </w:p>
        </w:tc>
        <w:tc>
          <w:tcPr>
            <w:tcW w:w="2268" w:type="dxa"/>
          </w:tcPr>
          <w:p w14:paraId="3A271713"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08ACF7F1"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6EB0895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169F1FD6"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3025C54F" w14:textId="77777777" w:rsidR="006E60B1" w:rsidRPr="006E60B1" w:rsidRDefault="006E60B1">
            <w:pPr>
              <w:suppressAutoHyphens/>
              <w:spacing w:before="40" w:after="40" w:line="200" w:lineRule="atLeast"/>
              <w:rPr>
                <w:rFonts w:cs="Arial"/>
              </w:rPr>
            </w:pPr>
            <w:r w:rsidRPr="006E60B1">
              <w:rPr>
                <w:rFonts w:cs="Arial"/>
              </w:rPr>
              <w:t>Landa 2024, United States</w:t>
            </w:r>
          </w:p>
        </w:tc>
        <w:tc>
          <w:tcPr>
            <w:tcW w:w="1458" w:type="dxa"/>
          </w:tcPr>
          <w:p w14:paraId="340F2870" w14:textId="77777777" w:rsidR="006E60B1" w:rsidRPr="006E60B1" w:rsidRDefault="006E60B1">
            <w:pPr>
              <w:suppressAutoHyphens/>
              <w:spacing w:before="40" w:after="40" w:line="200" w:lineRule="atLeast"/>
              <w:ind w:left="284" w:hanging="284"/>
              <w:rPr>
                <w:rFonts w:cs="Arial"/>
              </w:rPr>
            </w:pPr>
            <w:r w:rsidRPr="006E60B1">
              <w:rPr>
                <w:rFonts w:cs="Arial"/>
              </w:rPr>
              <w:t xml:space="preserve">Developmental delay  </w:t>
            </w:r>
          </w:p>
        </w:tc>
        <w:tc>
          <w:tcPr>
            <w:tcW w:w="3725" w:type="dxa"/>
          </w:tcPr>
          <w:p w14:paraId="448F2821" w14:textId="77777777" w:rsidR="006E60B1" w:rsidRPr="006E60B1" w:rsidRDefault="006E60B1">
            <w:pPr>
              <w:suppressAutoHyphens/>
              <w:spacing w:before="40" w:after="40" w:line="200" w:lineRule="atLeast"/>
              <w:rPr>
                <w:rFonts w:cs="Arial"/>
              </w:rPr>
            </w:pPr>
            <w:r w:rsidRPr="006E60B1">
              <w:rPr>
                <w:rFonts w:cs="Arial"/>
              </w:rPr>
              <w:t xml:space="preserve">Early Achievements for Child Care Providers - Professional Development (EA-CP PD); </w:t>
            </w:r>
          </w:p>
          <w:p w14:paraId="430352DA" w14:textId="77777777" w:rsidR="006E60B1" w:rsidRPr="006E60B1" w:rsidRDefault="006E60B1">
            <w:pPr>
              <w:suppressAutoHyphens/>
              <w:spacing w:before="40" w:after="40" w:line="200" w:lineRule="atLeast"/>
              <w:rPr>
                <w:rFonts w:cs="Arial"/>
              </w:rPr>
            </w:pPr>
            <w:r w:rsidRPr="006E60B1">
              <w:rPr>
                <w:rFonts w:cs="Arial"/>
              </w:rPr>
              <w:t>Business as Usual (BAU)</w:t>
            </w:r>
          </w:p>
        </w:tc>
        <w:tc>
          <w:tcPr>
            <w:tcW w:w="2551" w:type="dxa"/>
          </w:tcPr>
          <w:p w14:paraId="718E5F5E" w14:textId="77777777" w:rsidR="006E60B1" w:rsidRPr="006E60B1" w:rsidRDefault="006E60B1">
            <w:pPr>
              <w:suppressAutoHyphens/>
              <w:spacing w:before="40" w:after="40" w:line="200" w:lineRule="atLeast"/>
              <w:rPr>
                <w:rFonts w:cs="Arial"/>
              </w:rPr>
            </w:pPr>
            <w:r w:rsidRPr="006E60B1">
              <w:rPr>
                <w:rFonts w:cs="Arial"/>
              </w:rPr>
              <w:t xml:space="preserve">Social Communication, Enjoyment and Engagement During Book Sharing, Receptive Vocabulary, Expressive Vocabulary. </w:t>
            </w:r>
          </w:p>
        </w:tc>
        <w:tc>
          <w:tcPr>
            <w:tcW w:w="2268" w:type="dxa"/>
            <w:vAlign w:val="bottom"/>
          </w:tcPr>
          <w:p w14:paraId="7DED81BF" w14:textId="77777777" w:rsidR="006E60B1" w:rsidRPr="006E60B1" w:rsidRDefault="006E60B1">
            <w:pPr>
              <w:suppressAutoHyphens/>
              <w:spacing w:before="40" w:after="40" w:line="200" w:lineRule="atLeast"/>
              <w:rPr>
                <w:rFonts w:cs="Arial"/>
              </w:rPr>
            </w:pPr>
          </w:p>
        </w:tc>
        <w:tc>
          <w:tcPr>
            <w:tcW w:w="2051" w:type="dxa"/>
          </w:tcPr>
          <w:p w14:paraId="1B976C1B" w14:textId="77777777" w:rsidR="006E60B1" w:rsidRPr="006E60B1" w:rsidRDefault="006E60B1">
            <w:pPr>
              <w:suppressAutoHyphens/>
              <w:spacing w:before="40" w:after="40" w:line="200" w:lineRule="atLeast"/>
              <w:rPr>
                <w:rFonts w:cs="Arial"/>
              </w:rPr>
            </w:pPr>
            <w:r w:rsidRPr="006E60B1">
              <w:rPr>
                <w:rFonts w:cs="Arial"/>
              </w:rPr>
              <w:t>Practitioners:</w:t>
            </w:r>
          </w:p>
          <w:p w14:paraId="1B1B1B0E" w14:textId="77777777" w:rsidR="006E60B1" w:rsidRPr="006E60B1" w:rsidRDefault="006E60B1">
            <w:pPr>
              <w:suppressAutoHyphens/>
              <w:spacing w:before="40" w:after="40" w:line="200" w:lineRule="atLeast"/>
              <w:rPr>
                <w:rFonts w:cs="Arial"/>
              </w:rPr>
            </w:pPr>
            <w:r w:rsidRPr="006E60B1">
              <w:rPr>
                <w:rFonts w:cs="Arial"/>
              </w:rPr>
              <w:t>Provider Knowledge and Self-Efficacy</w:t>
            </w:r>
          </w:p>
        </w:tc>
        <w:tc>
          <w:tcPr>
            <w:tcW w:w="1207" w:type="dxa"/>
          </w:tcPr>
          <w:p w14:paraId="79E9BA5B" w14:textId="77777777" w:rsidR="006E60B1" w:rsidRPr="006E60B1" w:rsidRDefault="006E60B1">
            <w:pPr>
              <w:suppressAutoHyphens/>
              <w:spacing w:before="40" w:after="40" w:line="200" w:lineRule="atLeast"/>
              <w:rPr>
                <w:rFonts w:eastAsia="Times New Roman" w:cs="Arial"/>
                <w:lang w:eastAsia="en-AU"/>
              </w:rPr>
            </w:pPr>
            <w:r w:rsidRPr="006E60B1">
              <w:rPr>
                <w:rFonts w:eastAsia="Times New Roman" w:cs="Arial"/>
                <w:lang w:eastAsia="en-AU"/>
              </w:rPr>
              <w:t>No</w:t>
            </w:r>
          </w:p>
        </w:tc>
      </w:tr>
      <w:tr w:rsidR="006E60B1" w:rsidRPr="006E60B1" w14:paraId="4071C580"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71950212"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Morgan 2018, United States</w:t>
            </w:r>
          </w:p>
        </w:tc>
        <w:tc>
          <w:tcPr>
            <w:tcW w:w="1458" w:type="dxa"/>
          </w:tcPr>
          <w:p w14:paraId="7C7D689E"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 xml:space="preserve">Autism </w:t>
            </w:r>
          </w:p>
        </w:tc>
        <w:tc>
          <w:tcPr>
            <w:tcW w:w="3725" w:type="dxa"/>
          </w:tcPr>
          <w:p w14:paraId="72236DCE" w14:textId="77777777" w:rsidR="006E60B1" w:rsidRPr="006E60B1" w:rsidRDefault="006E60B1">
            <w:pPr>
              <w:suppressAutoHyphens/>
              <w:spacing w:before="40" w:after="40" w:line="200" w:lineRule="atLeast"/>
              <w:rPr>
                <w:rFonts w:cs="Arial"/>
              </w:rPr>
            </w:pPr>
            <w:r w:rsidRPr="006E60B1">
              <w:rPr>
                <w:rFonts w:cs="Arial"/>
              </w:rPr>
              <w:t xml:space="preserve">Social Communication, Emotional Regulation, and Transactional Support (SCERTS); </w:t>
            </w:r>
          </w:p>
          <w:p w14:paraId="5438742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Autism Training Modules (ATM) </w:t>
            </w:r>
          </w:p>
        </w:tc>
        <w:tc>
          <w:tcPr>
            <w:tcW w:w="2551" w:type="dxa"/>
          </w:tcPr>
          <w:p w14:paraId="14CC701C"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Engagement, Expressive Language, Receptive Language, Adaptive Behaviour, Social Communication Skills, Social Skills, Executive Functioning</w:t>
            </w:r>
          </w:p>
        </w:tc>
        <w:tc>
          <w:tcPr>
            <w:tcW w:w="2268" w:type="dxa"/>
          </w:tcPr>
          <w:p w14:paraId="01F58C49"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44138324"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3B9AE5E1"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3D6610A5"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67B2946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Ostrosky 2024, United States</w:t>
            </w:r>
          </w:p>
        </w:tc>
        <w:tc>
          <w:tcPr>
            <w:tcW w:w="1458" w:type="dxa"/>
          </w:tcPr>
          <w:p w14:paraId="48F3B8D0"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Various disabilities</w:t>
            </w:r>
          </w:p>
        </w:tc>
        <w:tc>
          <w:tcPr>
            <w:tcW w:w="3725" w:type="dxa"/>
          </w:tcPr>
          <w:p w14:paraId="4905E066" w14:textId="77777777" w:rsidR="006E60B1" w:rsidRPr="006E60B1" w:rsidRDefault="006E60B1">
            <w:pPr>
              <w:suppressAutoHyphens/>
              <w:spacing w:before="40" w:after="40" w:line="200" w:lineRule="atLeast"/>
              <w:rPr>
                <w:rFonts w:cs="Arial"/>
              </w:rPr>
            </w:pPr>
            <w:r w:rsidRPr="006E60B1">
              <w:rPr>
                <w:rFonts w:cs="Arial"/>
              </w:rPr>
              <w:t>Children in Action Motor Program for Preschoolers (CHAMPPS);</w:t>
            </w:r>
          </w:p>
          <w:p w14:paraId="017E84EC"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 Control</w:t>
            </w:r>
          </w:p>
        </w:tc>
        <w:tc>
          <w:tcPr>
            <w:tcW w:w="2551" w:type="dxa"/>
          </w:tcPr>
          <w:p w14:paraId="6DBDF95E"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Gross Motor Skills, Motor Behaviours, Physical Activity, Social Behaviour</w:t>
            </w:r>
          </w:p>
        </w:tc>
        <w:tc>
          <w:tcPr>
            <w:tcW w:w="2268" w:type="dxa"/>
          </w:tcPr>
          <w:p w14:paraId="2C148EBA"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2BB43317"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3B18B1B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47CB6BC9"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0F996402"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Panganiban 2022, United States</w:t>
            </w:r>
          </w:p>
        </w:tc>
        <w:tc>
          <w:tcPr>
            <w:tcW w:w="1458" w:type="dxa"/>
          </w:tcPr>
          <w:p w14:paraId="0A9E60F2"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78F9CA9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Joint Attention, Symbolic Play, Engagement and Regulation (JASPER); Curriculum as Usual (CAU)</w:t>
            </w:r>
          </w:p>
        </w:tc>
        <w:tc>
          <w:tcPr>
            <w:tcW w:w="2551" w:type="dxa"/>
          </w:tcPr>
          <w:p w14:paraId="21DD5F1E"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Social Communication, Child Development</w:t>
            </w:r>
          </w:p>
        </w:tc>
        <w:tc>
          <w:tcPr>
            <w:tcW w:w="2268" w:type="dxa"/>
          </w:tcPr>
          <w:p w14:paraId="4496C329"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66C9DDC0"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694CF121"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7F0E628F"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61F2CDF7"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Roberts 2023 </w:t>
            </w:r>
          </w:p>
        </w:tc>
        <w:tc>
          <w:tcPr>
            <w:tcW w:w="1458" w:type="dxa"/>
          </w:tcPr>
          <w:p w14:paraId="3AD475AA"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03B2DB0B" w14:textId="77777777" w:rsidR="006E60B1" w:rsidRPr="006E60B1" w:rsidRDefault="006E60B1">
            <w:pPr>
              <w:suppressAutoHyphens/>
              <w:spacing w:before="40" w:after="40" w:line="200" w:lineRule="atLeast"/>
              <w:rPr>
                <w:rFonts w:cs="Arial"/>
              </w:rPr>
            </w:pPr>
            <w:r w:rsidRPr="006E60B1">
              <w:rPr>
                <w:rFonts w:cs="Arial"/>
              </w:rPr>
              <w:t xml:space="preserve">Responsive Strategies; </w:t>
            </w:r>
          </w:p>
          <w:p w14:paraId="7F89F821" w14:textId="77777777" w:rsidR="006E60B1" w:rsidRPr="006E60B1" w:rsidRDefault="006E60B1">
            <w:pPr>
              <w:suppressAutoHyphens/>
              <w:spacing w:before="40" w:after="40" w:line="200" w:lineRule="atLeast"/>
              <w:rPr>
                <w:rFonts w:eastAsia="Times New Roman" w:cs="Arial"/>
                <w:lang w:eastAsia="en-AU"/>
              </w:rPr>
            </w:pPr>
            <w:r w:rsidRPr="006E60B1">
              <w:rPr>
                <w:rFonts w:cs="Arial"/>
              </w:rPr>
              <w:t>Directive Strategies</w:t>
            </w:r>
          </w:p>
        </w:tc>
        <w:tc>
          <w:tcPr>
            <w:tcW w:w="2551" w:type="dxa"/>
          </w:tcPr>
          <w:p w14:paraId="6B010099" w14:textId="77777777" w:rsidR="006E60B1" w:rsidRPr="006E60B1" w:rsidRDefault="006E60B1">
            <w:pPr>
              <w:suppressAutoHyphens/>
              <w:spacing w:before="40" w:after="40" w:line="200" w:lineRule="atLeast"/>
              <w:rPr>
                <w:rFonts w:eastAsia="Times New Roman" w:cs="Arial"/>
                <w:szCs w:val="22"/>
                <w:lang w:eastAsia="en-AU"/>
              </w:rPr>
            </w:pPr>
          </w:p>
        </w:tc>
        <w:tc>
          <w:tcPr>
            <w:tcW w:w="2268" w:type="dxa"/>
          </w:tcPr>
          <w:p w14:paraId="2080DC1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Maintains strategy use; Satisfaction; Confidence</w:t>
            </w:r>
          </w:p>
        </w:tc>
        <w:tc>
          <w:tcPr>
            <w:tcW w:w="2051" w:type="dxa"/>
          </w:tcPr>
          <w:p w14:paraId="0A88A84A"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37ACE65E"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39AA050C"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65E813E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Rogers 2019a, United States</w:t>
            </w:r>
          </w:p>
        </w:tc>
        <w:tc>
          <w:tcPr>
            <w:tcW w:w="1458" w:type="dxa"/>
          </w:tcPr>
          <w:p w14:paraId="1350DD8A"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204FAF55" w14:textId="77777777" w:rsidR="006E60B1" w:rsidRPr="006E60B1" w:rsidRDefault="006E60B1">
            <w:pPr>
              <w:suppressAutoHyphens/>
              <w:spacing w:before="40" w:after="40" w:line="200" w:lineRule="atLeast"/>
              <w:rPr>
                <w:rFonts w:cs="Arial"/>
              </w:rPr>
            </w:pPr>
            <w:r w:rsidRPr="006E60B1">
              <w:rPr>
                <w:rFonts w:cs="Arial"/>
              </w:rPr>
              <w:t xml:space="preserve">Parent-Early Start Denver Model Intensive (P-ESDM ++); </w:t>
            </w:r>
          </w:p>
          <w:p w14:paraId="2C060C33"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Parent-Early Start Denver Model (P-ESDM) </w:t>
            </w:r>
          </w:p>
        </w:tc>
        <w:tc>
          <w:tcPr>
            <w:tcW w:w="2551" w:type="dxa"/>
          </w:tcPr>
          <w:p w14:paraId="7F0EBC77"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Child Development, Autism Symptom Severity, Adaptive Behaviour.</w:t>
            </w:r>
          </w:p>
        </w:tc>
        <w:tc>
          <w:tcPr>
            <w:tcW w:w="2268" w:type="dxa"/>
          </w:tcPr>
          <w:p w14:paraId="73612D6B"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72185C60"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2B9CCE7B"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28908D88"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4A907852"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Rogers 2019b, United States</w:t>
            </w:r>
          </w:p>
        </w:tc>
        <w:tc>
          <w:tcPr>
            <w:tcW w:w="1458" w:type="dxa"/>
          </w:tcPr>
          <w:p w14:paraId="2364CF43"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6D6FFF46" w14:textId="77777777" w:rsidR="006E60B1" w:rsidRPr="006E60B1" w:rsidRDefault="006E60B1">
            <w:pPr>
              <w:suppressAutoHyphens/>
              <w:spacing w:before="40" w:after="40" w:line="200" w:lineRule="atLeast"/>
              <w:rPr>
                <w:rFonts w:eastAsia="Times New Roman" w:cs="Arial"/>
                <w:lang w:eastAsia="en-AU"/>
              </w:rPr>
            </w:pPr>
            <w:r w:rsidRPr="006E60B1">
              <w:rPr>
                <w:rFonts w:cs="Arial"/>
              </w:rPr>
              <w:t>Early Start Denver Model (ESDM); Community Services (CS)</w:t>
            </w:r>
          </w:p>
        </w:tc>
        <w:tc>
          <w:tcPr>
            <w:tcW w:w="2551" w:type="dxa"/>
          </w:tcPr>
          <w:p w14:paraId="7CA11AA2"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Adaptive Behaviour, Autism Symptom Severity, Child Development.</w:t>
            </w:r>
          </w:p>
        </w:tc>
        <w:tc>
          <w:tcPr>
            <w:tcW w:w="2268" w:type="dxa"/>
          </w:tcPr>
          <w:p w14:paraId="4B87C2F2"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324E8EC3"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0AC7A84F"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12F3E72D"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4C92620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Rogers 2021, United States</w:t>
            </w:r>
          </w:p>
        </w:tc>
        <w:tc>
          <w:tcPr>
            <w:tcW w:w="1458" w:type="dxa"/>
          </w:tcPr>
          <w:p w14:paraId="26C7E5FD"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5DCED1E8" w14:textId="77777777" w:rsidR="006E60B1" w:rsidRPr="006E60B1" w:rsidRDefault="006E60B1">
            <w:pPr>
              <w:suppressAutoHyphens/>
              <w:spacing w:before="40" w:after="40" w:line="200" w:lineRule="atLeast"/>
              <w:rPr>
                <w:rFonts w:cs="Arial"/>
              </w:rPr>
            </w:pPr>
            <w:r w:rsidRPr="006E60B1">
              <w:rPr>
                <w:rFonts w:cs="Arial"/>
              </w:rPr>
              <w:t xml:space="preserve">Early Start Denver Model (ESDM); </w:t>
            </w:r>
          </w:p>
          <w:p w14:paraId="6257978E"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Early Intensive Behavioural Intervention (EIBI)</w:t>
            </w:r>
          </w:p>
        </w:tc>
        <w:tc>
          <w:tcPr>
            <w:tcW w:w="2551" w:type="dxa"/>
          </w:tcPr>
          <w:p w14:paraId="555E2077"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Autism Symptom Severity, Expressive Communication, Nonverbal Abilities, Receptive Language</w:t>
            </w:r>
          </w:p>
        </w:tc>
        <w:tc>
          <w:tcPr>
            <w:tcW w:w="2268" w:type="dxa"/>
          </w:tcPr>
          <w:p w14:paraId="17105511"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689C2CDD"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4A720342" w14:textId="77777777" w:rsidR="006E60B1" w:rsidRPr="006E60B1" w:rsidRDefault="006E60B1">
            <w:pPr>
              <w:suppressAutoHyphens/>
              <w:spacing w:before="40" w:after="40" w:line="200" w:lineRule="atLeast"/>
              <w:rPr>
                <w:rFonts w:cs="Arial"/>
                <w:lang w:eastAsia="en-AU"/>
              </w:rPr>
            </w:pPr>
            <w:r w:rsidRPr="006E60B1">
              <w:rPr>
                <w:rFonts w:cs="Arial"/>
              </w:rPr>
              <w:t xml:space="preserve">No </w:t>
            </w:r>
          </w:p>
        </w:tc>
      </w:tr>
      <w:tr w:rsidR="006E60B1" w:rsidRPr="006E60B1" w14:paraId="519F0734"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31F867E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Rollins 2021, United States</w:t>
            </w:r>
          </w:p>
        </w:tc>
        <w:tc>
          <w:tcPr>
            <w:tcW w:w="1458" w:type="dxa"/>
          </w:tcPr>
          <w:p w14:paraId="21B74930"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0F7F6D5D" w14:textId="77777777" w:rsidR="006E60B1" w:rsidRPr="006E60B1" w:rsidRDefault="006E60B1">
            <w:pPr>
              <w:suppressAutoHyphens/>
              <w:spacing w:before="40" w:after="40" w:line="200" w:lineRule="atLeast"/>
              <w:rPr>
                <w:rFonts w:cs="Arial"/>
              </w:rPr>
            </w:pPr>
            <w:r w:rsidRPr="006E60B1">
              <w:rPr>
                <w:rFonts w:cs="Arial"/>
              </w:rPr>
              <w:t xml:space="preserve">Pathways Early Autism Intervention (Pathways); </w:t>
            </w:r>
          </w:p>
          <w:p w14:paraId="269341BC" w14:textId="77777777" w:rsidR="006E60B1" w:rsidRPr="006E60B1" w:rsidRDefault="006E60B1">
            <w:pPr>
              <w:suppressAutoHyphens/>
              <w:spacing w:before="40" w:after="40" w:line="200" w:lineRule="atLeast"/>
              <w:rPr>
                <w:rFonts w:eastAsia="Times New Roman" w:cs="Arial"/>
                <w:lang w:eastAsia="en-AU"/>
              </w:rPr>
            </w:pPr>
            <w:r w:rsidRPr="006E60B1">
              <w:rPr>
                <w:rFonts w:cs="Arial"/>
              </w:rPr>
              <w:t xml:space="preserve">Communication Group; SAU </w:t>
            </w:r>
          </w:p>
        </w:tc>
        <w:tc>
          <w:tcPr>
            <w:tcW w:w="2551" w:type="dxa"/>
          </w:tcPr>
          <w:p w14:paraId="7A4D7E91" w14:textId="77777777" w:rsidR="006E60B1" w:rsidRPr="006E60B1" w:rsidRDefault="006E60B1">
            <w:pPr>
              <w:suppressAutoHyphens/>
              <w:spacing w:before="40" w:after="40" w:line="200" w:lineRule="atLeast"/>
              <w:rPr>
                <w:rFonts w:eastAsia="Times New Roman" w:cs="Arial"/>
                <w:lang w:eastAsia="en-AU"/>
              </w:rPr>
            </w:pPr>
            <w:r w:rsidRPr="006E60B1">
              <w:rPr>
                <w:rFonts w:cs="Arial"/>
              </w:rPr>
              <w:t>Social Eye-Gaze, Adaptive Behaviour, Social Communication</w:t>
            </w:r>
          </w:p>
        </w:tc>
        <w:tc>
          <w:tcPr>
            <w:tcW w:w="2268" w:type="dxa"/>
          </w:tcPr>
          <w:p w14:paraId="09FD8680"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5E1D9FB6"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3184E056" w14:textId="77777777" w:rsidR="006E60B1" w:rsidRPr="006E60B1" w:rsidRDefault="006E60B1">
            <w:pPr>
              <w:suppressAutoHyphens/>
              <w:spacing w:before="40" w:after="40" w:line="200" w:lineRule="atLeast"/>
              <w:rPr>
                <w:rFonts w:cs="Arial"/>
                <w:lang w:eastAsia="en-AU"/>
              </w:rPr>
            </w:pPr>
            <w:r w:rsidRPr="006E60B1">
              <w:rPr>
                <w:rFonts w:cs="Arial"/>
              </w:rPr>
              <w:t>No</w:t>
            </w:r>
          </w:p>
        </w:tc>
      </w:tr>
      <w:tr w:rsidR="006E60B1" w:rsidRPr="006E60B1" w14:paraId="6448F9DE"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5CE42610"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Rollins 2023, United States</w:t>
            </w:r>
          </w:p>
        </w:tc>
        <w:tc>
          <w:tcPr>
            <w:tcW w:w="1458" w:type="dxa"/>
          </w:tcPr>
          <w:p w14:paraId="37951B4A"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6E44B9CD"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Pathways Early Autism Intervention (Pathways); Services as Usual (SAU)</w:t>
            </w:r>
          </w:p>
        </w:tc>
        <w:tc>
          <w:tcPr>
            <w:tcW w:w="2551" w:type="dxa"/>
          </w:tcPr>
          <w:p w14:paraId="5D98D81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Social Communication</w:t>
            </w:r>
          </w:p>
        </w:tc>
        <w:tc>
          <w:tcPr>
            <w:tcW w:w="2268" w:type="dxa"/>
          </w:tcPr>
          <w:p w14:paraId="4BA6FCD7"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603EA210"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5DDC3779" w14:textId="77777777" w:rsidR="006E60B1" w:rsidRPr="006E60B1" w:rsidRDefault="006E60B1">
            <w:pPr>
              <w:suppressAutoHyphens/>
              <w:spacing w:before="40" w:after="40" w:line="200" w:lineRule="atLeast"/>
              <w:rPr>
                <w:rFonts w:eastAsia="Times New Roman" w:cs="Arial"/>
                <w:lang w:eastAsia="en-AU"/>
              </w:rPr>
            </w:pPr>
            <w:r w:rsidRPr="006E60B1">
              <w:rPr>
                <w:rFonts w:cs="Arial"/>
              </w:rPr>
              <w:t xml:space="preserve">No </w:t>
            </w:r>
          </w:p>
        </w:tc>
      </w:tr>
      <w:tr w:rsidR="006E60B1" w:rsidRPr="006E60B1" w14:paraId="77F6E86E"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5EA69C7A"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Schertz 2018, United States</w:t>
            </w:r>
          </w:p>
        </w:tc>
        <w:tc>
          <w:tcPr>
            <w:tcW w:w="1458" w:type="dxa"/>
          </w:tcPr>
          <w:p w14:paraId="38CDE490"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4DC645E6" w14:textId="77777777" w:rsidR="006E60B1" w:rsidRPr="006E60B1" w:rsidRDefault="006E60B1">
            <w:pPr>
              <w:suppressAutoHyphens/>
              <w:spacing w:before="40" w:after="40" w:line="200" w:lineRule="atLeast"/>
              <w:rPr>
                <w:rFonts w:cs="Arial"/>
                <w:lang w:eastAsia="en-AU"/>
              </w:rPr>
            </w:pPr>
            <w:r w:rsidRPr="006E60B1">
              <w:rPr>
                <w:rFonts w:cs="Arial"/>
              </w:rPr>
              <w:t>Joint Attention Mediated Learning (JAML); Community Services (CS)</w:t>
            </w:r>
          </w:p>
        </w:tc>
        <w:tc>
          <w:tcPr>
            <w:tcW w:w="2551" w:type="dxa"/>
          </w:tcPr>
          <w:p w14:paraId="4A745D60" w14:textId="77777777" w:rsidR="006E60B1" w:rsidRPr="006E60B1" w:rsidRDefault="006E60B1">
            <w:pPr>
              <w:suppressAutoHyphens/>
              <w:spacing w:before="40" w:after="40" w:line="200" w:lineRule="atLeast"/>
              <w:rPr>
                <w:rFonts w:eastAsia="Times New Roman" w:cs="Arial"/>
                <w:lang w:eastAsia="en-AU"/>
              </w:rPr>
            </w:pPr>
            <w:r w:rsidRPr="006E60B1">
              <w:rPr>
                <w:rFonts w:cs="Arial"/>
              </w:rPr>
              <w:t>Joint Attention in Parent-Child Interaction</w:t>
            </w:r>
          </w:p>
        </w:tc>
        <w:tc>
          <w:tcPr>
            <w:tcW w:w="2268" w:type="dxa"/>
          </w:tcPr>
          <w:p w14:paraId="6D2EF707"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3DC7A880"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2F9811FD"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No</w:t>
            </w:r>
          </w:p>
        </w:tc>
      </w:tr>
      <w:tr w:rsidR="006E60B1" w:rsidRPr="006E60B1" w14:paraId="47A5E694"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563FB5C7"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Solomon 2014, United States</w:t>
            </w:r>
          </w:p>
        </w:tc>
        <w:tc>
          <w:tcPr>
            <w:tcW w:w="1458" w:type="dxa"/>
          </w:tcPr>
          <w:p w14:paraId="652D69D5"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1A4208B7" w14:textId="77777777" w:rsidR="006E60B1" w:rsidRPr="006E60B1" w:rsidRDefault="006E60B1">
            <w:pPr>
              <w:suppressAutoHyphens/>
              <w:spacing w:before="40" w:after="40" w:line="200" w:lineRule="atLeast"/>
              <w:rPr>
                <w:rFonts w:cs="Arial"/>
              </w:rPr>
            </w:pPr>
            <w:r w:rsidRPr="006E60B1">
              <w:rPr>
                <w:rFonts w:cs="Arial"/>
              </w:rPr>
              <w:t xml:space="preserve">Play and Language for Autistic Youngsters (PLAY) Project; </w:t>
            </w:r>
          </w:p>
          <w:p w14:paraId="72552361"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Community Services (CS)</w:t>
            </w:r>
          </w:p>
        </w:tc>
        <w:tc>
          <w:tcPr>
            <w:tcW w:w="2551" w:type="dxa"/>
          </w:tcPr>
          <w:p w14:paraId="473B245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Autism Symptom Severity, Parent-Child Interaction, Child Development, Communication, Socio-emotional Behaviour</w:t>
            </w:r>
          </w:p>
        </w:tc>
        <w:tc>
          <w:tcPr>
            <w:tcW w:w="2268" w:type="dxa"/>
          </w:tcPr>
          <w:p w14:paraId="42EE113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Parenting Stress, Depression</w:t>
            </w:r>
          </w:p>
        </w:tc>
        <w:tc>
          <w:tcPr>
            <w:tcW w:w="2051" w:type="dxa"/>
          </w:tcPr>
          <w:p w14:paraId="42177599"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190749C6" w14:textId="77777777" w:rsidR="006E60B1" w:rsidRPr="006E60B1" w:rsidRDefault="006E60B1">
            <w:pPr>
              <w:suppressAutoHyphens/>
              <w:spacing w:before="40" w:after="40" w:line="200" w:lineRule="atLeast"/>
              <w:rPr>
                <w:rFonts w:eastAsia="Times New Roman" w:cs="Arial"/>
                <w:lang w:eastAsia="en-AU"/>
              </w:rPr>
            </w:pPr>
            <w:r w:rsidRPr="006E60B1">
              <w:rPr>
                <w:rFonts w:cs="Arial"/>
              </w:rPr>
              <w:t xml:space="preserve">No </w:t>
            </w:r>
          </w:p>
        </w:tc>
      </w:tr>
      <w:tr w:rsidR="006E60B1" w:rsidRPr="006E60B1" w14:paraId="320158FA" w14:textId="77777777">
        <w:trPr>
          <w:cnfStyle w:val="000000100000" w:firstRow="0" w:lastRow="0" w:firstColumn="0" w:lastColumn="0" w:oddVBand="0" w:evenVBand="0" w:oddHBand="1" w:evenHBand="0" w:firstRowFirstColumn="0" w:firstRowLastColumn="0" w:lastRowFirstColumn="0" w:lastRowLastColumn="0"/>
          <w:trHeight w:val="340"/>
        </w:trPr>
        <w:tc>
          <w:tcPr>
            <w:tcW w:w="1338" w:type="dxa"/>
          </w:tcPr>
          <w:p w14:paraId="428B97B4"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Wainer 2021, United States</w:t>
            </w:r>
          </w:p>
        </w:tc>
        <w:tc>
          <w:tcPr>
            <w:tcW w:w="1458" w:type="dxa"/>
          </w:tcPr>
          <w:p w14:paraId="0047A95D"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58390783" w14:textId="77777777" w:rsidR="006E60B1" w:rsidRPr="006E60B1" w:rsidRDefault="006E60B1">
            <w:pPr>
              <w:suppressAutoHyphens/>
              <w:spacing w:before="40" w:after="40" w:line="200" w:lineRule="atLeast"/>
              <w:rPr>
                <w:rFonts w:eastAsia="Times New Roman" w:cs="Arial"/>
                <w:lang w:eastAsia="en-AU"/>
              </w:rPr>
            </w:pPr>
            <w:r w:rsidRPr="006E60B1">
              <w:rPr>
                <w:rFonts w:cs="Arial"/>
              </w:rPr>
              <w:t>Reciprocal Imitation Training (RIT) - Online; Treatment as Usual (TAU)</w:t>
            </w:r>
          </w:p>
        </w:tc>
        <w:tc>
          <w:tcPr>
            <w:tcW w:w="2551" w:type="dxa"/>
          </w:tcPr>
          <w:p w14:paraId="1EE2054F"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Social Communication, Social Behaviour</w:t>
            </w:r>
          </w:p>
        </w:tc>
        <w:tc>
          <w:tcPr>
            <w:tcW w:w="2268" w:type="dxa"/>
          </w:tcPr>
          <w:p w14:paraId="5FF26BF5"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Parenting Self-Efficacy, Family Quality of Life</w:t>
            </w:r>
          </w:p>
        </w:tc>
        <w:tc>
          <w:tcPr>
            <w:tcW w:w="2051" w:type="dxa"/>
          </w:tcPr>
          <w:p w14:paraId="7224820C"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7D9E03B6" w14:textId="77777777" w:rsidR="006E60B1" w:rsidRPr="006E60B1" w:rsidRDefault="006E60B1">
            <w:pPr>
              <w:suppressAutoHyphens/>
              <w:spacing w:before="40" w:after="40" w:line="200" w:lineRule="atLeast"/>
              <w:rPr>
                <w:rFonts w:eastAsia="Times New Roman" w:cs="Arial"/>
                <w:lang w:eastAsia="en-AU"/>
              </w:rPr>
            </w:pPr>
            <w:r w:rsidRPr="006E60B1">
              <w:rPr>
                <w:rFonts w:eastAsia="Times New Roman" w:cs="Arial"/>
                <w:lang w:eastAsia="en-AU"/>
              </w:rPr>
              <w:t>No</w:t>
            </w:r>
          </w:p>
        </w:tc>
      </w:tr>
      <w:tr w:rsidR="006E60B1" w:rsidRPr="006E60B1" w14:paraId="22C827F1" w14:textId="77777777">
        <w:trPr>
          <w:cnfStyle w:val="000000010000" w:firstRow="0" w:lastRow="0" w:firstColumn="0" w:lastColumn="0" w:oddVBand="0" w:evenVBand="0" w:oddHBand="0" w:evenHBand="1" w:firstRowFirstColumn="0" w:firstRowLastColumn="0" w:lastRowFirstColumn="0" w:lastRowLastColumn="0"/>
          <w:trHeight w:val="340"/>
        </w:trPr>
        <w:tc>
          <w:tcPr>
            <w:tcW w:w="1338" w:type="dxa"/>
          </w:tcPr>
          <w:p w14:paraId="78BF2C09"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Wetherby 2014, United States</w:t>
            </w:r>
          </w:p>
        </w:tc>
        <w:tc>
          <w:tcPr>
            <w:tcW w:w="1458" w:type="dxa"/>
          </w:tcPr>
          <w:p w14:paraId="59093E78" w14:textId="77777777" w:rsidR="006E60B1" w:rsidRPr="006E60B1" w:rsidRDefault="006E60B1">
            <w:pPr>
              <w:suppressAutoHyphens/>
              <w:spacing w:before="40" w:after="40" w:line="200" w:lineRule="atLeast"/>
              <w:ind w:left="284" w:hanging="284"/>
              <w:rPr>
                <w:rFonts w:eastAsia="Times New Roman" w:cs="Arial"/>
                <w:szCs w:val="22"/>
                <w:lang w:eastAsia="en-AU"/>
              </w:rPr>
            </w:pPr>
            <w:r w:rsidRPr="006E60B1">
              <w:rPr>
                <w:rFonts w:cs="Arial"/>
              </w:rPr>
              <w:t>Autism</w:t>
            </w:r>
          </w:p>
        </w:tc>
        <w:tc>
          <w:tcPr>
            <w:tcW w:w="3725" w:type="dxa"/>
          </w:tcPr>
          <w:p w14:paraId="52AE5C55" w14:textId="77777777" w:rsidR="006E60B1" w:rsidRPr="006E60B1" w:rsidRDefault="006E60B1">
            <w:pPr>
              <w:suppressAutoHyphens/>
              <w:spacing w:before="40" w:after="40" w:line="200" w:lineRule="atLeast"/>
              <w:rPr>
                <w:rFonts w:cs="Arial"/>
              </w:rPr>
            </w:pPr>
            <w:r w:rsidRPr="006E60B1">
              <w:rPr>
                <w:rFonts w:cs="Arial"/>
              </w:rPr>
              <w:t xml:space="preserve">Social Communication, Emotional Regulation, and Transactional Supports - Individual (SCERTS - Individual); </w:t>
            </w:r>
          </w:p>
          <w:p w14:paraId="06190173" w14:textId="77777777" w:rsidR="006E60B1" w:rsidRPr="006E60B1" w:rsidRDefault="006E60B1">
            <w:pPr>
              <w:suppressAutoHyphens/>
              <w:spacing w:before="40" w:after="40" w:line="200" w:lineRule="atLeast"/>
              <w:rPr>
                <w:rFonts w:eastAsia="Times New Roman" w:cs="Arial"/>
                <w:lang w:eastAsia="en-AU"/>
              </w:rPr>
            </w:pPr>
            <w:r w:rsidRPr="006E60B1">
              <w:rPr>
                <w:rFonts w:cs="Arial"/>
              </w:rPr>
              <w:t>Social Communication, Emotional Regulation, and Transactional Supports - Group (SCERTS - Group)</w:t>
            </w:r>
          </w:p>
        </w:tc>
        <w:tc>
          <w:tcPr>
            <w:tcW w:w="2551" w:type="dxa"/>
          </w:tcPr>
          <w:p w14:paraId="085940B8"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Social Communication, Autism Symptom Severity, Adaptive Behaviour, Child Development</w:t>
            </w:r>
          </w:p>
        </w:tc>
        <w:tc>
          <w:tcPr>
            <w:tcW w:w="2268" w:type="dxa"/>
          </w:tcPr>
          <w:p w14:paraId="63147F33"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Pr>
          <w:p w14:paraId="2460B5C0"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Pr>
          <w:p w14:paraId="2D2941A5" w14:textId="77777777" w:rsidR="006E60B1" w:rsidRPr="006E60B1" w:rsidRDefault="006E60B1">
            <w:pPr>
              <w:suppressAutoHyphens/>
              <w:spacing w:before="40" w:after="40" w:line="200" w:lineRule="atLeast"/>
              <w:rPr>
                <w:rFonts w:eastAsia="Times New Roman" w:cs="Arial"/>
                <w:szCs w:val="22"/>
                <w:lang w:eastAsia="en-AU"/>
              </w:rPr>
            </w:pPr>
            <w:r w:rsidRPr="006E60B1">
              <w:rPr>
                <w:rFonts w:cs="Arial"/>
              </w:rPr>
              <w:t xml:space="preserve">No </w:t>
            </w:r>
          </w:p>
        </w:tc>
      </w:tr>
      <w:tr w:rsidR="006E60B1" w:rsidRPr="006E60B1" w14:paraId="31316664" w14:textId="77777777" w:rsidTr="00B71855">
        <w:trPr>
          <w:cnfStyle w:val="000000100000" w:firstRow="0" w:lastRow="0" w:firstColumn="0" w:lastColumn="0" w:oddVBand="0" w:evenVBand="0" w:oddHBand="1" w:evenHBand="0" w:firstRowFirstColumn="0" w:firstRowLastColumn="0" w:lastRowFirstColumn="0" w:lastRowLastColumn="0"/>
          <w:trHeight w:val="340"/>
        </w:trPr>
        <w:tc>
          <w:tcPr>
            <w:tcW w:w="1338" w:type="dxa"/>
            <w:tcBorders>
              <w:bottom w:val="single" w:sz="4" w:space="0" w:color="auto"/>
            </w:tcBorders>
          </w:tcPr>
          <w:p w14:paraId="73B10996" w14:textId="77777777" w:rsidR="006E60B1" w:rsidRPr="006E60B1" w:rsidRDefault="006E60B1">
            <w:pPr>
              <w:suppressAutoHyphens/>
              <w:spacing w:before="40" w:after="40" w:line="200" w:lineRule="atLeast"/>
              <w:rPr>
                <w:rFonts w:cs="Arial"/>
              </w:rPr>
            </w:pPr>
            <w:r w:rsidRPr="006E60B1">
              <w:rPr>
                <w:rFonts w:cs="Arial"/>
              </w:rPr>
              <w:t>Wilcox 2019, United States</w:t>
            </w:r>
          </w:p>
        </w:tc>
        <w:tc>
          <w:tcPr>
            <w:tcW w:w="1458" w:type="dxa"/>
            <w:tcBorders>
              <w:bottom w:val="single" w:sz="4" w:space="0" w:color="auto"/>
            </w:tcBorders>
          </w:tcPr>
          <w:p w14:paraId="69C9B2CE" w14:textId="77777777" w:rsidR="006E60B1" w:rsidRPr="006E60B1" w:rsidRDefault="006E60B1">
            <w:pPr>
              <w:suppressAutoHyphens/>
              <w:spacing w:before="40" w:after="40" w:line="200" w:lineRule="atLeast"/>
              <w:ind w:left="284" w:hanging="284"/>
              <w:rPr>
                <w:rFonts w:cs="Arial"/>
              </w:rPr>
            </w:pPr>
            <w:r w:rsidRPr="006E60B1">
              <w:rPr>
                <w:rFonts w:cs="Arial"/>
              </w:rPr>
              <w:t>Developmental speech and/or language impairment</w:t>
            </w:r>
          </w:p>
        </w:tc>
        <w:tc>
          <w:tcPr>
            <w:tcW w:w="3725" w:type="dxa"/>
            <w:tcBorders>
              <w:bottom w:val="single" w:sz="4" w:space="0" w:color="auto"/>
            </w:tcBorders>
          </w:tcPr>
          <w:p w14:paraId="79DD77A7" w14:textId="77777777" w:rsidR="006E60B1" w:rsidRPr="006E60B1" w:rsidRDefault="006E60B1">
            <w:pPr>
              <w:suppressAutoHyphens/>
              <w:spacing w:before="40" w:after="40" w:line="200" w:lineRule="atLeast"/>
              <w:rPr>
                <w:rFonts w:cs="Arial"/>
              </w:rPr>
            </w:pPr>
            <w:r w:rsidRPr="006E60B1">
              <w:rPr>
                <w:rFonts w:cs="Arial"/>
              </w:rPr>
              <w:t xml:space="preserve">The Teaching Early Literacy and Language (TELL) Curriculum; </w:t>
            </w:r>
          </w:p>
          <w:p w14:paraId="4044344F" w14:textId="77777777" w:rsidR="006E60B1" w:rsidRPr="006E60B1" w:rsidRDefault="006E60B1">
            <w:pPr>
              <w:suppressAutoHyphens/>
              <w:spacing w:before="40" w:after="40" w:line="200" w:lineRule="atLeast"/>
              <w:rPr>
                <w:rFonts w:cs="Arial"/>
              </w:rPr>
            </w:pPr>
            <w:r w:rsidRPr="006E60B1">
              <w:rPr>
                <w:rFonts w:cs="Arial"/>
              </w:rPr>
              <w:t>Business as Usual (BAU)</w:t>
            </w:r>
          </w:p>
        </w:tc>
        <w:tc>
          <w:tcPr>
            <w:tcW w:w="2551" w:type="dxa"/>
            <w:tcBorders>
              <w:bottom w:val="single" w:sz="4" w:space="0" w:color="auto"/>
            </w:tcBorders>
          </w:tcPr>
          <w:p w14:paraId="13979118" w14:textId="77777777" w:rsidR="006E60B1" w:rsidRPr="006E60B1" w:rsidRDefault="006E60B1">
            <w:pPr>
              <w:suppressAutoHyphens/>
              <w:spacing w:before="40" w:after="40" w:line="200" w:lineRule="atLeast"/>
              <w:rPr>
                <w:rFonts w:cs="Arial"/>
              </w:rPr>
            </w:pPr>
            <w:r w:rsidRPr="006E60B1">
              <w:rPr>
                <w:rFonts w:cs="Arial"/>
              </w:rPr>
              <w:t>Oral Language Comprehension, Vocabulary, Phonological Awareness, Early Literacy</w:t>
            </w:r>
          </w:p>
        </w:tc>
        <w:tc>
          <w:tcPr>
            <w:tcW w:w="2268" w:type="dxa"/>
            <w:tcBorders>
              <w:bottom w:val="single" w:sz="4" w:space="0" w:color="auto"/>
            </w:tcBorders>
          </w:tcPr>
          <w:p w14:paraId="38A609C1" w14:textId="77777777" w:rsidR="006E60B1" w:rsidRPr="006E60B1" w:rsidRDefault="006E60B1">
            <w:pPr>
              <w:suppressAutoHyphens/>
              <w:spacing w:before="40" w:after="40" w:line="200" w:lineRule="atLeast"/>
              <w:rPr>
                <w:rFonts w:eastAsia="Times New Roman" w:cs="Arial"/>
                <w:szCs w:val="22"/>
                <w:lang w:eastAsia="en-AU"/>
              </w:rPr>
            </w:pPr>
          </w:p>
        </w:tc>
        <w:tc>
          <w:tcPr>
            <w:tcW w:w="2051" w:type="dxa"/>
            <w:tcBorders>
              <w:bottom w:val="single" w:sz="4" w:space="0" w:color="auto"/>
            </w:tcBorders>
          </w:tcPr>
          <w:p w14:paraId="54D10841" w14:textId="77777777" w:rsidR="006E60B1" w:rsidRPr="006E60B1" w:rsidRDefault="006E60B1">
            <w:pPr>
              <w:suppressAutoHyphens/>
              <w:spacing w:before="40" w:after="40" w:line="200" w:lineRule="atLeast"/>
              <w:rPr>
                <w:rFonts w:eastAsia="Times New Roman" w:cs="Arial"/>
                <w:szCs w:val="22"/>
                <w:lang w:eastAsia="en-AU"/>
              </w:rPr>
            </w:pPr>
          </w:p>
        </w:tc>
        <w:tc>
          <w:tcPr>
            <w:tcW w:w="1207" w:type="dxa"/>
            <w:tcBorders>
              <w:bottom w:val="single" w:sz="4" w:space="0" w:color="auto"/>
            </w:tcBorders>
          </w:tcPr>
          <w:p w14:paraId="723688F7" w14:textId="77777777" w:rsidR="006E60B1" w:rsidRPr="006E60B1" w:rsidRDefault="006E60B1">
            <w:pPr>
              <w:suppressAutoHyphens/>
              <w:spacing w:before="40" w:after="40" w:line="200" w:lineRule="atLeast"/>
              <w:rPr>
                <w:rFonts w:cs="Arial"/>
              </w:rPr>
            </w:pPr>
            <w:r w:rsidRPr="006E60B1">
              <w:rPr>
                <w:rFonts w:cs="Arial"/>
              </w:rPr>
              <w:t xml:space="preserve">No </w:t>
            </w:r>
          </w:p>
        </w:tc>
      </w:tr>
    </w:tbl>
    <w:p w14:paraId="20A03BE3" w14:textId="77777777" w:rsidR="00D86A31" w:rsidRDefault="00D86A31" w:rsidP="00E336B2">
      <w:pPr>
        <w:rPr>
          <w:rFonts w:cs="Arial"/>
          <w:color w:val="000000" w:themeColor="text1"/>
          <w:lang w:val="en-US"/>
        </w:rPr>
      </w:pPr>
    </w:p>
    <w:p w14:paraId="1D44E23A" w14:textId="77777777" w:rsidR="006E60B1" w:rsidRDefault="006E60B1" w:rsidP="00E336B2">
      <w:pPr>
        <w:rPr>
          <w:rFonts w:cs="Arial"/>
          <w:color w:val="000000" w:themeColor="text1"/>
          <w:lang w:val="en-US"/>
        </w:rPr>
      </w:pPr>
    </w:p>
    <w:p w14:paraId="16016C41" w14:textId="77777777" w:rsidR="006E60B1" w:rsidRDefault="006E60B1" w:rsidP="00E336B2">
      <w:pPr>
        <w:rPr>
          <w:rFonts w:cs="Arial"/>
          <w:color w:val="000000" w:themeColor="text1"/>
          <w:lang w:val="en-US"/>
        </w:rPr>
      </w:pPr>
    </w:p>
    <w:p w14:paraId="2FF0D05B" w14:textId="77777777" w:rsidR="006E60B1" w:rsidRDefault="006E60B1" w:rsidP="00E336B2">
      <w:pPr>
        <w:rPr>
          <w:rFonts w:cs="Arial"/>
          <w:color w:val="000000" w:themeColor="text1"/>
          <w:lang w:val="en-US"/>
        </w:rPr>
      </w:pPr>
    </w:p>
    <w:p w14:paraId="7CC048EB" w14:textId="77777777" w:rsidR="006E60B1" w:rsidRDefault="006E60B1" w:rsidP="00E336B2">
      <w:pPr>
        <w:rPr>
          <w:rFonts w:cs="Arial"/>
          <w:color w:val="000000" w:themeColor="text1"/>
          <w:lang w:val="en-US"/>
        </w:rPr>
      </w:pPr>
    </w:p>
    <w:p w14:paraId="41DAB434" w14:textId="77777777" w:rsidR="006E60B1" w:rsidRDefault="006E60B1" w:rsidP="00E336B2">
      <w:pPr>
        <w:rPr>
          <w:rFonts w:cs="Arial"/>
          <w:color w:val="000000" w:themeColor="text1"/>
          <w:lang w:val="en-US"/>
        </w:rPr>
      </w:pPr>
    </w:p>
    <w:p w14:paraId="7A7BF584" w14:textId="77777777" w:rsidR="006E60B1" w:rsidRDefault="006E60B1" w:rsidP="00E336B2">
      <w:pPr>
        <w:rPr>
          <w:rFonts w:cs="Arial"/>
          <w:color w:val="000000" w:themeColor="text1"/>
          <w:lang w:val="en-US"/>
        </w:rPr>
      </w:pPr>
    </w:p>
    <w:p w14:paraId="4BA0EF25" w14:textId="77777777" w:rsidR="006E60B1" w:rsidRDefault="006E60B1" w:rsidP="00E336B2">
      <w:pPr>
        <w:rPr>
          <w:rFonts w:cs="Arial"/>
          <w:color w:val="000000" w:themeColor="text1"/>
          <w:lang w:val="en-US"/>
        </w:rPr>
      </w:pPr>
    </w:p>
    <w:p w14:paraId="2C96362F" w14:textId="77777777" w:rsidR="006E60B1" w:rsidRDefault="006E60B1" w:rsidP="00E336B2">
      <w:pPr>
        <w:rPr>
          <w:rFonts w:cs="Arial"/>
          <w:color w:val="000000" w:themeColor="text1"/>
          <w:lang w:val="en-US"/>
        </w:rPr>
      </w:pPr>
    </w:p>
    <w:p w14:paraId="15DF6A64" w14:textId="77777777" w:rsidR="006E60B1" w:rsidRDefault="006E60B1" w:rsidP="00E336B2">
      <w:pPr>
        <w:rPr>
          <w:rFonts w:cs="Arial"/>
          <w:color w:val="000000" w:themeColor="text1"/>
          <w:lang w:val="en-US"/>
        </w:rPr>
      </w:pPr>
    </w:p>
    <w:p w14:paraId="460864AD" w14:textId="77777777" w:rsidR="006E60B1" w:rsidRDefault="006E60B1" w:rsidP="00E336B2">
      <w:pPr>
        <w:rPr>
          <w:rFonts w:cs="Arial"/>
          <w:color w:val="000000" w:themeColor="text1"/>
          <w:lang w:val="en-US"/>
        </w:rPr>
      </w:pPr>
    </w:p>
    <w:p w14:paraId="06224B8F" w14:textId="77777777" w:rsidR="006E60B1" w:rsidRDefault="006E60B1" w:rsidP="00E336B2">
      <w:pPr>
        <w:rPr>
          <w:rFonts w:cs="Arial"/>
          <w:color w:val="000000" w:themeColor="text1"/>
          <w:lang w:val="en-US"/>
        </w:rPr>
      </w:pPr>
    </w:p>
    <w:p w14:paraId="1EC086C1" w14:textId="77777777" w:rsidR="006E60B1" w:rsidRDefault="006E60B1" w:rsidP="00E336B2">
      <w:pPr>
        <w:rPr>
          <w:rFonts w:cs="Arial"/>
          <w:color w:val="000000" w:themeColor="text1"/>
          <w:lang w:val="en-US"/>
        </w:rPr>
      </w:pPr>
    </w:p>
    <w:p w14:paraId="08D08007" w14:textId="77777777" w:rsidR="006C64CB" w:rsidRDefault="006C64CB" w:rsidP="00E336B2">
      <w:pPr>
        <w:rPr>
          <w:rFonts w:cs="Arial"/>
          <w:color w:val="000000" w:themeColor="text1"/>
          <w:lang w:val="en-US"/>
        </w:rPr>
        <w:sectPr w:rsidR="006C64CB" w:rsidSect="00D86A31">
          <w:pgSz w:w="16838" w:h="11906" w:orient="landscape"/>
          <w:pgMar w:top="1440" w:right="1440" w:bottom="1440" w:left="1440" w:header="709" w:footer="709" w:gutter="0"/>
          <w:cols w:space="708"/>
          <w:titlePg/>
          <w:docGrid w:linePitch="360"/>
        </w:sectPr>
      </w:pPr>
    </w:p>
    <w:p w14:paraId="4CDB99A3" w14:textId="77777777" w:rsidR="00835881" w:rsidRPr="00835881" w:rsidRDefault="00835881" w:rsidP="00835881">
      <w:pPr>
        <w:pStyle w:val="Body-N"/>
        <w:spacing w:before="120" w:after="120" w:line="240" w:lineRule="auto"/>
        <w:rPr>
          <w:rFonts w:ascii="Arial" w:eastAsia="MS Gothic" w:hAnsi="Arial" w:cs="Arial"/>
          <w:color w:val="094183"/>
          <w:kern w:val="28"/>
          <w:szCs w:val="14"/>
        </w:rPr>
      </w:pPr>
      <w:r w:rsidRPr="00835881">
        <w:rPr>
          <w:rFonts w:ascii="Arial" w:hAnsi="Arial" w:cs="Arial"/>
          <w:b/>
          <w:bCs/>
        </w:rPr>
        <w:t xml:space="preserve">Characteristics of the interventions included in the </w:t>
      </w:r>
      <w:r w:rsidRPr="00835881">
        <w:rPr>
          <w:rFonts w:ascii="Arial" w:hAnsi="Arial" w:cs="Arial"/>
          <w:b/>
        </w:rPr>
        <w:t>trials</w:t>
      </w:r>
    </w:p>
    <w:p w14:paraId="1F55D8D4" w14:textId="17706B04" w:rsidR="00835881" w:rsidRPr="00835881" w:rsidRDefault="00B5106F" w:rsidP="00835881">
      <w:pPr>
        <w:rPr>
          <w:rFonts w:eastAsia="MS Mincho" w:cs="Arial"/>
          <w:bCs/>
          <w:szCs w:val="20"/>
          <w:lang w:val="en-US"/>
        </w:rPr>
      </w:pPr>
      <w:r>
        <w:rPr>
          <w:rFonts w:eastAsia="MS Mincho" w:cs="Arial"/>
          <w:bCs/>
          <w:szCs w:val="20"/>
          <w:lang w:val="en-US"/>
        </w:rPr>
        <w:fldChar w:fldCharType="begin"/>
      </w:r>
      <w:r>
        <w:rPr>
          <w:rFonts w:eastAsia="MS Mincho" w:cs="Arial"/>
          <w:bCs/>
          <w:szCs w:val="20"/>
          <w:lang w:val="en-US"/>
        </w:rPr>
        <w:instrText xml:space="preserve"> REF _Ref177725113 \h </w:instrText>
      </w:r>
      <w:r>
        <w:rPr>
          <w:rFonts w:eastAsia="MS Mincho" w:cs="Arial"/>
          <w:bCs/>
          <w:szCs w:val="20"/>
          <w:lang w:val="en-US"/>
        </w:rPr>
      </w:r>
      <w:r>
        <w:rPr>
          <w:rFonts w:eastAsia="MS Mincho" w:cs="Arial"/>
          <w:bCs/>
          <w:szCs w:val="20"/>
          <w:lang w:val="en-US"/>
        </w:rPr>
        <w:fldChar w:fldCharType="separate"/>
      </w:r>
      <w:r w:rsidR="00303407" w:rsidRPr="00B5106F">
        <w:rPr>
          <w:b/>
          <w:bCs/>
        </w:rPr>
        <w:t xml:space="preserve">Table </w:t>
      </w:r>
      <w:r w:rsidR="00303407">
        <w:rPr>
          <w:b/>
          <w:bCs/>
          <w:noProof/>
        </w:rPr>
        <w:t>7</w:t>
      </w:r>
      <w:r>
        <w:rPr>
          <w:rFonts w:eastAsia="MS Mincho" w:cs="Arial"/>
          <w:bCs/>
          <w:szCs w:val="20"/>
          <w:lang w:val="en-US"/>
        </w:rPr>
        <w:fldChar w:fldCharType="end"/>
      </w:r>
      <w:r w:rsidR="00835881" w:rsidRPr="00835881">
        <w:rPr>
          <w:rFonts w:eastAsia="MS Mincho" w:cs="Arial"/>
          <w:bCs/>
          <w:szCs w:val="20"/>
          <w:lang w:val="en-US"/>
        </w:rPr>
        <w:t xml:space="preserve"> describes the characteristics of the interventions examined within the 36 RCTs. The table is organised alphabetically by the name / acronym of the intervention under investigation.  Where interventions were included as the comparison to another intervention, this is noted. While not all papers specifically described their approaches to tailoring the intervention, most interventions in focus (against which comparisons were made) met Hoffman et al’s. definition: </w:t>
      </w:r>
      <w:r w:rsidR="00835881" w:rsidRPr="00835881">
        <w:rPr>
          <w:rFonts w:eastAsia="MS Mincho" w:cs="Arial"/>
          <w:bCs/>
          <w:szCs w:val="20"/>
        </w:rPr>
        <w:t xml:space="preserve">“…the intervention was planned to be personalised, titrated or adapted… [based on] participant’s preference, skills, or situation” (Hoffman et al., 2014; p. 6). </w:t>
      </w:r>
    </w:p>
    <w:p w14:paraId="3B6C0B9E" w14:textId="77777777" w:rsidR="00835881" w:rsidRPr="00835881" w:rsidRDefault="00835881" w:rsidP="00835881">
      <w:pPr>
        <w:rPr>
          <w:rFonts w:eastAsia="MS Mincho" w:cs="Arial"/>
          <w:bCs/>
          <w:szCs w:val="20"/>
        </w:rPr>
      </w:pPr>
      <w:r w:rsidRPr="00835881">
        <w:rPr>
          <w:rFonts w:eastAsia="MS Mincho" w:cs="Arial"/>
          <w:bCs/>
          <w:szCs w:val="20"/>
        </w:rPr>
        <w:t>Mapping of the intervention approach to ECI practices was based on the evidence reported in Part Two section 4 of the report, which links practice examples to ECI principles. We mapped according to what was reported by authors in describing the interventions/programs researched, as summarised below:</w:t>
      </w:r>
    </w:p>
    <w:p w14:paraId="3B0674A1" w14:textId="77777777" w:rsidR="00835881" w:rsidRPr="00835881" w:rsidRDefault="00835881" w:rsidP="003B0B17">
      <w:pPr>
        <w:numPr>
          <w:ilvl w:val="0"/>
          <w:numId w:val="180"/>
        </w:numPr>
        <w:rPr>
          <w:rFonts w:eastAsia="MS Mincho" w:cs="Arial"/>
          <w:bCs/>
          <w:szCs w:val="20"/>
        </w:rPr>
      </w:pPr>
      <w:r w:rsidRPr="00835881">
        <w:rPr>
          <w:rFonts w:eastAsia="MS Mincho" w:cs="Arial"/>
          <w:bCs/>
          <w:szCs w:val="20"/>
        </w:rPr>
        <w:t>ECI practices (based on eight identified principles):</w:t>
      </w:r>
    </w:p>
    <w:p w14:paraId="01B5223A" w14:textId="77777777" w:rsidR="00835881" w:rsidRPr="00835881" w:rsidRDefault="00835881" w:rsidP="003B0B17">
      <w:pPr>
        <w:numPr>
          <w:ilvl w:val="1"/>
          <w:numId w:val="180"/>
        </w:numPr>
        <w:rPr>
          <w:rFonts w:eastAsia="MS Mincho" w:cs="Arial"/>
          <w:bCs/>
          <w:szCs w:val="20"/>
        </w:rPr>
      </w:pPr>
      <w:r w:rsidRPr="00835881">
        <w:rPr>
          <w:rFonts w:eastAsia="MS Mincho" w:cs="Arial"/>
          <w:bCs/>
          <w:szCs w:val="20"/>
        </w:rPr>
        <w:t xml:space="preserve">Family centred practices, including </w:t>
      </w:r>
    </w:p>
    <w:p w14:paraId="1CEEC777"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 xml:space="preserve">providing for parent/caregiver choice (e.g., parent- or child-driven goal setting or decision making), </w:t>
      </w:r>
    </w:p>
    <w:p w14:paraId="0F66E326"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 xml:space="preserve">purposeful partnering with parents/caregivers (e.g., role negotiation), </w:t>
      </w:r>
    </w:p>
    <w:p w14:paraId="7924D4C9"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parent/caregiver peer support and network development,</w:t>
      </w:r>
    </w:p>
    <w:p w14:paraId="150414C3"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individualised/tailored approaches based on family/child circumstances</w:t>
      </w:r>
    </w:p>
    <w:p w14:paraId="589D4C56" w14:textId="77777777" w:rsidR="00835881" w:rsidRPr="00835881" w:rsidRDefault="00835881" w:rsidP="003B0B17">
      <w:pPr>
        <w:numPr>
          <w:ilvl w:val="1"/>
          <w:numId w:val="180"/>
        </w:numPr>
        <w:rPr>
          <w:rFonts w:eastAsia="MS Mincho" w:cs="Arial"/>
          <w:bCs/>
          <w:szCs w:val="20"/>
        </w:rPr>
      </w:pPr>
      <w:r w:rsidRPr="00835881">
        <w:rPr>
          <w:rFonts w:eastAsia="MS Mincho" w:cs="Arial"/>
          <w:bCs/>
          <w:szCs w:val="20"/>
        </w:rPr>
        <w:t xml:space="preserve">Capacity-building and strength-based, including </w:t>
      </w:r>
    </w:p>
    <w:p w14:paraId="258674BB"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Coaching</w:t>
      </w:r>
    </w:p>
    <w:p w14:paraId="3238FC95"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Strength-based approaches focused and building on what children can do</w:t>
      </w:r>
    </w:p>
    <w:p w14:paraId="4F3EA104" w14:textId="77777777" w:rsidR="00835881" w:rsidRPr="00835881" w:rsidRDefault="00835881" w:rsidP="003B0B17">
      <w:pPr>
        <w:numPr>
          <w:ilvl w:val="1"/>
          <w:numId w:val="180"/>
        </w:numPr>
        <w:rPr>
          <w:rFonts w:eastAsia="MS Mincho" w:cs="Arial"/>
          <w:bCs/>
          <w:szCs w:val="20"/>
        </w:rPr>
      </w:pPr>
      <w:r w:rsidRPr="00835881">
        <w:rPr>
          <w:rFonts w:eastAsia="MS Mincho" w:cs="Arial"/>
          <w:bCs/>
          <w:szCs w:val="20"/>
        </w:rPr>
        <w:t>Culturally responsive and safe approaches</w:t>
      </w:r>
    </w:p>
    <w:p w14:paraId="30B3FBD5" w14:textId="77777777" w:rsidR="00835881" w:rsidRPr="00835881" w:rsidRDefault="00835881" w:rsidP="003B0B17">
      <w:pPr>
        <w:numPr>
          <w:ilvl w:val="1"/>
          <w:numId w:val="180"/>
        </w:numPr>
        <w:rPr>
          <w:rFonts w:eastAsia="MS Mincho" w:cs="Arial"/>
          <w:bCs/>
          <w:szCs w:val="20"/>
        </w:rPr>
      </w:pPr>
      <w:r w:rsidRPr="00835881">
        <w:rPr>
          <w:rFonts w:eastAsia="MS Mincho" w:cs="Arial"/>
          <w:bCs/>
          <w:szCs w:val="20"/>
        </w:rPr>
        <w:t>Inclusion and participation focused practices</w:t>
      </w:r>
    </w:p>
    <w:p w14:paraId="03D0EB01"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Inclusion, e.g., pyramid models, multi-tiered systems of support, classroom or whole of setting, level approaches</w:t>
      </w:r>
    </w:p>
    <w:p w14:paraId="00D449ED"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 xml:space="preserve">Meaningful participation </w:t>
      </w:r>
    </w:p>
    <w:p w14:paraId="6B24C44A" w14:textId="77777777" w:rsidR="00835881" w:rsidRPr="00835881" w:rsidRDefault="00835881" w:rsidP="003B0B17">
      <w:pPr>
        <w:numPr>
          <w:ilvl w:val="1"/>
          <w:numId w:val="180"/>
        </w:numPr>
        <w:rPr>
          <w:rFonts w:eastAsia="MS Mincho" w:cs="Arial"/>
          <w:bCs/>
          <w:szCs w:val="20"/>
        </w:rPr>
      </w:pPr>
      <w:r w:rsidRPr="00835881">
        <w:rPr>
          <w:rFonts w:eastAsia="MS Mincho" w:cs="Arial"/>
          <w:bCs/>
          <w:szCs w:val="20"/>
        </w:rPr>
        <w:t>Engaging children in natural environments, including delivering interventions in children’s homes, ECEC settings, schools or other community settings</w:t>
      </w:r>
    </w:p>
    <w:p w14:paraId="7C8B37C0" w14:textId="77777777" w:rsidR="00835881" w:rsidRPr="00835881" w:rsidRDefault="00835881" w:rsidP="003B0B17">
      <w:pPr>
        <w:numPr>
          <w:ilvl w:val="1"/>
          <w:numId w:val="180"/>
        </w:numPr>
        <w:rPr>
          <w:rFonts w:eastAsia="MS Mincho" w:cs="Arial"/>
          <w:bCs/>
          <w:szCs w:val="20"/>
        </w:rPr>
      </w:pPr>
      <w:r w:rsidRPr="00835881">
        <w:rPr>
          <w:rFonts w:eastAsia="MS Mincho" w:cs="Arial"/>
          <w:bCs/>
          <w:szCs w:val="20"/>
        </w:rPr>
        <w:t xml:space="preserve">Collaborative teamwork </w:t>
      </w:r>
    </w:p>
    <w:p w14:paraId="03E6C980"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among professionals, e.g., transdisciplinary approaches</w:t>
      </w:r>
    </w:p>
    <w:p w14:paraId="47CCD3A5"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between professionals and families, e.g., team around the child, keyworker</w:t>
      </w:r>
    </w:p>
    <w:p w14:paraId="17E037DC" w14:textId="77777777" w:rsidR="00835881" w:rsidRPr="00835881" w:rsidRDefault="00835881" w:rsidP="003B0B17">
      <w:pPr>
        <w:numPr>
          <w:ilvl w:val="1"/>
          <w:numId w:val="180"/>
        </w:numPr>
        <w:rPr>
          <w:rFonts w:eastAsia="MS Mincho" w:cs="Arial"/>
          <w:bCs/>
          <w:szCs w:val="20"/>
        </w:rPr>
      </w:pPr>
      <w:r w:rsidRPr="00835881">
        <w:rPr>
          <w:rFonts w:eastAsia="MS Mincho" w:cs="Arial"/>
          <w:bCs/>
          <w:szCs w:val="20"/>
        </w:rPr>
        <w:t>Evidence-informed, e.g., when decision making explicitly brings together research, practitioner and family knowledge and values</w:t>
      </w:r>
    </w:p>
    <w:p w14:paraId="0FCBC160" w14:textId="77777777" w:rsidR="00835881" w:rsidRPr="00835881" w:rsidRDefault="00835881" w:rsidP="003B0B17">
      <w:pPr>
        <w:numPr>
          <w:ilvl w:val="1"/>
          <w:numId w:val="180"/>
        </w:numPr>
        <w:rPr>
          <w:rFonts w:eastAsia="MS Mincho" w:cs="Arial"/>
          <w:bCs/>
          <w:szCs w:val="20"/>
        </w:rPr>
      </w:pPr>
      <w:r w:rsidRPr="00835881">
        <w:rPr>
          <w:rFonts w:eastAsia="MS Mincho" w:cs="Arial"/>
          <w:bCs/>
          <w:szCs w:val="20"/>
        </w:rPr>
        <w:t xml:space="preserve">ECI outcomes-based </w:t>
      </w:r>
    </w:p>
    <w:p w14:paraId="16C63A2C" w14:textId="77777777" w:rsidR="00835881" w:rsidRPr="00835881" w:rsidRDefault="00835881" w:rsidP="003B0B17">
      <w:pPr>
        <w:numPr>
          <w:ilvl w:val="2"/>
          <w:numId w:val="180"/>
        </w:numPr>
        <w:rPr>
          <w:rFonts w:eastAsia="MS Mincho" w:cs="Arial"/>
          <w:bCs/>
          <w:szCs w:val="20"/>
        </w:rPr>
      </w:pPr>
      <w:r w:rsidRPr="00835881">
        <w:rPr>
          <w:rFonts w:eastAsia="MS Mincho" w:cs="Arial"/>
          <w:bCs/>
          <w:szCs w:val="20"/>
        </w:rPr>
        <w:t>Whole of family level outcomes</w:t>
      </w:r>
    </w:p>
    <w:p w14:paraId="5089F496" w14:textId="476E5B2B" w:rsidR="00835881" w:rsidRPr="00835881" w:rsidRDefault="00835881" w:rsidP="003B0B17">
      <w:pPr>
        <w:numPr>
          <w:ilvl w:val="2"/>
          <w:numId w:val="180"/>
        </w:numPr>
        <w:rPr>
          <w:rFonts w:eastAsia="MS Mincho" w:cs="Arial"/>
          <w:bCs/>
          <w:szCs w:val="20"/>
        </w:rPr>
      </w:pPr>
      <w:r w:rsidRPr="00835881">
        <w:rPr>
          <w:rFonts w:eastAsia="MS Mincho" w:cs="Arial"/>
          <w:bCs/>
          <w:szCs w:val="20"/>
        </w:rPr>
        <w:t>When child-level are focused on participation outcomes rather than skills</w:t>
      </w:r>
    </w:p>
    <w:p w14:paraId="57790ECF" w14:textId="77777777" w:rsidR="00835881" w:rsidRPr="00835881" w:rsidRDefault="00835881" w:rsidP="00835881">
      <w:pPr>
        <w:rPr>
          <w:rFonts w:eastAsia="MS Mincho" w:cs="Arial"/>
          <w:bCs/>
          <w:szCs w:val="20"/>
        </w:rPr>
      </w:pPr>
      <w:r w:rsidRPr="00835881">
        <w:rPr>
          <w:rFonts w:eastAsia="MS Mincho" w:cs="Arial"/>
          <w:bCs/>
          <w:szCs w:val="20"/>
        </w:rPr>
        <w:t>The mapping was based on the review of the content of the included papers and is intended to provide a high-level overview of the focus of research in relation to the ECI principles and practices identified in Section 4. Many of the defined practices have overlapping elements (e.g., identified family centred practices are evident in most of the other elements). Mapping was also based on the description in the included paper and may not provide evidence of how well or in what way any one practice was implemented.</w:t>
      </w:r>
    </w:p>
    <w:p w14:paraId="5A39FFC0" w14:textId="77777777" w:rsidR="00835881" w:rsidRPr="00835881" w:rsidRDefault="00835881" w:rsidP="00835881">
      <w:pPr>
        <w:rPr>
          <w:rFonts w:eastAsia="MS Mincho" w:cs="Arial"/>
          <w:bCs/>
          <w:szCs w:val="20"/>
          <w:lang w:val="en-US"/>
        </w:rPr>
      </w:pPr>
      <w:r w:rsidRPr="00835881">
        <w:rPr>
          <w:rFonts w:eastAsia="MS Mincho" w:cs="Arial"/>
          <w:bCs/>
          <w:szCs w:val="20"/>
        </w:rPr>
        <w:t>In summary, family centred practices (related to individualisation, peer connections); capacity building of children (developing skills); capacity-building of parents/caregivers (primarily focused on their capacity to build capacity in their children); interventions delivered within natural environments (home and ECEC settings); and approaches to create inclusive environments in early school settings were most identified features. While many interventions were implemented in natural settings, few explicitly focused on enhancing inclusivity of the setting, nor on optimising the participation of children within those settings.</w:t>
      </w:r>
    </w:p>
    <w:p w14:paraId="0079519F" w14:textId="77777777" w:rsidR="006E60B1" w:rsidRPr="006E60B1" w:rsidRDefault="006E60B1" w:rsidP="00E336B2">
      <w:pPr>
        <w:rPr>
          <w:rFonts w:cs="Arial"/>
          <w:color w:val="000000" w:themeColor="text1"/>
          <w:lang w:val="en-US"/>
        </w:rPr>
      </w:pPr>
    </w:p>
    <w:p w14:paraId="70EB280C" w14:textId="77777777" w:rsidR="00F733B3" w:rsidRDefault="00F733B3" w:rsidP="00F733B3">
      <w:pPr>
        <w:rPr>
          <w:rFonts w:cs="Arial"/>
          <w:color w:val="000000" w:themeColor="text1"/>
          <w:lang w:val="en-US"/>
        </w:rPr>
      </w:pPr>
    </w:p>
    <w:p w14:paraId="2BAD9C44" w14:textId="77777777" w:rsidR="00945C50" w:rsidRDefault="00945C50" w:rsidP="00F733B3">
      <w:pPr>
        <w:rPr>
          <w:rFonts w:cs="Arial"/>
          <w:color w:val="000000" w:themeColor="text1"/>
          <w:lang w:val="en-US"/>
        </w:rPr>
      </w:pPr>
    </w:p>
    <w:p w14:paraId="35F12CC7" w14:textId="77777777" w:rsidR="00945C50" w:rsidRDefault="00945C50" w:rsidP="00F733B3">
      <w:pPr>
        <w:rPr>
          <w:rFonts w:cs="Arial"/>
          <w:color w:val="000000" w:themeColor="text1"/>
          <w:lang w:val="en-US"/>
        </w:rPr>
      </w:pPr>
    </w:p>
    <w:p w14:paraId="095404A6" w14:textId="77777777" w:rsidR="00945C50" w:rsidRDefault="00945C50" w:rsidP="00F733B3">
      <w:pPr>
        <w:rPr>
          <w:rFonts w:cs="Arial"/>
          <w:color w:val="000000" w:themeColor="text1"/>
          <w:lang w:val="en-US"/>
        </w:rPr>
      </w:pPr>
    </w:p>
    <w:p w14:paraId="642F0571" w14:textId="77777777" w:rsidR="00945C50" w:rsidRDefault="00945C50" w:rsidP="00F733B3">
      <w:pPr>
        <w:rPr>
          <w:rFonts w:cs="Arial"/>
          <w:color w:val="000000" w:themeColor="text1"/>
          <w:lang w:val="en-US"/>
        </w:rPr>
      </w:pPr>
    </w:p>
    <w:p w14:paraId="7D2F7BC5" w14:textId="77777777" w:rsidR="00945C50" w:rsidRDefault="00945C50" w:rsidP="00F733B3">
      <w:pPr>
        <w:rPr>
          <w:rFonts w:cs="Arial"/>
          <w:color w:val="000000" w:themeColor="text1"/>
          <w:lang w:val="en-US"/>
        </w:rPr>
      </w:pPr>
    </w:p>
    <w:p w14:paraId="661AFF31" w14:textId="77777777" w:rsidR="00945C50" w:rsidRDefault="00945C50" w:rsidP="00F733B3">
      <w:pPr>
        <w:rPr>
          <w:rFonts w:cs="Arial"/>
          <w:color w:val="000000" w:themeColor="text1"/>
          <w:lang w:val="en-US"/>
        </w:rPr>
      </w:pPr>
    </w:p>
    <w:p w14:paraId="4D782F41" w14:textId="77777777" w:rsidR="00945C50" w:rsidRDefault="00945C50" w:rsidP="00F733B3">
      <w:pPr>
        <w:rPr>
          <w:rFonts w:cs="Arial"/>
          <w:color w:val="000000" w:themeColor="text1"/>
          <w:lang w:val="en-US"/>
        </w:rPr>
      </w:pPr>
    </w:p>
    <w:p w14:paraId="6E147B8F" w14:textId="77777777" w:rsidR="00945C50" w:rsidRDefault="00945C50" w:rsidP="00F733B3">
      <w:pPr>
        <w:rPr>
          <w:rFonts w:cs="Arial"/>
          <w:color w:val="000000" w:themeColor="text1"/>
          <w:lang w:val="en-US"/>
        </w:rPr>
      </w:pPr>
    </w:p>
    <w:p w14:paraId="6017C907" w14:textId="77777777" w:rsidR="00945C50" w:rsidRDefault="00945C50" w:rsidP="00F733B3">
      <w:pPr>
        <w:rPr>
          <w:rFonts w:cs="Arial"/>
          <w:color w:val="000000" w:themeColor="text1"/>
          <w:lang w:val="en-US"/>
        </w:rPr>
      </w:pPr>
    </w:p>
    <w:p w14:paraId="785B0066" w14:textId="77777777" w:rsidR="00945C50" w:rsidRDefault="00945C50" w:rsidP="00F733B3">
      <w:pPr>
        <w:rPr>
          <w:rFonts w:cs="Arial"/>
          <w:color w:val="000000" w:themeColor="text1"/>
          <w:lang w:val="en-US"/>
        </w:rPr>
      </w:pPr>
    </w:p>
    <w:p w14:paraId="5633144F" w14:textId="77777777" w:rsidR="00945C50" w:rsidRDefault="00945C50" w:rsidP="00F733B3">
      <w:pPr>
        <w:rPr>
          <w:rFonts w:cs="Arial"/>
          <w:color w:val="000000" w:themeColor="text1"/>
          <w:lang w:val="en-US"/>
        </w:rPr>
      </w:pPr>
    </w:p>
    <w:p w14:paraId="714293D2" w14:textId="77777777" w:rsidR="00945C50" w:rsidRDefault="00945C50" w:rsidP="00F733B3">
      <w:pPr>
        <w:rPr>
          <w:rFonts w:cs="Arial"/>
          <w:color w:val="000000" w:themeColor="text1"/>
          <w:lang w:val="en-US"/>
        </w:rPr>
      </w:pPr>
    </w:p>
    <w:p w14:paraId="55AA190F" w14:textId="77777777" w:rsidR="00945C50" w:rsidRDefault="00945C50" w:rsidP="00F733B3">
      <w:pPr>
        <w:rPr>
          <w:rFonts w:cs="Arial"/>
          <w:color w:val="000000" w:themeColor="text1"/>
          <w:lang w:val="en-US"/>
        </w:rPr>
      </w:pPr>
    </w:p>
    <w:p w14:paraId="2E745A37" w14:textId="77777777" w:rsidR="00945C50" w:rsidRDefault="00945C50" w:rsidP="00F733B3">
      <w:pPr>
        <w:rPr>
          <w:rFonts w:cs="Arial"/>
          <w:color w:val="000000" w:themeColor="text1"/>
          <w:lang w:val="en-US"/>
        </w:rPr>
      </w:pPr>
    </w:p>
    <w:p w14:paraId="17ECDBE5" w14:textId="77777777" w:rsidR="00945C50" w:rsidRDefault="00945C50" w:rsidP="00F733B3">
      <w:pPr>
        <w:rPr>
          <w:rFonts w:cs="Arial"/>
          <w:color w:val="000000" w:themeColor="text1"/>
          <w:lang w:val="en-US"/>
        </w:rPr>
      </w:pPr>
    </w:p>
    <w:p w14:paraId="05ACE86E" w14:textId="77777777" w:rsidR="00945C50" w:rsidRDefault="00945C50" w:rsidP="00F733B3">
      <w:pPr>
        <w:rPr>
          <w:rFonts w:cs="Arial"/>
          <w:color w:val="000000" w:themeColor="text1"/>
          <w:lang w:val="en-US"/>
        </w:rPr>
      </w:pPr>
    </w:p>
    <w:p w14:paraId="7CA7E1C5" w14:textId="77777777" w:rsidR="00945C50" w:rsidRDefault="00945C50" w:rsidP="00F733B3">
      <w:pPr>
        <w:rPr>
          <w:rFonts w:cs="Arial"/>
          <w:color w:val="000000" w:themeColor="text1"/>
          <w:lang w:val="en-US"/>
        </w:rPr>
      </w:pPr>
    </w:p>
    <w:p w14:paraId="7B01FD65" w14:textId="77777777" w:rsidR="00945C50" w:rsidRDefault="00945C50" w:rsidP="00F733B3">
      <w:pPr>
        <w:rPr>
          <w:rFonts w:cs="Arial"/>
          <w:color w:val="000000" w:themeColor="text1"/>
          <w:lang w:val="en-US"/>
        </w:rPr>
      </w:pPr>
    </w:p>
    <w:p w14:paraId="6EA71A90" w14:textId="77777777" w:rsidR="00945C50" w:rsidRDefault="00945C50" w:rsidP="00F733B3">
      <w:pPr>
        <w:rPr>
          <w:rFonts w:cs="Arial"/>
          <w:color w:val="000000" w:themeColor="text1"/>
          <w:lang w:val="en-US"/>
        </w:rPr>
      </w:pPr>
    </w:p>
    <w:p w14:paraId="3413B424" w14:textId="77777777" w:rsidR="00945C50" w:rsidRDefault="00945C50" w:rsidP="00F733B3">
      <w:pPr>
        <w:rPr>
          <w:rFonts w:cs="Arial"/>
          <w:color w:val="000000" w:themeColor="text1"/>
          <w:lang w:val="en-US"/>
        </w:rPr>
        <w:sectPr w:rsidR="00945C50" w:rsidSect="006C64CB">
          <w:pgSz w:w="11906" w:h="16838"/>
          <w:pgMar w:top="1440" w:right="1440" w:bottom="1440" w:left="1440" w:header="709" w:footer="709" w:gutter="0"/>
          <w:cols w:space="708"/>
          <w:titlePg/>
          <w:docGrid w:linePitch="360"/>
        </w:sectPr>
      </w:pPr>
    </w:p>
    <w:p w14:paraId="16248CB1" w14:textId="5C787310" w:rsidR="00945C50" w:rsidRDefault="00AC2C8D" w:rsidP="00AC2C8D">
      <w:pPr>
        <w:pStyle w:val="Caption"/>
        <w:rPr>
          <w:rFonts w:cs="Arial"/>
          <w:color w:val="000000" w:themeColor="text1"/>
          <w:lang w:val="en-US"/>
        </w:rPr>
      </w:pPr>
      <w:bookmarkStart w:id="96" w:name="_Toc177725006"/>
      <w:bookmarkStart w:id="97" w:name="_Toc177727326"/>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8</w:t>
      </w:r>
      <w:r w:rsidR="00627239" w:rsidRPr="00B5106F">
        <w:rPr>
          <w:b/>
          <w:bCs/>
          <w:noProof/>
        </w:rPr>
        <w:fldChar w:fldCharType="end"/>
      </w:r>
      <w:r w:rsidRPr="00B5106F">
        <w:rPr>
          <w:b/>
          <w:bCs/>
        </w:rPr>
        <w:t>.</w:t>
      </w:r>
      <w:r w:rsidRPr="003E177F">
        <w:t xml:space="preserve"> Intervention characteristics</w:t>
      </w:r>
      <w:bookmarkEnd w:id="96"/>
      <w:bookmarkEnd w:id="97"/>
    </w:p>
    <w:tbl>
      <w:tblPr>
        <w:tblStyle w:val="UniofMelTable32"/>
        <w:tblW w:w="13750" w:type="dxa"/>
        <w:tblLayout w:type="fixed"/>
        <w:tblLook w:val="04A0" w:firstRow="1" w:lastRow="0" w:firstColumn="1" w:lastColumn="0" w:noHBand="0" w:noVBand="1"/>
      </w:tblPr>
      <w:tblGrid>
        <w:gridCol w:w="1134"/>
        <w:gridCol w:w="3969"/>
        <w:gridCol w:w="1276"/>
        <w:gridCol w:w="1418"/>
        <w:gridCol w:w="1134"/>
        <w:gridCol w:w="1275"/>
        <w:gridCol w:w="1701"/>
        <w:gridCol w:w="1843"/>
      </w:tblGrid>
      <w:tr w:rsidR="00437158" w:rsidRPr="002F781B" w14:paraId="68BDA182" w14:textId="77777777">
        <w:trPr>
          <w:cnfStyle w:val="100000000000" w:firstRow="1" w:lastRow="0" w:firstColumn="0" w:lastColumn="0" w:oddVBand="0" w:evenVBand="0" w:oddHBand="0" w:evenHBand="0" w:firstRowFirstColumn="0" w:firstRowLastColumn="0" w:lastRowFirstColumn="0" w:lastRowLastColumn="0"/>
          <w:trHeight w:val="340"/>
        </w:trPr>
        <w:tc>
          <w:tcPr>
            <w:tcW w:w="1134" w:type="dxa"/>
            <w:shd w:val="clear" w:color="auto" w:fill="082A75"/>
          </w:tcPr>
          <w:p w14:paraId="10FD45D1" w14:textId="77777777" w:rsidR="00437158" w:rsidRPr="00437158" w:rsidRDefault="00437158">
            <w:pPr>
              <w:suppressAutoHyphens/>
              <w:spacing w:before="40" w:after="40" w:line="200" w:lineRule="atLeast"/>
              <w:rPr>
                <w:rFonts w:cs="Arial"/>
                <w:b/>
                <w:color w:val="FFFFFF"/>
              </w:rPr>
            </w:pPr>
            <w:r w:rsidRPr="00437158">
              <w:rPr>
                <w:rFonts w:cs="Arial"/>
                <w:b/>
                <w:color w:val="FFFFFF"/>
              </w:rPr>
              <w:t xml:space="preserve">Name of approach </w:t>
            </w:r>
          </w:p>
        </w:tc>
        <w:tc>
          <w:tcPr>
            <w:tcW w:w="3969" w:type="dxa"/>
            <w:shd w:val="clear" w:color="auto" w:fill="082A75"/>
          </w:tcPr>
          <w:p w14:paraId="5F6C2755" w14:textId="77777777" w:rsidR="00437158" w:rsidRPr="00437158" w:rsidRDefault="00437158">
            <w:pPr>
              <w:suppressAutoHyphens/>
              <w:spacing w:before="40" w:after="40" w:line="200" w:lineRule="atLeast"/>
              <w:rPr>
                <w:rFonts w:cs="Arial"/>
                <w:b/>
                <w:color w:val="FFFFFF"/>
              </w:rPr>
            </w:pPr>
            <w:r w:rsidRPr="00437158">
              <w:rPr>
                <w:rFonts w:cs="Arial"/>
                <w:b/>
              </w:rPr>
              <w:t>Description of approach</w:t>
            </w:r>
          </w:p>
        </w:tc>
        <w:tc>
          <w:tcPr>
            <w:tcW w:w="1276" w:type="dxa"/>
            <w:shd w:val="clear" w:color="auto" w:fill="082A75"/>
          </w:tcPr>
          <w:p w14:paraId="532DE1DC" w14:textId="77777777" w:rsidR="00437158" w:rsidRPr="00437158" w:rsidRDefault="00437158">
            <w:pPr>
              <w:suppressAutoHyphens/>
              <w:spacing w:before="40" w:after="40" w:line="200" w:lineRule="atLeast"/>
              <w:rPr>
                <w:rFonts w:cs="Arial"/>
                <w:b/>
              </w:rPr>
            </w:pPr>
            <w:r w:rsidRPr="00437158">
              <w:rPr>
                <w:rFonts w:cs="Arial"/>
                <w:b/>
                <w:color w:val="FFFFFF"/>
              </w:rPr>
              <w:t>Author Year</w:t>
            </w:r>
          </w:p>
        </w:tc>
        <w:tc>
          <w:tcPr>
            <w:tcW w:w="1418" w:type="dxa"/>
            <w:shd w:val="clear" w:color="auto" w:fill="082A75"/>
          </w:tcPr>
          <w:p w14:paraId="223EAA09" w14:textId="77777777" w:rsidR="00437158" w:rsidRPr="00437158" w:rsidRDefault="00437158">
            <w:pPr>
              <w:suppressAutoHyphens/>
              <w:spacing w:before="40" w:after="40" w:line="200" w:lineRule="atLeast"/>
              <w:rPr>
                <w:rFonts w:cs="Arial"/>
                <w:b/>
              </w:rPr>
            </w:pPr>
            <w:r w:rsidRPr="00437158">
              <w:rPr>
                <w:rFonts w:cs="Arial"/>
                <w:b/>
              </w:rPr>
              <w:t xml:space="preserve">Professional responsible </w:t>
            </w:r>
          </w:p>
        </w:tc>
        <w:tc>
          <w:tcPr>
            <w:tcW w:w="1134" w:type="dxa"/>
            <w:shd w:val="clear" w:color="auto" w:fill="082A75"/>
          </w:tcPr>
          <w:p w14:paraId="590DF170" w14:textId="77777777" w:rsidR="00437158" w:rsidRPr="00437158" w:rsidRDefault="00437158">
            <w:pPr>
              <w:suppressAutoHyphens/>
              <w:spacing w:before="40" w:after="40" w:line="200" w:lineRule="atLeast"/>
              <w:rPr>
                <w:rFonts w:cs="Arial"/>
                <w:b/>
              </w:rPr>
            </w:pPr>
            <w:r w:rsidRPr="00437158">
              <w:rPr>
                <w:rFonts w:cs="Arial"/>
                <w:b/>
              </w:rPr>
              <w:t>Delivery Mode</w:t>
            </w:r>
          </w:p>
        </w:tc>
        <w:tc>
          <w:tcPr>
            <w:tcW w:w="1275" w:type="dxa"/>
            <w:shd w:val="clear" w:color="auto" w:fill="082A75"/>
          </w:tcPr>
          <w:p w14:paraId="06F42B2F" w14:textId="77777777" w:rsidR="00437158" w:rsidRPr="00437158" w:rsidRDefault="00437158">
            <w:pPr>
              <w:suppressAutoHyphens/>
              <w:spacing w:before="40" w:after="40" w:line="200" w:lineRule="atLeast"/>
              <w:rPr>
                <w:rFonts w:cs="Arial"/>
                <w:b/>
              </w:rPr>
            </w:pPr>
            <w:r w:rsidRPr="00437158">
              <w:rPr>
                <w:rFonts w:cs="Arial"/>
                <w:b/>
              </w:rPr>
              <w:t xml:space="preserve">Where </w:t>
            </w:r>
          </w:p>
        </w:tc>
        <w:tc>
          <w:tcPr>
            <w:tcW w:w="1701" w:type="dxa"/>
            <w:shd w:val="clear" w:color="auto" w:fill="082A75"/>
          </w:tcPr>
          <w:p w14:paraId="60296737" w14:textId="77777777" w:rsidR="00437158" w:rsidRPr="00437158" w:rsidRDefault="00437158">
            <w:pPr>
              <w:suppressAutoHyphens/>
              <w:spacing w:before="40" w:after="40" w:line="200" w:lineRule="atLeast"/>
              <w:rPr>
                <w:rFonts w:cs="Arial"/>
                <w:b/>
              </w:rPr>
            </w:pPr>
            <w:r w:rsidRPr="00437158">
              <w:rPr>
                <w:rFonts w:cs="Arial"/>
                <w:b/>
              </w:rPr>
              <w:t>When and frequency</w:t>
            </w:r>
          </w:p>
        </w:tc>
        <w:tc>
          <w:tcPr>
            <w:tcW w:w="1843" w:type="dxa"/>
            <w:shd w:val="clear" w:color="auto" w:fill="082A75"/>
          </w:tcPr>
          <w:p w14:paraId="2F698B36" w14:textId="77777777" w:rsidR="00437158" w:rsidRPr="00437158" w:rsidRDefault="00437158">
            <w:pPr>
              <w:suppressAutoHyphens/>
              <w:spacing w:before="40" w:after="40" w:line="200" w:lineRule="atLeast"/>
              <w:rPr>
                <w:rFonts w:cs="Arial"/>
                <w:b/>
              </w:rPr>
            </w:pPr>
            <w:r w:rsidRPr="00437158">
              <w:rPr>
                <w:rFonts w:cs="Arial"/>
                <w:b/>
              </w:rPr>
              <w:t>ECI practices</w:t>
            </w:r>
          </w:p>
          <w:p w14:paraId="7F0E7579" w14:textId="77777777" w:rsidR="00437158" w:rsidRPr="00437158" w:rsidRDefault="00437158">
            <w:pPr>
              <w:suppressAutoHyphens/>
              <w:spacing w:before="40" w:after="40" w:line="200" w:lineRule="atLeast"/>
              <w:rPr>
                <w:rFonts w:cs="Arial"/>
                <w:b/>
              </w:rPr>
            </w:pPr>
            <w:r w:rsidRPr="00437158">
              <w:rPr>
                <w:rFonts w:cs="Arial"/>
                <w:b/>
              </w:rPr>
              <w:t xml:space="preserve">Mapping </w:t>
            </w:r>
          </w:p>
        </w:tc>
      </w:tr>
      <w:tr w:rsidR="00437158" w:rsidRPr="002F781B" w14:paraId="1CF2D99F"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4DE9F07C" w14:textId="77777777" w:rsidR="00437158" w:rsidRPr="00437158" w:rsidRDefault="00437158">
            <w:pPr>
              <w:suppressAutoHyphens/>
              <w:spacing w:before="40" w:after="40" w:line="200" w:lineRule="atLeast"/>
              <w:rPr>
                <w:rFonts w:cs="Arial"/>
              </w:rPr>
            </w:pPr>
            <w:r w:rsidRPr="00437158">
              <w:rPr>
                <w:rFonts w:cs="Arial"/>
              </w:rPr>
              <w:t>CareToy</w:t>
            </w:r>
          </w:p>
        </w:tc>
        <w:tc>
          <w:tcPr>
            <w:tcW w:w="3969" w:type="dxa"/>
          </w:tcPr>
          <w:p w14:paraId="22BBB358" w14:textId="77777777" w:rsidR="00437158" w:rsidRPr="00437158" w:rsidRDefault="00437158">
            <w:pPr>
              <w:suppressAutoHyphens/>
              <w:spacing w:before="40" w:after="40" w:line="200" w:lineRule="atLeast"/>
              <w:rPr>
                <w:rFonts w:cs="Arial"/>
              </w:rPr>
            </w:pPr>
            <w:r w:rsidRPr="00437158">
              <w:rPr>
                <w:rFonts w:cs="Arial"/>
                <w:b/>
              </w:rPr>
              <w:t xml:space="preserve">CareToy </w:t>
            </w:r>
            <w:r w:rsidRPr="00437158">
              <w:rPr>
                <w:rFonts w:cs="Arial"/>
              </w:rPr>
              <w:t xml:space="preserve">is an intensive, customised, home-based, family-centred program, provided through remote management of a CareToy system. It consists of specific goal-directed activities, called scenarios, remotely planned by the clinical/rehabilitative staff according to specific infant needs and capabilities. </w:t>
            </w:r>
          </w:p>
        </w:tc>
        <w:tc>
          <w:tcPr>
            <w:tcW w:w="1276" w:type="dxa"/>
          </w:tcPr>
          <w:p w14:paraId="15DBF8D5" w14:textId="77777777" w:rsidR="00437158" w:rsidRPr="00437158" w:rsidRDefault="00437158">
            <w:pPr>
              <w:suppressAutoHyphens/>
              <w:spacing w:before="40" w:after="40" w:line="200" w:lineRule="atLeast"/>
              <w:rPr>
                <w:rFonts w:cs="Arial"/>
              </w:rPr>
            </w:pPr>
            <w:r w:rsidRPr="00437158">
              <w:rPr>
                <w:rFonts w:cs="Arial"/>
              </w:rPr>
              <w:t xml:space="preserve">Sgandurra 2017, 2019 </w:t>
            </w:r>
          </w:p>
        </w:tc>
        <w:tc>
          <w:tcPr>
            <w:tcW w:w="1418" w:type="dxa"/>
          </w:tcPr>
          <w:p w14:paraId="32E5D042" w14:textId="77777777" w:rsidR="00437158" w:rsidRPr="00437158" w:rsidRDefault="00437158">
            <w:pPr>
              <w:suppressAutoHyphens/>
              <w:spacing w:before="40" w:after="40" w:line="200" w:lineRule="atLeast"/>
              <w:rPr>
                <w:rFonts w:cs="Arial"/>
              </w:rPr>
            </w:pPr>
            <w:r w:rsidRPr="00437158">
              <w:rPr>
                <w:rFonts w:cs="Arial"/>
              </w:rPr>
              <w:t>Rehabilitation staff</w:t>
            </w:r>
          </w:p>
        </w:tc>
        <w:tc>
          <w:tcPr>
            <w:tcW w:w="1134" w:type="dxa"/>
          </w:tcPr>
          <w:p w14:paraId="35733564" w14:textId="77777777" w:rsidR="00437158" w:rsidRPr="00437158" w:rsidRDefault="00437158">
            <w:pPr>
              <w:suppressAutoHyphens/>
              <w:spacing w:before="40" w:after="40" w:line="200" w:lineRule="atLeast"/>
              <w:rPr>
                <w:rFonts w:cs="Arial"/>
              </w:rPr>
            </w:pPr>
            <w:r w:rsidRPr="00437158">
              <w:rPr>
                <w:rFonts w:cs="Arial"/>
              </w:rPr>
              <w:t>Remote individual</w:t>
            </w:r>
          </w:p>
        </w:tc>
        <w:tc>
          <w:tcPr>
            <w:tcW w:w="1275" w:type="dxa"/>
          </w:tcPr>
          <w:p w14:paraId="1FD406C3" w14:textId="77777777" w:rsidR="00437158" w:rsidRPr="00437158" w:rsidRDefault="00437158">
            <w:pPr>
              <w:suppressAutoHyphens/>
              <w:spacing w:before="40" w:after="40" w:line="200" w:lineRule="atLeast"/>
              <w:rPr>
                <w:rFonts w:cs="Arial"/>
              </w:rPr>
            </w:pPr>
            <w:r w:rsidRPr="00437158">
              <w:rPr>
                <w:rFonts w:cs="Arial"/>
              </w:rPr>
              <w:t>Home</w:t>
            </w:r>
          </w:p>
        </w:tc>
        <w:tc>
          <w:tcPr>
            <w:tcW w:w="1701" w:type="dxa"/>
          </w:tcPr>
          <w:p w14:paraId="24141A9E" w14:textId="77777777" w:rsidR="00437158" w:rsidRPr="00437158" w:rsidRDefault="00437158">
            <w:pPr>
              <w:suppressAutoHyphens/>
              <w:spacing w:before="40" w:after="40" w:line="200" w:lineRule="atLeast"/>
              <w:rPr>
                <w:rFonts w:cs="Arial"/>
              </w:rPr>
            </w:pPr>
            <w:r w:rsidRPr="00437158">
              <w:rPr>
                <w:rFonts w:cs="Arial"/>
              </w:rPr>
              <w:t>30-45 mins daily, for 4 weeks</w:t>
            </w:r>
          </w:p>
        </w:tc>
        <w:tc>
          <w:tcPr>
            <w:tcW w:w="1843" w:type="dxa"/>
          </w:tcPr>
          <w:p w14:paraId="324DE695" w14:textId="77777777" w:rsidR="00437158" w:rsidRPr="00437158" w:rsidRDefault="00437158">
            <w:pPr>
              <w:suppressAutoHyphens/>
              <w:spacing w:before="40" w:after="40" w:line="200" w:lineRule="atLeast"/>
              <w:rPr>
                <w:rFonts w:cs="Arial"/>
              </w:rPr>
            </w:pPr>
            <w:r w:rsidRPr="00437158">
              <w:rPr>
                <w:rFonts w:cs="Arial"/>
              </w:rPr>
              <w:t xml:space="preserve">Family- centred (individualised); </w:t>
            </w:r>
          </w:p>
          <w:p w14:paraId="7193AB08" w14:textId="77777777" w:rsidR="00437158" w:rsidRPr="00437158" w:rsidRDefault="00437158">
            <w:pPr>
              <w:suppressAutoHyphens/>
              <w:spacing w:before="40" w:after="40" w:line="200" w:lineRule="atLeast"/>
              <w:rPr>
                <w:rFonts w:cs="Arial"/>
              </w:rPr>
            </w:pPr>
            <w:r w:rsidRPr="00437158">
              <w:rPr>
                <w:rFonts w:cs="Arial"/>
              </w:rPr>
              <w:t xml:space="preserve">Capacity building (child); </w:t>
            </w:r>
          </w:p>
          <w:p w14:paraId="491547FE" w14:textId="77777777" w:rsidR="00437158" w:rsidRPr="00437158" w:rsidRDefault="00437158">
            <w:pPr>
              <w:suppressAutoHyphens/>
              <w:spacing w:before="40" w:after="40" w:line="200" w:lineRule="atLeast"/>
              <w:rPr>
                <w:rFonts w:cs="Arial"/>
              </w:rPr>
            </w:pPr>
            <w:r w:rsidRPr="00437158">
              <w:rPr>
                <w:rFonts w:cs="Arial"/>
              </w:rPr>
              <w:t>Natural env.</w:t>
            </w:r>
          </w:p>
          <w:p w14:paraId="5077BF4D" w14:textId="77777777" w:rsidR="00437158" w:rsidRPr="00437158" w:rsidRDefault="00437158">
            <w:pPr>
              <w:suppressAutoHyphens/>
              <w:spacing w:before="40" w:after="40" w:line="200" w:lineRule="atLeast"/>
              <w:rPr>
                <w:rFonts w:cs="Arial"/>
              </w:rPr>
            </w:pPr>
          </w:p>
        </w:tc>
      </w:tr>
      <w:tr w:rsidR="00437158" w:rsidRPr="002F781B" w14:paraId="22563425"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2B936AC6" w14:textId="77777777" w:rsidR="00437158" w:rsidRPr="00437158" w:rsidRDefault="00437158">
            <w:pPr>
              <w:suppressAutoHyphens/>
              <w:spacing w:before="40" w:after="40" w:line="200" w:lineRule="atLeast"/>
              <w:rPr>
                <w:rFonts w:cs="Arial"/>
              </w:rPr>
            </w:pPr>
            <w:r w:rsidRPr="00437158">
              <w:rPr>
                <w:rFonts w:cs="Arial"/>
              </w:rPr>
              <w:t>CHAMPPS</w:t>
            </w:r>
          </w:p>
        </w:tc>
        <w:tc>
          <w:tcPr>
            <w:tcW w:w="3969" w:type="dxa"/>
          </w:tcPr>
          <w:p w14:paraId="517408BE" w14:textId="77777777" w:rsidR="00437158" w:rsidRPr="00437158" w:rsidRDefault="00437158">
            <w:pPr>
              <w:suppressAutoHyphens/>
              <w:spacing w:before="40" w:after="40" w:line="200" w:lineRule="atLeast"/>
              <w:rPr>
                <w:rFonts w:cs="Arial"/>
              </w:rPr>
            </w:pPr>
            <w:r w:rsidRPr="00437158">
              <w:rPr>
                <w:rFonts w:cs="Arial"/>
                <w:b/>
              </w:rPr>
              <w:t>Children in Action: Motor Program for Preschoolers</w:t>
            </w:r>
            <w:r w:rsidRPr="00437158">
              <w:rPr>
                <w:rFonts w:cs="Arial"/>
              </w:rPr>
              <w:t xml:space="preserve"> (CHAMPPS), includes 42 Universal Design for Learning–embedded lessons with suggestions for supporting school readiness skills.</w:t>
            </w:r>
          </w:p>
        </w:tc>
        <w:tc>
          <w:tcPr>
            <w:tcW w:w="1276" w:type="dxa"/>
          </w:tcPr>
          <w:p w14:paraId="6B80408E" w14:textId="77777777" w:rsidR="00437158" w:rsidRPr="00437158" w:rsidRDefault="00437158">
            <w:pPr>
              <w:suppressAutoHyphens/>
              <w:spacing w:before="40" w:after="40" w:line="200" w:lineRule="atLeast"/>
              <w:rPr>
                <w:rFonts w:cs="Arial"/>
              </w:rPr>
            </w:pPr>
            <w:r w:rsidRPr="00437158">
              <w:rPr>
                <w:rFonts w:cs="Arial"/>
              </w:rPr>
              <w:t>Ostrosky 2024</w:t>
            </w:r>
          </w:p>
        </w:tc>
        <w:tc>
          <w:tcPr>
            <w:tcW w:w="1418" w:type="dxa"/>
          </w:tcPr>
          <w:p w14:paraId="32397821" w14:textId="77777777" w:rsidR="00437158" w:rsidRPr="00437158" w:rsidRDefault="00437158">
            <w:pPr>
              <w:suppressAutoHyphens/>
              <w:spacing w:before="40" w:after="40" w:line="200" w:lineRule="atLeast"/>
              <w:rPr>
                <w:rFonts w:cs="Arial"/>
              </w:rPr>
            </w:pPr>
            <w:r w:rsidRPr="00437158">
              <w:rPr>
                <w:rFonts w:cs="Arial"/>
              </w:rPr>
              <w:t>Teachers</w:t>
            </w:r>
          </w:p>
        </w:tc>
        <w:tc>
          <w:tcPr>
            <w:tcW w:w="1134" w:type="dxa"/>
          </w:tcPr>
          <w:p w14:paraId="61C25D15" w14:textId="77777777" w:rsidR="00437158" w:rsidRPr="00437158" w:rsidRDefault="00437158">
            <w:pPr>
              <w:suppressAutoHyphens/>
              <w:spacing w:before="40" w:after="40" w:line="200" w:lineRule="atLeast"/>
              <w:rPr>
                <w:rFonts w:cs="Arial"/>
              </w:rPr>
            </w:pPr>
            <w:r w:rsidRPr="00437158">
              <w:rPr>
                <w:rFonts w:cs="Arial"/>
              </w:rPr>
              <w:t>Face-to-face, Group</w:t>
            </w:r>
          </w:p>
        </w:tc>
        <w:tc>
          <w:tcPr>
            <w:tcW w:w="1275" w:type="dxa"/>
          </w:tcPr>
          <w:p w14:paraId="7879D953" w14:textId="77777777" w:rsidR="00437158" w:rsidRPr="00437158" w:rsidRDefault="00437158">
            <w:pPr>
              <w:suppressAutoHyphens/>
              <w:spacing w:before="40" w:after="40" w:line="200" w:lineRule="atLeast"/>
              <w:rPr>
                <w:rFonts w:cs="Arial"/>
              </w:rPr>
            </w:pPr>
            <w:r w:rsidRPr="00437158">
              <w:rPr>
                <w:rFonts w:cs="Arial"/>
              </w:rPr>
              <w:t>School, home</w:t>
            </w:r>
          </w:p>
        </w:tc>
        <w:tc>
          <w:tcPr>
            <w:tcW w:w="1701" w:type="dxa"/>
          </w:tcPr>
          <w:p w14:paraId="7593382A" w14:textId="77777777" w:rsidR="00437158" w:rsidRPr="00437158" w:rsidRDefault="00437158">
            <w:pPr>
              <w:suppressAutoHyphens/>
              <w:spacing w:before="40" w:after="40" w:line="200" w:lineRule="atLeast"/>
              <w:rPr>
                <w:rFonts w:cs="Arial"/>
              </w:rPr>
            </w:pPr>
            <w:r w:rsidRPr="00437158">
              <w:rPr>
                <w:rFonts w:cs="Arial"/>
              </w:rPr>
              <w:t>2-3 times weekly and 1 time weekly at home, for 21 weeks</w:t>
            </w:r>
          </w:p>
        </w:tc>
        <w:tc>
          <w:tcPr>
            <w:tcW w:w="1843" w:type="dxa"/>
          </w:tcPr>
          <w:p w14:paraId="2BDE9C91" w14:textId="77777777" w:rsidR="00437158" w:rsidRPr="00437158" w:rsidRDefault="00437158">
            <w:pPr>
              <w:suppressAutoHyphens/>
              <w:spacing w:before="40" w:after="40" w:line="200" w:lineRule="atLeast"/>
              <w:rPr>
                <w:rFonts w:cs="Arial"/>
              </w:rPr>
            </w:pPr>
            <w:r w:rsidRPr="00437158">
              <w:rPr>
                <w:rFonts w:cs="Arial"/>
              </w:rPr>
              <w:t>Inclusion;</w:t>
            </w:r>
          </w:p>
          <w:p w14:paraId="16294384" w14:textId="77777777" w:rsidR="00437158" w:rsidRPr="00437158" w:rsidRDefault="00437158">
            <w:pPr>
              <w:suppressAutoHyphens/>
              <w:spacing w:before="40" w:after="40" w:line="200" w:lineRule="atLeast"/>
              <w:rPr>
                <w:rFonts w:cs="Arial"/>
              </w:rPr>
            </w:pPr>
            <w:r w:rsidRPr="00437158">
              <w:rPr>
                <w:rFonts w:cs="Arial"/>
              </w:rPr>
              <w:t>Capacity-building (child);</w:t>
            </w:r>
          </w:p>
          <w:p w14:paraId="480FD474" w14:textId="77777777" w:rsidR="00437158" w:rsidRPr="00437158" w:rsidRDefault="00437158">
            <w:pPr>
              <w:suppressAutoHyphens/>
              <w:spacing w:before="40" w:after="40" w:line="200" w:lineRule="atLeast"/>
              <w:rPr>
                <w:rFonts w:cs="Arial"/>
              </w:rPr>
            </w:pPr>
            <w:r w:rsidRPr="00437158">
              <w:rPr>
                <w:rFonts w:cs="Arial"/>
              </w:rPr>
              <w:t xml:space="preserve">Natural env. </w:t>
            </w:r>
          </w:p>
        </w:tc>
      </w:tr>
      <w:tr w:rsidR="00437158" w:rsidRPr="002F781B" w14:paraId="71282B97"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601B264A" w14:textId="77777777" w:rsidR="00437158" w:rsidRPr="00437158" w:rsidRDefault="00437158">
            <w:pPr>
              <w:suppressAutoHyphens/>
              <w:spacing w:before="40" w:after="40" w:line="200" w:lineRule="atLeast"/>
              <w:rPr>
                <w:rFonts w:cs="Arial"/>
              </w:rPr>
            </w:pPr>
            <w:r w:rsidRPr="00437158">
              <w:rPr>
                <w:rFonts w:cs="Arial"/>
              </w:rPr>
              <w:t>Communi-cation Interven-tion</w:t>
            </w:r>
          </w:p>
        </w:tc>
        <w:tc>
          <w:tcPr>
            <w:tcW w:w="3969" w:type="dxa"/>
          </w:tcPr>
          <w:p w14:paraId="0C98BD3A" w14:textId="77777777" w:rsidR="00437158" w:rsidRPr="00437158" w:rsidRDefault="00437158">
            <w:pPr>
              <w:suppressAutoHyphens/>
              <w:spacing w:before="40" w:after="40" w:line="200" w:lineRule="atLeast"/>
              <w:rPr>
                <w:rFonts w:cs="Arial"/>
              </w:rPr>
            </w:pPr>
            <w:r w:rsidRPr="00437158">
              <w:rPr>
                <w:rFonts w:cs="Arial"/>
              </w:rPr>
              <w:t xml:space="preserve">Family-centred </w:t>
            </w:r>
            <w:r w:rsidRPr="00437158">
              <w:rPr>
                <w:rFonts w:cs="Arial"/>
                <w:b/>
              </w:rPr>
              <w:t>multi-mode parent coaching</w:t>
            </w:r>
            <w:r w:rsidRPr="00437158">
              <w:rPr>
                <w:rFonts w:cs="Arial"/>
              </w:rPr>
              <w:t xml:space="preserve"> intervention that aims to enhance the family's capacity to promote their child's development.</w:t>
            </w:r>
          </w:p>
          <w:p w14:paraId="5AA01377" w14:textId="77777777" w:rsidR="00437158" w:rsidRPr="00437158" w:rsidRDefault="00437158">
            <w:pPr>
              <w:suppressAutoHyphens/>
              <w:spacing w:before="40" w:after="40" w:line="200" w:lineRule="atLeast"/>
              <w:rPr>
                <w:rFonts w:cs="Arial"/>
              </w:rPr>
            </w:pPr>
            <w:r w:rsidRPr="00437158">
              <w:rPr>
                <w:rFonts w:cs="Arial"/>
              </w:rPr>
              <w:t>(comparison intervention to Pathways)</w:t>
            </w:r>
          </w:p>
        </w:tc>
        <w:tc>
          <w:tcPr>
            <w:tcW w:w="1276" w:type="dxa"/>
          </w:tcPr>
          <w:p w14:paraId="4A179B50" w14:textId="77777777" w:rsidR="00437158" w:rsidRPr="00437158" w:rsidRDefault="00437158">
            <w:pPr>
              <w:suppressAutoHyphens/>
              <w:spacing w:before="40" w:after="40" w:line="200" w:lineRule="atLeast"/>
              <w:rPr>
                <w:rFonts w:cs="Arial"/>
              </w:rPr>
            </w:pPr>
            <w:r w:rsidRPr="00437158">
              <w:rPr>
                <w:rFonts w:cs="Arial"/>
              </w:rPr>
              <w:t xml:space="preserve">Rollins </w:t>
            </w:r>
          </w:p>
          <w:p w14:paraId="06AE3929" w14:textId="77777777" w:rsidR="00437158" w:rsidRPr="00437158" w:rsidRDefault="00437158">
            <w:pPr>
              <w:suppressAutoHyphens/>
              <w:spacing w:before="40" w:after="40" w:line="200" w:lineRule="atLeast"/>
              <w:rPr>
                <w:rFonts w:cs="Arial"/>
              </w:rPr>
            </w:pPr>
            <w:r w:rsidRPr="00437158">
              <w:rPr>
                <w:rFonts w:cs="Arial"/>
              </w:rPr>
              <w:t>2021</w:t>
            </w:r>
          </w:p>
        </w:tc>
        <w:tc>
          <w:tcPr>
            <w:tcW w:w="1418" w:type="dxa"/>
          </w:tcPr>
          <w:p w14:paraId="64D39F5A" w14:textId="77777777" w:rsidR="00437158" w:rsidRPr="00437158" w:rsidRDefault="00437158">
            <w:pPr>
              <w:suppressAutoHyphens/>
              <w:spacing w:before="40" w:after="40" w:line="200" w:lineRule="atLeast"/>
              <w:rPr>
                <w:rFonts w:cs="Arial"/>
              </w:rPr>
            </w:pPr>
            <w:r w:rsidRPr="00437158">
              <w:rPr>
                <w:rFonts w:cs="Arial"/>
              </w:rPr>
              <w:t>Intervention-trained clinical researchers.</w:t>
            </w:r>
          </w:p>
        </w:tc>
        <w:tc>
          <w:tcPr>
            <w:tcW w:w="1134" w:type="dxa"/>
          </w:tcPr>
          <w:p w14:paraId="25952826"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6631F539" w14:textId="77777777" w:rsidR="00437158" w:rsidRPr="00437158" w:rsidRDefault="00437158">
            <w:pPr>
              <w:suppressAutoHyphens/>
              <w:spacing w:before="40" w:after="40" w:line="200" w:lineRule="atLeast"/>
              <w:rPr>
                <w:rFonts w:cs="Arial"/>
              </w:rPr>
            </w:pPr>
            <w:r w:rsidRPr="00437158">
              <w:rPr>
                <w:rFonts w:cs="Arial"/>
              </w:rPr>
              <w:t>Home</w:t>
            </w:r>
          </w:p>
        </w:tc>
        <w:tc>
          <w:tcPr>
            <w:tcW w:w="1701" w:type="dxa"/>
          </w:tcPr>
          <w:p w14:paraId="2599671F" w14:textId="77777777" w:rsidR="00437158" w:rsidRPr="00437158" w:rsidRDefault="00437158">
            <w:pPr>
              <w:suppressAutoHyphens/>
              <w:spacing w:before="40" w:after="40" w:line="200" w:lineRule="atLeast"/>
              <w:rPr>
                <w:rFonts w:cs="Arial"/>
              </w:rPr>
            </w:pPr>
            <w:r w:rsidRPr="00437158">
              <w:rPr>
                <w:rFonts w:cs="Arial"/>
              </w:rPr>
              <w:t>1.5 hours weekly, for 12 weeks</w:t>
            </w:r>
          </w:p>
        </w:tc>
        <w:tc>
          <w:tcPr>
            <w:tcW w:w="1843" w:type="dxa"/>
          </w:tcPr>
          <w:p w14:paraId="0915DAD2" w14:textId="77777777" w:rsidR="00437158" w:rsidRPr="00437158" w:rsidRDefault="00437158">
            <w:pPr>
              <w:suppressAutoHyphens/>
              <w:spacing w:before="40" w:after="40" w:line="200" w:lineRule="atLeast"/>
              <w:rPr>
                <w:rFonts w:cs="Arial"/>
              </w:rPr>
            </w:pPr>
            <w:r w:rsidRPr="00437158">
              <w:rPr>
                <w:rFonts w:cs="Arial"/>
              </w:rPr>
              <w:t>Family-centred (individualised); Capacity building (parent);</w:t>
            </w:r>
          </w:p>
          <w:p w14:paraId="26785380" w14:textId="77777777" w:rsidR="00437158" w:rsidRPr="00437158" w:rsidRDefault="00437158">
            <w:pPr>
              <w:suppressAutoHyphens/>
              <w:spacing w:before="40" w:after="40" w:line="200" w:lineRule="atLeast"/>
              <w:rPr>
                <w:rFonts w:cs="Arial"/>
              </w:rPr>
            </w:pPr>
            <w:r w:rsidRPr="00437158">
              <w:rPr>
                <w:rFonts w:cs="Arial"/>
              </w:rPr>
              <w:t xml:space="preserve">Natural env. </w:t>
            </w:r>
          </w:p>
        </w:tc>
      </w:tr>
      <w:tr w:rsidR="00437158" w:rsidRPr="002F781B" w14:paraId="3255B7F4"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2D1D34BF" w14:textId="77777777" w:rsidR="00437158" w:rsidRPr="00437158" w:rsidRDefault="00437158">
            <w:pPr>
              <w:suppressAutoHyphens/>
              <w:spacing w:before="40" w:after="40" w:line="200" w:lineRule="atLeast"/>
              <w:rPr>
                <w:rFonts w:cs="Arial"/>
              </w:rPr>
            </w:pPr>
            <w:r w:rsidRPr="00437158">
              <w:rPr>
                <w:rFonts w:cs="Arial"/>
              </w:rPr>
              <w:t>COPCA</w:t>
            </w:r>
          </w:p>
          <w:p w14:paraId="547D44A6" w14:textId="77777777" w:rsidR="00437158" w:rsidRPr="00437158" w:rsidRDefault="00437158">
            <w:pPr>
              <w:suppressAutoHyphens/>
              <w:spacing w:before="40" w:after="40" w:line="200" w:lineRule="atLeast"/>
              <w:rPr>
                <w:rFonts w:cs="Arial"/>
              </w:rPr>
            </w:pPr>
          </w:p>
        </w:tc>
        <w:tc>
          <w:tcPr>
            <w:tcW w:w="3969" w:type="dxa"/>
          </w:tcPr>
          <w:p w14:paraId="64BF7629" w14:textId="77777777" w:rsidR="00437158" w:rsidRPr="00437158" w:rsidRDefault="00437158">
            <w:pPr>
              <w:shd w:val="clear" w:color="auto" w:fill="FFFFFF"/>
              <w:suppressAutoHyphens/>
              <w:spacing w:after="0" w:line="200" w:lineRule="atLeast"/>
              <w:rPr>
                <w:rFonts w:cs="Arial"/>
              </w:rPr>
            </w:pPr>
            <w:r w:rsidRPr="00437158">
              <w:rPr>
                <w:rFonts w:cs="Arial"/>
              </w:rPr>
              <w:t xml:space="preserve">A </w:t>
            </w:r>
            <w:r w:rsidRPr="00437158">
              <w:rPr>
                <w:rFonts w:cs="Arial"/>
                <w:b/>
              </w:rPr>
              <w:t>COPing with and CAring for infants with special needs</w:t>
            </w:r>
            <w:r w:rsidRPr="00437158">
              <w:rPr>
                <w:rFonts w:cs="Arial"/>
              </w:rPr>
              <w:t xml:space="preserve"> (COPCA) is a family-centred early intervention programme. COPCA aims to encourage the family's own capacities to stimulate the infant's motor development in naturally occurring parenting situations.</w:t>
            </w:r>
          </w:p>
        </w:tc>
        <w:tc>
          <w:tcPr>
            <w:tcW w:w="1276" w:type="dxa"/>
          </w:tcPr>
          <w:p w14:paraId="2024E547" w14:textId="77777777" w:rsidR="00437158" w:rsidRPr="00437158" w:rsidRDefault="00437158">
            <w:pPr>
              <w:suppressAutoHyphens/>
              <w:spacing w:before="40" w:after="40" w:line="200" w:lineRule="atLeast"/>
              <w:rPr>
                <w:rFonts w:cs="Arial"/>
              </w:rPr>
            </w:pPr>
            <w:r w:rsidRPr="00437158">
              <w:rPr>
                <w:rFonts w:cs="Arial"/>
              </w:rPr>
              <w:t>Hielkema 2020</w:t>
            </w:r>
          </w:p>
        </w:tc>
        <w:tc>
          <w:tcPr>
            <w:tcW w:w="1418" w:type="dxa"/>
          </w:tcPr>
          <w:p w14:paraId="427C9B3A" w14:textId="77777777" w:rsidR="00437158" w:rsidRPr="00437158" w:rsidRDefault="00437158">
            <w:pPr>
              <w:suppressAutoHyphens/>
              <w:spacing w:before="40" w:after="40" w:line="200" w:lineRule="atLeast"/>
              <w:rPr>
                <w:rFonts w:cs="Arial"/>
              </w:rPr>
            </w:pPr>
            <w:r w:rsidRPr="00437158">
              <w:rPr>
                <w:rFonts w:cs="Arial"/>
              </w:rPr>
              <w:t>Paediatric physiotherapists</w:t>
            </w:r>
          </w:p>
        </w:tc>
        <w:tc>
          <w:tcPr>
            <w:tcW w:w="1134" w:type="dxa"/>
          </w:tcPr>
          <w:p w14:paraId="415BD005" w14:textId="77777777" w:rsidR="00437158" w:rsidRPr="00437158" w:rsidRDefault="00437158">
            <w:pPr>
              <w:suppressAutoHyphens/>
              <w:spacing w:before="40" w:after="40" w:line="200" w:lineRule="atLeast"/>
              <w:rPr>
                <w:rFonts w:cs="Arial"/>
              </w:rPr>
            </w:pPr>
            <w:r w:rsidRPr="00437158">
              <w:rPr>
                <w:rFonts w:cs="Arial"/>
              </w:rPr>
              <w:t>Face-to-face, Individual</w:t>
            </w:r>
          </w:p>
        </w:tc>
        <w:tc>
          <w:tcPr>
            <w:tcW w:w="1275" w:type="dxa"/>
          </w:tcPr>
          <w:p w14:paraId="7A482262" w14:textId="77777777" w:rsidR="00437158" w:rsidRPr="00437158" w:rsidRDefault="00437158">
            <w:pPr>
              <w:suppressAutoHyphens/>
              <w:spacing w:before="40" w:after="40" w:line="200" w:lineRule="atLeast"/>
              <w:rPr>
                <w:rFonts w:cs="Arial"/>
              </w:rPr>
            </w:pPr>
            <w:r w:rsidRPr="00437158">
              <w:rPr>
                <w:rFonts w:cs="Arial"/>
              </w:rPr>
              <w:t>Home</w:t>
            </w:r>
          </w:p>
        </w:tc>
        <w:tc>
          <w:tcPr>
            <w:tcW w:w="1701" w:type="dxa"/>
          </w:tcPr>
          <w:p w14:paraId="3C5C1040" w14:textId="77777777" w:rsidR="00437158" w:rsidRPr="00437158" w:rsidRDefault="00437158">
            <w:pPr>
              <w:suppressAutoHyphens/>
              <w:spacing w:before="40" w:after="40" w:line="200" w:lineRule="atLeast"/>
              <w:rPr>
                <w:rFonts w:cs="Arial"/>
              </w:rPr>
            </w:pPr>
            <w:r w:rsidRPr="00437158">
              <w:rPr>
                <w:rFonts w:cs="Arial"/>
              </w:rPr>
              <w:t>Approximately 3 times monthly, for one year</w:t>
            </w:r>
          </w:p>
        </w:tc>
        <w:tc>
          <w:tcPr>
            <w:tcW w:w="1843" w:type="dxa"/>
          </w:tcPr>
          <w:p w14:paraId="32E82A76" w14:textId="77777777" w:rsidR="00437158" w:rsidRPr="00437158" w:rsidRDefault="00437158">
            <w:pPr>
              <w:suppressAutoHyphens/>
              <w:spacing w:before="40" w:after="40" w:line="200" w:lineRule="atLeast"/>
              <w:rPr>
                <w:rFonts w:cs="Arial"/>
              </w:rPr>
            </w:pPr>
            <w:r w:rsidRPr="00437158">
              <w:rPr>
                <w:rFonts w:cs="Arial"/>
              </w:rPr>
              <w:t xml:space="preserve">Family-centred (individualised); Capacity-building (parent); </w:t>
            </w:r>
          </w:p>
          <w:p w14:paraId="0FB1C816" w14:textId="77777777" w:rsidR="00437158" w:rsidRPr="00437158" w:rsidRDefault="00437158">
            <w:pPr>
              <w:suppressAutoHyphens/>
              <w:spacing w:before="40" w:after="40" w:line="200" w:lineRule="atLeast"/>
              <w:rPr>
                <w:rFonts w:cs="Arial"/>
              </w:rPr>
            </w:pPr>
            <w:r w:rsidRPr="00437158">
              <w:rPr>
                <w:rFonts w:cs="Arial"/>
              </w:rPr>
              <w:t xml:space="preserve">Natural env. </w:t>
            </w:r>
          </w:p>
        </w:tc>
      </w:tr>
      <w:tr w:rsidR="00437158" w:rsidRPr="00437158" w14:paraId="56AB5191"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1D7EDBD1" w14:textId="77777777" w:rsidR="00437158" w:rsidRPr="00437158" w:rsidRDefault="00437158">
            <w:pPr>
              <w:suppressAutoHyphens/>
              <w:spacing w:before="40" w:after="40" w:line="200" w:lineRule="atLeast"/>
              <w:rPr>
                <w:rFonts w:cs="Arial"/>
              </w:rPr>
            </w:pPr>
            <w:r w:rsidRPr="00437158">
              <w:rPr>
                <w:rFonts w:cs="Arial"/>
              </w:rPr>
              <w:t xml:space="preserve">Directive Strategies </w:t>
            </w:r>
          </w:p>
        </w:tc>
        <w:tc>
          <w:tcPr>
            <w:tcW w:w="3969" w:type="dxa"/>
          </w:tcPr>
          <w:p w14:paraId="26C3A20A" w14:textId="77777777" w:rsidR="00437158" w:rsidRPr="00437158" w:rsidRDefault="00437158">
            <w:pPr>
              <w:suppressAutoHyphens/>
              <w:spacing w:before="40" w:after="40" w:line="200" w:lineRule="atLeast"/>
              <w:rPr>
                <w:rFonts w:cs="Arial"/>
              </w:rPr>
            </w:pPr>
            <w:r w:rsidRPr="00437158">
              <w:rPr>
                <w:rFonts w:cs="Arial"/>
              </w:rPr>
              <w:t>A parent-mediated</w:t>
            </w:r>
            <w:r w:rsidRPr="00437158">
              <w:rPr>
                <w:rFonts w:cs="Arial"/>
                <w:b/>
              </w:rPr>
              <w:t xml:space="preserve"> language facilitation strategy </w:t>
            </w:r>
            <w:r w:rsidRPr="00437158">
              <w:rPr>
                <w:rFonts w:cs="Arial"/>
              </w:rPr>
              <w:t xml:space="preserve">in which parents learn to (a) follow a specific sequence of prompting steps, (b) identify the accuracy of the child's response to the directive, and (c) reinforce child target responses and communicative attempts. </w:t>
            </w:r>
          </w:p>
          <w:p w14:paraId="3A2C2D8E" w14:textId="77777777" w:rsidR="00437158" w:rsidRPr="00437158" w:rsidRDefault="00437158">
            <w:pPr>
              <w:suppressAutoHyphens/>
              <w:spacing w:before="40" w:after="40" w:line="200" w:lineRule="atLeast"/>
              <w:rPr>
                <w:rFonts w:cs="Arial"/>
              </w:rPr>
            </w:pPr>
            <w:r w:rsidRPr="00437158">
              <w:rPr>
                <w:rFonts w:cs="Arial"/>
              </w:rPr>
              <w:t>(comparison intervention to Responsive strategies)</w:t>
            </w:r>
          </w:p>
        </w:tc>
        <w:tc>
          <w:tcPr>
            <w:tcW w:w="1276" w:type="dxa"/>
          </w:tcPr>
          <w:p w14:paraId="4BDC64D8" w14:textId="77777777" w:rsidR="00437158" w:rsidRPr="00437158" w:rsidRDefault="00437158">
            <w:pPr>
              <w:suppressAutoHyphens/>
              <w:spacing w:before="40" w:after="40" w:line="200" w:lineRule="atLeast"/>
              <w:rPr>
                <w:rFonts w:cs="Arial"/>
              </w:rPr>
            </w:pPr>
            <w:r w:rsidRPr="00437158">
              <w:rPr>
                <w:rFonts w:cs="Arial"/>
              </w:rPr>
              <w:t>Roberts 2023</w:t>
            </w:r>
          </w:p>
        </w:tc>
        <w:tc>
          <w:tcPr>
            <w:tcW w:w="1418" w:type="dxa"/>
          </w:tcPr>
          <w:p w14:paraId="61159E83" w14:textId="77777777" w:rsidR="00437158" w:rsidRPr="00437158" w:rsidRDefault="00437158">
            <w:pPr>
              <w:suppressAutoHyphens/>
              <w:spacing w:before="40" w:after="40" w:line="200" w:lineRule="atLeast"/>
              <w:rPr>
                <w:rFonts w:cs="Arial"/>
              </w:rPr>
            </w:pPr>
            <w:r w:rsidRPr="00437158">
              <w:rPr>
                <w:rFonts w:cs="Arial"/>
              </w:rPr>
              <w:t xml:space="preserve">Caregiver trained by bachelor's or master's-level Interventionist </w:t>
            </w:r>
          </w:p>
        </w:tc>
        <w:tc>
          <w:tcPr>
            <w:tcW w:w="1134" w:type="dxa"/>
          </w:tcPr>
          <w:p w14:paraId="156F04F3" w14:textId="77777777" w:rsidR="00437158" w:rsidRPr="00437158" w:rsidRDefault="00437158">
            <w:pPr>
              <w:suppressAutoHyphens/>
              <w:spacing w:before="40" w:after="40" w:line="200" w:lineRule="atLeast"/>
              <w:rPr>
                <w:rFonts w:cs="Arial"/>
              </w:rPr>
            </w:pPr>
            <w:r w:rsidRPr="00437158">
              <w:rPr>
                <w:rFonts w:cs="Arial"/>
              </w:rPr>
              <w:t>Face-to-face, individual</w:t>
            </w:r>
          </w:p>
        </w:tc>
        <w:tc>
          <w:tcPr>
            <w:tcW w:w="1275" w:type="dxa"/>
          </w:tcPr>
          <w:p w14:paraId="5F1D8D55" w14:textId="77777777" w:rsidR="00437158" w:rsidRPr="00437158" w:rsidRDefault="00437158">
            <w:pPr>
              <w:suppressAutoHyphens/>
              <w:spacing w:before="40" w:after="40" w:line="200" w:lineRule="atLeast"/>
              <w:rPr>
                <w:rFonts w:cs="Arial"/>
              </w:rPr>
            </w:pPr>
            <w:r w:rsidRPr="00437158">
              <w:rPr>
                <w:rFonts w:cs="Arial"/>
              </w:rPr>
              <w:t>Home</w:t>
            </w:r>
          </w:p>
        </w:tc>
        <w:tc>
          <w:tcPr>
            <w:tcW w:w="1701" w:type="dxa"/>
          </w:tcPr>
          <w:p w14:paraId="0BC3D26B" w14:textId="77777777" w:rsidR="00437158" w:rsidRPr="00437158" w:rsidRDefault="00437158">
            <w:pPr>
              <w:suppressAutoHyphens/>
              <w:spacing w:before="40" w:after="40" w:line="200" w:lineRule="atLeast"/>
              <w:rPr>
                <w:rFonts w:cs="Arial"/>
              </w:rPr>
            </w:pPr>
            <w:r w:rsidRPr="00437158">
              <w:rPr>
                <w:rFonts w:cs="Arial"/>
              </w:rPr>
              <w:t>1 hour weekly, for 8 weeks</w:t>
            </w:r>
          </w:p>
        </w:tc>
        <w:tc>
          <w:tcPr>
            <w:tcW w:w="1843" w:type="dxa"/>
          </w:tcPr>
          <w:p w14:paraId="726C12DB" w14:textId="77777777" w:rsidR="00437158" w:rsidRPr="00437158" w:rsidRDefault="00437158">
            <w:pPr>
              <w:suppressAutoHyphens/>
              <w:spacing w:before="40" w:after="40" w:line="200" w:lineRule="atLeast"/>
              <w:rPr>
                <w:rFonts w:cs="Arial"/>
              </w:rPr>
            </w:pPr>
            <w:r w:rsidRPr="00437158">
              <w:rPr>
                <w:rFonts w:cs="Arial"/>
              </w:rPr>
              <w:t>Capacity-building (parent);</w:t>
            </w:r>
          </w:p>
          <w:p w14:paraId="371C6068"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49C5BF3C" w14:textId="77777777">
        <w:trPr>
          <w:cnfStyle w:val="000000010000" w:firstRow="0" w:lastRow="0" w:firstColumn="0" w:lastColumn="0" w:oddVBand="0" w:evenVBand="0" w:oddHBand="0" w:evenHBand="1" w:firstRowFirstColumn="0" w:firstRowLastColumn="0" w:lastRowFirstColumn="0" w:lastRowLastColumn="0"/>
          <w:trHeight w:val="1231"/>
        </w:trPr>
        <w:tc>
          <w:tcPr>
            <w:tcW w:w="1134" w:type="dxa"/>
          </w:tcPr>
          <w:p w14:paraId="05651513" w14:textId="77777777" w:rsidR="00437158" w:rsidRPr="00437158" w:rsidRDefault="00437158">
            <w:pPr>
              <w:suppressAutoHyphens/>
              <w:spacing w:before="40" w:after="40" w:line="200" w:lineRule="atLeast"/>
              <w:rPr>
                <w:rFonts w:cs="Arial"/>
              </w:rPr>
            </w:pPr>
            <w:r w:rsidRPr="00437158">
              <w:rPr>
                <w:rFonts w:cs="Arial"/>
              </w:rPr>
              <w:t>EA-CP</w:t>
            </w:r>
          </w:p>
        </w:tc>
        <w:tc>
          <w:tcPr>
            <w:tcW w:w="3969" w:type="dxa"/>
          </w:tcPr>
          <w:p w14:paraId="11E634E0" w14:textId="77777777" w:rsidR="00437158" w:rsidRPr="00437158" w:rsidRDefault="00437158">
            <w:pPr>
              <w:suppressAutoHyphens/>
              <w:spacing w:before="40" w:after="40" w:line="200" w:lineRule="atLeast"/>
              <w:rPr>
                <w:rFonts w:cs="Arial"/>
              </w:rPr>
            </w:pPr>
            <w:r w:rsidRPr="00437158">
              <w:rPr>
                <w:rFonts w:cs="Arial"/>
                <w:b/>
                <w:color w:val="000000"/>
              </w:rPr>
              <w:t xml:space="preserve">Early Achievements for Child Care Providers </w:t>
            </w:r>
            <w:r w:rsidRPr="00437158">
              <w:rPr>
                <w:rFonts w:cs="Arial"/>
                <w:color w:val="000000"/>
              </w:rPr>
              <w:t>(EA-CP) is a classroom-level intervention in which teachers implemented evidence-based instructional strategies, during an interactive book sharing activity.</w:t>
            </w:r>
          </w:p>
        </w:tc>
        <w:tc>
          <w:tcPr>
            <w:tcW w:w="1276" w:type="dxa"/>
          </w:tcPr>
          <w:p w14:paraId="478726FA" w14:textId="77777777" w:rsidR="00437158" w:rsidRPr="00437158" w:rsidRDefault="00437158">
            <w:pPr>
              <w:suppressAutoHyphens/>
              <w:spacing w:before="40" w:after="40" w:line="200" w:lineRule="atLeast"/>
              <w:rPr>
                <w:rFonts w:cs="Arial"/>
              </w:rPr>
            </w:pPr>
            <w:r w:rsidRPr="00437158">
              <w:rPr>
                <w:rFonts w:cs="Arial"/>
              </w:rPr>
              <w:t>Feuerstein 2020</w:t>
            </w:r>
          </w:p>
        </w:tc>
        <w:tc>
          <w:tcPr>
            <w:tcW w:w="1418" w:type="dxa"/>
          </w:tcPr>
          <w:p w14:paraId="26EF281A" w14:textId="77777777" w:rsidR="00437158" w:rsidRPr="00437158" w:rsidRDefault="00437158">
            <w:pPr>
              <w:suppressAutoHyphens/>
              <w:spacing w:before="40" w:after="40" w:line="200" w:lineRule="atLeast"/>
              <w:rPr>
                <w:rFonts w:cs="Arial"/>
              </w:rPr>
            </w:pPr>
            <w:r w:rsidRPr="00437158">
              <w:rPr>
                <w:rFonts w:cs="Arial"/>
              </w:rPr>
              <w:t xml:space="preserve">Trained Teachers </w:t>
            </w:r>
          </w:p>
        </w:tc>
        <w:tc>
          <w:tcPr>
            <w:tcW w:w="1134" w:type="dxa"/>
          </w:tcPr>
          <w:p w14:paraId="3FE23AC6" w14:textId="77777777" w:rsidR="00437158" w:rsidRPr="00437158" w:rsidRDefault="00437158">
            <w:pPr>
              <w:suppressAutoHyphens/>
              <w:spacing w:before="40" w:after="40" w:line="200" w:lineRule="atLeast"/>
              <w:rPr>
                <w:rFonts w:cs="Arial"/>
              </w:rPr>
            </w:pPr>
            <w:r w:rsidRPr="00437158">
              <w:rPr>
                <w:rFonts w:cs="Arial"/>
              </w:rPr>
              <w:t>Face-to-face, group</w:t>
            </w:r>
          </w:p>
        </w:tc>
        <w:tc>
          <w:tcPr>
            <w:tcW w:w="1275" w:type="dxa"/>
          </w:tcPr>
          <w:p w14:paraId="64F582C9" w14:textId="77777777" w:rsidR="00437158" w:rsidRPr="00437158" w:rsidRDefault="00437158">
            <w:pPr>
              <w:suppressAutoHyphens/>
              <w:spacing w:before="40" w:after="40" w:line="200" w:lineRule="atLeast"/>
              <w:rPr>
                <w:rFonts w:cs="Arial"/>
              </w:rPr>
            </w:pPr>
            <w:r w:rsidRPr="00437158">
              <w:rPr>
                <w:rFonts w:cs="Arial"/>
              </w:rPr>
              <w:t xml:space="preserve">Classroom </w:t>
            </w:r>
          </w:p>
        </w:tc>
        <w:tc>
          <w:tcPr>
            <w:tcW w:w="1701" w:type="dxa"/>
          </w:tcPr>
          <w:p w14:paraId="39A75673" w14:textId="77777777" w:rsidR="00437158" w:rsidRPr="00437158" w:rsidRDefault="00437158">
            <w:pPr>
              <w:suppressAutoHyphens/>
              <w:spacing w:before="40" w:after="40" w:line="200" w:lineRule="atLeast"/>
              <w:rPr>
                <w:rFonts w:cs="Arial"/>
              </w:rPr>
            </w:pPr>
            <w:r w:rsidRPr="00437158">
              <w:rPr>
                <w:rFonts w:cs="Arial"/>
              </w:rPr>
              <w:t>3 times weekly, for approx. 5 months.</w:t>
            </w:r>
          </w:p>
        </w:tc>
        <w:tc>
          <w:tcPr>
            <w:tcW w:w="1843" w:type="dxa"/>
          </w:tcPr>
          <w:p w14:paraId="63AC5629" w14:textId="77777777" w:rsidR="00437158" w:rsidRPr="00437158" w:rsidRDefault="00437158">
            <w:pPr>
              <w:suppressAutoHyphens/>
              <w:spacing w:before="40" w:after="40" w:line="200" w:lineRule="atLeast"/>
              <w:rPr>
                <w:rFonts w:cs="Arial"/>
              </w:rPr>
            </w:pPr>
            <w:r w:rsidRPr="00437158">
              <w:rPr>
                <w:rFonts w:cs="Arial"/>
              </w:rPr>
              <w:t>Capacity-building (child)</w:t>
            </w:r>
          </w:p>
          <w:p w14:paraId="657261AC" w14:textId="77777777" w:rsidR="00437158" w:rsidRPr="00437158" w:rsidRDefault="00437158">
            <w:pPr>
              <w:suppressAutoHyphens/>
              <w:spacing w:before="40" w:after="40" w:line="200" w:lineRule="atLeast"/>
              <w:rPr>
                <w:rFonts w:cs="Arial"/>
              </w:rPr>
            </w:pPr>
            <w:r w:rsidRPr="00437158">
              <w:rPr>
                <w:rFonts w:cs="Arial"/>
              </w:rPr>
              <w:t>Inclusion;</w:t>
            </w:r>
          </w:p>
          <w:p w14:paraId="7019EA35" w14:textId="77777777" w:rsidR="00437158" w:rsidRPr="00437158" w:rsidRDefault="00437158">
            <w:pPr>
              <w:suppressAutoHyphens/>
              <w:spacing w:before="40" w:after="40" w:line="200" w:lineRule="atLeast"/>
              <w:rPr>
                <w:rFonts w:cs="Arial"/>
              </w:rPr>
            </w:pPr>
            <w:r w:rsidRPr="00437158">
              <w:rPr>
                <w:rFonts w:cs="Arial"/>
              </w:rPr>
              <w:t>Natural env.</w:t>
            </w:r>
          </w:p>
          <w:p w14:paraId="2D3AF495" w14:textId="77777777" w:rsidR="00437158" w:rsidRPr="00437158" w:rsidRDefault="00437158">
            <w:pPr>
              <w:suppressAutoHyphens/>
              <w:spacing w:before="40" w:after="40" w:line="200" w:lineRule="atLeast"/>
              <w:rPr>
                <w:rFonts w:cs="Arial"/>
              </w:rPr>
            </w:pPr>
          </w:p>
        </w:tc>
      </w:tr>
      <w:tr w:rsidR="00437158" w:rsidRPr="00437158" w14:paraId="5EBE8114"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42464919" w14:textId="77777777" w:rsidR="00437158" w:rsidRPr="00437158" w:rsidRDefault="00437158">
            <w:pPr>
              <w:suppressAutoHyphens/>
              <w:spacing w:before="40" w:after="40" w:line="200" w:lineRule="atLeast"/>
              <w:rPr>
                <w:rFonts w:cs="Arial"/>
              </w:rPr>
            </w:pPr>
            <w:r w:rsidRPr="00437158">
              <w:rPr>
                <w:rFonts w:cs="Arial"/>
              </w:rPr>
              <w:t xml:space="preserve">EA-CP </w:t>
            </w:r>
          </w:p>
        </w:tc>
        <w:tc>
          <w:tcPr>
            <w:tcW w:w="3969" w:type="dxa"/>
          </w:tcPr>
          <w:p w14:paraId="1D6F17EE" w14:textId="77777777" w:rsidR="00437158" w:rsidRPr="00437158" w:rsidRDefault="00437158">
            <w:pPr>
              <w:suppressAutoHyphens/>
              <w:spacing w:before="40" w:after="40" w:line="200" w:lineRule="atLeast"/>
              <w:rPr>
                <w:rFonts w:cs="Arial"/>
              </w:rPr>
            </w:pPr>
            <w:r w:rsidRPr="00437158">
              <w:rPr>
                <w:rFonts w:cs="Arial"/>
                <w:b/>
              </w:rPr>
              <w:t>EA-CP</w:t>
            </w:r>
            <w:r w:rsidRPr="00437158">
              <w:rPr>
                <w:rFonts w:cs="Arial"/>
              </w:rPr>
              <w:t xml:space="preserve"> book-sharing instructional approach included targeting receptive and expressive vocabulary, story-related gesture imitation, and story-related communication initiation and responsiveness within peer-to-peer engagement opportunities to promote children's linguistic formulation for authentic communicative purposes.</w:t>
            </w:r>
          </w:p>
        </w:tc>
        <w:tc>
          <w:tcPr>
            <w:tcW w:w="1276" w:type="dxa"/>
          </w:tcPr>
          <w:p w14:paraId="49F5C2C1" w14:textId="77777777" w:rsidR="00437158" w:rsidRPr="00437158" w:rsidRDefault="00437158">
            <w:pPr>
              <w:suppressAutoHyphens/>
              <w:spacing w:before="40" w:after="40" w:line="200" w:lineRule="atLeast"/>
              <w:rPr>
                <w:rFonts w:cs="Arial"/>
              </w:rPr>
            </w:pPr>
            <w:r w:rsidRPr="00437158">
              <w:rPr>
                <w:rFonts w:cs="Arial"/>
              </w:rPr>
              <w:t xml:space="preserve">Landa </w:t>
            </w:r>
          </w:p>
          <w:p w14:paraId="743D2FEA" w14:textId="77777777" w:rsidR="00437158" w:rsidRPr="00437158" w:rsidRDefault="00437158">
            <w:pPr>
              <w:suppressAutoHyphens/>
              <w:spacing w:before="40" w:after="40" w:line="200" w:lineRule="atLeast"/>
              <w:rPr>
                <w:rFonts w:cs="Arial"/>
              </w:rPr>
            </w:pPr>
            <w:r w:rsidRPr="00437158">
              <w:rPr>
                <w:rFonts w:cs="Arial"/>
              </w:rPr>
              <w:t>2024</w:t>
            </w:r>
          </w:p>
        </w:tc>
        <w:tc>
          <w:tcPr>
            <w:tcW w:w="1418" w:type="dxa"/>
          </w:tcPr>
          <w:p w14:paraId="6A6420FC" w14:textId="77777777" w:rsidR="00437158" w:rsidRPr="00437158" w:rsidRDefault="00437158">
            <w:pPr>
              <w:suppressAutoHyphens/>
              <w:spacing w:before="40" w:after="40" w:line="200" w:lineRule="atLeast"/>
              <w:rPr>
                <w:rFonts w:cs="Arial"/>
              </w:rPr>
            </w:pPr>
            <w:r w:rsidRPr="00437158">
              <w:rPr>
                <w:rFonts w:cs="Arial"/>
              </w:rPr>
              <w:t xml:space="preserve">Teachers who had received the EA-CP PD including workshop and coaching </w:t>
            </w:r>
          </w:p>
        </w:tc>
        <w:tc>
          <w:tcPr>
            <w:tcW w:w="1134" w:type="dxa"/>
          </w:tcPr>
          <w:p w14:paraId="1E5262DA" w14:textId="77777777" w:rsidR="00437158" w:rsidRPr="00437158" w:rsidRDefault="00437158">
            <w:pPr>
              <w:suppressAutoHyphens/>
              <w:spacing w:before="40" w:after="40" w:line="200" w:lineRule="atLeast"/>
              <w:rPr>
                <w:rFonts w:cs="Arial"/>
              </w:rPr>
            </w:pPr>
            <w:r w:rsidRPr="00437158">
              <w:rPr>
                <w:rFonts w:cs="Arial"/>
              </w:rPr>
              <w:t xml:space="preserve">Face-to-face, group </w:t>
            </w:r>
          </w:p>
        </w:tc>
        <w:tc>
          <w:tcPr>
            <w:tcW w:w="1275" w:type="dxa"/>
          </w:tcPr>
          <w:p w14:paraId="59A70FF9" w14:textId="77777777" w:rsidR="00437158" w:rsidRPr="00437158" w:rsidRDefault="00437158">
            <w:pPr>
              <w:suppressAutoHyphens/>
              <w:spacing w:before="40" w:after="40" w:line="200" w:lineRule="atLeast"/>
              <w:rPr>
                <w:rFonts w:cs="Arial"/>
              </w:rPr>
            </w:pPr>
            <w:r w:rsidRPr="00437158">
              <w:rPr>
                <w:rFonts w:cs="Arial"/>
              </w:rPr>
              <w:t xml:space="preserve">Classroom </w:t>
            </w:r>
          </w:p>
        </w:tc>
        <w:tc>
          <w:tcPr>
            <w:tcW w:w="1701" w:type="dxa"/>
          </w:tcPr>
          <w:p w14:paraId="791CA7EF" w14:textId="77777777" w:rsidR="00437158" w:rsidRPr="00437158" w:rsidRDefault="00437158">
            <w:pPr>
              <w:suppressAutoHyphens/>
              <w:spacing w:before="40" w:after="40" w:line="200" w:lineRule="atLeast"/>
              <w:rPr>
                <w:rFonts w:cs="Arial"/>
              </w:rPr>
            </w:pPr>
            <w:r w:rsidRPr="00437158">
              <w:rPr>
                <w:rFonts w:cs="Arial"/>
              </w:rPr>
              <w:t>Participating children attended an average of 28.63 readings (SD = 6.99, range: 13–38)</w:t>
            </w:r>
          </w:p>
        </w:tc>
        <w:tc>
          <w:tcPr>
            <w:tcW w:w="1843" w:type="dxa"/>
          </w:tcPr>
          <w:p w14:paraId="5B636BEA" w14:textId="77777777" w:rsidR="00437158" w:rsidRPr="00437158" w:rsidRDefault="00437158">
            <w:pPr>
              <w:suppressAutoHyphens/>
              <w:spacing w:before="40" w:after="40" w:line="200" w:lineRule="atLeast"/>
              <w:rPr>
                <w:rFonts w:cs="Arial"/>
              </w:rPr>
            </w:pPr>
            <w:r w:rsidRPr="00437158">
              <w:rPr>
                <w:rFonts w:cs="Arial"/>
              </w:rPr>
              <w:t>Capacity-building (child)</w:t>
            </w:r>
          </w:p>
          <w:p w14:paraId="102FE606" w14:textId="77777777" w:rsidR="00437158" w:rsidRPr="00437158" w:rsidRDefault="00437158">
            <w:pPr>
              <w:suppressAutoHyphens/>
              <w:spacing w:before="40" w:after="40" w:line="200" w:lineRule="atLeast"/>
              <w:rPr>
                <w:rFonts w:cs="Arial"/>
              </w:rPr>
            </w:pPr>
            <w:r w:rsidRPr="00437158">
              <w:rPr>
                <w:rFonts w:cs="Arial"/>
              </w:rPr>
              <w:t>Inclusion;</w:t>
            </w:r>
          </w:p>
          <w:p w14:paraId="18982AE1" w14:textId="77777777" w:rsidR="00437158" w:rsidRPr="00437158" w:rsidRDefault="00437158">
            <w:pPr>
              <w:suppressAutoHyphens/>
              <w:spacing w:before="40" w:after="40" w:line="200" w:lineRule="atLeast"/>
              <w:rPr>
                <w:rFonts w:cs="Arial"/>
              </w:rPr>
            </w:pPr>
            <w:r w:rsidRPr="00437158">
              <w:rPr>
                <w:rFonts w:cs="Arial"/>
              </w:rPr>
              <w:t>Natural env.</w:t>
            </w:r>
          </w:p>
          <w:p w14:paraId="20B1C425" w14:textId="77777777" w:rsidR="00437158" w:rsidRPr="00437158" w:rsidRDefault="00437158">
            <w:pPr>
              <w:suppressAutoHyphens/>
              <w:spacing w:before="40" w:after="40" w:line="200" w:lineRule="atLeast"/>
              <w:rPr>
                <w:rFonts w:cs="Arial"/>
              </w:rPr>
            </w:pPr>
          </w:p>
        </w:tc>
      </w:tr>
      <w:tr w:rsidR="00437158" w:rsidRPr="00437158" w14:paraId="0DF9AC39"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4D6ABA9A" w14:textId="77777777" w:rsidR="00437158" w:rsidRPr="00437158" w:rsidRDefault="00437158">
            <w:pPr>
              <w:suppressAutoHyphens/>
              <w:spacing w:before="40" w:after="40" w:line="200" w:lineRule="atLeast"/>
              <w:rPr>
                <w:rFonts w:cs="Arial"/>
              </w:rPr>
            </w:pPr>
            <w:r w:rsidRPr="00437158">
              <w:rPr>
                <w:rFonts w:cs="Arial"/>
              </w:rPr>
              <w:t>EA-CP PD</w:t>
            </w:r>
          </w:p>
        </w:tc>
        <w:tc>
          <w:tcPr>
            <w:tcW w:w="3969" w:type="dxa"/>
          </w:tcPr>
          <w:p w14:paraId="128573B9" w14:textId="77777777" w:rsidR="00437158" w:rsidRPr="00437158" w:rsidRDefault="00437158">
            <w:pPr>
              <w:suppressAutoHyphens/>
              <w:spacing w:before="40" w:after="40" w:line="200" w:lineRule="atLeast"/>
              <w:rPr>
                <w:rFonts w:cs="Arial"/>
              </w:rPr>
            </w:pPr>
            <w:r w:rsidRPr="00437158">
              <w:rPr>
                <w:rFonts w:cs="Arial"/>
                <w:b/>
              </w:rPr>
              <w:t>EA-CP Professional development</w:t>
            </w:r>
            <w:r w:rsidRPr="00437158">
              <w:rPr>
                <w:rFonts w:cs="Arial"/>
              </w:rPr>
              <w:t xml:space="preserve"> (PD) focused on (i) training providers to implement NDBI strategies embedded within whole-group instruction; (ii) providing relevant implementation guidance, (iii) training providers to use illustrations and text in children's books as cues for how to plan engaging activities and deliver a high dosage of specific child language and communication antecedent cues.</w:t>
            </w:r>
          </w:p>
        </w:tc>
        <w:tc>
          <w:tcPr>
            <w:tcW w:w="1276" w:type="dxa"/>
          </w:tcPr>
          <w:p w14:paraId="24B54884" w14:textId="77777777" w:rsidR="00437158" w:rsidRPr="00437158" w:rsidRDefault="00437158">
            <w:pPr>
              <w:suppressAutoHyphens/>
              <w:spacing w:before="40" w:after="40" w:line="200" w:lineRule="atLeast"/>
              <w:rPr>
                <w:rFonts w:cs="Arial"/>
              </w:rPr>
            </w:pPr>
            <w:r w:rsidRPr="00437158">
              <w:rPr>
                <w:rFonts w:cs="Arial"/>
              </w:rPr>
              <w:t>As above</w:t>
            </w:r>
          </w:p>
        </w:tc>
        <w:tc>
          <w:tcPr>
            <w:tcW w:w="1418" w:type="dxa"/>
          </w:tcPr>
          <w:p w14:paraId="59ABAE4B" w14:textId="77777777" w:rsidR="00437158" w:rsidRPr="00437158" w:rsidRDefault="00437158">
            <w:pPr>
              <w:suppressAutoHyphens/>
              <w:spacing w:before="40" w:after="40" w:line="200" w:lineRule="atLeast"/>
              <w:rPr>
                <w:rFonts w:cs="Arial"/>
              </w:rPr>
            </w:pPr>
            <w:r w:rsidRPr="00437158">
              <w:rPr>
                <w:rFonts w:cs="Arial"/>
              </w:rPr>
              <w:t xml:space="preserve">Expert coaches: </w:t>
            </w:r>
            <w:r w:rsidRPr="00437158" w:rsidDel="00F144DE">
              <w:rPr>
                <w:rFonts w:cs="Arial"/>
              </w:rPr>
              <w:t>a</w:t>
            </w:r>
            <w:r w:rsidRPr="00437158">
              <w:rPr>
                <w:rFonts w:cs="Arial"/>
              </w:rPr>
              <w:t xml:space="preserve"> master’s level early intervention specialist and two speech-language pathologists. </w:t>
            </w:r>
          </w:p>
        </w:tc>
        <w:tc>
          <w:tcPr>
            <w:tcW w:w="1134" w:type="dxa"/>
          </w:tcPr>
          <w:p w14:paraId="2A4A51E2" w14:textId="77777777" w:rsidR="00437158" w:rsidRPr="00437158" w:rsidRDefault="00437158">
            <w:pPr>
              <w:suppressAutoHyphens/>
              <w:spacing w:before="40" w:after="40" w:line="200" w:lineRule="atLeast"/>
              <w:rPr>
                <w:rFonts w:cs="Arial"/>
              </w:rPr>
            </w:pPr>
            <w:r w:rsidRPr="00437158">
              <w:rPr>
                <w:rFonts w:cs="Arial"/>
              </w:rPr>
              <w:t>Face-to-face individual &amp; virtual workshops</w:t>
            </w:r>
          </w:p>
        </w:tc>
        <w:tc>
          <w:tcPr>
            <w:tcW w:w="1275" w:type="dxa"/>
          </w:tcPr>
          <w:p w14:paraId="00340E64" w14:textId="77777777" w:rsidR="00437158" w:rsidRPr="00437158" w:rsidRDefault="00437158">
            <w:pPr>
              <w:suppressAutoHyphens/>
              <w:spacing w:before="40" w:after="40" w:line="200" w:lineRule="atLeast"/>
              <w:rPr>
                <w:rFonts w:cs="Arial"/>
              </w:rPr>
            </w:pPr>
            <w:r w:rsidRPr="00437158">
              <w:rPr>
                <w:rFonts w:cs="Arial"/>
              </w:rPr>
              <w:t>Online, Classroom</w:t>
            </w:r>
          </w:p>
        </w:tc>
        <w:tc>
          <w:tcPr>
            <w:tcW w:w="1701" w:type="dxa"/>
          </w:tcPr>
          <w:p w14:paraId="6818CA26" w14:textId="77777777" w:rsidR="00437158" w:rsidRPr="00437158" w:rsidRDefault="00437158">
            <w:pPr>
              <w:suppressAutoHyphens/>
              <w:spacing w:before="40" w:after="40" w:line="200" w:lineRule="atLeast"/>
              <w:rPr>
                <w:rFonts w:cs="Arial"/>
              </w:rPr>
            </w:pPr>
            <w:r w:rsidRPr="00437158">
              <w:rPr>
                <w:rFonts w:cs="Arial"/>
              </w:rPr>
              <w:t>2 x 3-hour virtual workshop, 12 x 30 min coaching sessions in classrooms over average 16.16 weeks</w:t>
            </w:r>
          </w:p>
        </w:tc>
        <w:tc>
          <w:tcPr>
            <w:tcW w:w="1843" w:type="dxa"/>
          </w:tcPr>
          <w:p w14:paraId="1A0FFA03" w14:textId="77777777" w:rsidR="00437158" w:rsidRPr="00437158" w:rsidRDefault="00437158">
            <w:pPr>
              <w:suppressAutoHyphens/>
              <w:spacing w:before="40" w:after="40" w:line="200" w:lineRule="atLeast"/>
              <w:rPr>
                <w:rFonts w:cs="Arial"/>
              </w:rPr>
            </w:pPr>
            <w:r w:rsidRPr="00437158">
              <w:rPr>
                <w:rFonts w:cs="Arial"/>
              </w:rPr>
              <w:t>Capacity-building (professional)</w:t>
            </w:r>
          </w:p>
          <w:p w14:paraId="71F6FDA8" w14:textId="77777777" w:rsidR="00437158" w:rsidRPr="00437158" w:rsidRDefault="00437158">
            <w:pPr>
              <w:suppressAutoHyphens/>
              <w:spacing w:before="40" w:after="40" w:line="200" w:lineRule="atLeast"/>
              <w:rPr>
                <w:rFonts w:cs="Arial"/>
              </w:rPr>
            </w:pPr>
            <w:r w:rsidRPr="00437158">
              <w:rPr>
                <w:rFonts w:cs="Arial"/>
              </w:rPr>
              <w:t>Inclusion;</w:t>
            </w:r>
          </w:p>
          <w:p w14:paraId="2B6E1B8E" w14:textId="77777777" w:rsidR="00437158" w:rsidRPr="00437158" w:rsidRDefault="00437158">
            <w:pPr>
              <w:suppressAutoHyphens/>
              <w:spacing w:before="40" w:after="40" w:line="200" w:lineRule="atLeast"/>
              <w:rPr>
                <w:rFonts w:cs="Arial"/>
              </w:rPr>
            </w:pPr>
            <w:r w:rsidRPr="00437158">
              <w:rPr>
                <w:rFonts w:cs="Arial"/>
              </w:rPr>
              <w:t>Natural env.</w:t>
            </w:r>
          </w:p>
          <w:p w14:paraId="3A23E44A" w14:textId="77777777" w:rsidR="00437158" w:rsidRPr="00437158" w:rsidRDefault="00437158">
            <w:pPr>
              <w:suppressAutoHyphens/>
              <w:spacing w:before="40" w:after="40" w:line="200" w:lineRule="atLeast"/>
              <w:rPr>
                <w:rFonts w:cs="Arial"/>
              </w:rPr>
            </w:pPr>
          </w:p>
        </w:tc>
      </w:tr>
      <w:tr w:rsidR="00437158" w:rsidRPr="00437158" w14:paraId="517FCE57"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3E50C92B" w14:textId="77777777" w:rsidR="00437158" w:rsidRPr="00437158" w:rsidRDefault="00437158">
            <w:pPr>
              <w:suppressAutoHyphens/>
              <w:spacing w:before="40" w:after="40" w:line="200" w:lineRule="atLeast"/>
              <w:rPr>
                <w:rFonts w:cs="Arial"/>
              </w:rPr>
            </w:pPr>
            <w:r w:rsidRPr="00437158">
              <w:rPr>
                <w:rFonts w:cs="Arial"/>
              </w:rPr>
              <w:t>EA-ES</w:t>
            </w:r>
          </w:p>
        </w:tc>
        <w:tc>
          <w:tcPr>
            <w:tcW w:w="3969" w:type="dxa"/>
          </w:tcPr>
          <w:p w14:paraId="3C4254E2" w14:textId="77777777" w:rsidR="00437158" w:rsidRPr="00437158" w:rsidRDefault="00437158">
            <w:pPr>
              <w:suppressAutoHyphens/>
              <w:spacing w:before="40" w:after="40" w:line="200" w:lineRule="atLeast"/>
              <w:rPr>
                <w:rFonts w:cs="Arial"/>
              </w:rPr>
            </w:pPr>
            <w:r w:rsidRPr="00437158">
              <w:rPr>
                <w:rFonts w:cs="Arial"/>
                <w:b/>
              </w:rPr>
              <w:t>Early Achievements for Education Settings</w:t>
            </w:r>
            <w:r w:rsidRPr="00437158">
              <w:rPr>
                <w:rFonts w:cs="Arial"/>
              </w:rPr>
              <w:t xml:space="preserve"> (EA-ES) is a teacher-implemented naturalistic developmental behavioural intervention for preschoolers with autism</w:t>
            </w:r>
            <w:r w:rsidRPr="00437158" w:rsidDel="002014F7">
              <w:rPr>
                <w:rFonts w:cs="Arial"/>
              </w:rPr>
              <w:t xml:space="preserve"> </w:t>
            </w:r>
            <w:r w:rsidRPr="00437158">
              <w:rPr>
                <w:rFonts w:cs="Arial"/>
              </w:rPr>
              <w:t xml:space="preserve">targeting core social communication impairments. </w:t>
            </w:r>
          </w:p>
        </w:tc>
        <w:tc>
          <w:tcPr>
            <w:tcW w:w="1276" w:type="dxa"/>
          </w:tcPr>
          <w:p w14:paraId="57BF28E8" w14:textId="77777777" w:rsidR="00437158" w:rsidRPr="00437158" w:rsidRDefault="00437158">
            <w:pPr>
              <w:suppressAutoHyphens/>
              <w:spacing w:before="40" w:after="40" w:line="200" w:lineRule="atLeast"/>
              <w:rPr>
                <w:rFonts w:cs="Arial"/>
              </w:rPr>
            </w:pPr>
            <w:r w:rsidRPr="00437158">
              <w:rPr>
                <w:rFonts w:cs="Arial"/>
              </w:rPr>
              <w:t>Engelstad 2020</w:t>
            </w:r>
          </w:p>
        </w:tc>
        <w:tc>
          <w:tcPr>
            <w:tcW w:w="1418" w:type="dxa"/>
          </w:tcPr>
          <w:p w14:paraId="5B913F12" w14:textId="77777777" w:rsidR="00437158" w:rsidRPr="00437158" w:rsidRDefault="00437158">
            <w:pPr>
              <w:suppressAutoHyphens/>
              <w:spacing w:before="40" w:after="40" w:line="200" w:lineRule="atLeast"/>
              <w:rPr>
                <w:rFonts w:cs="Arial"/>
              </w:rPr>
            </w:pPr>
            <w:r w:rsidRPr="00437158">
              <w:rPr>
                <w:rFonts w:cs="Arial"/>
              </w:rPr>
              <w:t xml:space="preserve">Trained Teachers </w:t>
            </w:r>
          </w:p>
        </w:tc>
        <w:tc>
          <w:tcPr>
            <w:tcW w:w="1134" w:type="dxa"/>
          </w:tcPr>
          <w:p w14:paraId="6E2D79DE" w14:textId="77777777" w:rsidR="00437158" w:rsidRPr="00437158" w:rsidRDefault="00437158">
            <w:pPr>
              <w:suppressAutoHyphens/>
              <w:spacing w:before="40" w:after="40" w:line="200" w:lineRule="atLeast"/>
              <w:rPr>
                <w:rFonts w:cs="Arial"/>
              </w:rPr>
            </w:pPr>
            <w:r w:rsidRPr="00437158">
              <w:rPr>
                <w:rFonts w:cs="Arial"/>
              </w:rPr>
              <w:t>Face-to-face, group</w:t>
            </w:r>
          </w:p>
        </w:tc>
        <w:tc>
          <w:tcPr>
            <w:tcW w:w="1275" w:type="dxa"/>
          </w:tcPr>
          <w:p w14:paraId="61A91BCE" w14:textId="77777777" w:rsidR="00437158" w:rsidRPr="00437158" w:rsidRDefault="00437158">
            <w:pPr>
              <w:suppressAutoHyphens/>
              <w:spacing w:before="40" w:after="40" w:line="200" w:lineRule="atLeast"/>
              <w:rPr>
                <w:rFonts w:cs="Arial"/>
              </w:rPr>
            </w:pPr>
            <w:r w:rsidRPr="00437158">
              <w:rPr>
                <w:rFonts w:cs="Arial"/>
              </w:rPr>
              <w:t xml:space="preserve">Inclusive and/or self-contained classroom </w:t>
            </w:r>
          </w:p>
        </w:tc>
        <w:tc>
          <w:tcPr>
            <w:tcW w:w="1701" w:type="dxa"/>
          </w:tcPr>
          <w:p w14:paraId="2F9C85BA" w14:textId="77777777" w:rsidR="00437158" w:rsidRPr="00437158" w:rsidRDefault="00437158">
            <w:pPr>
              <w:suppressAutoHyphens/>
              <w:spacing w:before="40" w:after="40" w:line="200" w:lineRule="atLeast"/>
              <w:rPr>
                <w:rFonts w:cs="Arial"/>
              </w:rPr>
            </w:pPr>
            <w:r w:rsidRPr="00437158">
              <w:rPr>
                <w:rFonts w:cs="Arial"/>
              </w:rPr>
              <w:t>Half-day classes for 3 or more times a week, for approximately 6 months</w:t>
            </w:r>
          </w:p>
        </w:tc>
        <w:tc>
          <w:tcPr>
            <w:tcW w:w="1843" w:type="dxa"/>
          </w:tcPr>
          <w:p w14:paraId="22C30CE2" w14:textId="77777777" w:rsidR="00437158" w:rsidRPr="00437158" w:rsidRDefault="00437158">
            <w:pPr>
              <w:suppressAutoHyphens/>
              <w:spacing w:before="40" w:after="40" w:line="200" w:lineRule="atLeast"/>
              <w:rPr>
                <w:rFonts w:cs="Arial"/>
              </w:rPr>
            </w:pPr>
            <w:r w:rsidRPr="00437158">
              <w:rPr>
                <w:rFonts w:cs="Arial"/>
              </w:rPr>
              <w:t>Capacity-building (child)</w:t>
            </w:r>
          </w:p>
          <w:p w14:paraId="2FD20B8D" w14:textId="77777777" w:rsidR="00437158" w:rsidRPr="00437158" w:rsidRDefault="00437158">
            <w:pPr>
              <w:suppressAutoHyphens/>
              <w:spacing w:before="40" w:after="40" w:line="200" w:lineRule="atLeast"/>
              <w:rPr>
                <w:rFonts w:cs="Arial"/>
              </w:rPr>
            </w:pPr>
            <w:r w:rsidRPr="00437158">
              <w:rPr>
                <w:rFonts w:cs="Arial"/>
              </w:rPr>
              <w:t>Natural env.</w:t>
            </w:r>
          </w:p>
          <w:p w14:paraId="2811E4B5" w14:textId="77777777" w:rsidR="00437158" w:rsidRPr="00437158" w:rsidRDefault="00437158">
            <w:pPr>
              <w:suppressAutoHyphens/>
              <w:spacing w:before="40" w:after="40" w:line="200" w:lineRule="atLeast"/>
              <w:rPr>
                <w:rFonts w:cs="Arial"/>
              </w:rPr>
            </w:pPr>
          </w:p>
        </w:tc>
      </w:tr>
      <w:tr w:rsidR="00437158" w:rsidRPr="00437158" w14:paraId="616D0AC9"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2F1BD099" w14:textId="77777777" w:rsidR="00437158" w:rsidRPr="00437158" w:rsidRDefault="00437158">
            <w:pPr>
              <w:suppressAutoHyphens/>
              <w:spacing w:before="40" w:after="40" w:line="200" w:lineRule="atLeast"/>
              <w:rPr>
                <w:rFonts w:cs="Arial"/>
              </w:rPr>
            </w:pPr>
            <w:r w:rsidRPr="00437158">
              <w:rPr>
                <w:rFonts w:cs="Arial"/>
              </w:rPr>
              <w:t>EIBI</w:t>
            </w:r>
          </w:p>
        </w:tc>
        <w:tc>
          <w:tcPr>
            <w:tcW w:w="3969" w:type="dxa"/>
          </w:tcPr>
          <w:p w14:paraId="591E541F" w14:textId="77777777" w:rsidR="00437158" w:rsidRPr="00437158" w:rsidRDefault="00437158">
            <w:pPr>
              <w:suppressAutoHyphens/>
              <w:spacing w:before="40" w:after="40" w:line="200" w:lineRule="atLeast"/>
              <w:rPr>
                <w:rFonts w:cs="Arial"/>
              </w:rPr>
            </w:pPr>
            <w:r w:rsidRPr="00437158">
              <w:rPr>
                <w:rFonts w:cs="Arial"/>
                <w:b/>
              </w:rPr>
              <w:t>Early Intensive Behavioural Intervention</w:t>
            </w:r>
            <w:r w:rsidRPr="00437158">
              <w:rPr>
                <w:rFonts w:cs="Arial"/>
              </w:rPr>
              <w:t xml:space="preserve"> (EIBI) is a 1:1 discrete trial teaching intervention. </w:t>
            </w:r>
          </w:p>
          <w:p w14:paraId="7B8E2198" w14:textId="77777777" w:rsidR="00437158" w:rsidRPr="00437158" w:rsidRDefault="00437158">
            <w:pPr>
              <w:suppressAutoHyphens/>
              <w:spacing w:before="40" w:after="40" w:line="200" w:lineRule="atLeast"/>
              <w:rPr>
                <w:rFonts w:cs="Arial"/>
              </w:rPr>
            </w:pPr>
            <w:r w:rsidRPr="00437158">
              <w:rPr>
                <w:rFonts w:cs="Arial"/>
              </w:rPr>
              <w:t>(comparison intervention to ESDM)</w:t>
            </w:r>
          </w:p>
        </w:tc>
        <w:tc>
          <w:tcPr>
            <w:tcW w:w="1276" w:type="dxa"/>
          </w:tcPr>
          <w:p w14:paraId="16ABB97C" w14:textId="77777777" w:rsidR="00437158" w:rsidRPr="00437158" w:rsidRDefault="00437158">
            <w:pPr>
              <w:suppressAutoHyphens/>
              <w:spacing w:before="40" w:after="40" w:line="200" w:lineRule="atLeast"/>
              <w:rPr>
                <w:rFonts w:cs="Arial"/>
              </w:rPr>
            </w:pPr>
            <w:r w:rsidRPr="00437158">
              <w:rPr>
                <w:rFonts w:cs="Arial"/>
              </w:rPr>
              <w:t xml:space="preserve">Rogers </w:t>
            </w:r>
          </w:p>
          <w:p w14:paraId="54F787DD" w14:textId="77777777" w:rsidR="00437158" w:rsidRPr="00437158" w:rsidRDefault="00437158">
            <w:pPr>
              <w:suppressAutoHyphens/>
              <w:spacing w:before="40" w:after="40" w:line="200" w:lineRule="atLeast"/>
              <w:rPr>
                <w:rFonts w:cs="Arial"/>
              </w:rPr>
            </w:pPr>
            <w:r w:rsidRPr="00437158">
              <w:rPr>
                <w:rFonts w:cs="Arial"/>
              </w:rPr>
              <w:t>2021</w:t>
            </w:r>
          </w:p>
        </w:tc>
        <w:tc>
          <w:tcPr>
            <w:tcW w:w="1418" w:type="dxa"/>
          </w:tcPr>
          <w:p w14:paraId="3723FD81" w14:textId="77777777" w:rsidR="00437158" w:rsidRPr="00437158" w:rsidRDefault="00437158">
            <w:pPr>
              <w:suppressAutoHyphens/>
              <w:spacing w:before="40" w:after="40" w:line="200" w:lineRule="atLeast"/>
              <w:rPr>
                <w:rFonts w:cs="Arial"/>
              </w:rPr>
            </w:pPr>
            <w:r w:rsidRPr="00437158">
              <w:rPr>
                <w:rFonts w:cs="Arial"/>
              </w:rPr>
              <w:t>Trained Therapists and Caregivers</w:t>
            </w:r>
          </w:p>
        </w:tc>
        <w:tc>
          <w:tcPr>
            <w:tcW w:w="1134" w:type="dxa"/>
          </w:tcPr>
          <w:p w14:paraId="7AC11DFE" w14:textId="77777777" w:rsidR="00437158" w:rsidRPr="00437158" w:rsidRDefault="00437158">
            <w:pPr>
              <w:suppressAutoHyphens/>
              <w:spacing w:before="40" w:after="40" w:line="200" w:lineRule="atLeast"/>
              <w:rPr>
                <w:rFonts w:cs="Arial"/>
              </w:rPr>
            </w:pPr>
            <w:r w:rsidRPr="00437158">
              <w:rPr>
                <w:rFonts w:cs="Arial"/>
              </w:rPr>
              <w:t>Face-to-face, individual</w:t>
            </w:r>
          </w:p>
        </w:tc>
        <w:tc>
          <w:tcPr>
            <w:tcW w:w="1275" w:type="dxa"/>
          </w:tcPr>
          <w:p w14:paraId="5DA89B33" w14:textId="77777777" w:rsidR="00437158" w:rsidRPr="00437158" w:rsidRDefault="00437158">
            <w:pPr>
              <w:suppressAutoHyphens/>
              <w:spacing w:before="40" w:after="40" w:line="200" w:lineRule="atLeast"/>
              <w:rPr>
                <w:rFonts w:cs="Arial"/>
              </w:rPr>
            </w:pPr>
            <w:r w:rsidRPr="00437158">
              <w:rPr>
                <w:rFonts w:cs="Arial"/>
              </w:rPr>
              <w:t>Home, sometimes daycare or preschool</w:t>
            </w:r>
          </w:p>
        </w:tc>
        <w:tc>
          <w:tcPr>
            <w:tcW w:w="1701" w:type="dxa"/>
          </w:tcPr>
          <w:p w14:paraId="2856CC05" w14:textId="77777777" w:rsidR="00437158" w:rsidRPr="00437158" w:rsidRDefault="00437158">
            <w:pPr>
              <w:shd w:val="clear" w:color="auto" w:fill="FFFFFF"/>
              <w:suppressAutoHyphens/>
              <w:spacing w:after="0" w:line="200" w:lineRule="atLeast"/>
              <w:rPr>
                <w:rFonts w:cs="Arial"/>
              </w:rPr>
            </w:pPr>
            <w:r w:rsidRPr="00437158">
              <w:rPr>
                <w:rFonts w:cs="Arial"/>
              </w:rPr>
              <w:t>1.5 hours (OR 2.5hrs) 10 times per week for 48 weeks, 1.5 hours per month of caregiver coaching</w:t>
            </w:r>
          </w:p>
        </w:tc>
        <w:tc>
          <w:tcPr>
            <w:tcW w:w="1843" w:type="dxa"/>
          </w:tcPr>
          <w:p w14:paraId="24DDA326" w14:textId="77777777" w:rsidR="00437158" w:rsidRPr="00437158" w:rsidRDefault="00437158">
            <w:pPr>
              <w:suppressAutoHyphens/>
              <w:spacing w:before="40" w:after="40" w:line="200" w:lineRule="atLeast"/>
              <w:rPr>
                <w:rFonts w:cs="Arial"/>
              </w:rPr>
            </w:pPr>
            <w:r w:rsidRPr="00437158">
              <w:rPr>
                <w:rFonts w:cs="Arial"/>
              </w:rPr>
              <w:t>Capacity-building (parent);</w:t>
            </w:r>
          </w:p>
          <w:p w14:paraId="65C8BFA5"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59233A48"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2F43A5CD" w14:textId="77777777" w:rsidR="00437158" w:rsidRPr="00437158" w:rsidRDefault="00437158">
            <w:pPr>
              <w:suppressAutoHyphens/>
              <w:spacing w:before="40" w:after="40" w:line="200" w:lineRule="atLeast"/>
              <w:rPr>
                <w:rFonts w:cs="Arial"/>
              </w:rPr>
            </w:pPr>
            <w:r w:rsidRPr="00437158">
              <w:rPr>
                <w:rFonts w:cs="Arial"/>
              </w:rPr>
              <w:t>ESDM</w:t>
            </w:r>
          </w:p>
        </w:tc>
        <w:tc>
          <w:tcPr>
            <w:tcW w:w="3969" w:type="dxa"/>
          </w:tcPr>
          <w:p w14:paraId="513C68B6" w14:textId="77777777" w:rsidR="00437158" w:rsidRPr="00437158" w:rsidRDefault="00437158">
            <w:pPr>
              <w:suppressAutoHyphens/>
              <w:spacing w:before="40" w:after="40" w:line="200" w:lineRule="atLeast"/>
              <w:rPr>
                <w:rFonts w:cs="Arial"/>
                <w:b/>
              </w:rPr>
            </w:pPr>
            <w:r w:rsidRPr="00437158">
              <w:rPr>
                <w:rFonts w:cs="Arial"/>
                <w:b/>
              </w:rPr>
              <w:t>Early Start Denver Model</w:t>
            </w:r>
            <w:r w:rsidRPr="00437158">
              <w:rPr>
                <w:rFonts w:cs="Arial"/>
              </w:rPr>
              <w:t xml:space="preserve"> (ESDM) is a play-based, behavioural, naturalistic intervention that follows manualised procedures, and a parent coaching component. </w:t>
            </w:r>
          </w:p>
        </w:tc>
        <w:tc>
          <w:tcPr>
            <w:tcW w:w="1276" w:type="dxa"/>
          </w:tcPr>
          <w:p w14:paraId="1589F3A6" w14:textId="77777777" w:rsidR="00437158" w:rsidRPr="00437158" w:rsidRDefault="00437158">
            <w:pPr>
              <w:suppressAutoHyphens/>
              <w:spacing w:before="40" w:after="40" w:line="200" w:lineRule="atLeast"/>
              <w:rPr>
                <w:rFonts w:cs="Arial"/>
              </w:rPr>
            </w:pPr>
            <w:r w:rsidRPr="00437158">
              <w:rPr>
                <w:rFonts w:cs="Arial"/>
              </w:rPr>
              <w:t xml:space="preserve">Rogers </w:t>
            </w:r>
          </w:p>
          <w:p w14:paraId="6854DF80" w14:textId="77777777" w:rsidR="00437158" w:rsidRPr="00437158" w:rsidRDefault="00437158">
            <w:pPr>
              <w:suppressAutoHyphens/>
              <w:spacing w:before="40" w:after="40" w:line="200" w:lineRule="atLeast"/>
              <w:rPr>
                <w:rFonts w:cs="Arial"/>
              </w:rPr>
            </w:pPr>
            <w:r w:rsidRPr="00437158">
              <w:rPr>
                <w:rFonts w:cs="Arial"/>
              </w:rPr>
              <w:t>2021</w:t>
            </w:r>
          </w:p>
          <w:p w14:paraId="1B0F142F" w14:textId="77777777" w:rsidR="00437158" w:rsidRPr="00437158" w:rsidRDefault="00437158">
            <w:pPr>
              <w:suppressAutoHyphens/>
              <w:spacing w:before="40" w:after="40" w:line="200" w:lineRule="atLeast"/>
              <w:rPr>
                <w:rFonts w:cs="Arial"/>
              </w:rPr>
            </w:pPr>
          </w:p>
        </w:tc>
        <w:tc>
          <w:tcPr>
            <w:tcW w:w="1418" w:type="dxa"/>
          </w:tcPr>
          <w:p w14:paraId="2C860B05" w14:textId="77777777" w:rsidR="00437158" w:rsidRPr="00437158" w:rsidRDefault="00437158">
            <w:pPr>
              <w:suppressAutoHyphens/>
              <w:spacing w:before="40" w:after="40" w:line="200" w:lineRule="atLeast"/>
              <w:rPr>
                <w:rFonts w:cs="Arial"/>
              </w:rPr>
            </w:pPr>
            <w:r w:rsidRPr="00437158">
              <w:rPr>
                <w:rFonts w:cs="Arial"/>
              </w:rPr>
              <w:t>Trained Therapists and Caregivers</w:t>
            </w:r>
          </w:p>
        </w:tc>
        <w:tc>
          <w:tcPr>
            <w:tcW w:w="1134" w:type="dxa"/>
          </w:tcPr>
          <w:p w14:paraId="2D617E48" w14:textId="77777777" w:rsidR="00437158" w:rsidRPr="00437158" w:rsidRDefault="00437158">
            <w:pPr>
              <w:suppressAutoHyphens/>
              <w:spacing w:before="40" w:after="40" w:line="200" w:lineRule="atLeast"/>
              <w:rPr>
                <w:rFonts w:cs="Arial"/>
              </w:rPr>
            </w:pPr>
            <w:r w:rsidRPr="00437158">
              <w:rPr>
                <w:rFonts w:cs="Arial"/>
              </w:rPr>
              <w:t>Face-to-face, individual</w:t>
            </w:r>
          </w:p>
        </w:tc>
        <w:tc>
          <w:tcPr>
            <w:tcW w:w="1275" w:type="dxa"/>
          </w:tcPr>
          <w:p w14:paraId="1036643B" w14:textId="77777777" w:rsidR="00437158" w:rsidRPr="00437158" w:rsidRDefault="00437158">
            <w:pPr>
              <w:suppressAutoHyphens/>
              <w:spacing w:before="40" w:after="40" w:line="200" w:lineRule="atLeast"/>
              <w:rPr>
                <w:rFonts w:cs="Arial"/>
              </w:rPr>
            </w:pPr>
            <w:r w:rsidRPr="00437158">
              <w:rPr>
                <w:rFonts w:cs="Arial"/>
              </w:rPr>
              <w:t>Home (occasionally daycare or preschool)</w:t>
            </w:r>
          </w:p>
        </w:tc>
        <w:tc>
          <w:tcPr>
            <w:tcW w:w="1701" w:type="dxa"/>
          </w:tcPr>
          <w:p w14:paraId="11AFD745" w14:textId="77777777" w:rsidR="00437158" w:rsidRPr="00437158" w:rsidRDefault="00437158">
            <w:pPr>
              <w:suppressAutoHyphens/>
              <w:spacing w:before="40" w:after="40" w:line="200" w:lineRule="atLeast"/>
              <w:rPr>
                <w:rFonts w:cs="Arial"/>
              </w:rPr>
            </w:pPr>
            <w:r w:rsidRPr="00437158">
              <w:rPr>
                <w:rFonts w:cs="Arial"/>
              </w:rPr>
              <w:t xml:space="preserve">1.5 hrs (OR 2.5hours) 10 times per week for 48 weeks, 1.5 hrs per month of caregiver coaching; </w:t>
            </w:r>
          </w:p>
        </w:tc>
        <w:tc>
          <w:tcPr>
            <w:tcW w:w="1843" w:type="dxa"/>
          </w:tcPr>
          <w:p w14:paraId="21E22F83" w14:textId="77777777" w:rsidR="00437158" w:rsidRPr="00437158" w:rsidRDefault="00437158">
            <w:pPr>
              <w:suppressAutoHyphens/>
              <w:spacing w:before="40" w:after="40" w:line="200" w:lineRule="atLeast"/>
              <w:rPr>
                <w:rFonts w:cs="Arial"/>
              </w:rPr>
            </w:pPr>
            <w:r w:rsidRPr="00437158">
              <w:rPr>
                <w:rFonts w:cs="Arial"/>
              </w:rPr>
              <w:t>Capacity-building (child; parent);</w:t>
            </w:r>
          </w:p>
          <w:p w14:paraId="7D4565F7" w14:textId="77777777" w:rsidR="00437158" w:rsidRPr="00437158" w:rsidRDefault="00437158">
            <w:pPr>
              <w:suppressAutoHyphens/>
              <w:spacing w:before="40" w:after="40" w:line="200" w:lineRule="atLeast"/>
              <w:rPr>
                <w:rFonts w:cs="Arial"/>
              </w:rPr>
            </w:pPr>
            <w:r w:rsidRPr="00437158">
              <w:rPr>
                <w:rFonts w:cs="Arial"/>
              </w:rPr>
              <w:t>Participation (play);</w:t>
            </w:r>
          </w:p>
          <w:p w14:paraId="6A65A977"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302F72E5"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377FC641" w14:textId="77777777" w:rsidR="00437158" w:rsidRPr="00437158" w:rsidRDefault="00437158">
            <w:pPr>
              <w:suppressAutoHyphens/>
              <w:spacing w:before="40" w:after="40" w:line="200" w:lineRule="atLeast"/>
              <w:rPr>
                <w:rFonts w:cs="Arial"/>
              </w:rPr>
            </w:pPr>
            <w:r w:rsidRPr="00437158">
              <w:rPr>
                <w:rFonts w:cs="Arial"/>
              </w:rPr>
              <w:t>ESDM</w:t>
            </w:r>
          </w:p>
        </w:tc>
        <w:tc>
          <w:tcPr>
            <w:tcW w:w="3969" w:type="dxa"/>
          </w:tcPr>
          <w:p w14:paraId="3BE58D3F" w14:textId="77777777" w:rsidR="00437158" w:rsidRPr="00437158" w:rsidRDefault="00437158">
            <w:pPr>
              <w:suppressAutoHyphens/>
              <w:spacing w:before="40" w:after="40" w:line="200" w:lineRule="atLeast"/>
              <w:rPr>
                <w:rFonts w:cs="Arial"/>
              </w:rPr>
            </w:pPr>
            <w:r w:rsidRPr="00437158">
              <w:rPr>
                <w:rFonts w:cs="Arial"/>
                <w:b/>
              </w:rPr>
              <w:t>Early Start Denver Model</w:t>
            </w:r>
            <w:r w:rsidRPr="00437158">
              <w:rPr>
                <w:rFonts w:cs="Arial"/>
              </w:rPr>
              <w:t xml:space="preserve"> (ESDM) is a play-based, behavioural, naturalistic intervention that follows manualised procedures, and a parent coaching component. </w:t>
            </w:r>
          </w:p>
        </w:tc>
        <w:tc>
          <w:tcPr>
            <w:tcW w:w="1276" w:type="dxa"/>
          </w:tcPr>
          <w:p w14:paraId="7068775C" w14:textId="77777777" w:rsidR="00437158" w:rsidRPr="00437158" w:rsidRDefault="00437158">
            <w:pPr>
              <w:suppressAutoHyphens/>
              <w:spacing w:before="40" w:after="40" w:line="200" w:lineRule="atLeast"/>
              <w:rPr>
                <w:rFonts w:cs="Arial"/>
              </w:rPr>
            </w:pPr>
            <w:r w:rsidRPr="00437158">
              <w:rPr>
                <w:rFonts w:cs="Arial"/>
              </w:rPr>
              <w:t>Rogers 2019b</w:t>
            </w:r>
          </w:p>
        </w:tc>
        <w:tc>
          <w:tcPr>
            <w:tcW w:w="1418" w:type="dxa"/>
          </w:tcPr>
          <w:p w14:paraId="72B7FD94" w14:textId="77777777" w:rsidR="00437158" w:rsidRPr="00437158" w:rsidRDefault="00437158">
            <w:pPr>
              <w:suppressAutoHyphens/>
              <w:spacing w:before="40" w:after="40" w:line="200" w:lineRule="atLeast"/>
              <w:rPr>
                <w:rFonts w:cs="Arial"/>
              </w:rPr>
            </w:pPr>
            <w:r w:rsidRPr="00437158">
              <w:rPr>
                <w:rFonts w:cs="Arial"/>
              </w:rPr>
              <w:t>Trained Therapists and Caregivers</w:t>
            </w:r>
          </w:p>
        </w:tc>
        <w:tc>
          <w:tcPr>
            <w:tcW w:w="1134" w:type="dxa"/>
          </w:tcPr>
          <w:p w14:paraId="17880C08" w14:textId="77777777" w:rsidR="00437158" w:rsidRPr="00437158" w:rsidRDefault="00437158">
            <w:pPr>
              <w:suppressAutoHyphens/>
              <w:spacing w:before="40" w:after="40" w:line="200" w:lineRule="atLeast"/>
              <w:rPr>
                <w:rFonts w:cs="Arial"/>
              </w:rPr>
            </w:pPr>
            <w:r w:rsidRPr="00437158">
              <w:rPr>
                <w:rFonts w:cs="Arial"/>
              </w:rPr>
              <w:t>Face-to-face, individual</w:t>
            </w:r>
          </w:p>
        </w:tc>
        <w:tc>
          <w:tcPr>
            <w:tcW w:w="1275" w:type="dxa"/>
          </w:tcPr>
          <w:p w14:paraId="59424CB9" w14:textId="77777777" w:rsidR="00437158" w:rsidRPr="00437158" w:rsidRDefault="00437158">
            <w:pPr>
              <w:suppressAutoHyphens/>
              <w:spacing w:before="40" w:after="40" w:line="200" w:lineRule="atLeast"/>
              <w:rPr>
                <w:rFonts w:cs="Arial"/>
              </w:rPr>
            </w:pPr>
            <w:r w:rsidRPr="00437158">
              <w:rPr>
                <w:rFonts w:cs="Arial"/>
              </w:rPr>
              <w:t>Home (occasionally daycare or preschool)</w:t>
            </w:r>
          </w:p>
        </w:tc>
        <w:tc>
          <w:tcPr>
            <w:tcW w:w="1701" w:type="dxa"/>
          </w:tcPr>
          <w:p w14:paraId="5F86296D" w14:textId="77777777" w:rsidR="00437158" w:rsidRPr="00437158" w:rsidRDefault="00437158">
            <w:pPr>
              <w:suppressAutoHyphens/>
              <w:spacing w:before="40" w:after="40" w:line="200" w:lineRule="atLeast"/>
              <w:rPr>
                <w:rFonts w:cs="Arial"/>
              </w:rPr>
            </w:pPr>
            <w:r w:rsidRPr="00437158">
              <w:rPr>
                <w:rFonts w:cs="Arial"/>
              </w:rPr>
              <w:t>Phase 1: 1 hour weekly for 12 weeks of ESDM parent coaching; Phase 2: 20 hours weekly of 1:1 ESDM, and 2 hours every two weeks of ESDM parent coaching for 24 months</w:t>
            </w:r>
          </w:p>
        </w:tc>
        <w:tc>
          <w:tcPr>
            <w:tcW w:w="1843" w:type="dxa"/>
          </w:tcPr>
          <w:p w14:paraId="38F01ABB" w14:textId="77777777" w:rsidR="00437158" w:rsidRPr="00437158" w:rsidRDefault="00437158">
            <w:pPr>
              <w:suppressAutoHyphens/>
              <w:spacing w:before="40" w:after="40" w:line="200" w:lineRule="atLeast"/>
              <w:rPr>
                <w:rFonts w:cs="Arial"/>
              </w:rPr>
            </w:pPr>
            <w:r w:rsidRPr="00437158">
              <w:rPr>
                <w:rFonts w:cs="Arial"/>
              </w:rPr>
              <w:t>Capacity-building (child; parent);</w:t>
            </w:r>
          </w:p>
          <w:p w14:paraId="6E3E537E" w14:textId="77777777" w:rsidR="00437158" w:rsidRPr="00437158" w:rsidRDefault="00437158">
            <w:pPr>
              <w:suppressAutoHyphens/>
              <w:spacing w:before="40" w:after="40" w:line="200" w:lineRule="atLeast"/>
              <w:rPr>
                <w:rFonts w:cs="Arial"/>
              </w:rPr>
            </w:pPr>
            <w:r w:rsidRPr="00437158">
              <w:rPr>
                <w:rFonts w:cs="Arial"/>
              </w:rPr>
              <w:t>Participation (play);</w:t>
            </w:r>
          </w:p>
          <w:p w14:paraId="681607A0"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30E4456B"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27579901" w14:textId="77777777" w:rsidR="00437158" w:rsidRPr="00437158" w:rsidRDefault="00437158">
            <w:pPr>
              <w:suppressAutoHyphens/>
              <w:spacing w:before="40" w:after="40" w:line="200" w:lineRule="atLeast"/>
              <w:rPr>
                <w:rFonts w:cs="Arial"/>
              </w:rPr>
            </w:pPr>
            <w:r w:rsidRPr="00437158">
              <w:rPr>
                <w:rFonts w:cs="Arial"/>
              </w:rPr>
              <w:t>ESDM-Group Inclusive</w:t>
            </w:r>
          </w:p>
        </w:tc>
        <w:tc>
          <w:tcPr>
            <w:tcW w:w="3969" w:type="dxa"/>
          </w:tcPr>
          <w:p w14:paraId="66957EB9" w14:textId="77777777" w:rsidR="00437158" w:rsidRPr="00437158" w:rsidRDefault="00437158">
            <w:pPr>
              <w:suppressAutoHyphens/>
              <w:spacing w:before="40" w:after="40" w:line="200" w:lineRule="atLeast"/>
              <w:rPr>
                <w:rFonts w:cs="Arial"/>
              </w:rPr>
            </w:pPr>
            <w:r w:rsidRPr="00437158">
              <w:rPr>
                <w:rFonts w:cs="Arial"/>
                <w:b/>
              </w:rPr>
              <w:t xml:space="preserve">Group-Early Start Denver Model </w:t>
            </w:r>
            <w:r w:rsidRPr="00437158">
              <w:rPr>
                <w:rFonts w:cs="Arial"/>
              </w:rPr>
              <w:t xml:space="preserve">(ESDM-G) is a group and play-based, behavioural, naturalistic intervention that follows manualised procedures. One adult delivers instruction to a group of 3-4 children. </w:t>
            </w:r>
          </w:p>
        </w:tc>
        <w:tc>
          <w:tcPr>
            <w:tcW w:w="1276" w:type="dxa"/>
          </w:tcPr>
          <w:p w14:paraId="102B645D" w14:textId="77777777" w:rsidR="00437158" w:rsidRPr="00437158" w:rsidRDefault="00437158">
            <w:pPr>
              <w:suppressAutoHyphens/>
              <w:spacing w:before="40" w:after="40" w:line="200" w:lineRule="atLeast"/>
              <w:rPr>
                <w:rFonts w:cs="Arial"/>
              </w:rPr>
            </w:pPr>
            <w:r w:rsidRPr="00437158">
              <w:rPr>
                <w:rFonts w:cs="Arial"/>
              </w:rPr>
              <w:t xml:space="preserve">Vivanti </w:t>
            </w:r>
          </w:p>
          <w:p w14:paraId="6BB5FF80" w14:textId="77777777" w:rsidR="00437158" w:rsidRPr="00437158" w:rsidRDefault="00437158">
            <w:pPr>
              <w:suppressAutoHyphens/>
              <w:spacing w:before="40" w:after="40" w:line="200" w:lineRule="atLeast"/>
              <w:rPr>
                <w:rFonts w:cs="Arial"/>
              </w:rPr>
            </w:pPr>
            <w:r w:rsidRPr="00437158">
              <w:rPr>
                <w:rFonts w:cs="Arial"/>
              </w:rPr>
              <w:t>2019</w:t>
            </w:r>
          </w:p>
        </w:tc>
        <w:tc>
          <w:tcPr>
            <w:tcW w:w="1418" w:type="dxa"/>
          </w:tcPr>
          <w:p w14:paraId="4017C8C9" w14:textId="77777777" w:rsidR="00437158" w:rsidRPr="00437158" w:rsidRDefault="00437158">
            <w:pPr>
              <w:suppressAutoHyphens/>
              <w:spacing w:before="40" w:after="40" w:line="200" w:lineRule="atLeast"/>
              <w:rPr>
                <w:rFonts w:cs="Arial"/>
              </w:rPr>
            </w:pPr>
            <w:r w:rsidRPr="00437158">
              <w:rPr>
                <w:rFonts w:cs="Arial"/>
              </w:rPr>
              <w:t xml:space="preserve">One trained therapist, early childhood educators received education on intervention  </w:t>
            </w:r>
          </w:p>
        </w:tc>
        <w:tc>
          <w:tcPr>
            <w:tcW w:w="1134" w:type="dxa"/>
          </w:tcPr>
          <w:p w14:paraId="6B7EA773" w14:textId="77777777" w:rsidR="00437158" w:rsidRPr="00437158" w:rsidRDefault="00437158">
            <w:pPr>
              <w:suppressAutoHyphens/>
              <w:spacing w:before="40" w:after="40" w:line="200" w:lineRule="atLeast"/>
              <w:rPr>
                <w:rFonts w:cs="Arial"/>
              </w:rPr>
            </w:pPr>
            <w:r w:rsidRPr="00437158">
              <w:rPr>
                <w:rFonts w:cs="Arial"/>
              </w:rPr>
              <w:t>Face-to-face, group</w:t>
            </w:r>
          </w:p>
        </w:tc>
        <w:tc>
          <w:tcPr>
            <w:tcW w:w="1275" w:type="dxa"/>
          </w:tcPr>
          <w:p w14:paraId="74EADE36" w14:textId="77777777" w:rsidR="00437158" w:rsidRPr="00437158" w:rsidRDefault="00437158">
            <w:pPr>
              <w:suppressAutoHyphens/>
              <w:spacing w:before="40" w:after="40" w:line="200" w:lineRule="atLeast"/>
              <w:rPr>
                <w:rFonts w:cs="Arial"/>
              </w:rPr>
            </w:pPr>
            <w:r w:rsidRPr="00437158">
              <w:rPr>
                <w:rFonts w:cs="Arial"/>
              </w:rPr>
              <w:t xml:space="preserve">Inclusive Classroom </w:t>
            </w:r>
          </w:p>
        </w:tc>
        <w:tc>
          <w:tcPr>
            <w:tcW w:w="1701" w:type="dxa"/>
          </w:tcPr>
          <w:p w14:paraId="715BABFC" w14:textId="77777777" w:rsidR="00437158" w:rsidRPr="00437158" w:rsidRDefault="00437158">
            <w:pPr>
              <w:suppressAutoHyphens/>
              <w:spacing w:before="40" w:after="40" w:line="200" w:lineRule="atLeast"/>
              <w:rPr>
                <w:rFonts w:cs="Arial"/>
              </w:rPr>
            </w:pPr>
            <w:r w:rsidRPr="00437158">
              <w:rPr>
                <w:rFonts w:cs="Arial"/>
              </w:rPr>
              <w:t>5hrs per day for 3 days weekly for one school year</w:t>
            </w:r>
          </w:p>
        </w:tc>
        <w:tc>
          <w:tcPr>
            <w:tcW w:w="1843" w:type="dxa"/>
          </w:tcPr>
          <w:p w14:paraId="64E1D1D0" w14:textId="77777777" w:rsidR="00437158" w:rsidRPr="00437158" w:rsidRDefault="00437158">
            <w:pPr>
              <w:suppressAutoHyphens/>
              <w:spacing w:before="40" w:after="40" w:line="200" w:lineRule="atLeast"/>
              <w:rPr>
                <w:rFonts w:cs="Arial"/>
              </w:rPr>
            </w:pPr>
            <w:r w:rsidRPr="00437158">
              <w:rPr>
                <w:rFonts w:cs="Arial"/>
              </w:rPr>
              <w:t>Capacity-building (child; parent);</w:t>
            </w:r>
          </w:p>
          <w:p w14:paraId="463B0EB9" w14:textId="77777777" w:rsidR="00437158" w:rsidRPr="00437158" w:rsidRDefault="00437158">
            <w:pPr>
              <w:suppressAutoHyphens/>
              <w:spacing w:before="40" w:after="40" w:line="200" w:lineRule="atLeast"/>
              <w:rPr>
                <w:rFonts w:cs="Arial"/>
              </w:rPr>
            </w:pPr>
            <w:r w:rsidRPr="00437158">
              <w:rPr>
                <w:rFonts w:cs="Arial"/>
              </w:rPr>
              <w:t>Participation (play);</w:t>
            </w:r>
          </w:p>
          <w:p w14:paraId="62B0BA34"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1B989479"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4047DC42" w14:textId="77777777" w:rsidR="00437158" w:rsidRPr="00437158" w:rsidRDefault="00437158">
            <w:pPr>
              <w:suppressAutoHyphens/>
              <w:spacing w:before="40" w:after="40" w:line="200" w:lineRule="atLeast"/>
              <w:rPr>
                <w:rFonts w:cs="Arial"/>
              </w:rPr>
            </w:pPr>
            <w:r w:rsidRPr="00437158">
              <w:rPr>
                <w:rFonts w:cs="Arial"/>
              </w:rPr>
              <w:t>ESDM – Group Specialised</w:t>
            </w:r>
          </w:p>
        </w:tc>
        <w:tc>
          <w:tcPr>
            <w:tcW w:w="3969" w:type="dxa"/>
          </w:tcPr>
          <w:p w14:paraId="1FD9A745" w14:textId="77777777" w:rsidR="00437158" w:rsidRPr="00437158" w:rsidRDefault="00437158">
            <w:pPr>
              <w:suppressAutoHyphens/>
              <w:spacing w:before="40" w:after="40" w:line="200" w:lineRule="atLeast"/>
              <w:rPr>
                <w:rFonts w:cs="Arial"/>
              </w:rPr>
            </w:pPr>
            <w:r w:rsidRPr="00437158">
              <w:rPr>
                <w:rFonts w:cs="Arial"/>
                <w:b/>
              </w:rPr>
              <w:t>Group-Early Start Denver Model</w:t>
            </w:r>
            <w:r w:rsidRPr="00437158">
              <w:rPr>
                <w:rFonts w:cs="Arial"/>
              </w:rPr>
              <w:t xml:space="preserve"> (ESDM-G) is a group and play-based, behavioural, naturalistic intervention that follows manualised procedures. One adult delivers instruction to a group of 3-4 children. </w:t>
            </w:r>
          </w:p>
          <w:p w14:paraId="7BF2CCFE" w14:textId="77777777" w:rsidR="00437158" w:rsidRPr="00437158" w:rsidRDefault="00437158">
            <w:pPr>
              <w:suppressAutoHyphens/>
              <w:spacing w:before="40" w:after="40" w:line="200" w:lineRule="atLeast"/>
              <w:rPr>
                <w:rFonts w:cs="Arial"/>
              </w:rPr>
            </w:pPr>
            <w:r w:rsidRPr="00437158">
              <w:rPr>
                <w:rFonts w:cs="Arial"/>
              </w:rPr>
              <w:t>(comparison to ESDM-G Inclusive)</w:t>
            </w:r>
          </w:p>
        </w:tc>
        <w:tc>
          <w:tcPr>
            <w:tcW w:w="1276" w:type="dxa"/>
          </w:tcPr>
          <w:p w14:paraId="2CAF1EB1" w14:textId="77777777" w:rsidR="00437158" w:rsidRPr="00437158" w:rsidRDefault="00437158">
            <w:pPr>
              <w:suppressAutoHyphens/>
              <w:spacing w:before="40" w:after="40" w:line="200" w:lineRule="atLeast"/>
              <w:rPr>
                <w:rFonts w:cs="Arial"/>
              </w:rPr>
            </w:pPr>
            <w:r w:rsidRPr="00437158">
              <w:rPr>
                <w:rFonts w:cs="Arial"/>
              </w:rPr>
              <w:t>As above</w:t>
            </w:r>
          </w:p>
          <w:p w14:paraId="55392DDD" w14:textId="77777777" w:rsidR="00437158" w:rsidRPr="00437158" w:rsidRDefault="00437158">
            <w:pPr>
              <w:suppressAutoHyphens/>
              <w:spacing w:before="40" w:after="40" w:line="200" w:lineRule="atLeast"/>
              <w:rPr>
                <w:rFonts w:cs="Arial"/>
              </w:rPr>
            </w:pPr>
          </w:p>
        </w:tc>
        <w:tc>
          <w:tcPr>
            <w:tcW w:w="1418" w:type="dxa"/>
          </w:tcPr>
          <w:p w14:paraId="0DA14EA8" w14:textId="77777777" w:rsidR="00437158" w:rsidRPr="00437158" w:rsidRDefault="00437158">
            <w:pPr>
              <w:suppressAutoHyphens/>
              <w:spacing w:before="40" w:after="40" w:line="200" w:lineRule="atLeast"/>
              <w:rPr>
                <w:rFonts w:cs="Arial"/>
              </w:rPr>
            </w:pPr>
            <w:r w:rsidRPr="00437158">
              <w:rPr>
                <w:rFonts w:cs="Arial"/>
              </w:rPr>
              <w:t>As above</w:t>
            </w:r>
          </w:p>
        </w:tc>
        <w:tc>
          <w:tcPr>
            <w:tcW w:w="1134" w:type="dxa"/>
          </w:tcPr>
          <w:p w14:paraId="00532E92" w14:textId="77777777" w:rsidR="00437158" w:rsidRPr="00437158" w:rsidRDefault="00437158">
            <w:pPr>
              <w:suppressAutoHyphens/>
              <w:spacing w:before="40" w:after="40" w:line="200" w:lineRule="atLeast"/>
              <w:rPr>
                <w:rFonts w:cs="Arial"/>
              </w:rPr>
            </w:pPr>
            <w:r w:rsidRPr="00437158">
              <w:rPr>
                <w:rFonts w:cs="Arial"/>
              </w:rPr>
              <w:t>As above</w:t>
            </w:r>
          </w:p>
        </w:tc>
        <w:tc>
          <w:tcPr>
            <w:tcW w:w="1275" w:type="dxa"/>
          </w:tcPr>
          <w:p w14:paraId="122E389C" w14:textId="77777777" w:rsidR="00437158" w:rsidRPr="00437158" w:rsidRDefault="00437158">
            <w:pPr>
              <w:suppressAutoHyphens/>
              <w:spacing w:before="40" w:after="40" w:line="200" w:lineRule="atLeast"/>
              <w:rPr>
                <w:rFonts w:cs="Arial"/>
              </w:rPr>
            </w:pPr>
            <w:r w:rsidRPr="00437158">
              <w:rPr>
                <w:rFonts w:cs="Arial"/>
              </w:rPr>
              <w:t xml:space="preserve">Specialised Classroom </w:t>
            </w:r>
          </w:p>
        </w:tc>
        <w:tc>
          <w:tcPr>
            <w:tcW w:w="1701" w:type="dxa"/>
          </w:tcPr>
          <w:p w14:paraId="123E7A8A" w14:textId="77777777" w:rsidR="00437158" w:rsidRPr="00437158" w:rsidRDefault="00437158">
            <w:pPr>
              <w:suppressAutoHyphens/>
              <w:spacing w:before="40" w:after="40" w:line="200" w:lineRule="atLeast"/>
              <w:rPr>
                <w:rFonts w:cs="Arial"/>
              </w:rPr>
            </w:pPr>
            <w:r w:rsidRPr="00437158">
              <w:rPr>
                <w:rFonts w:cs="Arial"/>
              </w:rPr>
              <w:t>As above</w:t>
            </w:r>
          </w:p>
        </w:tc>
        <w:tc>
          <w:tcPr>
            <w:tcW w:w="1843" w:type="dxa"/>
          </w:tcPr>
          <w:p w14:paraId="01EFB504" w14:textId="77777777" w:rsidR="00437158" w:rsidRPr="00437158" w:rsidRDefault="00437158">
            <w:pPr>
              <w:suppressAutoHyphens/>
              <w:spacing w:before="40" w:after="40" w:line="200" w:lineRule="atLeast"/>
              <w:rPr>
                <w:rFonts w:cs="Arial"/>
              </w:rPr>
            </w:pPr>
            <w:r w:rsidRPr="00437158">
              <w:rPr>
                <w:rFonts w:cs="Arial"/>
              </w:rPr>
              <w:t>Capacity-building (child; parent);</w:t>
            </w:r>
          </w:p>
          <w:p w14:paraId="64001EEB" w14:textId="77777777" w:rsidR="00437158" w:rsidRPr="00437158" w:rsidRDefault="00437158">
            <w:pPr>
              <w:suppressAutoHyphens/>
              <w:spacing w:before="40" w:after="40" w:line="200" w:lineRule="atLeast"/>
              <w:rPr>
                <w:rFonts w:cs="Arial"/>
              </w:rPr>
            </w:pPr>
            <w:r w:rsidRPr="00437158">
              <w:rPr>
                <w:rFonts w:cs="Arial"/>
              </w:rPr>
              <w:t>Participation (play);</w:t>
            </w:r>
          </w:p>
          <w:p w14:paraId="73AEFFCF"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111CB9DA"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4784AB91" w14:textId="77777777" w:rsidR="00437158" w:rsidRPr="00437158" w:rsidRDefault="00437158">
            <w:pPr>
              <w:suppressAutoHyphens/>
              <w:spacing w:before="40" w:after="40" w:line="200" w:lineRule="atLeast"/>
              <w:rPr>
                <w:rFonts w:cs="Arial"/>
              </w:rPr>
            </w:pPr>
            <w:r w:rsidRPr="00437158">
              <w:rPr>
                <w:rFonts w:cs="Arial"/>
              </w:rPr>
              <w:t>ESDM-Parent</w:t>
            </w:r>
          </w:p>
        </w:tc>
        <w:tc>
          <w:tcPr>
            <w:tcW w:w="3969" w:type="dxa"/>
          </w:tcPr>
          <w:p w14:paraId="47B6A9B3" w14:textId="77777777" w:rsidR="00437158" w:rsidRPr="00437158" w:rsidRDefault="00437158">
            <w:pPr>
              <w:suppressAutoHyphens/>
              <w:spacing w:before="40" w:after="40" w:line="200" w:lineRule="atLeast"/>
              <w:rPr>
                <w:rFonts w:cs="Arial"/>
                <w:b/>
              </w:rPr>
            </w:pPr>
            <w:r w:rsidRPr="00437158">
              <w:rPr>
                <w:rFonts w:cs="Arial"/>
                <w:b/>
              </w:rPr>
              <w:t>Parent Early Start Denver Model</w:t>
            </w:r>
            <w:r w:rsidRPr="00437158">
              <w:rPr>
                <w:rFonts w:cs="Arial"/>
              </w:rPr>
              <w:t xml:space="preserve"> (ESDM-P) is a parent-delivered intervention based on the ESDM, an evidence-based approach. A play-based, behavioural, naturalistic intervention that follows manualised procedures, and a parent coaching component. </w:t>
            </w:r>
          </w:p>
        </w:tc>
        <w:tc>
          <w:tcPr>
            <w:tcW w:w="1276" w:type="dxa"/>
          </w:tcPr>
          <w:p w14:paraId="45991191" w14:textId="77777777" w:rsidR="00437158" w:rsidRPr="00437158" w:rsidRDefault="00437158">
            <w:pPr>
              <w:suppressAutoHyphens/>
              <w:spacing w:before="40" w:after="40" w:line="200" w:lineRule="atLeast"/>
              <w:rPr>
                <w:rFonts w:cs="Arial"/>
              </w:rPr>
            </w:pPr>
            <w:r w:rsidRPr="00437158">
              <w:rPr>
                <w:rFonts w:cs="Arial"/>
              </w:rPr>
              <w:t xml:space="preserve">Estes </w:t>
            </w:r>
          </w:p>
          <w:p w14:paraId="1C43C3D7" w14:textId="77777777" w:rsidR="00437158" w:rsidRPr="00437158" w:rsidRDefault="00437158">
            <w:pPr>
              <w:suppressAutoHyphens/>
              <w:spacing w:before="40" w:after="40" w:line="200" w:lineRule="atLeast"/>
              <w:rPr>
                <w:rFonts w:cs="Arial"/>
              </w:rPr>
            </w:pPr>
            <w:r w:rsidRPr="00437158">
              <w:rPr>
                <w:rFonts w:cs="Arial"/>
              </w:rPr>
              <w:t>2014</w:t>
            </w:r>
          </w:p>
        </w:tc>
        <w:tc>
          <w:tcPr>
            <w:tcW w:w="1418" w:type="dxa"/>
          </w:tcPr>
          <w:p w14:paraId="6EBCD29D" w14:textId="77777777" w:rsidR="00437158" w:rsidRPr="00437158" w:rsidRDefault="00437158">
            <w:pPr>
              <w:suppressAutoHyphens/>
              <w:spacing w:before="40" w:after="40" w:line="200" w:lineRule="atLeast"/>
              <w:rPr>
                <w:rFonts w:cs="Arial"/>
              </w:rPr>
            </w:pPr>
            <w:r w:rsidRPr="00437158">
              <w:rPr>
                <w:rFonts w:cs="Arial"/>
              </w:rPr>
              <w:t>ESDM trained therapists</w:t>
            </w:r>
          </w:p>
        </w:tc>
        <w:tc>
          <w:tcPr>
            <w:tcW w:w="1134" w:type="dxa"/>
          </w:tcPr>
          <w:p w14:paraId="5CE8C420" w14:textId="77777777" w:rsidR="00437158" w:rsidRPr="00437158" w:rsidRDefault="00437158">
            <w:pPr>
              <w:suppressAutoHyphens/>
              <w:spacing w:before="40" w:after="40" w:line="200" w:lineRule="atLeast"/>
              <w:rPr>
                <w:rFonts w:cs="Arial"/>
              </w:rPr>
            </w:pPr>
            <w:r w:rsidRPr="00437158">
              <w:rPr>
                <w:rFonts w:cs="Arial"/>
              </w:rPr>
              <w:t>Face-to-face; individual</w:t>
            </w:r>
          </w:p>
        </w:tc>
        <w:tc>
          <w:tcPr>
            <w:tcW w:w="1275" w:type="dxa"/>
          </w:tcPr>
          <w:p w14:paraId="68B8D976" w14:textId="77777777" w:rsidR="00437158" w:rsidRPr="00437158" w:rsidRDefault="00437158">
            <w:pPr>
              <w:suppressAutoHyphens/>
              <w:spacing w:before="40" w:after="40" w:line="200" w:lineRule="atLeast"/>
              <w:rPr>
                <w:rFonts w:cs="Arial"/>
              </w:rPr>
            </w:pPr>
            <w:r w:rsidRPr="00437158">
              <w:rPr>
                <w:rFonts w:cs="Arial"/>
              </w:rPr>
              <w:t xml:space="preserve">Centre-based </w:t>
            </w:r>
          </w:p>
        </w:tc>
        <w:tc>
          <w:tcPr>
            <w:tcW w:w="1701" w:type="dxa"/>
          </w:tcPr>
          <w:p w14:paraId="167B7BE8" w14:textId="77777777" w:rsidR="00437158" w:rsidRPr="00437158" w:rsidRDefault="00437158">
            <w:pPr>
              <w:suppressAutoHyphens/>
              <w:spacing w:before="40" w:after="40" w:line="200" w:lineRule="atLeast"/>
              <w:rPr>
                <w:rFonts w:cs="Arial"/>
              </w:rPr>
            </w:pPr>
            <w:r w:rsidRPr="00437158">
              <w:rPr>
                <w:rFonts w:cs="Arial"/>
              </w:rPr>
              <w:t>1 hour weekly, for 12 weeks</w:t>
            </w:r>
          </w:p>
        </w:tc>
        <w:tc>
          <w:tcPr>
            <w:tcW w:w="1843" w:type="dxa"/>
          </w:tcPr>
          <w:p w14:paraId="1A4D264F" w14:textId="77777777" w:rsidR="00437158" w:rsidRPr="00437158" w:rsidRDefault="00437158">
            <w:pPr>
              <w:suppressAutoHyphens/>
              <w:spacing w:before="40" w:after="40" w:line="200" w:lineRule="atLeast"/>
              <w:rPr>
                <w:rFonts w:cs="Arial"/>
              </w:rPr>
            </w:pPr>
            <w:r w:rsidRPr="00437158">
              <w:rPr>
                <w:rFonts w:cs="Arial"/>
              </w:rPr>
              <w:t>Capacity-building (child; parent);</w:t>
            </w:r>
          </w:p>
          <w:p w14:paraId="1CC372ED" w14:textId="77777777" w:rsidR="00437158" w:rsidRPr="00437158" w:rsidRDefault="00437158">
            <w:pPr>
              <w:suppressAutoHyphens/>
              <w:spacing w:before="40" w:after="40" w:line="200" w:lineRule="atLeast"/>
              <w:rPr>
                <w:rFonts w:cs="Arial"/>
              </w:rPr>
            </w:pPr>
            <w:r w:rsidRPr="00437158">
              <w:rPr>
                <w:rFonts w:cs="Arial"/>
              </w:rPr>
              <w:t>Participation (play);</w:t>
            </w:r>
          </w:p>
        </w:tc>
      </w:tr>
      <w:tr w:rsidR="00437158" w:rsidRPr="00437158" w14:paraId="0032318A"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1612AC2D" w14:textId="77777777" w:rsidR="00437158" w:rsidRPr="00437158" w:rsidRDefault="00437158">
            <w:pPr>
              <w:suppressAutoHyphens/>
              <w:spacing w:before="40" w:after="40" w:line="200" w:lineRule="atLeast"/>
              <w:rPr>
                <w:rFonts w:cs="Arial"/>
              </w:rPr>
            </w:pPr>
            <w:r w:rsidRPr="00437158">
              <w:rPr>
                <w:rFonts w:cs="Arial"/>
              </w:rPr>
              <w:t>ESDM-Parent</w:t>
            </w:r>
          </w:p>
        </w:tc>
        <w:tc>
          <w:tcPr>
            <w:tcW w:w="3969" w:type="dxa"/>
          </w:tcPr>
          <w:p w14:paraId="6563F4DD" w14:textId="77777777" w:rsidR="00437158" w:rsidRPr="00437158" w:rsidRDefault="00437158">
            <w:pPr>
              <w:suppressAutoHyphens/>
              <w:spacing w:before="40" w:after="40" w:line="200" w:lineRule="atLeast"/>
              <w:rPr>
                <w:rFonts w:cs="Arial"/>
              </w:rPr>
            </w:pPr>
            <w:r w:rsidRPr="00437158">
              <w:rPr>
                <w:rFonts w:cs="Arial"/>
              </w:rPr>
              <w:t xml:space="preserve">A </w:t>
            </w:r>
            <w:r w:rsidRPr="00437158">
              <w:rPr>
                <w:rFonts w:cs="Arial"/>
                <w:b/>
              </w:rPr>
              <w:t>parent-delivered</w:t>
            </w:r>
            <w:r w:rsidRPr="00437158">
              <w:rPr>
                <w:rFonts w:cs="Arial"/>
              </w:rPr>
              <w:t xml:space="preserve"> intervention based on the </w:t>
            </w:r>
            <w:r w:rsidRPr="00437158">
              <w:rPr>
                <w:rFonts w:cs="Arial"/>
                <w:b/>
              </w:rPr>
              <w:t xml:space="preserve">ESDM </w:t>
            </w:r>
            <w:r w:rsidRPr="00437158">
              <w:rPr>
                <w:rFonts w:cs="Arial"/>
                <w:bCs/>
              </w:rPr>
              <w:t>(ESDM-P)</w:t>
            </w:r>
            <w:r w:rsidRPr="00437158">
              <w:rPr>
                <w:rFonts w:cs="Arial"/>
                <w:b/>
              </w:rPr>
              <w:t>.</w:t>
            </w:r>
            <w:r w:rsidRPr="00437158">
              <w:rPr>
                <w:rFonts w:cs="Arial"/>
              </w:rPr>
              <w:t xml:space="preserve"> A play-based, behavioural, naturalistic intervention that follows manualised procedures, and a parent coaching component. </w:t>
            </w:r>
          </w:p>
        </w:tc>
        <w:tc>
          <w:tcPr>
            <w:tcW w:w="1276" w:type="dxa"/>
          </w:tcPr>
          <w:p w14:paraId="46B5BD2B" w14:textId="77777777" w:rsidR="00437158" w:rsidRPr="00437158" w:rsidRDefault="00437158">
            <w:pPr>
              <w:suppressAutoHyphens/>
              <w:spacing w:before="40" w:after="40" w:line="200" w:lineRule="atLeast"/>
              <w:rPr>
                <w:rFonts w:cs="Arial"/>
              </w:rPr>
            </w:pPr>
            <w:r w:rsidRPr="00437158">
              <w:rPr>
                <w:rFonts w:cs="Arial"/>
              </w:rPr>
              <w:t>Rogers 2019a</w:t>
            </w:r>
          </w:p>
        </w:tc>
        <w:tc>
          <w:tcPr>
            <w:tcW w:w="1418" w:type="dxa"/>
          </w:tcPr>
          <w:p w14:paraId="4526F044" w14:textId="77777777" w:rsidR="00437158" w:rsidRPr="00437158" w:rsidRDefault="00437158">
            <w:pPr>
              <w:suppressAutoHyphens/>
              <w:spacing w:before="40" w:after="40" w:line="200" w:lineRule="atLeast"/>
              <w:rPr>
                <w:rFonts w:cs="Arial"/>
              </w:rPr>
            </w:pPr>
            <w:r w:rsidRPr="00437158">
              <w:rPr>
                <w:rFonts w:cs="Arial"/>
              </w:rPr>
              <w:t>Trained therapists</w:t>
            </w:r>
          </w:p>
        </w:tc>
        <w:tc>
          <w:tcPr>
            <w:tcW w:w="1134" w:type="dxa"/>
          </w:tcPr>
          <w:p w14:paraId="01DC2BC9" w14:textId="77777777" w:rsidR="00437158" w:rsidRPr="00437158" w:rsidRDefault="00437158">
            <w:pPr>
              <w:suppressAutoHyphens/>
              <w:spacing w:before="40" w:after="40" w:line="200" w:lineRule="atLeast"/>
              <w:rPr>
                <w:rFonts w:cs="Arial"/>
                <w:highlight w:val="yellow"/>
              </w:rPr>
            </w:pPr>
            <w:r w:rsidRPr="00437158">
              <w:rPr>
                <w:rFonts w:cs="Arial"/>
              </w:rPr>
              <w:t xml:space="preserve">Face-to-face, individual </w:t>
            </w:r>
          </w:p>
        </w:tc>
        <w:tc>
          <w:tcPr>
            <w:tcW w:w="1275" w:type="dxa"/>
          </w:tcPr>
          <w:p w14:paraId="768871A4" w14:textId="77777777" w:rsidR="00437158" w:rsidRPr="00437158" w:rsidRDefault="00437158">
            <w:pPr>
              <w:suppressAutoHyphens/>
              <w:spacing w:before="40" w:after="40" w:line="200" w:lineRule="atLeast"/>
              <w:rPr>
                <w:rFonts w:cs="Arial"/>
              </w:rPr>
            </w:pPr>
            <w:r w:rsidRPr="00437158">
              <w:rPr>
                <w:rFonts w:cs="Arial"/>
              </w:rPr>
              <w:t>Clinic</w:t>
            </w:r>
          </w:p>
        </w:tc>
        <w:tc>
          <w:tcPr>
            <w:tcW w:w="1701" w:type="dxa"/>
          </w:tcPr>
          <w:p w14:paraId="6B7CA68D" w14:textId="77777777" w:rsidR="00437158" w:rsidRPr="00437158" w:rsidRDefault="00437158">
            <w:pPr>
              <w:suppressAutoHyphens/>
              <w:spacing w:before="40" w:after="40" w:line="200" w:lineRule="atLeast"/>
              <w:rPr>
                <w:rFonts w:cs="Arial"/>
              </w:rPr>
            </w:pPr>
            <w:r w:rsidRPr="00437158">
              <w:rPr>
                <w:rFonts w:cs="Arial"/>
              </w:rPr>
              <w:t>1.5 hours weekly, for 12 weeks</w:t>
            </w:r>
          </w:p>
        </w:tc>
        <w:tc>
          <w:tcPr>
            <w:tcW w:w="1843" w:type="dxa"/>
          </w:tcPr>
          <w:p w14:paraId="280E574D" w14:textId="77777777" w:rsidR="00437158" w:rsidRPr="00437158" w:rsidRDefault="00437158">
            <w:pPr>
              <w:suppressAutoHyphens/>
              <w:spacing w:before="40" w:after="40" w:line="200" w:lineRule="atLeast"/>
              <w:rPr>
                <w:rFonts w:cs="Arial"/>
              </w:rPr>
            </w:pPr>
            <w:r w:rsidRPr="00437158">
              <w:rPr>
                <w:rFonts w:cs="Arial"/>
              </w:rPr>
              <w:t>Capacity-building (child; parent);</w:t>
            </w:r>
          </w:p>
          <w:p w14:paraId="4937E3FD" w14:textId="77777777" w:rsidR="00437158" w:rsidRPr="00437158" w:rsidRDefault="00437158">
            <w:pPr>
              <w:suppressAutoHyphens/>
              <w:spacing w:before="40" w:after="40" w:line="200" w:lineRule="atLeast"/>
              <w:rPr>
                <w:rFonts w:cs="Arial"/>
              </w:rPr>
            </w:pPr>
            <w:r w:rsidRPr="00437158">
              <w:rPr>
                <w:rFonts w:cs="Arial"/>
              </w:rPr>
              <w:t>Participation (play);</w:t>
            </w:r>
          </w:p>
        </w:tc>
      </w:tr>
      <w:tr w:rsidR="00437158" w:rsidRPr="00437158" w14:paraId="10208913"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20A31955" w14:textId="77777777" w:rsidR="00437158" w:rsidRPr="00437158" w:rsidRDefault="00437158">
            <w:pPr>
              <w:suppressAutoHyphens/>
              <w:spacing w:before="40" w:after="40" w:line="200" w:lineRule="atLeast"/>
              <w:rPr>
                <w:rFonts w:cs="Arial"/>
              </w:rPr>
            </w:pPr>
            <w:r w:rsidRPr="00437158">
              <w:rPr>
                <w:rFonts w:cs="Arial"/>
              </w:rPr>
              <w:t xml:space="preserve">ESDM-Parent ++ </w:t>
            </w:r>
          </w:p>
        </w:tc>
        <w:tc>
          <w:tcPr>
            <w:tcW w:w="3969" w:type="dxa"/>
          </w:tcPr>
          <w:p w14:paraId="2C0F8D13" w14:textId="77777777" w:rsidR="00437158" w:rsidRPr="00437158" w:rsidRDefault="00437158">
            <w:pPr>
              <w:suppressAutoHyphens/>
              <w:spacing w:before="40" w:after="40" w:line="200" w:lineRule="atLeast"/>
              <w:rPr>
                <w:rFonts w:cs="Arial"/>
              </w:rPr>
            </w:pPr>
            <w:r w:rsidRPr="00437158">
              <w:rPr>
                <w:rFonts w:cs="Arial"/>
              </w:rPr>
              <w:t xml:space="preserve">A </w:t>
            </w:r>
            <w:r w:rsidRPr="00437158">
              <w:rPr>
                <w:rFonts w:cs="Arial"/>
                <w:b/>
              </w:rPr>
              <w:t>parent-delivered</w:t>
            </w:r>
            <w:r w:rsidRPr="00437158">
              <w:rPr>
                <w:rFonts w:cs="Arial"/>
              </w:rPr>
              <w:t xml:space="preserve"> intervention based on the </w:t>
            </w:r>
            <w:r w:rsidRPr="00437158">
              <w:rPr>
                <w:rFonts w:cs="Arial"/>
                <w:b/>
              </w:rPr>
              <w:t>ESDM.</w:t>
            </w:r>
            <w:r w:rsidRPr="00437158">
              <w:rPr>
                <w:rFonts w:cs="Arial"/>
              </w:rPr>
              <w:t xml:space="preserve"> A play-based, behavioural, naturalistic intervention that follows manualised procedures, and a parent coaching component. This enhanced version contained three additions: motivational interviewing, multimodal learning tools, and a weekly 1.5-h home visit.</w:t>
            </w:r>
          </w:p>
          <w:p w14:paraId="6BA3E6CB" w14:textId="77777777" w:rsidR="00437158" w:rsidRPr="00437158" w:rsidRDefault="00437158">
            <w:pPr>
              <w:suppressAutoHyphens/>
              <w:spacing w:before="40" w:after="40" w:line="200" w:lineRule="atLeast"/>
              <w:rPr>
                <w:rFonts w:cs="Arial"/>
              </w:rPr>
            </w:pPr>
            <w:r w:rsidRPr="00437158">
              <w:rPr>
                <w:rFonts w:cs="Arial"/>
              </w:rPr>
              <w:t>(comparison to ESDM-P)</w:t>
            </w:r>
          </w:p>
        </w:tc>
        <w:tc>
          <w:tcPr>
            <w:tcW w:w="1276" w:type="dxa"/>
          </w:tcPr>
          <w:p w14:paraId="09D9F23C" w14:textId="77777777" w:rsidR="00437158" w:rsidRPr="00437158" w:rsidRDefault="00437158">
            <w:pPr>
              <w:suppressAutoHyphens/>
              <w:spacing w:before="40" w:after="40" w:line="200" w:lineRule="atLeast"/>
              <w:rPr>
                <w:rFonts w:cs="Arial"/>
              </w:rPr>
            </w:pPr>
            <w:r w:rsidRPr="00437158">
              <w:rPr>
                <w:rFonts w:cs="Arial"/>
              </w:rPr>
              <w:t>As above</w:t>
            </w:r>
          </w:p>
        </w:tc>
        <w:tc>
          <w:tcPr>
            <w:tcW w:w="1418" w:type="dxa"/>
          </w:tcPr>
          <w:p w14:paraId="092E9E46" w14:textId="77777777" w:rsidR="00437158" w:rsidRPr="00437158" w:rsidRDefault="00437158">
            <w:pPr>
              <w:suppressAutoHyphens/>
              <w:spacing w:before="40" w:after="40" w:line="200" w:lineRule="atLeast"/>
              <w:rPr>
                <w:rFonts w:cs="Arial"/>
              </w:rPr>
            </w:pPr>
            <w:r w:rsidRPr="00437158">
              <w:rPr>
                <w:rFonts w:cs="Arial"/>
              </w:rPr>
              <w:t>As above</w:t>
            </w:r>
          </w:p>
        </w:tc>
        <w:tc>
          <w:tcPr>
            <w:tcW w:w="1134" w:type="dxa"/>
          </w:tcPr>
          <w:p w14:paraId="5C7A98ED" w14:textId="77777777" w:rsidR="00437158" w:rsidRPr="00437158" w:rsidRDefault="00437158">
            <w:pPr>
              <w:suppressAutoHyphens/>
              <w:spacing w:before="40" w:after="40" w:line="200" w:lineRule="atLeast"/>
              <w:rPr>
                <w:rFonts w:cs="Arial"/>
                <w:highlight w:val="yellow"/>
              </w:rPr>
            </w:pPr>
            <w:r w:rsidRPr="00437158">
              <w:rPr>
                <w:rFonts w:cs="Arial"/>
              </w:rPr>
              <w:t xml:space="preserve">As above </w:t>
            </w:r>
          </w:p>
        </w:tc>
        <w:tc>
          <w:tcPr>
            <w:tcW w:w="1275" w:type="dxa"/>
          </w:tcPr>
          <w:p w14:paraId="6649B076" w14:textId="77777777" w:rsidR="00437158" w:rsidRPr="00437158" w:rsidRDefault="00437158">
            <w:pPr>
              <w:suppressAutoHyphens/>
              <w:spacing w:before="40" w:after="40" w:line="200" w:lineRule="atLeast"/>
              <w:rPr>
                <w:rFonts w:cs="Arial"/>
              </w:rPr>
            </w:pPr>
            <w:r w:rsidRPr="00437158">
              <w:rPr>
                <w:rFonts w:cs="Arial"/>
              </w:rPr>
              <w:t>Clinic and home</w:t>
            </w:r>
          </w:p>
        </w:tc>
        <w:tc>
          <w:tcPr>
            <w:tcW w:w="1701" w:type="dxa"/>
          </w:tcPr>
          <w:p w14:paraId="34037C14" w14:textId="77777777" w:rsidR="00437158" w:rsidRPr="00437158" w:rsidRDefault="00437158">
            <w:pPr>
              <w:suppressAutoHyphens/>
              <w:spacing w:before="40" w:after="40" w:line="200" w:lineRule="atLeast"/>
              <w:rPr>
                <w:rFonts w:cs="Arial"/>
              </w:rPr>
            </w:pPr>
            <w:r w:rsidRPr="00437158">
              <w:rPr>
                <w:rFonts w:cs="Arial"/>
              </w:rPr>
              <w:t>1.5 hours weekly, for 12 weeks and 1.5 home visit weekly</w:t>
            </w:r>
          </w:p>
        </w:tc>
        <w:tc>
          <w:tcPr>
            <w:tcW w:w="1843" w:type="dxa"/>
          </w:tcPr>
          <w:p w14:paraId="04BBE39C" w14:textId="77777777" w:rsidR="00437158" w:rsidRPr="00437158" w:rsidRDefault="00437158">
            <w:pPr>
              <w:suppressAutoHyphens/>
              <w:spacing w:before="40" w:after="40" w:line="200" w:lineRule="atLeast"/>
              <w:rPr>
                <w:rFonts w:cs="Arial"/>
              </w:rPr>
            </w:pPr>
            <w:r w:rsidRPr="00437158">
              <w:rPr>
                <w:rFonts w:cs="Arial"/>
              </w:rPr>
              <w:t>Capacity-building (child; parent);</w:t>
            </w:r>
          </w:p>
          <w:p w14:paraId="37179111" w14:textId="77777777" w:rsidR="00437158" w:rsidRPr="00437158" w:rsidRDefault="00437158">
            <w:pPr>
              <w:suppressAutoHyphens/>
              <w:spacing w:before="40" w:after="40" w:line="200" w:lineRule="atLeast"/>
              <w:rPr>
                <w:rFonts w:cs="Arial"/>
              </w:rPr>
            </w:pPr>
            <w:r w:rsidRPr="00437158">
              <w:rPr>
                <w:rFonts w:cs="Arial"/>
              </w:rPr>
              <w:t>Participation (play);</w:t>
            </w:r>
          </w:p>
          <w:p w14:paraId="1E251843"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62BC930C"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4B37635C" w14:textId="77777777" w:rsidR="00437158" w:rsidRPr="00437158" w:rsidRDefault="00437158">
            <w:pPr>
              <w:suppressAutoHyphens/>
              <w:spacing w:before="40" w:after="40" w:line="200" w:lineRule="atLeast"/>
              <w:rPr>
                <w:rFonts w:cs="Arial"/>
              </w:rPr>
            </w:pPr>
            <w:r w:rsidRPr="00437158">
              <w:rPr>
                <w:rFonts w:cs="Arial"/>
              </w:rPr>
              <w:t>iBASIS-VIPP</w:t>
            </w:r>
          </w:p>
        </w:tc>
        <w:tc>
          <w:tcPr>
            <w:tcW w:w="3969" w:type="dxa"/>
          </w:tcPr>
          <w:p w14:paraId="26EBA8E0" w14:textId="77777777" w:rsidR="00437158" w:rsidRPr="00437158" w:rsidRDefault="00437158">
            <w:pPr>
              <w:suppressAutoHyphens/>
              <w:spacing w:before="40" w:after="40" w:line="200" w:lineRule="atLeast"/>
              <w:rPr>
                <w:rFonts w:cs="Arial"/>
              </w:rPr>
            </w:pPr>
            <w:r w:rsidRPr="00437158">
              <w:rPr>
                <w:rFonts w:cs="Arial"/>
              </w:rPr>
              <w:t xml:space="preserve"> A version of the </w:t>
            </w:r>
            <w:r w:rsidRPr="00437158">
              <w:rPr>
                <w:rFonts w:cs="Arial"/>
                <w:b/>
              </w:rPr>
              <w:t>Video Interaction for Promoting Positive Parenting program</w:t>
            </w:r>
            <w:r w:rsidRPr="00437158">
              <w:rPr>
                <w:rFonts w:cs="Arial"/>
              </w:rPr>
              <w:t xml:space="preserve">, modified for the ASD prodrome. The intervention focussed on social-communicative features parent-infant dyads and used videotaped interactions to show positive examples of infant behaviours and responsive caregivers. The therapist and caregiver also focussed on caregiver responses to the infant, caregiver self-reflection, and framing of interaction observations. </w:t>
            </w:r>
          </w:p>
        </w:tc>
        <w:tc>
          <w:tcPr>
            <w:tcW w:w="1276" w:type="dxa"/>
          </w:tcPr>
          <w:p w14:paraId="39BA54CB" w14:textId="77777777" w:rsidR="00437158" w:rsidRPr="00437158" w:rsidRDefault="00437158">
            <w:pPr>
              <w:suppressAutoHyphens/>
              <w:spacing w:before="40" w:after="40" w:line="200" w:lineRule="atLeast"/>
              <w:rPr>
                <w:rFonts w:cs="Arial"/>
              </w:rPr>
            </w:pPr>
            <w:r w:rsidRPr="00437158">
              <w:rPr>
                <w:rFonts w:cs="Arial"/>
              </w:rPr>
              <w:t>Whitehouse 2021</w:t>
            </w:r>
          </w:p>
        </w:tc>
        <w:tc>
          <w:tcPr>
            <w:tcW w:w="1418" w:type="dxa"/>
          </w:tcPr>
          <w:p w14:paraId="3C53CB29" w14:textId="77777777" w:rsidR="00437158" w:rsidRPr="00437158" w:rsidRDefault="00437158">
            <w:pPr>
              <w:suppressAutoHyphens/>
              <w:spacing w:before="40" w:after="40" w:line="200" w:lineRule="atLeast"/>
              <w:rPr>
                <w:rFonts w:cs="Arial"/>
              </w:rPr>
            </w:pPr>
            <w:r w:rsidRPr="00437158">
              <w:rPr>
                <w:rFonts w:cs="Arial"/>
              </w:rPr>
              <w:t>Speech and language therapist or clinical psychologist</w:t>
            </w:r>
          </w:p>
        </w:tc>
        <w:tc>
          <w:tcPr>
            <w:tcW w:w="1134" w:type="dxa"/>
          </w:tcPr>
          <w:p w14:paraId="75A5AE72"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70224159" w14:textId="77777777" w:rsidR="00437158" w:rsidRPr="00437158" w:rsidRDefault="00437158">
            <w:pPr>
              <w:suppressAutoHyphens/>
              <w:spacing w:before="40" w:after="40" w:line="200" w:lineRule="atLeast"/>
              <w:rPr>
                <w:rFonts w:cs="Arial"/>
              </w:rPr>
            </w:pPr>
            <w:r w:rsidRPr="00437158">
              <w:rPr>
                <w:rFonts w:cs="Arial"/>
              </w:rPr>
              <w:t>Home</w:t>
            </w:r>
          </w:p>
        </w:tc>
        <w:tc>
          <w:tcPr>
            <w:tcW w:w="1701" w:type="dxa"/>
          </w:tcPr>
          <w:p w14:paraId="6D31EFC9" w14:textId="77777777" w:rsidR="00437158" w:rsidRPr="00437158" w:rsidRDefault="00437158">
            <w:pPr>
              <w:suppressAutoHyphens/>
              <w:spacing w:before="40" w:after="40" w:line="200" w:lineRule="atLeast"/>
              <w:rPr>
                <w:rFonts w:cs="Arial"/>
              </w:rPr>
            </w:pPr>
            <w:r w:rsidRPr="00437158">
              <w:rPr>
                <w:rFonts w:cs="Arial"/>
              </w:rPr>
              <w:t>10 sessions, fortnightly for 5 months and caregiver daily practice.</w:t>
            </w:r>
          </w:p>
        </w:tc>
        <w:tc>
          <w:tcPr>
            <w:tcW w:w="1843" w:type="dxa"/>
          </w:tcPr>
          <w:p w14:paraId="2FC8E6FC" w14:textId="77777777" w:rsidR="00437158" w:rsidRPr="00437158" w:rsidRDefault="00437158">
            <w:pPr>
              <w:suppressAutoHyphens/>
              <w:spacing w:before="40" w:after="40" w:line="200" w:lineRule="atLeast"/>
              <w:rPr>
                <w:rFonts w:cs="Arial"/>
              </w:rPr>
            </w:pPr>
            <w:r w:rsidRPr="00437158">
              <w:rPr>
                <w:rFonts w:cs="Arial"/>
              </w:rPr>
              <w:t>Family-centred (individualised);</w:t>
            </w:r>
          </w:p>
          <w:p w14:paraId="495219DA" w14:textId="77777777" w:rsidR="00437158" w:rsidRPr="00437158" w:rsidRDefault="00437158">
            <w:pPr>
              <w:suppressAutoHyphens/>
              <w:spacing w:before="40" w:after="40" w:line="200" w:lineRule="atLeast"/>
              <w:rPr>
                <w:rFonts w:cs="Arial"/>
              </w:rPr>
            </w:pPr>
            <w:r w:rsidRPr="00437158">
              <w:rPr>
                <w:rFonts w:cs="Arial"/>
              </w:rPr>
              <w:t>Capacity-building (parent);</w:t>
            </w:r>
          </w:p>
          <w:p w14:paraId="6DB6A4E5" w14:textId="77777777" w:rsidR="00437158" w:rsidRPr="00437158" w:rsidRDefault="00437158">
            <w:pPr>
              <w:suppressAutoHyphens/>
              <w:spacing w:before="40" w:after="40" w:line="200" w:lineRule="atLeast"/>
              <w:rPr>
                <w:rFonts w:cs="Arial"/>
              </w:rPr>
            </w:pPr>
            <w:r w:rsidRPr="00437158">
              <w:rPr>
                <w:rFonts w:cs="Arial"/>
              </w:rPr>
              <w:t xml:space="preserve">Natural env. </w:t>
            </w:r>
          </w:p>
          <w:p w14:paraId="12E0EA31" w14:textId="77777777" w:rsidR="00437158" w:rsidRPr="00437158" w:rsidRDefault="00437158">
            <w:pPr>
              <w:suppressAutoHyphens/>
              <w:spacing w:before="40" w:after="40" w:line="200" w:lineRule="atLeast"/>
              <w:rPr>
                <w:rFonts w:cs="Arial"/>
              </w:rPr>
            </w:pPr>
          </w:p>
          <w:p w14:paraId="59851D29" w14:textId="77777777" w:rsidR="00437158" w:rsidRPr="00437158" w:rsidRDefault="00437158">
            <w:pPr>
              <w:suppressAutoHyphens/>
              <w:spacing w:before="40" w:after="40" w:line="200" w:lineRule="atLeast"/>
              <w:rPr>
                <w:rFonts w:cs="Arial"/>
              </w:rPr>
            </w:pPr>
          </w:p>
        </w:tc>
      </w:tr>
      <w:tr w:rsidR="00437158" w:rsidRPr="00437158" w14:paraId="17977FED"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77621570" w14:textId="77777777" w:rsidR="00437158" w:rsidRPr="00437158" w:rsidRDefault="00437158">
            <w:pPr>
              <w:suppressAutoHyphens/>
              <w:spacing w:before="40" w:after="40" w:line="200" w:lineRule="atLeast"/>
              <w:rPr>
                <w:rFonts w:cs="Arial"/>
              </w:rPr>
            </w:pPr>
            <w:r w:rsidRPr="00437158">
              <w:rPr>
                <w:rFonts w:cs="Arial"/>
              </w:rPr>
              <w:t>iPCIT</w:t>
            </w:r>
          </w:p>
        </w:tc>
        <w:tc>
          <w:tcPr>
            <w:tcW w:w="3969" w:type="dxa"/>
          </w:tcPr>
          <w:p w14:paraId="08DD60FA" w14:textId="77777777" w:rsidR="00437158" w:rsidRPr="00437158" w:rsidRDefault="00437158">
            <w:pPr>
              <w:suppressAutoHyphens/>
              <w:spacing w:before="40" w:after="40" w:line="200" w:lineRule="atLeast"/>
              <w:rPr>
                <w:rFonts w:cs="Arial"/>
              </w:rPr>
            </w:pPr>
            <w:r w:rsidRPr="00437158">
              <w:rPr>
                <w:rFonts w:cs="Arial"/>
                <w:b/>
              </w:rPr>
              <w:t>Internet-delivered Parent-Child Interaction Therapy</w:t>
            </w:r>
            <w:r w:rsidRPr="00437158">
              <w:rPr>
                <w:rFonts w:cs="Arial"/>
              </w:rPr>
              <w:t xml:space="preserve"> (iPCIT) uses videoconferencing technology for therapists to provide live coaching of caregiver-child interactions. Caregivers use PRIDE skills (i.e., </w:t>
            </w:r>
            <w:r w:rsidRPr="00437158">
              <w:rPr>
                <w:rFonts w:cs="Arial"/>
                <w:b/>
              </w:rPr>
              <w:t>Praising</w:t>
            </w:r>
            <w:r w:rsidRPr="00437158">
              <w:rPr>
                <w:rFonts w:cs="Arial"/>
              </w:rPr>
              <w:t xml:space="preserve"> child behaviour,</w:t>
            </w:r>
            <w:r w:rsidRPr="00437158">
              <w:rPr>
                <w:rFonts w:cs="Arial"/>
                <w:b/>
              </w:rPr>
              <w:t xml:space="preserve"> Reflecting</w:t>
            </w:r>
            <w:r w:rsidRPr="00437158">
              <w:rPr>
                <w:rFonts w:cs="Arial"/>
              </w:rPr>
              <w:t xml:space="preserve"> child statements, </w:t>
            </w:r>
            <w:r w:rsidRPr="00437158">
              <w:rPr>
                <w:rFonts w:cs="Arial"/>
                <w:b/>
              </w:rPr>
              <w:t xml:space="preserve">Imitating </w:t>
            </w:r>
            <w:r w:rsidRPr="00437158">
              <w:rPr>
                <w:rFonts w:cs="Arial"/>
              </w:rPr>
              <w:t>child play,</w:t>
            </w:r>
            <w:r w:rsidRPr="00437158">
              <w:rPr>
                <w:rFonts w:cs="Arial"/>
                <w:b/>
              </w:rPr>
              <w:t xml:space="preserve"> Describing </w:t>
            </w:r>
            <w:r w:rsidRPr="00437158">
              <w:rPr>
                <w:rFonts w:cs="Arial"/>
              </w:rPr>
              <w:t xml:space="preserve">child actions, and showing </w:t>
            </w:r>
            <w:r w:rsidRPr="00437158">
              <w:rPr>
                <w:rFonts w:cs="Arial"/>
                <w:b/>
              </w:rPr>
              <w:t>Enjoyment</w:t>
            </w:r>
            <w:r w:rsidRPr="00437158">
              <w:rPr>
                <w:rFonts w:cs="Arial"/>
              </w:rPr>
              <w:t>) in response to appropriate child behaviour and avoiding questions, commands, and criticisms (or other undesirable behaviours).</w:t>
            </w:r>
          </w:p>
        </w:tc>
        <w:tc>
          <w:tcPr>
            <w:tcW w:w="1276" w:type="dxa"/>
          </w:tcPr>
          <w:p w14:paraId="2FDE10E4" w14:textId="77777777" w:rsidR="00437158" w:rsidRPr="00437158" w:rsidRDefault="00437158">
            <w:pPr>
              <w:suppressAutoHyphens/>
              <w:spacing w:before="40" w:after="40" w:line="200" w:lineRule="atLeast"/>
              <w:rPr>
                <w:rFonts w:cs="Arial"/>
              </w:rPr>
            </w:pPr>
            <w:r w:rsidRPr="00437158">
              <w:rPr>
                <w:rFonts w:cs="Arial"/>
              </w:rPr>
              <w:t xml:space="preserve">Bagner </w:t>
            </w:r>
          </w:p>
          <w:p w14:paraId="753ACBE6" w14:textId="77777777" w:rsidR="00437158" w:rsidRPr="00437158" w:rsidRDefault="00437158">
            <w:pPr>
              <w:suppressAutoHyphens/>
              <w:spacing w:before="40" w:after="40" w:line="200" w:lineRule="atLeast"/>
              <w:rPr>
                <w:rFonts w:cs="Arial"/>
              </w:rPr>
            </w:pPr>
            <w:r w:rsidRPr="00437158">
              <w:rPr>
                <w:rFonts w:cs="Arial"/>
              </w:rPr>
              <w:t>2023</w:t>
            </w:r>
          </w:p>
        </w:tc>
        <w:tc>
          <w:tcPr>
            <w:tcW w:w="1418" w:type="dxa"/>
          </w:tcPr>
          <w:p w14:paraId="6BAD24EC" w14:textId="77777777" w:rsidR="00437158" w:rsidRPr="00437158" w:rsidRDefault="00437158">
            <w:pPr>
              <w:suppressAutoHyphens/>
              <w:spacing w:before="40" w:after="40" w:line="200" w:lineRule="atLeast"/>
              <w:rPr>
                <w:rFonts w:cs="Arial"/>
              </w:rPr>
            </w:pPr>
            <w:r w:rsidRPr="00437158">
              <w:rPr>
                <w:rFonts w:cs="Arial"/>
              </w:rPr>
              <w:t>Intervention-trained students</w:t>
            </w:r>
          </w:p>
        </w:tc>
        <w:tc>
          <w:tcPr>
            <w:tcW w:w="1134" w:type="dxa"/>
          </w:tcPr>
          <w:p w14:paraId="6C6E6100" w14:textId="77777777" w:rsidR="00437158" w:rsidRPr="00437158" w:rsidRDefault="00437158">
            <w:pPr>
              <w:suppressAutoHyphens/>
              <w:spacing w:before="40" w:after="40" w:line="200" w:lineRule="atLeast"/>
              <w:rPr>
                <w:rFonts w:cs="Arial"/>
              </w:rPr>
            </w:pPr>
            <w:r w:rsidRPr="00437158">
              <w:rPr>
                <w:rFonts w:cs="Arial"/>
              </w:rPr>
              <w:t>Remote individual</w:t>
            </w:r>
          </w:p>
        </w:tc>
        <w:tc>
          <w:tcPr>
            <w:tcW w:w="1275" w:type="dxa"/>
          </w:tcPr>
          <w:p w14:paraId="618C3329" w14:textId="77777777" w:rsidR="00437158" w:rsidRPr="00437158" w:rsidRDefault="00437158">
            <w:pPr>
              <w:suppressAutoHyphens/>
              <w:spacing w:before="40" w:after="40" w:line="200" w:lineRule="atLeast"/>
              <w:rPr>
                <w:rFonts w:cs="Arial"/>
              </w:rPr>
            </w:pPr>
            <w:r w:rsidRPr="00437158">
              <w:rPr>
                <w:rFonts w:cs="Arial"/>
              </w:rPr>
              <w:t>Home/ Online (telehealth)</w:t>
            </w:r>
          </w:p>
        </w:tc>
        <w:tc>
          <w:tcPr>
            <w:tcW w:w="1701" w:type="dxa"/>
          </w:tcPr>
          <w:p w14:paraId="5A9396F7" w14:textId="77777777" w:rsidR="00437158" w:rsidRPr="00437158" w:rsidRDefault="00437158">
            <w:pPr>
              <w:suppressAutoHyphens/>
              <w:spacing w:before="40" w:after="40" w:line="200" w:lineRule="atLeast"/>
              <w:rPr>
                <w:rFonts w:cs="Arial"/>
              </w:rPr>
            </w:pPr>
            <w:r w:rsidRPr="00437158">
              <w:rPr>
                <w:rFonts w:cs="Arial"/>
              </w:rPr>
              <w:t>1 - 1.5 hours weekly, for 20 weeks</w:t>
            </w:r>
          </w:p>
        </w:tc>
        <w:tc>
          <w:tcPr>
            <w:tcW w:w="1843" w:type="dxa"/>
          </w:tcPr>
          <w:p w14:paraId="6B137139" w14:textId="77777777" w:rsidR="00437158" w:rsidRPr="00437158" w:rsidRDefault="00437158">
            <w:pPr>
              <w:suppressAutoHyphens/>
              <w:spacing w:before="40" w:after="40" w:line="200" w:lineRule="atLeast"/>
              <w:rPr>
                <w:rFonts w:cs="Arial"/>
              </w:rPr>
            </w:pPr>
            <w:r w:rsidRPr="00437158">
              <w:rPr>
                <w:rFonts w:cs="Arial"/>
              </w:rPr>
              <w:t>Capacity-building (parent);</w:t>
            </w:r>
          </w:p>
          <w:p w14:paraId="63EB7C55" w14:textId="77777777" w:rsidR="00437158" w:rsidRPr="00437158" w:rsidRDefault="00437158">
            <w:pPr>
              <w:suppressAutoHyphens/>
              <w:spacing w:before="40" w:after="40" w:line="200" w:lineRule="atLeast"/>
              <w:rPr>
                <w:rFonts w:cs="Arial"/>
              </w:rPr>
            </w:pPr>
            <w:r w:rsidRPr="00437158">
              <w:rPr>
                <w:rFonts w:cs="Arial"/>
              </w:rPr>
              <w:t>Natural env.</w:t>
            </w:r>
          </w:p>
          <w:p w14:paraId="5C0DC6FB" w14:textId="77777777" w:rsidR="00437158" w:rsidRPr="00437158" w:rsidRDefault="00437158">
            <w:pPr>
              <w:suppressAutoHyphens/>
              <w:spacing w:before="40" w:after="40" w:line="200" w:lineRule="atLeast"/>
              <w:rPr>
                <w:rFonts w:cs="Arial"/>
              </w:rPr>
            </w:pPr>
          </w:p>
        </w:tc>
      </w:tr>
      <w:tr w:rsidR="00437158" w:rsidRPr="00437158" w14:paraId="0B6E481F"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2A135A6D" w14:textId="77777777" w:rsidR="00437158" w:rsidRPr="00437158" w:rsidRDefault="00437158">
            <w:pPr>
              <w:suppressAutoHyphens/>
              <w:spacing w:before="40" w:after="40" w:line="200" w:lineRule="atLeast"/>
              <w:rPr>
                <w:rFonts w:cs="Arial"/>
              </w:rPr>
            </w:pPr>
            <w:r w:rsidRPr="00437158">
              <w:rPr>
                <w:rFonts w:cs="Arial"/>
              </w:rPr>
              <w:t xml:space="preserve">JAML </w:t>
            </w:r>
          </w:p>
        </w:tc>
        <w:tc>
          <w:tcPr>
            <w:tcW w:w="3969" w:type="dxa"/>
          </w:tcPr>
          <w:p w14:paraId="4380CB55" w14:textId="77777777" w:rsidR="00437158" w:rsidRPr="00437158" w:rsidRDefault="00437158">
            <w:pPr>
              <w:suppressAutoHyphens/>
              <w:spacing w:before="40" w:after="40" w:line="200" w:lineRule="atLeast"/>
              <w:rPr>
                <w:rFonts w:cs="Arial"/>
              </w:rPr>
            </w:pPr>
            <w:r w:rsidRPr="00437158">
              <w:rPr>
                <w:rFonts w:cs="Arial"/>
                <w:b/>
              </w:rPr>
              <w:t>Joint Attention Mediated Learning</w:t>
            </w:r>
            <w:r w:rsidRPr="00437158">
              <w:rPr>
                <w:rFonts w:cs="Arial"/>
              </w:rPr>
              <w:t xml:space="preserve"> is a parent-implemented early intervention designed to promote social communication at the preverbal level. It leads autistic toddlers through the acquisition of three developmentally sequenced social communicative competencies: focusing on faces, turn-taking, and joint attention. Therapists work with parents to employ five mediated learning principles in interactions with their children: focusing, organizing and planning, giving meaning, encouraging, and expanding.</w:t>
            </w:r>
          </w:p>
        </w:tc>
        <w:tc>
          <w:tcPr>
            <w:tcW w:w="1276" w:type="dxa"/>
          </w:tcPr>
          <w:p w14:paraId="3F055D83" w14:textId="77777777" w:rsidR="00437158" w:rsidRPr="00437158" w:rsidRDefault="00437158">
            <w:pPr>
              <w:suppressAutoHyphens/>
              <w:spacing w:before="40" w:after="40" w:line="200" w:lineRule="atLeast"/>
              <w:rPr>
                <w:rFonts w:cs="Arial"/>
              </w:rPr>
            </w:pPr>
            <w:r w:rsidRPr="00437158">
              <w:rPr>
                <w:rFonts w:cs="Arial"/>
              </w:rPr>
              <w:t xml:space="preserve">Schertz </w:t>
            </w:r>
          </w:p>
          <w:p w14:paraId="4BE13811" w14:textId="77777777" w:rsidR="00437158" w:rsidRPr="00437158" w:rsidRDefault="00437158">
            <w:pPr>
              <w:suppressAutoHyphens/>
              <w:spacing w:before="40" w:after="40" w:line="200" w:lineRule="atLeast"/>
              <w:rPr>
                <w:rFonts w:cs="Arial"/>
              </w:rPr>
            </w:pPr>
            <w:r w:rsidRPr="00437158">
              <w:rPr>
                <w:rFonts w:cs="Arial"/>
              </w:rPr>
              <w:t>2018</w:t>
            </w:r>
          </w:p>
        </w:tc>
        <w:tc>
          <w:tcPr>
            <w:tcW w:w="1418" w:type="dxa"/>
          </w:tcPr>
          <w:p w14:paraId="1A30B6F9" w14:textId="77777777" w:rsidR="00437158" w:rsidRPr="00437158" w:rsidRDefault="00437158">
            <w:pPr>
              <w:suppressAutoHyphens/>
              <w:spacing w:before="40" w:after="40" w:line="200" w:lineRule="atLeast"/>
              <w:rPr>
                <w:rFonts w:cs="Arial"/>
              </w:rPr>
            </w:pPr>
            <w:r w:rsidRPr="00437158">
              <w:rPr>
                <w:rFonts w:cs="Arial"/>
              </w:rPr>
              <w:t>Intervention Coordinator</w:t>
            </w:r>
          </w:p>
        </w:tc>
        <w:tc>
          <w:tcPr>
            <w:tcW w:w="1134" w:type="dxa"/>
          </w:tcPr>
          <w:p w14:paraId="59E83D48"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3D83D04B" w14:textId="77777777" w:rsidR="00437158" w:rsidRPr="00437158" w:rsidRDefault="00437158">
            <w:pPr>
              <w:suppressAutoHyphens/>
              <w:spacing w:before="40" w:after="40" w:line="200" w:lineRule="atLeast"/>
              <w:rPr>
                <w:rFonts w:cs="Arial"/>
              </w:rPr>
            </w:pPr>
            <w:r w:rsidRPr="00437158">
              <w:rPr>
                <w:rFonts w:cs="Arial"/>
              </w:rPr>
              <w:t xml:space="preserve">Home </w:t>
            </w:r>
          </w:p>
        </w:tc>
        <w:tc>
          <w:tcPr>
            <w:tcW w:w="1701" w:type="dxa"/>
          </w:tcPr>
          <w:p w14:paraId="04DA9E9F" w14:textId="77777777" w:rsidR="00437158" w:rsidRPr="00437158" w:rsidRDefault="00437158">
            <w:pPr>
              <w:suppressAutoHyphens/>
              <w:spacing w:before="40" w:after="40" w:line="200" w:lineRule="atLeast"/>
              <w:rPr>
                <w:rFonts w:cs="Arial"/>
              </w:rPr>
            </w:pPr>
            <w:r w:rsidRPr="00437158">
              <w:rPr>
                <w:rFonts w:cs="Arial"/>
              </w:rPr>
              <w:t>1 hour home visit and 30 minutes of daily parent-implemented practice, weekly for 32 weeks</w:t>
            </w:r>
          </w:p>
        </w:tc>
        <w:tc>
          <w:tcPr>
            <w:tcW w:w="1843" w:type="dxa"/>
          </w:tcPr>
          <w:p w14:paraId="5203F747" w14:textId="77777777" w:rsidR="00437158" w:rsidRPr="00437158" w:rsidRDefault="00437158">
            <w:pPr>
              <w:suppressAutoHyphens/>
              <w:spacing w:before="40" w:after="40" w:line="200" w:lineRule="atLeast"/>
              <w:rPr>
                <w:rFonts w:cs="Arial"/>
              </w:rPr>
            </w:pPr>
            <w:r w:rsidRPr="00437158">
              <w:rPr>
                <w:rFonts w:cs="Arial"/>
              </w:rPr>
              <w:t>Capacity-building (child; parent);</w:t>
            </w:r>
          </w:p>
          <w:p w14:paraId="7D323D80"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53289ADD"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20D1810A" w14:textId="77777777" w:rsidR="00437158" w:rsidRPr="00437158" w:rsidRDefault="00437158">
            <w:pPr>
              <w:suppressAutoHyphens/>
              <w:spacing w:before="40" w:after="40" w:line="200" w:lineRule="atLeast"/>
              <w:rPr>
                <w:rFonts w:cs="Arial"/>
              </w:rPr>
            </w:pPr>
            <w:r w:rsidRPr="00437158">
              <w:rPr>
                <w:rFonts w:cs="Arial"/>
              </w:rPr>
              <w:t>JASPER</w:t>
            </w:r>
          </w:p>
        </w:tc>
        <w:tc>
          <w:tcPr>
            <w:tcW w:w="3969" w:type="dxa"/>
          </w:tcPr>
          <w:p w14:paraId="205023D1" w14:textId="77777777" w:rsidR="00437158" w:rsidRPr="00437158" w:rsidRDefault="00437158">
            <w:pPr>
              <w:suppressAutoHyphens/>
              <w:spacing w:before="40" w:after="40" w:line="200" w:lineRule="atLeast"/>
              <w:rPr>
                <w:rFonts w:cs="Arial"/>
              </w:rPr>
            </w:pPr>
            <w:r w:rsidRPr="00437158">
              <w:rPr>
                <w:rFonts w:cs="Arial"/>
                <w:b/>
              </w:rPr>
              <w:t>Joint Attention, Symbolic Play, Engagement and Regulation</w:t>
            </w:r>
            <w:r w:rsidRPr="00437158">
              <w:rPr>
                <w:rFonts w:cs="Arial"/>
              </w:rPr>
              <w:t xml:space="preserve"> (JASPER). The Baby JASPER classroom embedded sessions based on the principles of the Joint Attention Symbolic Play Engagement and Regulation (JASPER) intervention. </w:t>
            </w:r>
          </w:p>
        </w:tc>
        <w:tc>
          <w:tcPr>
            <w:tcW w:w="1276" w:type="dxa"/>
          </w:tcPr>
          <w:p w14:paraId="3D7AD1D5" w14:textId="77777777" w:rsidR="00437158" w:rsidRPr="00437158" w:rsidRDefault="00437158">
            <w:pPr>
              <w:suppressAutoHyphens/>
              <w:spacing w:before="40" w:after="40" w:line="200" w:lineRule="atLeast"/>
              <w:rPr>
                <w:rFonts w:cs="Arial"/>
              </w:rPr>
            </w:pPr>
            <w:r w:rsidRPr="00437158">
              <w:rPr>
                <w:rFonts w:cs="Arial"/>
              </w:rPr>
              <w:t>Gulsrud 2024</w:t>
            </w:r>
          </w:p>
        </w:tc>
        <w:tc>
          <w:tcPr>
            <w:tcW w:w="1418" w:type="dxa"/>
          </w:tcPr>
          <w:p w14:paraId="2BD0A81B" w14:textId="77777777" w:rsidR="00437158" w:rsidRPr="00437158" w:rsidRDefault="00437158">
            <w:pPr>
              <w:suppressAutoHyphens/>
              <w:spacing w:before="40" w:after="40" w:line="200" w:lineRule="atLeast"/>
              <w:rPr>
                <w:rFonts w:cs="Arial"/>
              </w:rPr>
            </w:pPr>
            <w:r w:rsidRPr="00437158">
              <w:rPr>
                <w:rFonts w:cs="Arial"/>
              </w:rPr>
              <w:t>Therapist</w:t>
            </w:r>
          </w:p>
        </w:tc>
        <w:tc>
          <w:tcPr>
            <w:tcW w:w="1134" w:type="dxa"/>
          </w:tcPr>
          <w:p w14:paraId="7ECDD179" w14:textId="77777777" w:rsidR="00437158" w:rsidRPr="00437158" w:rsidRDefault="00437158">
            <w:pPr>
              <w:suppressAutoHyphens/>
              <w:spacing w:before="40" w:after="40" w:line="200" w:lineRule="atLeast"/>
              <w:rPr>
                <w:rFonts w:cs="Arial"/>
              </w:rPr>
            </w:pPr>
            <w:r w:rsidRPr="00437158">
              <w:rPr>
                <w:rFonts w:cs="Arial"/>
              </w:rPr>
              <w:t xml:space="preserve">Face-to-face, Group </w:t>
            </w:r>
          </w:p>
        </w:tc>
        <w:tc>
          <w:tcPr>
            <w:tcW w:w="1275" w:type="dxa"/>
          </w:tcPr>
          <w:p w14:paraId="38E9FB9B" w14:textId="77777777" w:rsidR="00437158" w:rsidRPr="00437158" w:rsidRDefault="00437158">
            <w:pPr>
              <w:suppressAutoHyphens/>
              <w:spacing w:before="40" w:after="40" w:line="200" w:lineRule="atLeast"/>
              <w:rPr>
                <w:rFonts w:cs="Arial"/>
              </w:rPr>
            </w:pPr>
            <w:r w:rsidRPr="00437158">
              <w:rPr>
                <w:rFonts w:cs="Arial"/>
              </w:rPr>
              <w:t xml:space="preserve">Preschool classroom </w:t>
            </w:r>
          </w:p>
        </w:tc>
        <w:tc>
          <w:tcPr>
            <w:tcW w:w="1701" w:type="dxa"/>
          </w:tcPr>
          <w:p w14:paraId="03662B53" w14:textId="77777777" w:rsidR="00437158" w:rsidRPr="00437158" w:rsidRDefault="00437158">
            <w:pPr>
              <w:suppressAutoHyphens/>
              <w:spacing w:before="40" w:after="40" w:line="200" w:lineRule="atLeast"/>
              <w:rPr>
                <w:rFonts w:cs="Arial"/>
              </w:rPr>
            </w:pPr>
            <w:r w:rsidRPr="00437158">
              <w:rPr>
                <w:rFonts w:cs="Arial"/>
              </w:rPr>
              <w:t>3-hour sessions twice weekly, for 8 weeks (with 1 hour parent training included)</w:t>
            </w:r>
          </w:p>
        </w:tc>
        <w:tc>
          <w:tcPr>
            <w:tcW w:w="1843" w:type="dxa"/>
          </w:tcPr>
          <w:p w14:paraId="0198C39B" w14:textId="77777777" w:rsidR="00437158" w:rsidRPr="00437158" w:rsidRDefault="00437158">
            <w:pPr>
              <w:suppressAutoHyphens/>
              <w:spacing w:before="40" w:after="40" w:line="200" w:lineRule="atLeast"/>
              <w:rPr>
                <w:rFonts w:cs="Arial"/>
              </w:rPr>
            </w:pPr>
            <w:r w:rsidRPr="00437158">
              <w:rPr>
                <w:rFonts w:cs="Arial"/>
              </w:rPr>
              <w:t>Capacity-building (child; parent);</w:t>
            </w:r>
          </w:p>
          <w:p w14:paraId="5C94CA7A"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7AC2B258"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57C9EED8" w14:textId="77777777" w:rsidR="00437158" w:rsidRPr="00437158" w:rsidRDefault="00437158">
            <w:pPr>
              <w:suppressAutoHyphens/>
              <w:spacing w:before="40" w:after="40" w:line="200" w:lineRule="atLeast"/>
              <w:rPr>
                <w:rFonts w:cs="Arial"/>
              </w:rPr>
            </w:pPr>
            <w:r w:rsidRPr="00437158">
              <w:rPr>
                <w:rFonts w:cs="Arial"/>
              </w:rPr>
              <w:t>JASPER</w:t>
            </w:r>
          </w:p>
        </w:tc>
        <w:tc>
          <w:tcPr>
            <w:tcW w:w="3969" w:type="dxa"/>
          </w:tcPr>
          <w:p w14:paraId="78DCB725" w14:textId="77777777" w:rsidR="00437158" w:rsidRPr="00437158" w:rsidRDefault="00437158">
            <w:pPr>
              <w:suppressAutoHyphens/>
              <w:spacing w:before="40" w:after="40" w:line="200" w:lineRule="atLeast"/>
              <w:rPr>
                <w:rFonts w:cs="Arial"/>
              </w:rPr>
            </w:pPr>
            <w:r w:rsidRPr="00437158">
              <w:rPr>
                <w:rFonts w:cs="Arial"/>
                <w:b/>
              </w:rPr>
              <w:t xml:space="preserve"> JAPER</w:t>
            </w:r>
            <w:r w:rsidRPr="00437158">
              <w:rPr>
                <w:rFonts w:cs="Arial"/>
              </w:rPr>
              <w:t xml:space="preserve"> is an empirically supported and manualised treatment for autistic toddlers and preschoolers with a primary focus on sustaining periods of joint engagement and increasing joint attention, gestures and play skills    </w:t>
            </w:r>
          </w:p>
        </w:tc>
        <w:tc>
          <w:tcPr>
            <w:tcW w:w="1276" w:type="dxa"/>
          </w:tcPr>
          <w:p w14:paraId="466B0F1C" w14:textId="77777777" w:rsidR="00437158" w:rsidRPr="00437158" w:rsidRDefault="00437158">
            <w:pPr>
              <w:suppressAutoHyphens/>
              <w:spacing w:before="40" w:after="40" w:line="200" w:lineRule="atLeast"/>
              <w:rPr>
                <w:rFonts w:cs="Arial"/>
              </w:rPr>
            </w:pPr>
            <w:r w:rsidRPr="00437158">
              <w:rPr>
                <w:rFonts w:cs="Arial"/>
              </w:rPr>
              <w:t>Panganiban 2022</w:t>
            </w:r>
          </w:p>
        </w:tc>
        <w:tc>
          <w:tcPr>
            <w:tcW w:w="1418" w:type="dxa"/>
          </w:tcPr>
          <w:p w14:paraId="142F8B01" w14:textId="77777777" w:rsidR="00437158" w:rsidRPr="00437158" w:rsidRDefault="00437158">
            <w:pPr>
              <w:suppressAutoHyphens/>
              <w:spacing w:before="40" w:after="40" w:line="200" w:lineRule="atLeast"/>
              <w:rPr>
                <w:rFonts w:cs="Arial"/>
              </w:rPr>
            </w:pPr>
            <w:r w:rsidRPr="00437158">
              <w:rPr>
                <w:rFonts w:cs="Arial"/>
              </w:rPr>
              <w:t>Teachers (trained in intervention by researchers)</w:t>
            </w:r>
          </w:p>
        </w:tc>
        <w:tc>
          <w:tcPr>
            <w:tcW w:w="1134" w:type="dxa"/>
          </w:tcPr>
          <w:p w14:paraId="7EF45311" w14:textId="77777777" w:rsidR="00437158" w:rsidRPr="00437158" w:rsidRDefault="00437158">
            <w:pPr>
              <w:suppressAutoHyphens/>
              <w:spacing w:before="40" w:after="40" w:line="200" w:lineRule="atLeast"/>
              <w:rPr>
                <w:rFonts w:cs="Arial"/>
              </w:rPr>
            </w:pPr>
            <w:r w:rsidRPr="00437158">
              <w:rPr>
                <w:rFonts w:cs="Arial"/>
              </w:rPr>
              <w:t xml:space="preserve">Face-to-face, Group </w:t>
            </w:r>
          </w:p>
        </w:tc>
        <w:tc>
          <w:tcPr>
            <w:tcW w:w="1275" w:type="dxa"/>
          </w:tcPr>
          <w:p w14:paraId="7E23ABBB" w14:textId="77777777" w:rsidR="00437158" w:rsidRPr="00437158" w:rsidRDefault="00437158">
            <w:pPr>
              <w:suppressAutoHyphens/>
              <w:spacing w:before="40" w:after="40" w:line="200" w:lineRule="atLeast"/>
              <w:rPr>
                <w:rFonts w:cs="Arial"/>
              </w:rPr>
            </w:pPr>
            <w:r w:rsidRPr="00437158">
              <w:rPr>
                <w:rFonts w:cs="Arial"/>
              </w:rPr>
              <w:t xml:space="preserve">Preschool classroom </w:t>
            </w:r>
          </w:p>
        </w:tc>
        <w:tc>
          <w:tcPr>
            <w:tcW w:w="1701" w:type="dxa"/>
          </w:tcPr>
          <w:p w14:paraId="39802F2D" w14:textId="77777777" w:rsidR="00437158" w:rsidRPr="00437158" w:rsidRDefault="00437158">
            <w:pPr>
              <w:suppressAutoHyphens/>
              <w:spacing w:before="40" w:after="40" w:line="200" w:lineRule="atLeast"/>
              <w:rPr>
                <w:rFonts w:cs="Arial"/>
              </w:rPr>
            </w:pPr>
            <w:r w:rsidRPr="00437158">
              <w:rPr>
                <w:rFonts w:cs="Arial"/>
              </w:rPr>
              <w:t>2-hour teacher training, then twice weekly coaching (Teacher coaching averaged 28 hours).</w:t>
            </w:r>
          </w:p>
        </w:tc>
        <w:tc>
          <w:tcPr>
            <w:tcW w:w="1843" w:type="dxa"/>
          </w:tcPr>
          <w:p w14:paraId="059EB023" w14:textId="77777777" w:rsidR="00437158" w:rsidRPr="00437158" w:rsidRDefault="00437158">
            <w:pPr>
              <w:suppressAutoHyphens/>
              <w:spacing w:before="40" w:after="40" w:line="200" w:lineRule="atLeast"/>
              <w:rPr>
                <w:rFonts w:cs="Arial"/>
              </w:rPr>
            </w:pPr>
            <w:r w:rsidRPr="00437158">
              <w:rPr>
                <w:rFonts w:cs="Arial"/>
              </w:rPr>
              <w:t>Capacity-building (child);</w:t>
            </w:r>
          </w:p>
          <w:p w14:paraId="33D7D993"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085493CB"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1A40C0EC" w14:textId="77777777" w:rsidR="00437158" w:rsidRPr="00437158" w:rsidRDefault="00437158">
            <w:pPr>
              <w:suppressAutoHyphens/>
              <w:spacing w:before="40" w:after="40" w:line="200" w:lineRule="atLeast"/>
              <w:rPr>
                <w:rFonts w:cs="Arial"/>
              </w:rPr>
            </w:pPr>
            <w:r w:rsidRPr="00437158">
              <w:rPr>
                <w:rFonts w:cs="Arial"/>
              </w:rPr>
              <w:t xml:space="preserve">JASPER </w:t>
            </w:r>
          </w:p>
        </w:tc>
        <w:tc>
          <w:tcPr>
            <w:tcW w:w="3969" w:type="dxa"/>
          </w:tcPr>
          <w:p w14:paraId="4135E73D" w14:textId="77777777" w:rsidR="00437158" w:rsidRPr="00437158" w:rsidRDefault="00437158">
            <w:pPr>
              <w:suppressAutoHyphens/>
              <w:spacing w:before="40" w:after="40" w:line="200" w:lineRule="atLeast"/>
              <w:rPr>
                <w:rFonts w:cs="Arial"/>
              </w:rPr>
            </w:pPr>
            <w:r w:rsidRPr="00437158">
              <w:rPr>
                <w:rFonts w:cs="Arial"/>
                <w:b/>
              </w:rPr>
              <w:t>JASPER</w:t>
            </w:r>
            <w:r w:rsidRPr="00437158">
              <w:rPr>
                <w:rFonts w:cs="Arial"/>
              </w:rPr>
              <w:t xml:space="preserve"> is an empirically supported and manualised treatment for autistic toddlers and preschoolers with a primary focus on sustaining periods of joint engagement and increasing joint attention, gestures and play skills. </w:t>
            </w:r>
          </w:p>
        </w:tc>
        <w:tc>
          <w:tcPr>
            <w:tcW w:w="1276" w:type="dxa"/>
          </w:tcPr>
          <w:p w14:paraId="4BF4F044" w14:textId="77777777" w:rsidR="00437158" w:rsidRPr="00437158" w:rsidRDefault="00437158">
            <w:pPr>
              <w:suppressAutoHyphens/>
              <w:spacing w:before="40" w:after="40" w:line="200" w:lineRule="atLeast"/>
              <w:rPr>
                <w:rFonts w:cs="Arial"/>
              </w:rPr>
            </w:pPr>
            <w:r w:rsidRPr="00437158">
              <w:rPr>
                <w:rFonts w:cs="Arial"/>
              </w:rPr>
              <w:t xml:space="preserve">Kasari </w:t>
            </w:r>
          </w:p>
          <w:p w14:paraId="0EB24A21" w14:textId="77777777" w:rsidR="00437158" w:rsidRPr="00437158" w:rsidRDefault="00437158">
            <w:pPr>
              <w:suppressAutoHyphens/>
              <w:spacing w:before="40" w:after="40" w:line="200" w:lineRule="atLeast"/>
              <w:rPr>
                <w:rFonts w:cs="Arial"/>
              </w:rPr>
            </w:pPr>
            <w:r w:rsidRPr="00437158">
              <w:rPr>
                <w:rFonts w:cs="Arial"/>
              </w:rPr>
              <w:t xml:space="preserve">2015; Harrop </w:t>
            </w:r>
          </w:p>
          <w:p w14:paraId="68D29D44" w14:textId="77777777" w:rsidR="00437158" w:rsidRPr="00437158" w:rsidRDefault="00437158">
            <w:pPr>
              <w:suppressAutoHyphens/>
              <w:spacing w:before="40" w:after="40" w:line="200" w:lineRule="atLeast"/>
              <w:rPr>
                <w:rFonts w:cs="Arial"/>
              </w:rPr>
            </w:pPr>
            <w:r w:rsidRPr="00437158">
              <w:rPr>
                <w:rFonts w:cs="Arial"/>
              </w:rPr>
              <w:t>2017</w:t>
            </w:r>
          </w:p>
        </w:tc>
        <w:tc>
          <w:tcPr>
            <w:tcW w:w="1418" w:type="dxa"/>
          </w:tcPr>
          <w:p w14:paraId="72E82C44" w14:textId="77777777" w:rsidR="00437158" w:rsidRPr="00437158" w:rsidRDefault="00437158">
            <w:pPr>
              <w:suppressAutoHyphens/>
              <w:spacing w:before="40" w:after="40" w:line="200" w:lineRule="atLeast"/>
              <w:rPr>
                <w:rFonts w:cs="Arial"/>
              </w:rPr>
            </w:pPr>
            <w:r w:rsidRPr="00437158">
              <w:rPr>
                <w:rFonts w:cs="Arial"/>
              </w:rPr>
              <w:t>Therapist</w:t>
            </w:r>
          </w:p>
        </w:tc>
        <w:tc>
          <w:tcPr>
            <w:tcW w:w="1134" w:type="dxa"/>
          </w:tcPr>
          <w:p w14:paraId="4FF7227D"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56F303EE" w14:textId="77777777" w:rsidR="00437158" w:rsidRPr="00437158" w:rsidRDefault="00437158">
            <w:pPr>
              <w:suppressAutoHyphens/>
              <w:spacing w:before="40" w:after="40" w:line="200" w:lineRule="atLeast"/>
              <w:rPr>
                <w:rFonts w:cs="Arial"/>
              </w:rPr>
            </w:pPr>
            <w:r w:rsidRPr="00437158">
              <w:rPr>
                <w:rFonts w:cs="Arial"/>
              </w:rPr>
              <w:t>Clinic</w:t>
            </w:r>
          </w:p>
        </w:tc>
        <w:tc>
          <w:tcPr>
            <w:tcW w:w="1701" w:type="dxa"/>
          </w:tcPr>
          <w:p w14:paraId="43EA983A" w14:textId="77777777" w:rsidR="00437158" w:rsidRPr="00437158" w:rsidRDefault="00437158">
            <w:pPr>
              <w:suppressAutoHyphens/>
              <w:spacing w:before="40" w:after="40" w:line="200" w:lineRule="atLeast"/>
              <w:rPr>
                <w:rFonts w:cs="Arial"/>
              </w:rPr>
            </w:pPr>
            <w:r w:rsidRPr="00437158">
              <w:rPr>
                <w:rFonts w:cs="Arial"/>
              </w:rPr>
              <w:t>30 minutes, twice a week, for 10 weeks</w:t>
            </w:r>
          </w:p>
        </w:tc>
        <w:tc>
          <w:tcPr>
            <w:tcW w:w="1843" w:type="dxa"/>
          </w:tcPr>
          <w:p w14:paraId="19DECFF3" w14:textId="77777777" w:rsidR="00437158" w:rsidRPr="00437158" w:rsidRDefault="00437158">
            <w:pPr>
              <w:suppressAutoHyphens/>
              <w:spacing w:before="40" w:after="40" w:line="200" w:lineRule="atLeast"/>
              <w:rPr>
                <w:rFonts w:cs="Arial"/>
              </w:rPr>
            </w:pPr>
            <w:r w:rsidRPr="00437158">
              <w:rPr>
                <w:rFonts w:cs="Arial"/>
              </w:rPr>
              <w:t>Capacity-building (child);</w:t>
            </w:r>
          </w:p>
          <w:p w14:paraId="13DC5FD1" w14:textId="77777777" w:rsidR="00437158" w:rsidRPr="00437158" w:rsidRDefault="00437158">
            <w:pPr>
              <w:suppressAutoHyphens/>
              <w:spacing w:before="40" w:after="40" w:line="200" w:lineRule="atLeast"/>
              <w:rPr>
                <w:rFonts w:cs="Arial"/>
              </w:rPr>
            </w:pPr>
          </w:p>
        </w:tc>
      </w:tr>
      <w:tr w:rsidR="00437158" w:rsidRPr="00437158" w14:paraId="27DD5389"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2FB6956F" w14:textId="77777777" w:rsidR="00437158" w:rsidRPr="00437158" w:rsidRDefault="00437158">
            <w:pPr>
              <w:suppressAutoHyphens/>
              <w:spacing w:before="40" w:after="40" w:line="200" w:lineRule="atLeast"/>
              <w:rPr>
                <w:rFonts w:cs="Arial"/>
              </w:rPr>
            </w:pPr>
            <w:r w:rsidRPr="00437158">
              <w:rPr>
                <w:rFonts w:cs="Arial"/>
              </w:rPr>
              <w:t>NDBI + VF</w:t>
            </w:r>
          </w:p>
        </w:tc>
        <w:tc>
          <w:tcPr>
            <w:tcW w:w="3969" w:type="dxa"/>
          </w:tcPr>
          <w:p w14:paraId="0A8F9021" w14:textId="77777777" w:rsidR="00437158" w:rsidRPr="00437158" w:rsidRDefault="00437158">
            <w:pPr>
              <w:suppressAutoHyphens/>
              <w:spacing w:before="40" w:after="40" w:line="200" w:lineRule="atLeast"/>
              <w:rPr>
                <w:rFonts w:cs="Arial"/>
              </w:rPr>
            </w:pPr>
            <w:r w:rsidRPr="00437158">
              <w:rPr>
                <w:rFonts w:cs="Arial"/>
                <w:b/>
              </w:rPr>
              <w:t>Naturalistic Developmental Behavioural Intervention</w:t>
            </w:r>
            <w:r w:rsidRPr="00437158">
              <w:rPr>
                <w:rFonts w:cs="Arial"/>
              </w:rPr>
              <w:t xml:space="preserve"> (NDBI) + </w:t>
            </w:r>
            <w:r w:rsidRPr="00437158">
              <w:rPr>
                <w:rFonts w:cs="Arial"/>
                <w:b/>
              </w:rPr>
              <w:t>Video Feedback</w:t>
            </w:r>
            <w:r w:rsidRPr="00437158">
              <w:rPr>
                <w:rFonts w:cs="Arial"/>
              </w:rPr>
              <w:t xml:space="preserve"> (VF) Group-based clinician-mediated intervention and individual video-feedback parent coaching sessions around the use of NDBI strategies, and additional (i) children and family speech therapy, occupational therapy, and social work sessions depending on Individualised Family Service Plan, and (ii) parent psychoeducation and support groups. </w:t>
            </w:r>
          </w:p>
        </w:tc>
        <w:tc>
          <w:tcPr>
            <w:tcW w:w="1276" w:type="dxa"/>
          </w:tcPr>
          <w:p w14:paraId="4098FC6F" w14:textId="77777777" w:rsidR="00437158" w:rsidRPr="00437158" w:rsidRDefault="00437158">
            <w:pPr>
              <w:suppressAutoHyphens/>
              <w:spacing w:before="40" w:after="40" w:line="200" w:lineRule="atLeast"/>
              <w:rPr>
                <w:rFonts w:cs="Arial"/>
              </w:rPr>
            </w:pPr>
            <w:r w:rsidRPr="00437158">
              <w:rPr>
                <w:rFonts w:cs="Arial"/>
              </w:rPr>
              <w:t xml:space="preserve">Klein </w:t>
            </w:r>
          </w:p>
          <w:p w14:paraId="4818FBE0" w14:textId="77777777" w:rsidR="00437158" w:rsidRPr="00437158" w:rsidRDefault="00437158">
            <w:pPr>
              <w:suppressAutoHyphens/>
              <w:spacing w:before="40" w:after="40" w:line="200" w:lineRule="atLeast"/>
              <w:rPr>
                <w:rFonts w:cs="Arial"/>
              </w:rPr>
            </w:pPr>
            <w:r w:rsidRPr="00437158">
              <w:rPr>
                <w:rFonts w:cs="Arial"/>
              </w:rPr>
              <w:t>2021</w:t>
            </w:r>
          </w:p>
        </w:tc>
        <w:tc>
          <w:tcPr>
            <w:tcW w:w="1418" w:type="dxa"/>
          </w:tcPr>
          <w:p w14:paraId="01839A25" w14:textId="77777777" w:rsidR="00437158" w:rsidRPr="00437158" w:rsidRDefault="00437158">
            <w:pPr>
              <w:suppressAutoHyphens/>
              <w:spacing w:before="40" w:after="40" w:line="200" w:lineRule="atLeast"/>
              <w:rPr>
                <w:rFonts w:cs="Arial"/>
              </w:rPr>
            </w:pPr>
            <w:r w:rsidRPr="00437158">
              <w:rPr>
                <w:rFonts w:cs="Arial"/>
              </w:rPr>
              <w:t xml:space="preserve">Clinicians and Caregivers  </w:t>
            </w:r>
          </w:p>
        </w:tc>
        <w:tc>
          <w:tcPr>
            <w:tcW w:w="1134" w:type="dxa"/>
          </w:tcPr>
          <w:p w14:paraId="30BD21C8" w14:textId="77777777" w:rsidR="00437158" w:rsidRPr="00437158" w:rsidRDefault="00437158">
            <w:pPr>
              <w:suppressAutoHyphens/>
              <w:spacing w:before="40" w:after="40" w:line="200" w:lineRule="atLeast"/>
              <w:rPr>
                <w:rFonts w:cs="Arial"/>
              </w:rPr>
            </w:pPr>
            <w:r w:rsidRPr="00437158">
              <w:rPr>
                <w:rFonts w:cs="Arial"/>
              </w:rPr>
              <w:t xml:space="preserve">Face-to-face and online, Group and individual </w:t>
            </w:r>
          </w:p>
        </w:tc>
        <w:tc>
          <w:tcPr>
            <w:tcW w:w="1275" w:type="dxa"/>
          </w:tcPr>
          <w:p w14:paraId="62C5D32B" w14:textId="77777777" w:rsidR="00437158" w:rsidRPr="00437158" w:rsidRDefault="00437158">
            <w:pPr>
              <w:suppressAutoHyphens/>
              <w:spacing w:before="40" w:after="40" w:line="200" w:lineRule="atLeast"/>
              <w:rPr>
                <w:rFonts w:cs="Arial"/>
              </w:rPr>
            </w:pPr>
            <w:r w:rsidRPr="00437158">
              <w:rPr>
                <w:rFonts w:cs="Arial"/>
              </w:rPr>
              <w:t xml:space="preserve">Centre, home </w:t>
            </w:r>
          </w:p>
        </w:tc>
        <w:tc>
          <w:tcPr>
            <w:tcW w:w="1701" w:type="dxa"/>
          </w:tcPr>
          <w:p w14:paraId="5A42F1F9" w14:textId="77777777" w:rsidR="00437158" w:rsidRPr="00437158" w:rsidRDefault="00437158">
            <w:pPr>
              <w:shd w:val="clear" w:color="auto" w:fill="FFFFFF"/>
              <w:suppressAutoHyphens/>
              <w:spacing w:after="0" w:line="200" w:lineRule="atLeast"/>
              <w:rPr>
                <w:rFonts w:cs="Arial"/>
              </w:rPr>
            </w:pPr>
            <w:r w:rsidRPr="00437158">
              <w:rPr>
                <w:rFonts w:cs="Arial"/>
              </w:rPr>
              <w:t>0.5 hrs of VF coaching, 6 hrs weekly of group-based clinician-led intervention,1-2 hrs weekly optional psycho-education and/or parent support sessions</w:t>
            </w:r>
          </w:p>
        </w:tc>
        <w:tc>
          <w:tcPr>
            <w:tcW w:w="1843" w:type="dxa"/>
          </w:tcPr>
          <w:p w14:paraId="5549BB6B" w14:textId="77777777" w:rsidR="00437158" w:rsidRPr="00437158" w:rsidRDefault="00437158">
            <w:pPr>
              <w:suppressAutoHyphens/>
              <w:spacing w:before="40" w:after="40" w:line="200" w:lineRule="atLeast"/>
              <w:rPr>
                <w:rFonts w:cs="Arial"/>
              </w:rPr>
            </w:pPr>
            <w:r w:rsidRPr="00437158">
              <w:rPr>
                <w:rFonts w:cs="Arial"/>
              </w:rPr>
              <w:t>Family-centred (individualised);</w:t>
            </w:r>
          </w:p>
          <w:p w14:paraId="08A7C92C" w14:textId="77777777" w:rsidR="00437158" w:rsidRPr="00437158" w:rsidRDefault="00437158">
            <w:pPr>
              <w:suppressAutoHyphens/>
              <w:spacing w:before="40" w:after="40" w:line="200" w:lineRule="atLeast"/>
              <w:rPr>
                <w:rFonts w:cs="Arial"/>
              </w:rPr>
            </w:pPr>
            <w:r w:rsidRPr="00437158">
              <w:rPr>
                <w:rFonts w:cs="Arial"/>
              </w:rPr>
              <w:t>Capacity-building (child; parent);</w:t>
            </w:r>
          </w:p>
        </w:tc>
      </w:tr>
      <w:tr w:rsidR="00437158" w:rsidRPr="00437158" w14:paraId="09CE1EAF"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70DA6B3C" w14:textId="77777777" w:rsidR="00437158" w:rsidRPr="00437158" w:rsidRDefault="00437158">
            <w:pPr>
              <w:suppressAutoHyphens/>
              <w:spacing w:before="40" w:after="40" w:line="200" w:lineRule="atLeast"/>
              <w:rPr>
                <w:rFonts w:cs="Arial"/>
              </w:rPr>
            </w:pPr>
            <w:r w:rsidRPr="00437158">
              <w:rPr>
                <w:rFonts w:cs="Arial"/>
              </w:rPr>
              <w:t>PACT</w:t>
            </w:r>
          </w:p>
        </w:tc>
        <w:tc>
          <w:tcPr>
            <w:tcW w:w="3969" w:type="dxa"/>
          </w:tcPr>
          <w:p w14:paraId="0650CD0B" w14:textId="77777777" w:rsidR="00437158" w:rsidRPr="00437158" w:rsidRDefault="00437158">
            <w:pPr>
              <w:suppressAutoHyphens/>
              <w:spacing w:before="40" w:after="40" w:line="200" w:lineRule="atLeast"/>
              <w:rPr>
                <w:rFonts w:cs="Arial"/>
              </w:rPr>
            </w:pPr>
            <w:r w:rsidRPr="00437158">
              <w:rPr>
                <w:rFonts w:cs="Arial"/>
                <w:b/>
              </w:rPr>
              <w:t xml:space="preserve">Preschool Autism Communication Trial </w:t>
            </w:r>
            <w:r w:rsidRPr="00437158">
              <w:rPr>
                <w:rFonts w:cs="Arial"/>
              </w:rPr>
              <w:t xml:space="preserve">(PACT) Therapy is a developmental oriented, parent-directed and video-aided intervention moderated and matched to parental style, targeting social interactive and communication impairments. </w:t>
            </w:r>
          </w:p>
        </w:tc>
        <w:tc>
          <w:tcPr>
            <w:tcW w:w="1276" w:type="dxa"/>
          </w:tcPr>
          <w:p w14:paraId="64D6D637" w14:textId="77777777" w:rsidR="00437158" w:rsidRPr="00437158" w:rsidRDefault="00437158">
            <w:pPr>
              <w:suppressAutoHyphens/>
              <w:spacing w:before="40" w:after="40" w:line="200" w:lineRule="atLeast"/>
              <w:rPr>
                <w:rFonts w:cs="Arial"/>
              </w:rPr>
            </w:pPr>
            <w:r w:rsidRPr="00437158">
              <w:rPr>
                <w:rFonts w:cs="Arial"/>
              </w:rPr>
              <w:t xml:space="preserve">Byford </w:t>
            </w:r>
          </w:p>
          <w:p w14:paraId="20E4F72A" w14:textId="77777777" w:rsidR="00437158" w:rsidRPr="00437158" w:rsidRDefault="00437158">
            <w:pPr>
              <w:suppressAutoHyphens/>
              <w:spacing w:before="40" w:after="40" w:line="200" w:lineRule="atLeast"/>
              <w:rPr>
                <w:rFonts w:cs="Arial"/>
              </w:rPr>
            </w:pPr>
            <w:r w:rsidRPr="00437158">
              <w:rPr>
                <w:rFonts w:cs="Arial"/>
              </w:rPr>
              <w:t xml:space="preserve">2015; </w:t>
            </w:r>
          </w:p>
          <w:p w14:paraId="0AEAD16A" w14:textId="77777777" w:rsidR="00437158" w:rsidRPr="00437158" w:rsidRDefault="00437158">
            <w:pPr>
              <w:suppressAutoHyphens/>
              <w:spacing w:before="40" w:after="40" w:line="200" w:lineRule="atLeast"/>
              <w:rPr>
                <w:rFonts w:cs="Arial"/>
              </w:rPr>
            </w:pPr>
            <w:r w:rsidRPr="00437158">
              <w:rPr>
                <w:rFonts w:cs="Arial"/>
              </w:rPr>
              <w:t xml:space="preserve">Pickles </w:t>
            </w:r>
          </w:p>
          <w:p w14:paraId="6D708A19" w14:textId="77777777" w:rsidR="00437158" w:rsidRPr="00437158" w:rsidRDefault="00437158">
            <w:pPr>
              <w:suppressAutoHyphens/>
              <w:spacing w:before="40" w:after="40" w:line="200" w:lineRule="atLeast"/>
              <w:rPr>
                <w:rFonts w:cs="Arial"/>
              </w:rPr>
            </w:pPr>
            <w:r w:rsidRPr="00437158">
              <w:rPr>
                <w:rFonts w:cs="Arial"/>
              </w:rPr>
              <w:t>2016</w:t>
            </w:r>
          </w:p>
        </w:tc>
        <w:tc>
          <w:tcPr>
            <w:tcW w:w="1418" w:type="dxa"/>
          </w:tcPr>
          <w:p w14:paraId="116EE2F0" w14:textId="77777777" w:rsidR="00437158" w:rsidRPr="00437158" w:rsidRDefault="00437158">
            <w:pPr>
              <w:suppressAutoHyphens/>
              <w:spacing w:before="40" w:after="40" w:line="200" w:lineRule="atLeast"/>
              <w:rPr>
                <w:rFonts w:cs="Arial"/>
              </w:rPr>
            </w:pPr>
            <w:r w:rsidRPr="00437158">
              <w:rPr>
                <w:rFonts w:cs="Arial"/>
              </w:rPr>
              <w:t>Parents Trained by Speech and Language therapists.</w:t>
            </w:r>
          </w:p>
        </w:tc>
        <w:tc>
          <w:tcPr>
            <w:tcW w:w="1134" w:type="dxa"/>
          </w:tcPr>
          <w:p w14:paraId="6604BC6B" w14:textId="77777777" w:rsidR="00437158" w:rsidRPr="00437158" w:rsidRDefault="00437158">
            <w:pPr>
              <w:suppressAutoHyphens/>
              <w:spacing w:before="40" w:after="40" w:line="200" w:lineRule="atLeast"/>
              <w:rPr>
                <w:rFonts w:cs="Arial"/>
              </w:rPr>
            </w:pPr>
            <w:r w:rsidRPr="00437158">
              <w:rPr>
                <w:rFonts w:cs="Arial"/>
              </w:rPr>
              <w:t>Face-to-face, Individual</w:t>
            </w:r>
          </w:p>
        </w:tc>
        <w:tc>
          <w:tcPr>
            <w:tcW w:w="1275" w:type="dxa"/>
          </w:tcPr>
          <w:p w14:paraId="5EBD4DA7" w14:textId="77777777" w:rsidR="00437158" w:rsidRPr="00437158" w:rsidRDefault="00437158">
            <w:pPr>
              <w:suppressAutoHyphens/>
              <w:spacing w:before="40" w:after="40" w:line="200" w:lineRule="atLeast"/>
              <w:rPr>
                <w:rFonts w:cs="Arial"/>
              </w:rPr>
            </w:pPr>
            <w:r w:rsidRPr="00437158">
              <w:rPr>
                <w:rFonts w:cs="Arial"/>
              </w:rPr>
              <w:t>Clinic and home</w:t>
            </w:r>
          </w:p>
        </w:tc>
        <w:tc>
          <w:tcPr>
            <w:tcW w:w="1701" w:type="dxa"/>
          </w:tcPr>
          <w:p w14:paraId="1F58F861" w14:textId="77777777" w:rsidR="00437158" w:rsidRPr="00437158" w:rsidRDefault="00437158">
            <w:pPr>
              <w:suppressAutoHyphens/>
              <w:spacing w:before="40" w:after="40" w:line="200" w:lineRule="atLeast"/>
              <w:rPr>
                <w:rFonts w:cs="Arial"/>
              </w:rPr>
            </w:pPr>
            <w:r w:rsidRPr="00437158">
              <w:rPr>
                <w:rFonts w:cs="Arial"/>
              </w:rPr>
              <w:t>2.5 hours fortnightly for 6 months in clinic, and 0.5 hours of daily practice at home</w:t>
            </w:r>
          </w:p>
        </w:tc>
        <w:tc>
          <w:tcPr>
            <w:tcW w:w="1843" w:type="dxa"/>
          </w:tcPr>
          <w:p w14:paraId="333D6C9E" w14:textId="77777777" w:rsidR="00437158" w:rsidRPr="00437158" w:rsidRDefault="00437158">
            <w:pPr>
              <w:suppressAutoHyphens/>
              <w:spacing w:before="40" w:after="40" w:line="200" w:lineRule="atLeast"/>
              <w:rPr>
                <w:rFonts w:cs="Arial"/>
              </w:rPr>
            </w:pPr>
            <w:r w:rsidRPr="00437158">
              <w:rPr>
                <w:rFonts w:cs="Arial"/>
              </w:rPr>
              <w:t>Family-centred (individualised);</w:t>
            </w:r>
          </w:p>
          <w:p w14:paraId="567CB8E5" w14:textId="77777777" w:rsidR="00437158" w:rsidRPr="00437158" w:rsidRDefault="00437158">
            <w:pPr>
              <w:suppressAutoHyphens/>
              <w:spacing w:before="40" w:after="40" w:line="200" w:lineRule="atLeast"/>
              <w:rPr>
                <w:rFonts w:cs="Arial"/>
              </w:rPr>
            </w:pPr>
            <w:r w:rsidRPr="00437158">
              <w:rPr>
                <w:rFonts w:cs="Arial"/>
              </w:rPr>
              <w:t>Capacity-building (parent; child)</w:t>
            </w:r>
          </w:p>
        </w:tc>
      </w:tr>
      <w:tr w:rsidR="00437158" w:rsidRPr="00437158" w14:paraId="46487E94"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437BCBDB" w14:textId="77777777" w:rsidR="00437158" w:rsidRPr="00437158" w:rsidRDefault="00437158">
            <w:pPr>
              <w:suppressAutoHyphens/>
              <w:spacing w:before="40" w:after="40" w:line="200" w:lineRule="atLeast"/>
              <w:rPr>
                <w:rFonts w:cs="Arial"/>
              </w:rPr>
            </w:pPr>
            <w:r w:rsidRPr="00437158">
              <w:rPr>
                <w:rFonts w:cs="Arial"/>
              </w:rPr>
              <w:t>Pathways</w:t>
            </w:r>
          </w:p>
        </w:tc>
        <w:tc>
          <w:tcPr>
            <w:tcW w:w="3969" w:type="dxa"/>
          </w:tcPr>
          <w:p w14:paraId="7F4877CE" w14:textId="77777777" w:rsidR="00437158" w:rsidRPr="00437158" w:rsidRDefault="00437158">
            <w:pPr>
              <w:suppressAutoHyphens/>
              <w:spacing w:before="40" w:after="40" w:line="200" w:lineRule="atLeast"/>
              <w:rPr>
                <w:rFonts w:cs="Arial"/>
              </w:rPr>
            </w:pPr>
            <w:r w:rsidRPr="00437158">
              <w:rPr>
                <w:rFonts w:cs="Arial"/>
                <w:b/>
              </w:rPr>
              <w:t>Pathways Early Autism Intervention</w:t>
            </w:r>
            <w:r w:rsidRPr="00437158">
              <w:rPr>
                <w:rFonts w:cs="Arial"/>
              </w:rPr>
              <w:t xml:space="preserve"> (Pathways) Family-centred multi-model parent coaching aiming at</w:t>
            </w:r>
            <w:r w:rsidRPr="00437158" w:rsidDel="0062520C">
              <w:rPr>
                <w:rFonts w:cs="Arial"/>
              </w:rPr>
              <w:t xml:space="preserve"> </w:t>
            </w:r>
            <w:r w:rsidRPr="00437158">
              <w:rPr>
                <w:rFonts w:cs="Arial"/>
              </w:rPr>
              <w:t>enhancing the family's capacity to promote their child's development.</w:t>
            </w:r>
          </w:p>
        </w:tc>
        <w:tc>
          <w:tcPr>
            <w:tcW w:w="1276" w:type="dxa"/>
          </w:tcPr>
          <w:p w14:paraId="1A292594" w14:textId="77777777" w:rsidR="00437158" w:rsidRPr="00437158" w:rsidRDefault="00437158">
            <w:pPr>
              <w:suppressAutoHyphens/>
              <w:spacing w:before="40" w:after="40" w:line="200" w:lineRule="atLeast"/>
              <w:rPr>
                <w:rFonts w:cs="Arial"/>
              </w:rPr>
            </w:pPr>
            <w:r w:rsidRPr="00437158">
              <w:rPr>
                <w:rFonts w:cs="Arial"/>
              </w:rPr>
              <w:t>Rollins 2023*; Rollins 2021**</w:t>
            </w:r>
          </w:p>
        </w:tc>
        <w:tc>
          <w:tcPr>
            <w:tcW w:w="1418" w:type="dxa"/>
          </w:tcPr>
          <w:p w14:paraId="37936F77" w14:textId="77777777" w:rsidR="00437158" w:rsidRPr="00437158" w:rsidRDefault="00437158">
            <w:pPr>
              <w:suppressAutoHyphens/>
              <w:spacing w:before="40" w:after="40" w:line="200" w:lineRule="atLeast"/>
              <w:rPr>
                <w:rFonts w:cs="Arial"/>
              </w:rPr>
            </w:pPr>
            <w:r w:rsidRPr="00437158">
              <w:rPr>
                <w:rFonts w:cs="Arial"/>
              </w:rPr>
              <w:t>Intervention-trained clinical researchers.</w:t>
            </w:r>
          </w:p>
        </w:tc>
        <w:tc>
          <w:tcPr>
            <w:tcW w:w="1134" w:type="dxa"/>
          </w:tcPr>
          <w:p w14:paraId="2E27F3C2"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4DBF36E9" w14:textId="77777777" w:rsidR="00437158" w:rsidRPr="00437158" w:rsidRDefault="00437158">
            <w:pPr>
              <w:suppressAutoHyphens/>
              <w:spacing w:before="40" w:after="40" w:line="200" w:lineRule="atLeast"/>
              <w:rPr>
                <w:rFonts w:cs="Arial"/>
              </w:rPr>
            </w:pPr>
            <w:r w:rsidRPr="00437158">
              <w:rPr>
                <w:rFonts w:cs="Arial"/>
              </w:rPr>
              <w:t>Home</w:t>
            </w:r>
          </w:p>
        </w:tc>
        <w:tc>
          <w:tcPr>
            <w:tcW w:w="1701" w:type="dxa"/>
          </w:tcPr>
          <w:p w14:paraId="3BAA75E4" w14:textId="77777777" w:rsidR="00437158" w:rsidRPr="00437158" w:rsidRDefault="00437158">
            <w:pPr>
              <w:suppressAutoHyphens/>
              <w:spacing w:before="40" w:after="40" w:line="200" w:lineRule="atLeast"/>
              <w:rPr>
                <w:rFonts w:cs="Arial"/>
              </w:rPr>
            </w:pPr>
            <w:r w:rsidRPr="00437158">
              <w:rPr>
                <w:rFonts w:cs="Arial"/>
              </w:rPr>
              <w:t>1.5 hours weekly for 15 weeks *or 12 weeks **</w:t>
            </w:r>
          </w:p>
        </w:tc>
        <w:tc>
          <w:tcPr>
            <w:tcW w:w="1843" w:type="dxa"/>
          </w:tcPr>
          <w:p w14:paraId="15797F3A" w14:textId="77777777" w:rsidR="00437158" w:rsidRPr="00437158" w:rsidRDefault="00437158">
            <w:pPr>
              <w:suppressAutoHyphens/>
              <w:spacing w:before="40" w:after="40" w:line="200" w:lineRule="atLeast"/>
              <w:rPr>
                <w:rFonts w:cs="Arial"/>
              </w:rPr>
            </w:pPr>
            <w:r w:rsidRPr="00437158">
              <w:rPr>
                <w:rFonts w:cs="Arial"/>
              </w:rPr>
              <w:t>Family-centred (individualised);</w:t>
            </w:r>
          </w:p>
          <w:p w14:paraId="71128DEA" w14:textId="77777777" w:rsidR="00437158" w:rsidRPr="00437158" w:rsidRDefault="00437158">
            <w:pPr>
              <w:suppressAutoHyphens/>
              <w:spacing w:before="40" w:after="40" w:line="200" w:lineRule="atLeast"/>
              <w:rPr>
                <w:rFonts w:cs="Arial"/>
              </w:rPr>
            </w:pPr>
            <w:r w:rsidRPr="00437158">
              <w:rPr>
                <w:rFonts w:cs="Arial"/>
              </w:rPr>
              <w:t>Capacity-building (parent; child);</w:t>
            </w:r>
          </w:p>
          <w:p w14:paraId="6FDB2C89"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520B58DF"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662CC283" w14:textId="77777777" w:rsidR="00437158" w:rsidRPr="00437158" w:rsidRDefault="00437158">
            <w:pPr>
              <w:suppressAutoHyphens/>
              <w:spacing w:before="40" w:after="40" w:line="200" w:lineRule="atLeast"/>
              <w:rPr>
                <w:rFonts w:cs="Arial"/>
              </w:rPr>
            </w:pPr>
            <w:r w:rsidRPr="00437158">
              <w:rPr>
                <w:rFonts w:cs="Arial"/>
              </w:rPr>
              <w:t>PC TALK; PC TALK + MOD</w:t>
            </w:r>
          </w:p>
        </w:tc>
        <w:tc>
          <w:tcPr>
            <w:tcW w:w="3969" w:type="dxa"/>
          </w:tcPr>
          <w:p w14:paraId="5E2F181F" w14:textId="77777777" w:rsidR="00437158" w:rsidRPr="00437158" w:rsidRDefault="00437158">
            <w:pPr>
              <w:suppressAutoHyphens/>
              <w:spacing w:before="40" w:after="40" w:line="200" w:lineRule="atLeast"/>
              <w:rPr>
                <w:rFonts w:cs="Arial"/>
              </w:rPr>
            </w:pPr>
            <w:r w:rsidRPr="00437158">
              <w:rPr>
                <w:rFonts w:cs="Arial"/>
                <w:b/>
              </w:rPr>
              <w:t>Promoting Communication Tools for Accelerating Language in Kids</w:t>
            </w:r>
            <w:r w:rsidRPr="00437158">
              <w:rPr>
                <w:rFonts w:cs="Arial"/>
              </w:rPr>
              <w:t xml:space="preserve"> (PC TALK) is a parent-mediated language promotion intervention that uses manualised evidence-based intervention strategies and supporting tools derived from milieu and responsive teaching techniques. For PC TALK MOD, home visitors used the </w:t>
            </w:r>
            <w:r w:rsidRPr="00437158">
              <w:rPr>
                <w:rFonts w:cs="Arial"/>
                <w:b/>
              </w:rPr>
              <w:t>Making Online Decision</w:t>
            </w:r>
            <w:r w:rsidRPr="00437158">
              <w:rPr>
                <w:rFonts w:cs="Arial"/>
              </w:rPr>
              <w:t xml:space="preserve"> (MOD), an online adaptive intervention support system, to guide their use of the Early Communication Indicator (ECI) assessment.   </w:t>
            </w:r>
          </w:p>
        </w:tc>
        <w:tc>
          <w:tcPr>
            <w:tcW w:w="1276" w:type="dxa"/>
          </w:tcPr>
          <w:p w14:paraId="4FBD32C1" w14:textId="77777777" w:rsidR="00437158" w:rsidRPr="00437158" w:rsidRDefault="00437158">
            <w:pPr>
              <w:suppressAutoHyphens/>
              <w:spacing w:before="40" w:after="40" w:line="200" w:lineRule="atLeast"/>
              <w:rPr>
                <w:rFonts w:cs="Arial"/>
              </w:rPr>
            </w:pPr>
            <w:r w:rsidRPr="00437158">
              <w:rPr>
                <w:rFonts w:cs="Arial"/>
              </w:rPr>
              <w:t>Buzhardt 2018</w:t>
            </w:r>
          </w:p>
        </w:tc>
        <w:tc>
          <w:tcPr>
            <w:tcW w:w="1418" w:type="dxa"/>
          </w:tcPr>
          <w:p w14:paraId="2850F99F" w14:textId="77777777" w:rsidR="00437158" w:rsidRPr="00437158" w:rsidRDefault="00437158">
            <w:pPr>
              <w:suppressAutoHyphens/>
              <w:spacing w:before="40" w:after="40" w:line="200" w:lineRule="atLeast"/>
              <w:rPr>
                <w:rFonts w:cs="Arial"/>
              </w:rPr>
            </w:pPr>
            <w:r w:rsidRPr="00437158">
              <w:rPr>
                <w:rFonts w:cs="Arial"/>
              </w:rPr>
              <w:t>Intervention-Trained Home Visitors (HV)</w:t>
            </w:r>
          </w:p>
        </w:tc>
        <w:tc>
          <w:tcPr>
            <w:tcW w:w="1134" w:type="dxa"/>
          </w:tcPr>
          <w:p w14:paraId="458504A1" w14:textId="77777777" w:rsidR="00437158" w:rsidRPr="00437158" w:rsidRDefault="00437158">
            <w:pPr>
              <w:suppressAutoHyphens/>
              <w:spacing w:before="40" w:after="40" w:line="200" w:lineRule="atLeast"/>
              <w:rPr>
                <w:rFonts w:cs="Arial"/>
              </w:rPr>
            </w:pPr>
            <w:r w:rsidRPr="00437158">
              <w:rPr>
                <w:rFonts w:cs="Arial"/>
              </w:rPr>
              <w:t xml:space="preserve">Online support for HV (in PC TALK +MOD), face-to-face, individual </w:t>
            </w:r>
          </w:p>
        </w:tc>
        <w:tc>
          <w:tcPr>
            <w:tcW w:w="1275" w:type="dxa"/>
          </w:tcPr>
          <w:p w14:paraId="1B0F735A" w14:textId="77777777" w:rsidR="00437158" w:rsidRPr="00437158" w:rsidRDefault="00437158">
            <w:pPr>
              <w:suppressAutoHyphens/>
              <w:spacing w:before="40" w:after="40" w:line="200" w:lineRule="atLeast"/>
              <w:rPr>
                <w:rFonts w:cs="Arial"/>
              </w:rPr>
            </w:pPr>
            <w:r w:rsidRPr="00437158">
              <w:rPr>
                <w:rFonts w:cs="Arial"/>
              </w:rPr>
              <w:t>Home (PC TALK); Home + Online (PC TALK + MOD)</w:t>
            </w:r>
          </w:p>
        </w:tc>
        <w:tc>
          <w:tcPr>
            <w:tcW w:w="1701" w:type="dxa"/>
          </w:tcPr>
          <w:p w14:paraId="3AC8F586" w14:textId="77777777" w:rsidR="00437158" w:rsidRPr="00437158" w:rsidRDefault="00437158">
            <w:pPr>
              <w:suppressAutoHyphens/>
              <w:spacing w:before="40" w:after="40" w:line="200" w:lineRule="atLeast"/>
              <w:rPr>
                <w:rFonts w:cs="Arial"/>
              </w:rPr>
            </w:pPr>
            <w:r w:rsidRPr="00437158">
              <w:rPr>
                <w:rFonts w:cs="Arial"/>
              </w:rPr>
              <w:t>Weekly</w:t>
            </w:r>
          </w:p>
        </w:tc>
        <w:tc>
          <w:tcPr>
            <w:tcW w:w="1843" w:type="dxa"/>
          </w:tcPr>
          <w:p w14:paraId="4A7FE780" w14:textId="77777777" w:rsidR="00437158" w:rsidRPr="00437158" w:rsidRDefault="00437158">
            <w:pPr>
              <w:suppressAutoHyphens/>
              <w:spacing w:before="40" w:after="40" w:line="200" w:lineRule="atLeast"/>
              <w:rPr>
                <w:rFonts w:cs="Arial"/>
              </w:rPr>
            </w:pPr>
            <w:r w:rsidRPr="00437158">
              <w:rPr>
                <w:rFonts w:cs="Arial"/>
              </w:rPr>
              <w:t>Family-centred (individualised);</w:t>
            </w:r>
          </w:p>
          <w:p w14:paraId="27E100D4" w14:textId="77777777" w:rsidR="00437158" w:rsidRPr="00437158" w:rsidRDefault="00437158">
            <w:pPr>
              <w:suppressAutoHyphens/>
              <w:spacing w:before="40" w:after="40" w:line="200" w:lineRule="atLeast"/>
              <w:rPr>
                <w:rFonts w:cs="Arial"/>
              </w:rPr>
            </w:pPr>
            <w:r w:rsidRPr="00437158">
              <w:rPr>
                <w:rFonts w:cs="Arial"/>
              </w:rPr>
              <w:t>Capacity-building (parent; child);</w:t>
            </w:r>
          </w:p>
          <w:p w14:paraId="7DE98AFF" w14:textId="77777777" w:rsidR="00437158" w:rsidRPr="00437158" w:rsidRDefault="00437158">
            <w:pPr>
              <w:suppressAutoHyphens/>
              <w:spacing w:before="40" w:after="40" w:line="200" w:lineRule="atLeast"/>
              <w:rPr>
                <w:rFonts w:cs="Arial"/>
              </w:rPr>
            </w:pPr>
            <w:r w:rsidRPr="00437158">
              <w:rPr>
                <w:rFonts w:cs="Arial"/>
              </w:rPr>
              <w:t>Natural env.;</w:t>
            </w:r>
          </w:p>
          <w:p w14:paraId="03864B81" w14:textId="77777777" w:rsidR="00437158" w:rsidRPr="00437158" w:rsidRDefault="00437158">
            <w:pPr>
              <w:suppressAutoHyphens/>
              <w:spacing w:before="40" w:after="40" w:line="200" w:lineRule="atLeast"/>
              <w:rPr>
                <w:rFonts w:cs="Arial"/>
              </w:rPr>
            </w:pPr>
            <w:r w:rsidRPr="00437158">
              <w:rPr>
                <w:rFonts w:cs="Arial"/>
              </w:rPr>
              <w:t>Evidence-informed</w:t>
            </w:r>
          </w:p>
        </w:tc>
      </w:tr>
      <w:tr w:rsidR="00437158" w:rsidRPr="00437158" w14:paraId="19927DF6"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185D4805" w14:textId="77777777" w:rsidR="00437158" w:rsidRPr="00437158" w:rsidRDefault="00437158">
            <w:pPr>
              <w:suppressAutoHyphens/>
              <w:spacing w:before="40" w:after="40" w:line="200" w:lineRule="atLeast"/>
              <w:rPr>
                <w:rFonts w:cs="Arial"/>
              </w:rPr>
            </w:pPr>
            <w:r w:rsidRPr="00437158">
              <w:rPr>
                <w:rFonts w:cs="Arial"/>
              </w:rPr>
              <w:t>PEI</w:t>
            </w:r>
          </w:p>
        </w:tc>
        <w:tc>
          <w:tcPr>
            <w:tcW w:w="3969" w:type="dxa"/>
          </w:tcPr>
          <w:p w14:paraId="4DA09599" w14:textId="77777777" w:rsidR="00437158" w:rsidRPr="00437158" w:rsidRDefault="00437158">
            <w:pPr>
              <w:suppressAutoHyphens/>
              <w:spacing w:before="40" w:after="40" w:line="200" w:lineRule="atLeast"/>
              <w:rPr>
                <w:rFonts w:cs="Arial"/>
              </w:rPr>
            </w:pPr>
            <w:r w:rsidRPr="00437158">
              <w:rPr>
                <w:rFonts w:cs="Arial"/>
                <w:b/>
              </w:rPr>
              <w:t>Parent Early Intervention</w:t>
            </w:r>
            <w:r w:rsidRPr="00437158">
              <w:rPr>
                <w:rFonts w:cs="Arial"/>
              </w:rPr>
              <w:t xml:space="preserve"> (PEI) is a manualised intervention that provides individual education and support to parents of young children with autism. The content focused on autism and behavioural intervention information, including strategies for teaching new skills, improving social interaction and communication, and managing other's responses to autism and parental stress.</w:t>
            </w:r>
          </w:p>
          <w:p w14:paraId="2497E7C0" w14:textId="77777777" w:rsidR="00437158" w:rsidRPr="00437158" w:rsidRDefault="00437158">
            <w:pPr>
              <w:suppressAutoHyphens/>
              <w:spacing w:before="40" w:after="40" w:line="200" w:lineRule="atLeast"/>
              <w:rPr>
                <w:rFonts w:cs="Arial"/>
              </w:rPr>
            </w:pPr>
            <w:r w:rsidRPr="00437158">
              <w:rPr>
                <w:rFonts w:cs="Arial"/>
              </w:rPr>
              <w:t>(comparison intervention to JASPER)</w:t>
            </w:r>
          </w:p>
        </w:tc>
        <w:tc>
          <w:tcPr>
            <w:tcW w:w="1276" w:type="dxa"/>
          </w:tcPr>
          <w:p w14:paraId="72A26A11" w14:textId="77777777" w:rsidR="00437158" w:rsidRPr="00437158" w:rsidRDefault="00437158">
            <w:pPr>
              <w:suppressAutoHyphens/>
              <w:spacing w:before="40" w:after="40" w:line="200" w:lineRule="atLeast"/>
              <w:rPr>
                <w:rFonts w:cs="Arial"/>
              </w:rPr>
            </w:pPr>
            <w:r w:rsidRPr="00437158">
              <w:rPr>
                <w:rFonts w:cs="Arial"/>
              </w:rPr>
              <w:t>Kasari 2015; Harrop 2017</w:t>
            </w:r>
          </w:p>
        </w:tc>
        <w:tc>
          <w:tcPr>
            <w:tcW w:w="1418" w:type="dxa"/>
          </w:tcPr>
          <w:p w14:paraId="5BCC0CA7" w14:textId="77777777" w:rsidR="00437158" w:rsidRPr="00437158" w:rsidRDefault="00437158">
            <w:pPr>
              <w:suppressAutoHyphens/>
              <w:spacing w:before="40" w:after="40" w:line="200" w:lineRule="atLeast"/>
              <w:rPr>
                <w:rFonts w:cs="Arial"/>
              </w:rPr>
            </w:pPr>
            <w:r w:rsidRPr="00437158">
              <w:rPr>
                <w:rFonts w:cs="Arial"/>
              </w:rPr>
              <w:t>Therapist</w:t>
            </w:r>
          </w:p>
        </w:tc>
        <w:tc>
          <w:tcPr>
            <w:tcW w:w="1134" w:type="dxa"/>
          </w:tcPr>
          <w:p w14:paraId="3E0E53E3"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46B4F08C" w14:textId="77777777" w:rsidR="00437158" w:rsidRPr="00437158" w:rsidRDefault="00437158">
            <w:pPr>
              <w:suppressAutoHyphens/>
              <w:spacing w:before="40" w:after="40" w:line="200" w:lineRule="atLeast"/>
              <w:rPr>
                <w:rFonts w:cs="Arial"/>
              </w:rPr>
            </w:pPr>
            <w:r w:rsidRPr="00437158">
              <w:rPr>
                <w:rFonts w:cs="Arial"/>
              </w:rPr>
              <w:t>Clinic</w:t>
            </w:r>
          </w:p>
        </w:tc>
        <w:tc>
          <w:tcPr>
            <w:tcW w:w="1701" w:type="dxa"/>
          </w:tcPr>
          <w:p w14:paraId="267D16D5" w14:textId="77777777" w:rsidR="00437158" w:rsidRPr="00437158" w:rsidRDefault="00437158">
            <w:pPr>
              <w:suppressAutoHyphens/>
              <w:spacing w:before="40" w:after="40" w:line="200" w:lineRule="atLeast"/>
              <w:rPr>
                <w:rFonts w:cs="Arial"/>
              </w:rPr>
            </w:pPr>
            <w:r w:rsidRPr="00437158">
              <w:rPr>
                <w:rFonts w:cs="Arial"/>
              </w:rPr>
              <w:t>60 minutes, once a week for 10 weeks</w:t>
            </w:r>
          </w:p>
        </w:tc>
        <w:tc>
          <w:tcPr>
            <w:tcW w:w="1843" w:type="dxa"/>
          </w:tcPr>
          <w:p w14:paraId="27E1B967" w14:textId="77777777" w:rsidR="00437158" w:rsidRPr="00437158" w:rsidRDefault="00437158">
            <w:pPr>
              <w:suppressAutoHyphens/>
              <w:spacing w:before="40" w:after="40" w:line="200" w:lineRule="atLeast"/>
              <w:rPr>
                <w:rFonts w:cs="Arial"/>
              </w:rPr>
            </w:pPr>
            <w:r w:rsidRPr="00437158">
              <w:rPr>
                <w:rFonts w:cs="Arial"/>
              </w:rPr>
              <w:t>Capacity-building (parent)</w:t>
            </w:r>
          </w:p>
        </w:tc>
      </w:tr>
      <w:tr w:rsidR="00437158" w:rsidRPr="00437158" w14:paraId="0B8F93A0"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23F6FC2B" w14:textId="77777777" w:rsidR="00437158" w:rsidRPr="00437158" w:rsidRDefault="00437158">
            <w:pPr>
              <w:suppressAutoHyphens/>
              <w:spacing w:before="40" w:after="40" w:line="200" w:lineRule="atLeast"/>
              <w:rPr>
                <w:rFonts w:cs="Arial"/>
              </w:rPr>
            </w:pPr>
            <w:r w:rsidRPr="00437158">
              <w:rPr>
                <w:rFonts w:cs="Arial"/>
              </w:rPr>
              <w:t>PEP</w:t>
            </w:r>
          </w:p>
        </w:tc>
        <w:tc>
          <w:tcPr>
            <w:tcW w:w="3969" w:type="dxa"/>
          </w:tcPr>
          <w:p w14:paraId="5534C121" w14:textId="77777777" w:rsidR="00437158" w:rsidRPr="00437158" w:rsidRDefault="00437158">
            <w:pPr>
              <w:suppressAutoHyphens/>
              <w:spacing w:before="40" w:after="40" w:line="200" w:lineRule="atLeast"/>
              <w:rPr>
                <w:rFonts w:cs="Arial"/>
              </w:rPr>
            </w:pPr>
            <w:r w:rsidRPr="00437158">
              <w:rPr>
                <w:rFonts w:cs="Arial"/>
              </w:rPr>
              <w:t xml:space="preserve">A telehealth-delivered </w:t>
            </w:r>
            <w:r w:rsidRPr="00437158">
              <w:rPr>
                <w:rFonts w:cs="Arial"/>
                <w:b/>
              </w:rPr>
              <w:t>parent education program</w:t>
            </w:r>
            <w:r w:rsidRPr="00437158">
              <w:rPr>
                <w:rFonts w:cs="Arial"/>
              </w:rPr>
              <w:t xml:space="preserve"> (PEP) covering a variety of autism-related topics, including one sleep-focused session.</w:t>
            </w:r>
          </w:p>
          <w:p w14:paraId="63E20214" w14:textId="77777777" w:rsidR="00437158" w:rsidRPr="00437158" w:rsidRDefault="00437158">
            <w:pPr>
              <w:suppressAutoHyphens/>
              <w:spacing w:before="40" w:after="40" w:line="200" w:lineRule="atLeast"/>
              <w:rPr>
                <w:rFonts w:cs="Arial"/>
              </w:rPr>
            </w:pPr>
            <w:r w:rsidRPr="00437158">
              <w:rPr>
                <w:rFonts w:cs="Arial"/>
              </w:rPr>
              <w:t>(comparison intervention to SPT)</w:t>
            </w:r>
          </w:p>
        </w:tc>
        <w:tc>
          <w:tcPr>
            <w:tcW w:w="1276" w:type="dxa"/>
          </w:tcPr>
          <w:p w14:paraId="7076931A" w14:textId="77777777" w:rsidR="00437158" w:rsidRPr="00437158" w:rsidRDefault="00437158">
            <w:pPr>
              <w:suppressAutoHyphens/>
              <w:spacing w:before="40" w:after="40" w:line="200" w:lineRule="atLeast"/>
              <w:rPr>
                <w:rFonts w:cs="Arial"/>
              </w:rPr>
            </w:pPr>
            <w:r w:rsidRPr="00437158">
              <w:rPr>
                <w:rFonts w:cs="Arial"/>
              </w:rPr>
              <w:t>Johnson 2023</w:t>
            </w:r>
          </w:p>
        </w:tc>
        <w:tc>
          <w:tcPr>
            <w:tcW w:w="1418" w:type="dxa"/>
          </w:tcPr>
          <w:p w14:paraId="0FF6447C" w14:textId="77777777" w:rsidR="00437158" w:rsidRPr="00437158" w:rsidRDefault="00437158">
            <w:pPr>
              <w:suppressAutoHyphens/>
              <w:spacing w:before="40" w:after="40" w:line="200" w:lineRule="atLeast"/>
              <w:rPr>
                <w:rFonts w:cs="Arial"/>
              </w:rPr>
            </w:pPr>
            <w:r w:rsidRPr="00437158">
              <w:rPr>
                <w:rFonts w:cs="Arial"/>
              </w:rPr>
              <w:t>Caregiver (Behaviour analyst or psychologist to coach)</w:t>
            </w:r>
          </w:p>
        </w:tc>
        <w:tc>
          <w:tcPr>
            <w:tcW w:w="1134" w:type="dxa"/>
          </w:tcPr>
          <w:p w14:paraId="75ADFC12" w14:textId="77777777" w:rsidR="00437158" w:rsidRPr="00437158" w:rsidRDefault="00437158">
            <w:pPr>
              <w:suppressAutoHyphens/>
              <w:spacing w:before="40" w:after="40" w:line="200" w:lineRule="atLeast"/>
              <w:rPr>
                <w:rFonts w:cs="Arial"/>
              </w:rPr>
            </w:pPr>
            <w:r w:rsidRPr="00437158">
              <w:rPr>
                <w:rFonts w:cs="Arial"/>
              </w:rPr>
              <w:t>Online, Individual</w:t>
            </w:r>
          </w:p>
        </w:tc>
        <w:tc>
          <w:tcPr>
            <w:tcW w:w="1275" w:type="dxa"/>
          </w:tcPr>
          <w:p w14:paraId="2EAC3321" w14:textId="77777777" w:rsidR="00437158" w:rsidRPr="00437158" w:rsidRDefault="00437158">
            <w:pPr>
              <w:suppressAutoHyphens/>
              <w:spacing w:before="40" w:after="40" w:line="200" w:lineRule="atLeast"/>
              <w:rPr>
                <w:rFonts w:cs="Arial"/>
              </w:rPr>
            </w:pPr>
            <w:r w:rsidRPr="00437158">
              <w:rPr>
                <w:rFonts w:cs="Arial"/>
              </w:rPr>
              <w:t>Home via Telehealth</w:t>
            </w:r>
          </w:p>
        </w:tc>
        <w:tc>
          <w:tcPr>
            <w:tcW w:w="1701" w:type="dxa"/>
          </w:tcPr>
          <w:p w14:paraId="1F3244BE" w14:textId="77777777" w:rsidR="00437158" w:rsidRPr="00437158" w:rsidRDefault="00437158">
            <w:pPr>
              <w:suppressAutoHyphens/>
              <w:spacing w:before="40" w:after="40" w:line="200" w:lineRule="atLeast"/>
              <w:rPr>
                <w:rFonts w:cs="Arial"/>
              </w:rPr>
            </w:pPr>
            <w:r w:rsidRPr="00437158">
              <w:rPr>
                <w:rFonts w:cs="Arial"/>
              </w:rPr>
              <w:t>5 X 1-hour sessions over 10 weeks</w:t>
            </w:r>
          </w:p>
        </w:tc>
        <w:tc>
          <w:tcPr>
            <w:tcW w:w="1843" w:type="dxa"/>
          </w:tcPr>
          <w:p w14:paraId="6683F900" w14:textId="77777777" w:rsidR="00437158" w:rsidRPr="00437158" w:rsidRDefault="00437158">
            <w:pPr>
              <w:suppressAutoHyphens/>
              <w:spacing w:before="40" w:after="40" w:line="200" w:lineRule="atLeast"/>
              <w:rPr>
                <w:rFonts w:cs="Arial"/>
              </w:rPr>
            </w:pPr>
            <w:r w:rsidRPr="00437158">
              <w:rPr>
                <w:rFonts w:cs="Arial"/>
              </w:rPr>
              <w:t>Capacity-building (parent);</w:t>
            </w:r>
          </w:p>
          <w:p w14:paraId="6FF455E1" w14:textId="77777777" w:rsidR="00437158" w:rsidRPr="00437158" w:rsidRDefault="00437158">
            <w:pPr>
              <w:suppressAutoHyphens/>
              <w:spacing w:before="40" w:after="40" w:line="200" w:lineRule="atLeast"/>
              <w:rPr>
                <w:rFonts w:cs="Arial"/>
              </w:rPr>
            </w:pPr>
            <w:r w:rsidRPr="00437158">
              <w:rPr>
                <w:rFonts w:cs="Arial"/>
              </w:rPr>
              <w:t xml:space="preserve">Natural env. </w:t>
            </w:r>
          </w:p>
        </w:tc>
      </w:tr>
      <w:tr w:rsidR="00437158" w:rsidRPr="00437158" w14:paraId="04193BBC"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1E1F1068" w14:textId="77777777" w:rsidR="00437158" w:rsidRPr="00437158" w:rsidRDefault="00437158">
            <w:pPr>
              <w:suppressAutoHyphens/>
              <w:spacing w:before="40" w:after="40" w:line="200" w:lineRule="atLeast"/>
              <w:rPr>
                <w:rFonts w:cs="Arial"/>
              </w:rPr>
            </w:pPr>
            <w:r w:rsidRPr="00437158">
              <w:rPr>
                <w:rFonts w:cs="Arial"/>
              </w:rPr>
              <w:t xml:space="preserve">PLAY </w:t>
            </w:r>
          </w:p>
        </w:tc>
        <w:tc>
          <w:tcPr>
            <w:tcW w:w="3969" w:type="dxa"/>
          </w:tcPr>
          <w:p w14:paraId="28C530DC" w14:textId="77777777" w:rsidR="00437158" w:rsidRPr="00437158" w:rsidRDefault="00437158">
            <w:pPr>
              <w:suppressAutoHyphens/>
              <w:spacing w:before="40" w:after="40" w:line="200" w:lineRule="atLeast"/>
              <w:rPr>
                <w:rFonts w:cs="Arial"/>
              </w:rPr>
            </w:pPr>
            <w:r w:rsidRPr="00437158">
              <w:rPr>
                <w:rFonts w:cs="Arial"/>
              </w:rPr>
              <w:t xml:space="preserve"> </w:t>
            </w:r>
            <w:r w:rsidRPr="00437158">
              <w:rPr>
                <w:rFonts w:cs="Arial"/>
                <w:b/>
              </w:rPr>
              <w:t xml:space="preserve">Play and Language for Autistic Youngsters </w:t>
            </w:r>
            <w:r w:rsidRPr="00437158">
              <w:rPr>
                <w:rFonts w:cs="Arial"/>
              </w:rPr>
              <w:t xml:space="preserve">(PLAY) is a parent-mediated, developmental, home consultation program for young autistic children. Focused on social reciprocity and based on Greenspan and Wieder's Developmental, individual differences, and relationship-based (DIR) theoretical framework, PLAY includes coaching, modelling, video feedback and a tailored 'PLAY plan'. </w:t>
            </w:r>
          </w:p>
        </w:tc>
        <w:tc>
          <w:tcPr>
            <w:tcW w:w="1276" w:type="dxa"/>
          </w:tcPr>
          <w:p w14:paraId="2FF041E9" w14:textId="77777777" w:rsidR="00437158" w:rsidRPr="00437158" w:rsidRDefault="00437158">
            <w:pPr>
              <w:suppressAutoHyphens/>
              <w:spacing w:before="40" w:after="40" w:line="200" w:lineRule="atLeast"/>
              <w:rPr>
                <w:rFonts w:cs="Arial"/>
              </w:rPr>
            </w:pPr>
            <w:r w:rsidRPr="00437158">
              <w:rPr>
                <w:rFonts w:cs="Arial"/>
              </w:rPr>
              <w:t>Solomon 2014</w:t>
            </w:r>
          </w:p>
        </w:tc>
        <w:tc>
          <w:tcPr>
            <w:tcW w:w="1418" w:type="dxa"/>
          </w:tcPr>
          <w:p w14:paraId="2F1D6741" w14:textId="77777777" w:rsidR="00437158" w:rsidRPr="00437158" w:rsidRDefault="00437158">
            <w:pPr>
              <w:suppressAutoHyphens/>
              <w:spacing w:before="40" w:after="40" w:line="200" w:lineRule="atLeast"/>
              <w:rPr>
                <w:rFonts w:cs="Arial"/>
              </w:rPr>
            </w:pPr>
            <w:r w:rsidRPr="00437158">
              <w:rPr>
                <w:rFonts w:cs="Arial"/>
              </w:rPr>
              <w:t>Trained consultant</w:t>
            </w:r>
          </w:p>
        </w:tc>
        <w:tc>
          <w:tcPr>
            <w:tcW w:w="1134" w:type="dxa"/>
          </w:tcPr>
          <w:p w14:paraId="160EF9C3" w14:textId="77777777" w:rsidR="00437158" w:rsidRPr="00437158" w:rsidRDefault="00437158">
            <w:pPr>
              <w:suppressAutoHyphens/>
              <w:spacing w:before="40" w:after="40" w:line="200" w:lineRule="atLeast"/>
              <w:rPr>
                <w:rFonts w:cs="Arial"/>
              </w:rPr>
            </w:pPr>
            <w:r w:rsidRPr="00437158">
              <w:rPr>
                <w:rFonts w:cs="Arial"/>
              </w:rPr>
              <w:t>Face-to-face, individual</w:t>
            </w:r>
          </w:p>
        </w:tc>
        <w:tc>
          <w:tcPr>
            <w:tcW w:w="1275" w:type="dxa"/>
          </w:tcPr>
          <w:p w14:paraId="57907CD0" w14:textId="77777777" w:rsidR="00437158" w:rsidRPr="00437158" w:rsidRDefault="00437158">
            <w:pPr>
              <w:suppressAutoHyphens/>
              <w:spacing w:before="40" w:after="40" w:line="200" w:lineRule="atLeast"/>
              <w:rPr>
                <w:rFonts w:cs="Arial"/>
              </w:rPr>
            </w:pPr>
            <w:r w:rsidRPr="00437158">
              <w:rPr>
                <w:rFonts w:cs="Arial"/>
              </w:rPr>
              <w:t>Home</w:t>
            </w:r>
          </w:p>
        </w:tc>
        <w:tc>
          <w:tcPr>
            <w:tcW w:w="1701" w:type="dxa"/>
          </w:tcPr>
          <w:p w14:paraId="5D1122A2" w14:textId="77777777" w:rsidR="00437158" w:rsidRPr="00437158" w:rsidRDefault="00437158">
            <w:pPr>
              <w:suppressAutoHyphens/>
              <w:spacing w:before="40" w:after="40" w:line="200" w:lineRule="atLeast"/>
              <w:rPr>
                <w:rFonts w:cs="Arial"/>
              </w:rPr>
            </w:pPr>
            <w:r w:rsidRPr="00437158">
              <w:rPr>
                <w:rFonts w:cs="Arial"/>
              </w:rPr>
              <w:t>3 hours monthly for 12 months + 2 hours per day parent-child play sessions</w:t>
            </w:r>
          </w:p>
        </w:tc>
        <w:tc>
          <w:tcPr>
            <w:tcW w:w="1843" w:type="dxa"/>
          </w:tcPr>
          <w:p w14:paraId="756A9058" w14:textId="77777777" w:rsidR="00437158" w:rsidRPr="00437158" w:rsidRDefault="00437158">
            <w:pPr>
              <w:suppressAutoHyphens/>
              <w:spacing w:before="40" w:after="40" w:line="200" w:lineRule="atLeast"/>
              <w:rPr>
                <w:rFonts w:cs="Arial"/>
              </w:rPr>
            </w:pPr>
            <w:r w:rsidRPr="00437158">
              <w:rPr>
                <w:rFonts w:cs="Arial"/>
              </w:rPr>
              <w:t>Family-centred (individualised);</w:t>
            </w:r>
          </w:p>
          <w:p w14:paraId="1430649A" w14:textId="77777777" w:rsidR="00437158" w:rsidRPr="00437158" w:rsidRDefault="00437158">
            <w:pPr>
              <w:suppressAutoHyphens/>
              <w:spacing w:before="40" w:after="40" w:line="200" w:lineRule="atLeast"/>
              <w:rPr>
                <w:rFonts w:cs="Arial"/>
              </w:rPr>
            </w:pPr>
            <w:r w:rsidRPr="00437158">
              <w:rPr>
                <w:rFonts w:cs="Arial"/>
              </w:rPr>
              <w:t>Capacity-building (parent; child);</w:t>
            </w:r>
          </w:p>
          <w:p w14:paraId="1F901953" w14:textId="77777777" w:rsidR="00437158" w:rsidRPr="00437158" w:rsidRDefault="00437158">
            <w:pPr>
              <w:suppressAutoHyphens/>
              <w:spacing w:before="40" w:after="40" w:line="200" w:lineRule="atLeast"/>
              <w:rPr>
                <w:rFonts w:cs="Arial"/>
              </w:rPr>
            </w:pPr>
            <w:r w:rsidRPr="00437158">
              <w:rPr>
                <w:rFonts w:cs="Arial"/>
              </w:rPr>
              <w:t>Natural env.;</w:t>
            </w:r>
          </w:p>
          <w:p w14:paraId="76285386" w14:textId="77777777" w:rsidR="00437158" w:rsidRPr="00437158" w:rsidRDefault="00437158">
            <w:pPr>
              <w:suppressAutoHyphens/>
              <w:spacing w:before="40" w:after="40" w:line="200" w:lineRule="atLeast"/>
              <w:rPr>
                <w:rFonts w:cs="Arial"/>
              </w:rPr>
            </w:pPr>
            <w:r w:rsidRPr="00437158">
              <w:rPr>
                <w:rFonts w:cs="Arial"/>
              </w:rPr>
              <w:t>Participation (play)</w:t>
            </w:r>
          </w:p>
        </w:tc>
      </w:tr>
      <w:tr w:rsidR="00437158" w:rsidRPr="00437158" w14:paraId="01299394"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57155F1B" w14:textId="77777777" w:rsidR="00437158" w:rsidRPr="00437158" w:rsidRDefault="00437158">
            <w:pPr>
              <w:suppressAutoHyphens/>
              <w:spacing w:before="40" w:after="40" w:line="200" w:lineRule="atLeast"/>
              <w:rPr>
                <w:rFonts w:cs="Arial"/>
              </w:rPr>
            </w:pPr>
            <w:r w:rsidRPr="00437158">
              <w:rPr>
                <w:rFonts w:cs="Arial"/>
              </w:rPr>
              <w:t>PP</w:t>
            </w:r>
          </w:p>
        </w:tc>
        <w:tc>
          <w:tcPr>
            <w:tcW w:w="3969" w:type="dxa"/>
          </w:tcPr>
          <w:p w14:paraId="69EE7768" w14:textId="77777777" w:rsidR="00437158" w:rsidRPr="00437158" w:rsidRDefault="00437158">
            <w:pPr>
              <w:suppressAutoHyphens/>
              <w:spacing w:before="40" w:after="40" w:line="200" w:lineRule="atLeast"/>
              <w:rPr>
                <w:rFonts w:cs="Arial"/>
              </w:rPr>
            </w:pPr>
            <w:r w:rsidRPr="00437158">
              <w:rPr>
                <w:rFonts w:cs="Arial"/>
              </w:rPr>
              <w:t>The AEPS curriculum was used to select therapeutic goals in the domains of social-communication, motor, cognitive, and adaptive skills. The parent education sessions focused on behaviour management, accessing services, and daily living skills</w:t>
            </w:r>
          </w:p>
          <w:p w14:paraId="7C67C07F" w14:textId="77777777" w:rsidR="00437158" w:rsidRPr="00437158" w:rsidRDefault="00437158">
            <w:pPr>
              <w:suppressAutoHyphens/>
              <w:spacing w:before="40" w:after="40" w:line="200" w:lineRule="atLeast"/>
              <w:rPr>
                <w:rFonts w:cs="Arial"/>
              </w:rPr>
            </w:pPr>
            <w:r w:rsidRPr="00437158">
              <w:rPr>
                <w:rFonts w:cs="Arial"/>
              </w:rPr>
              <w:t>(comparison intervention to JASPER)</w:t>
            </w:r>
          </w:p>
        </w:tc>
        <w:tc>
          <w:tcPr>
            <w:tcW w:w="1276" w:type="dxa"/>
          </w:tcPr>
          <w:p w14:paraId="3350C1AC" w14:textId="77777777" w:rsidR="00437158" w:rsidRPr="00437158" w:rsidRDefault="00437158">
            <w:pPr>
              <w:suppressAutoHyphens/>
              <w:spacing w:before="40" w:after="40" w:line="200" w:lineRule="atLeast"/>
              <w:rPr>
                <w:rFonts w:cs="Arial"/>
              </w:rPr>
            </w:pPr>
            <w:r w:rsidRPr="00437158">
              <w:rPr>
                <w:rFonts w:cs="Arial"/>
              </w:rPr>
              <w:t>Gulsrud 2024</w:t>
            </w:r>
          </w:p>
        </w:tc>
        <w:tc>
          <w:tcPr>
            <w:tcW w:w="1418" w:type="dxa"/>
          </w:tcPr>
          <w:p w14:paraId="3C22AECA" w14:textId="77777777" w:rsidR="00437158" w:rsidRPr="00437158" w:rsidRDefault="00437158">
            <w:pPr>
              <w:suppressAutoHyphens/>
              <w:spacing w:before="40" w:after="40" w:line="200" w:lineRule="atLeast"/>
              <w:rPr>
                <w:rFonts w:cs="Arial"/>
              </w:rPr>
            </w:pPr>
            <w:r w:rsidRPr="00437158">
              <w:rPr>
                <w:rFonts w:cs="Arial"/>
              </w:rPr>
              <w:t>Therapists</w:t>
            </w:r>
          </w:p>
        </w:tc>
        <w:tc>
          <w:tcPr>
            <w:tcW w:w="1134" w:type="dxa"/>
          </w:tcPr>
          <w:p w14:paraId="199843EB" w14:textId="77777777" w:rsidR="00437158" w:rsidRPr="00437158" w:rsidRDefault="00437158">
            <w:pPr>
              <w:suppressAutoHyphens/>
              <w:spacing w:before="40" w:after="40" w:line="200" w:lineRule="atLeast"/>
              <w:rPr>
                <w:rFonts w:cs="Arial"/>
              </w:rPr>
            </w:pPr>
            <w:r w:rsidRPr="00437158">
              <w:rPr>
                <w:rFonts w:cs="Arial"/>
              </w:rPr>
              <w:t>Group</w:t>
            </w:r>
          </w:p>
        </w:tc>
        <w:tc>
          <w:tcPr>
            <w:tcW w:w="1275" w:type="dxa"/>
          </w:tcPr>
          <w:p w14:paraId="01723B42" w14:textId="77777777" w:rsidR="00437158" w:rsidRPr="00437158" w:rsidRDefault="00437158">
            <w:pPr>
              <w:suppressAutoHyphens/>
              <w:spacing w:before="40" w:after="40" w:line="200" w:lineRule="atLeast"/>
              <w:rPr>
                <w:rFonts w:cs="Arial"/>
              </w:rPr>
            </w:pPr>
            <w:r w:rsidRPr="00437158">
              <w:rPr>
                <w:rFonts w:cs="Arial"/>
              </w:rPr>
              <w:t xml:space="preserve">Preschool classroom </w:t>
            </w:r>
          </w:p>
        </w:tc>
        <w:tc>
          <w:tcPr>
            <w:tcW w:w="1701" w:type="dxa"/>
          </w:tcPr>
          <w:p w14:paraId="1657FEE3" w14:textId="77777777" w:rsidR="00437158" w:rsidRPr="00437158" w:rsidRDefault="00437158">
            <w:pPr>
              <w:suppressAutoHyphens/>
              <w:spacing w:before="40" w:after="40" w:line="200" w:lineRule="atLeast"/>
              <w:rPr>
                <w:rFonts w:cs="Arial"/>
              </w:rPr>
            </w:pPr>
            <w:r w:rsidRPr="00437158">
              <w:rPr>
                <w:rFonts w:cs="Arial"/>
              </w:rPr>
              <w:t>3-hour sessions twice weekly, for 8 weeks (with 1 hour parent training included)</w:t>
            </w:r>
          </w:p>
        </w:tc>
        <w:tc>
          <w:tcPr>
            <w:tcW w:w="1843" w:type="dxa"/>
          </w:tcPr>
          <w:p w14:paraId="48DA0EE0" w14:textId="77777777" w:rsidR="00437158" w:rsidRPr="00437158" w:rsidRDefault="00437158">
            <w:pPr>
              <w:suppressAutoHyphens/>
              <w:spacing w:before="40" w:after="40" w:line="200" w:lineRule="atLeast"/>
              <w:rPr>
                <w:rFonts w:cs="Arial"/>
              </w:rPr>
            </w:pPr>
            <w:r w:rsidRPr="00437158">
              <w:rPr>
                <w:rFonts w:cs="Arial"/>
              </w:rPr>
              <w:t>Capacity-building (parent);</w:t>
            </w:r>
          </w:p>
          <w:p w14:paraId="7079867E"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39610C0E"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330F355C" w14:textId="77777777" w:rsidR="00437158" w:rsidRPr="00437158" w:rsidRDefault="00437158">
            <w:pPr>
              <w:suppressAutoHyphens/>
              <w:spacing w:before="40" w:after="40" w:line="200" w:lineRule="atLeast"/>
              <w:rPr>
                <w:rFonts w:cs="Arial"/>
              </w:rPr>
            </w:pPr>
            <w:r w:rsidRPr="00437158">
              <w:rPr>
                <w:rFonts w:cs="Arial"/>
              </w:rPr>
              <w:t xml:space="preserve">PRISM </w:t>
            </w:r>
          </w:p>
        </w:tc>
        <w:tc>
          <w:tcPr>
            <w:tcW w:w="3969" w:type="dxa"/>
          </w:tcPr>
          <w:p w14:paraId="697EE4C9" w14:textId="77777777" w:rsidR="00437158" w:rsidRPr="00437158" w:rsidRDefault="00437158">
            <w:pPr>
              <w:suppressAutoHyphens/>
              <w:spacing w:before="40" w:after="40" w:line="200" w:lineRule="atLeast"/>
              <w:rPr>
                <w:rFonts w:cs="Arial"/>
              </w:rPr>
            </w:pPr>
            <w:r w:rsidRPr="00437158">
              <w:rPr>
                <w:rFonts w:cs="Arial"/>
                <w:b/>
              </w:rPr>
              <w:t>Pivotal Response Intervention for Social Motivation</w:t>
            </w:r>
            <w:r w:rsidRPr="00437158">
              <w:rPr>
                <w:rFonts w:cs="Arial"/>
              </w:rPr>
              <w:t xml:space="preserve"> (PRISM) is grounded in an antecedent-behaviour-consequence three-term contingency framework and incorporates Pivotal Response Treatment components. Clinicians model relevant techniques in 1:1 sessions and parents practice implementation.  </w:t>
            </w:r>
          </w:p>
        </w:tc>
        <w:tc>
          <w:tcPr>
            <w:tcW w:w="1276" w:type="dxa"/>
          </w:tcPr>
          <w:p w14:paraId="441BDA9C" w14:textId="77777777" w:rsidR="00437158" w:rsidRPr="00437158" w:rsidRDefault="00437158">
            <w:pPr>
              <w:suppressAutoHyphens/>
              <w:spacing w:before="40" w:after="40" w:line="200" w:lineRule="atLeast"/>
              <w:rPr>
                <w:rFonts w:cs="Arial"/>
              </w:rPr>
            </w:pPr>
            <w:r w:rsidRPr="00437158">
              <w:rPr>
                <w:rFonts w:cs="Arial"/>
              </w:rPr>
              <w:t xml:space="preserve">Barrett </w:t>
            </w:r>
          </w:p>
          <w:p w14:paraId="7B9E5DE6" w14:textId="77777777" w:rsidR="00437158" w:rsidRPr="00437158" w:rsidRDefault="00437158">
            <w:pPr>
              <w:suppressAutoHyphens/>
              <w:spacing w:before="40" w:after="40" w:line="200" w:lineRule="atLeast"/>
              <w:rPr>
                <w:rFonts w:cs="Arial"/>
              </w:rPr>
            </w:pPr>
            <w:r w:rsidRPr="00437158">
              <w:rPr>
                <w:rFonts w:cs="Arial"/>
              </w:rPr>
              <w:t>2020</w:t>
            </w:r>
          </w:p>
        </w:tc>
        <w:tc>
          <w:tcPr>
            <w:tcW w:w="1418" w:type="dxa"/>
          </w:tcPr>
          <w:p w14:paraId="0585287C" w14:textId="77777777" w:rsidR="00437158" w:rsidRPr="00437158" w:rsidRDefault="00437158">
            <w:pPr>
              <w:suppressAutoHyphens/>
              <w:spacing w:before="40" w:after="40" w:line="200" w:lineRule="atLeast"/>
              <w:rPr>
                <w:rFonts w:cs="Arial"/>
              </w:rPr>
            </w:pPr>
            <w:r w:rsidRPr="00437158">
              <w:rPr>
                <w:rFonts w:cs="Arial"/>
              </w:rPr>
              <w:t>Trained therapist and PRISM trained parent</w:t>
            </w:r>
          </w:p>
        </w:tc>
        <w:tc>
          <w:tcPr>
            <w:tcW w:w="1134" w:type="dxa"/>
          </w:tcPr>
          <w:p w14:paraId="606ECE20" w14:textId="77777777" w:rsidR="00437158" w:rsidRPr="00437158" w:rsidRDefault="00437158">
            <w:pPr>
              <w:suppressAutoHyphens/>
              <w:spacing w:before="40" w:after="40" w:line="200" w:lineRule="atLeast"/>
              <w:rPr>
                <w:rFonts w:cs="Arial"/>
              </w:rPr>
            </w:pPr>
            <w:r w:rsidRPr="00437158">
              <w:rPr>
                <w:rFonts w:cs="Arial"/>
              </w:rPr>
              <w:t>Face-to-Face, Individual</w:t>
            </w:r>
          </w:p>
        </w:tc>
        <w:tc>
          <w:tcPr>
            <w:tcW w:w="1275" w:type="dxa"/>
          </w:tcPr>
          <w:p w14:paraId="15E67A7E" w14:textId="77777777" w:rsidR="00437158" w:rsidRPr="00437158" w:rsidRDefault="00437158">
            <w:pPr>
              <w:suppressAutoHyphens/>
              <w:spacing w:before="40" w:after="40" w:line="200" w:lineRule="atLeast"/>
              <w:rPr>
                <w:rFonts w:cs="Arial"/>
              </w:rPr>
            </w:pPr>
            <w:r w:rsidRPr="00437158">
              <w:rPr>
                <w:rFonts w:cs="Arial"/>
              </w:rPr>
              <w:t>Home</w:t>
            </w:r>
          </w:p>
        </w:tc>
        <w:tc>
          <w:tcPr>
            <w:tcW w:w="1701" w:type="dxa"/>
          </w:tcPr>
          <w:p w14:paraId="45F5F795" w14:textId="77777777" w:rsidR="00437158" w:rsidRPr="00437158" w:rsidRDefault="00437158">
            <w:pPr>
              <w:suppressAutoHyphens/>
              <w:spacing w:before="40" w:after="40" w:line="200" w:lineRule="atLeast"/>
              <w:rPr>
                <w:rFonts w:cs="Arial"/>
              </w:rPr>
            </w:pPr>
            <w:r w:rsidRPr="00437158">
              <w:rPr>
                <w:rFonts w:cs="Arial"/>
              </w:rPr>
              <w:t>10 hours weekly (8 with therapist, 2 with parent), for 6 months</w:t>
            </w:r>
          </w:p>
        </w:tc>
        <w:tc>
          <w:tcPr>
            <w:tcW w:w="1843" w:type="dxa"/>
          </w:tcPr>
          <w:p w14:paraId="0827F7BC" w14:textId="77777777" w:rsidR="00437158" w:rsidRPr="00437158" w:rsidRDefault="00437158">
            <w:pPr>
              <w:suppressAutoHyphens/>
              <w:spacing w:before="40" w:after="40" w:line="200" w:lineRule="atLeast"/>
              <w:rPr>
                <w:rFonts w:cs="Arial"/>
              </w:rPr>
            </w:pPr>
            <w:r w:rsidRPr="00437158">
              <w:rPr>
                <w:rFonts w:cs="Arial"/>
              </w:rPr>
              <w:t>Capacity-building (parent);</w:t>
            </w:r>
          </w:p>
          <w:p w14:paraId="00578A4B"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0C94CC0A"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5B184064" w14:textId="77777777" w:rsidR="00437158" w:rsidRPr="00437158" w:rsidRDefault="00437158">
            <w:pPr>
              <w:suppressAutoHyphens/>
              <w:spacing w:before="40" w:after="40" w:line="200" w:lineRule="atLeast"/>
              <w:rPr>
                <w:rFonts w:cs="Arial"/>
              </w:rPr>
            </w:pPr>
            <w:r w:rsidRPr="00437158">
              <w:rPr>
                <w:rFonts w:cs="Arial"/>
              </w:rPr>
              <w:t>PWP</w:t>
            </w:r>
          </w:p>
        </w:tc>
        <w:tc>
          <w:tcPr>
            <w:tcW w:w="3969" w:type="dxa"/>
          </w:tcPr>
          <w:p w14:paraId="4C6B133F" w14:textId="77777777" w:rsidR="00437158" w:rsidRPr="00437158" w:rsidRDefault="00437158">
            <w:pPr>
              <w:suppressAutoHyphens/>
              <w:spacing w:before="40" w:after="40" w:line="200" w:lineRule="atLeast"/>
              <w:rPr>
                <w:rFonts w:cs="Arial"/>
              </w:rPr>
            </w:pPr>
            <w:r w:rsidRPr="00437158">
              <w:rPr>
                <w:rFonts w:cs="Arial"/>
                <w:b/>
              </w:rPr>
              <w:t xml:space="preserve">Pursuit of Wellbeing </w:t>
            </w:r>
            <w:r w:rsidRPr="00437158">
              <w:rPr>
                <w:rFonts w:cs="Arial"/>
              </w:rPr>
              <w:t>is a professional development training program for key workers, including 3 educational modules: i) the importance of, and barriers to, supporting parental mental wellbeing; ii) capacity building activities to increase confidence to support parental wellbeing; and iii) a toolkit of psychological resources for key workers to discuss well-being with parents during home visits</w:t>
            </w:r>
          </w:p>
        </w:tc>
        <w:tc>
          <w:tcPr>
            <w:tcW w:w="1276" w:type="dxa"/>
          </w:tcPr>
          <w:p w14:paraId="42CE2656" w14:textId="77777777" w:rsidR="00437158" w:rsidRPr="00437158" w:rsidRDefault="00437158">
            <w:pPr>
              <w:suppressAutoHyphens/>
              <w:spacing w:before="40" w:after="40" w:line="200" w:lineRule="atLeast"/>
              <w:rPr>
                <w:rFonts w:cs="Arial"/>
              </w:rPr>
            </w:pPr>
            <w:r w:rsidRPr="00437158">
              <w:rPr>
                <w:rFonts w:cs="Arial"/>
              </w:rPr>
              <w:t xml:space="preserve">Young </w:t>
            </w:r>
          </w:p>
          <w:p w14:paraId="79A191E6" w14:textId="77777777" w:rsidR="00437158" w:rsidRPr="00437158" w:rsidRDefault="00437158">
            <w:pPr>
              <w:suppressAutoHyphens/>
              <w:spacing w:before="40" w:after="40" w:line="200" w:lineRule="atLeast"/>
              <w:rPr>
                <w:rFonts w:cs="Arial"/>
              </w:rPr>
            </w:pPr>
            <w:r w:rsidRPr="00437158">
              <w:rPr>
                <w:rFonts w:cs="Arial"/>
              </w:rPr>
              <w:t>2023</w:t>
            </w:r>
          </w:p>
        </w:tc>
        <w:tc>
          <w:tcPr>
            <w:tcW w:w="1418" w:type="dxa"/>
          </w:tcPr>
          <w:p w14:paraId="46670A88" w14:textId="77777777" w:rsidR="00437158" w:rsidRPr="00437158" w:rsidRDefault="00437158">
            <w:pPr>
              <w:suppressAutoHyphens/>
              <w:spacing w:before="40" w:after="40" w:line="200" w:lineRule="atLeast"/>
              <w:rPr>
                <w:rFonts w:cs="Arial"/>
              </w:rPr>
            </w:pPr>
            <w:r w:rsidRPr="00437158">
              <w:rPr>
                <w:rFonts w:cs="Arial"/>
              </w:rPr>
              <w:t>Psychologists</w:t>
            </w:r>
          </w:p>
        </w:tc>
        <w:tc>
          <w:tcPr>
            <w:tcW w:w="1134" w:type="dxa"/>
          </w:tcPr>
          <w:p w14:paraId="7A0BE57C" w14:textId="77777777" w:rsidR="00437158" w:rsidRPr="00437158" w:rsidRDefault="00437158">
            <w:pPr>
              <w:suppressAutoHyphens/>
              <w:spacing w:before="40" w:after="40" w:line="200" w:lineRule="atLeast"/>
              <w:rPr>
                <w:rFonts w:cs="Arial"/>
              </w:rPr>
            </w:pPr>
            <w:r w:rsidRPr="00437158">
              <w:rPr>
                <w:rFonts w:cs="Arial"/>
              </w:rPr>
              <w:t>Face to face, Group</w:t>
            </w:r>
          </w:p>
        </w:tc>
        <w:tc>
          <w:tcPr>
            <w:tcW w:w="1275" w:type="dxa"/>
          </w:tcPr>
          <w:p w14:paraId="356FBD55" w14:textId="77777777" w:rsidR="00437158" w:rsidRPr="00437158" w:rsidRDefault="00437158">
            <w:pPr>
              <w:suppressAutoHyphens/>
              <w:spacing w:before="40" w:after="40" w:line="200" w:lineRule="atLeast"/>
              <w:rPr>
                <w:rFonts w:cs="Arial"/>
              </w:rPr>
            </w:pPr>
            <w:r w:rsidRPr="00437158">
              <w:rPr>
                <w:rFonts w:cs="Arial"/>
              </w:rPr>
              <w:t>NR</w:t>
            </w:r>
          </w:p>
        </w:tc>
        <w:tc>
          <w:tcPr>
            <w:tcW w:w="1701" w:type="dxa"/>
          </w:tcPr>
          <w:p w14:paraId="1ABF4650" w14:textId="77777777" w:rsidR="00437158" w:rsidRPr="00437158" w:rsidRDefault="00437158">
            <w:pPr>
              <w:suppressAutoHyphens/>
              <w:spacing w:before="40" w:after="40" w:line="200" w:lineRule="atLeast"/>
              <w:rPr>
                <w:rFonts w:cs="Arial"/>
              </w:rPr>
            </w:pPr>
            <w:r w:rsidRPr="00437158">
              <w:rPr>
                <w:rFonts w:cs="Arial"/>
              </w:rPr>
              <w:t>One-day training session and resources</w:t>
            </w:r>
          </w:p>
        </w:tc>
        <w:tc>
          <w:tcPr>
            <w:tcW w:w="1843" w:type="dxa"/>
          </w:tcPr>
          <w:p w14:paraId="36F93C23" w14:textId="77777777" w:rsidR="00437158" w:rsidRPr="00437158" w:rsidRDefault="00437158">
            <w:pPr>
              <w:suppressAutoHyphens/>
              <w:spacing w:before="40" w:after="40" w:line="200" w:lineRule="atLeast"/>
              <w:rPr>
                <w:rFonts w:cs="Arial"/>
              </w:rPr>
            </w:pPr>
            <w:r w:rsidRPr="00437158">
              <w:rPr>
                <w:rFonts w:cs="Arial"/>
              </w:rPr>
              <w:t xml:space="preserve">Capacity-building (professionals); </w:t>
            </w:r>
          </w:p>
          <w:p w14:paraId="1284D2B9" w14:textId="77777777" w:rsidR="00437158" w:rsidRPr="00437158" w:rsidRDefault="00437158">
            <w:pPr>
              <w:suppressAutoHyphens/>
              <w:spacing w:before="40" w:after="40" w:line="200" w:lineRule="atLeast"/>
              <w:rPr>
                <w:rFonts w:cs="Arial"/>
              </w:rPr>
            </w:pPr>
            <w:r w:rsidRPr="00437158">
              <w:rPr>
                <w:rFonts w:cs="Arial"/>
              </w:rPr>
              <w:t>ECI outcomes (whole of family – wellbeing)</w:t>
            </w:r>
          </w:p>
        </w:tc>
      </w:tr>
      <w:tr w:rsidR="00437158" w:rsidRPr="00437158" w14:paraId="627D7CB8"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43646463" w14:textId="77777777" w:rsidR="00437158" w:rsidRPr="00437158" w:rsidRDefault="00437158">
            <w:pPr>
              <w:suppressAutoHyphens/>
              <w:spacing w:before="40" w:after="40" w:line="200" w:lineRule="atLeast"/>
              <w:rPr>
                <w:rFonts w:cs="Arial"/>
              </w:rPr>
            </w:pPr>
            <w:r w:rsidRPr="00437158">
              <w:rPr>
                <w:rFonts w:cs="Arial"/>
              </w:rPr>
              <w:t xml:space="preserve">Responsive Strategies </w:t>
            </w:r>
          </w:p>
        </w:tc>
        <w:tc>
          <w:tcPr>
            <w:tcW w:w="3969" w:type="dxa"/>
          </w:tcPr>
          <w:p w14:paraId="7D6C121D" w14:textId="77777777" w:rsidR="00437158" w:rsidRPr="00437158" w:rsidRDefault="00437158">
            <w:pPr>
              <w:suppressAutoHyphens/>
              <w:spacing w:before="40" w:after="40" w:line="200" w:lineRule="atLeast"/>
              <w:rPr>
                <w:rFonts w:cs="Arial"/>
              </w:rPr>
            </w:pPr>
            <w:r w:rsidRPr="00437158">
              <w:rPr>
                <w:rFonts w:cs="Arial"/>
              </w:rPr>
              <w:t xml:space="preserve">A </w:t>
            </w:r>
            <w:r w:rsidRPr="00437158">
              <w:rPr>
                <w:rFonts w:cs="Arial"/>
                <w:b/>
              </w:rPr>
              <w:t xml:space="preserve">parent-mediated language facilitation </w:t>
            </w:r>
            <w:r w:rsidRPr="00437158">
              <w:rPr>
                <w:rFonts w:cs="Arial"/>
              </w:rPr>
              <w:t xml:space="preserve">strategies for which the parents learn to: (a) identify the presence of a child communicative act, (b) interpret its function, and (c) generate a response that is appropriate to the context and the child's developmental level. </w:t>
            </w:r>
          </w:p>
        </w:tc>
        <w:tc>
          <w:tcPr>
            <w:tcW w:w="1276" w:type="dxa"/>
          </w:tcPr>
          <w:p w14:paraId="35FFCECF" w14:textId="77777777" w:rsidR="00437158" w:rsidRPr="00437158" w:rsidRDefault="00437158">
            <w:pPr>
              <w:suppressAutoHyphens/>
              <w:spacing w:before="40" w:after="40" w:line="200" w:lineRule="atLeast"/>
              <w:rPr>
                <w:rFonts w:cs="Arial"/>
              </w:rPr>
            </w:pPr>
            <w:r w:rsidRPr="00437158">
              <w:rPr>
                <w:rFonts w:cs="Arial"/>
              </w:rPr>
              <w:t>Roberts 2023</w:t>
            </w:r>
          </w:p>
        </w:tc>
        <w:tc>
          <w:tcPr>
            <w:tcW w:w="1418" w:type="dxa"/>
          </w:tcPr>
          <w:p w14:paraId="31ADA0CF" w14:textId="77777777" w:rsidR="00437158" w:rsidRPr="00437158" w:rsidRDefault="00437158">
            <w:pPr>
              <w:suppressAutoHyphens/>
              <w:spacing w:before="40" w:after="40" w:line="200" w:lineRule="atLeast"/>
              <w:rPr>
                <w:rFonts w:cs="Arial"/>
              </w:rPr>
            </w:pPr>
            <w:r w:rsidRPr="00437158">
              <w:rPr>
                <w:rFonts w:cs="Arial"/>
              </w:rPr>
              <w:t xml:space="preserve">Caregiver trained by bachelor's or master's-level Interventionist </w:t>
            </w:r>
          </w:p>
        </w:tc>
        <w:tc>
          <w:tcPr>
            <w:tcW w:w="1134" w:type="dxa"/>
          </w:tcPr>
          <w:p w14:paraId="6CFEF538"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0C126540" w14:textId="77777777" w:rsidR="00437158" w:rsidRPr="00437158" w:rsidRDefault="00437158">
            <w:pPr>
              <w:suppressAutoHyphens/>
              <w:spacing w:before="40" w:after="40" w:line="200" w:lineRule="atLeast"/>
              <w:rPr>
                <w:rFonts w:cs="Arial"/>
              </w:rPr>
            </w:pPr>
            <w:r w:rsidRPr="00437158">
              <w:rPr>
                <w:rFonts w:cs="Arial"/>
              </w:rPr>
              <w:t>At home</w:t>
            </w:r>
          </w:p>
        </w:tc>
        <w:tc>
          <w:tcPr>
            <w:tcW w:w="1701" w:type="dxa"/>
          </w:tcPr>
          <w:p w14:paraId="38C2FE20" w14:textId="77777777" w:rsidR="00437158" w:rsidRPr="00437158" w:rsidRDefault="00437158">
            <w:pPr>
              <w:suppressAutoHyphens/>
              <w:spacing w:before="40" w:after="40" w:line="200" w:lineRule="atLeast"/>
              <w:rPr>
                <w:rFonts w:cs="Arial"/>
              </w:rPr>
            </w:pPr>
            <w:r w:rsidRPr="00437158">
              <w:rPr>
                <w:rFonts w:cs="Arial"/>
              </w:rPr>
              <w:t>1 hour, weekly for 8 weeks</w:t>
            </w:r>
          </w:p>
        </w:tc>
        <w:tc>
          <w:tcPr>
            <w:tcW w:w="1843" w:type="dxa"/>
          </w:tcPr>
          <w:p w14:paraId="2B9BDC1B" w14:textId="77777777" w:rsidR="00437158" w:rsidRPr="00437158" w:rsidRDefault="00437158">
            <w:pPr>
              <w:suppressAutoHyphens/>
              <w:spacing w:before="40" w:after="40" w:line="200" w:lineRule="atLeast"/>
              <w:rPr>
                <w:rFonts w:cs="Arial"/>
              </w:rPr>
            </w:pPr>
            <w:r w:rsidRPr="00437158">
              <w:rPr>
                <w:rFonts w:cs="Arial"/>
              </w:rPr>
              <w:t>Capacity-building (parent);</w:t>
            </w:r>
          </w:p>
          <w:p w14:paraId="1557C06B"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75CE4960"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0326935C" w14:textId="77777777" w:rsidR="00437158" w:rsidRPr="00437158" w:rsidRDefault="00437158">
            <w:pPr>
              <w:suppressAutoHyphens/>
              <w:spacing w:before="40" w:after="40" w:line="200" w:lineRule="atLeast"/>
              <w:rPr>
                <w:rFonts w:cs="Arial"/>
              </w:rPr>
            </w:pPr>
            <w:r w:rsidRPr="00437158">
              <w:rPr>
                <w:rFonts w:cs="Arial"/>
              </w:rPr>
              <w:t>RIT</w:t>
            </w:r>
          </w:p>
        </w:tc>
        <w:tc>
          <w:tcPr>
            <w:tcW w:w="3969" w:type="dxa"/>
          </w:tcPr>
          <w:p w14:paraId="79EFF534" w14:textId="77777777" w:rsidR="00437158" w:rsidRPr="00437158" w:rsidRDefault="00437158">
            <w:pPr>
              <w:suppressAutoHyphens/>
              <w:spacing w:before="40" w:after="40" w:line="200" w:lineRule="atLeast"/>
              <w:rPr>
                <w:rFonts w:cs="Arial"/>
              </w:rPr>
            </w:pPr>
            <w:r w:rsidRPr="00437158">
              <w:rPr>
                <w:rFonts w:cs="Arial"/>
              </w:rPr>
              <w:t xml:space="preserve">Online </w:t>
            </w:r>
            <w:r w:rsidRPr="00437158">
              <w:rPr>
                <w:rFonts w:cs="Arial"/>
                <w:b/>
              </w:rPr>
              <w:t xml:space="preserve">Reciprocal Imitation Training </w:t>
            </w:r>
            <w:r w:rsidRPr="00437158">
              <w:rPr>
                <w:rFonts w:cs="Arial"/>
              </w:rPr>
              <w:t>(RIT) is an interactive parent-mediated website intervention teaching RIT via four modules. Each learning module includes an instructional video, quiz, interactive exercises, and at-home planning and reflection. The site allows users to track their individualized goals, and the time spent working on their goals.</w:t>
            </w:r>
          </w:p>
        </w:tc>
        <w:tc>
          <w:tcPr>
            <w:tcW w:w="1276" w:type="dxa"/>
          </w:tcPr>
          <w:p w14:paraId="059EC25C" w14:textId="77777777" w:rsidR="00437158" w:rsidRPr="00437158" w:rsidRDefault="00437158">
            <w:pPr>
              <w:suppressAutoHyphens/>
              <w:spacing w:before="40" w:after="40" w:line="200" w:lineRule="atLeast"/>
              <w:rPr>
                <w:rFonts w:cs="Arial"/>
              </w:rPr>
            </w:pPr>
            <w:r w:rsidRPr="00437158">
              <w:rPr>
                <w:rFonts w:cs="Arial"/>
              </w:rPr>
              <w:t xml:space="preserve">Wainer </w:t>
            </w:r>
          </w:p>
          <w:p w14:paraId="3692EE35" w14:textId="77777777" w:rsidR="00437158" w:rsidRPr="00437158" w:rsidRDefault="00437158">
            <w:pPr>
              <w:suppressAutoHyphens/>
              <w:spacing w:before="40" w:after="40" w:line="200" w:lineRule="atLeast"/>
              <w:rPr>
                <w:rFonts w:cs="Arial"/>
              </w:rPr>
            </w:pPr>
            <w:r w:rsidRPr="00437158">
              <w:rPr>
                <w:rFonts w:cs="Arial"/>
              </w:rPr>
              <w:t>2021</w:t>
            </w:r>
          </w:p>
        </w:tc>
        <w:tc>
          <w:tcPr>
            <w:tcW w:w="1418" w:type="dxa"/>
          </w:tcPr>
          <w:p w14:paraId="3DC9363B" w14:textId="77777777" w:rsidR="00437158" w:rsidRPr="00437158" w:rsidRDefault="00437158">
            <w:pPr>
              <w:suppressAutoHyphens/>
              <w:spacing w:before="40" w:after="40" w:line="200" w:lineRule="atLeast"/>
              <w:rPr>
                <w:rFonts w:cs="Arial"/>
              </w:rPr>
            </w:pPr>
            <w:r w:rsidRPr="00437158">
              <w:rPr>
                <w:rFonts w:cs="Arial"/>
              </w:rPr>
              <w:t>Caregiver (online training via website and videoconference coaching)</w:t>
            </w:r>
          </w:p>
        </w:tc>
        <w:tc>
          <w:tcPr>
            <w:tcW w:w="1134" w:type="dxa"/>
          </w:tcPr>
          <w:p w14:paraId="6B323A24" w14:textId="77777777" w:rsidR="00437158" w:rsidRPr="00437158" w:rsidRDefault="00437158">
            <w:pPr>
              <w:suppressAutoHyphens/>
              <w:spacing w:before="40" w:after="40" w:line="200" w:lineRule="atLeast"/>
              <w:rPr>
                <w:rFonts w:cs="Arial"/>
              </w:rPr>
            </w:pPr>
            <w:r w:rsidRPr="00437158">
              <w:rPr>
                <w:rFonts w:cs="Arial"/>
              </w:rPr>
              <w:t>Online, individual</w:t>
            </w:r>
          </w:p>
        </w:tc>
        <w:tc>
          <w:tcPr>
            <w:tcW w:w="1275" w:type="dxa"/>
          </w:tcPr>
          <w:p w14:paraId="00ED6693" w14:textId="77777777" w:rsidR="00437158" w:rsidRPr="00437158" w:rsidRDefault="00437158">
            <w:pPr>
              <w:suppressAutoHyphens/>
              <w:spacing w:before="40" w:after="40" w:line="200" w:lineRule="atLeast"/>
              <w:rPr>
                <w:rFonts w:cs="Arial"/>
              </w:rPr>
            </w:pPr>
            <w:r w:rsidRPr="00437158">
              <w:rPr>
                <w:rFonts w:cs="Arial"/>
              </w:rPr>
              <w:t>Home via online platform</w:t>
            </w:r>
          </w:p>
        </w:tc>
        <w:tc>
          <w:tcPr>
            <w:tcW w:w="1701" w:type="dxa"/>
          </w:tcPr>
          <w:p w14:paraId="2E84D3AB" w14:textId="77777777" w:rsidR="00437158" w:rsidRPr="00437158" w:rsidRDefault="00437158">
            <w:pPr>
              <w:suppressAutoHyphens/>
              <w:spacing w:before="40" w:after="40" w:line="200" w:lineRule="atLeast"/>
              <w:rPr>
                <w:rFonts w:cs="Arial"/>
              </w:rPr>
            </w:pPr>
            <w:r w:rsidRPr="00437158">
              <w:rPr>
                <w:rFonts w:cs="Arial"/>
              </w:rPr>
              <w:t>Coaching 1 per week + 4 modules over a period of 5 weeks (1 per week, 1 week to practice). Module/practice time duration not reported.</w:t>
            </w:r>
          </w:p>
        </w:tc>
        <w:tc>
          <w:tcPr>
            <w:tcW w:w="1843" w:type="dxa"/>
          </w:tcPr>
          <w:p w14:paraId="38B91ECA" w14:textId="77777777" w:rsidR="00437158" w:rsidRPr="00437158" w:rsidRDefault="00437158">
            <w:pPr>
              <w:suppressAutoHyphens/>
              <w:spacing w:before="40" w:after="40" w:line="200" w:lineRule="atLeast"/>
              <w:rPr>
                <w:rFonts w:cs="Arial"/>
              </w:rPr>
            </w:pPr>
            <w:r w:rsidRPr="00437158">
              <w:rPr>
                <w:rFonts w:cs="Arial"/>
              </w:rPr>
              <w:t>Capacity-building (parent);</w:t>
            </w:r>
          </w:p>
          <w:p w14:paraId="30DEFE4B"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318DE2EF"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05E1E8AE" w14:textId="77777777" w:rsidR="00437158" w:rsidRPr="00437158" w:rsidRDefault="00437158">
            <w:pPr>
              <w:suppressAutoHyphens/>
              <w:spacing w:before="40" w:after="40" w:line="200" w:lineRule="atLeast"/>
              <w:rPr>
                <w:rFonts w:cs="Arial"/>
              </w:rPr>
            </w:pPr>
            <w:r w:rsidRPr="00437158">
              <w:rPr>
                <w:rFonts w:cs="Arial"/>
              </w:rPr>
              <w:t>SCERTS</w:t>
            </w:r>
          </w:p>
        </w:tc>
        <w:tc>
          <w:tcPr>
            <w:tcW w:w="3969" w:type="dxa"/>
          </w:tcPr>
          <w:p w14:paraId="46A817FA" w14:textId="77777777" w:rsidR="00437158" w:rsidRPr="00437158" w:rsidRDefault="00437158">
            <w:pPr>
              <w:suppressAutoHyphens/>
              <w:spacing w:before="40" w:after="40" w:line="200" w:lineRule="atLeast"/>
              <w:rPr>
                <w:rFonts w:cs="Arial"/>
              </w:rPr>
            </w:pPr>
            <w:r w:rsidRPr="00437158">
              <w:rPr>
                <w:rFonts w:cs="Arial"/>
                <w:b/>
              </w:rPr>
              <w:t xml:space="preserve">Social, Communication, Emotional Regulation, and Transactional Supports </w:t>
            </w:r>
            <w:r w:rsidRPr="00437158">
              <w:rPr>
                <w:rFonts w:cs="Arial"/>
              </w:rPr>
              <w:t>(SCERTS) Classroom Intervention (CSI) was developed for implementation by classroom personnel in the elementary setting. SCERTS is characterized as a Naturalistic Developmental Behavioral Intervention (NDBI). Teachers completed an initial training and received ongoing, direct coaching throughout the school year to support implementation of CSI within the classroom.</w:t>
            </w:r>
          </w:p>
        </w:tc>
        <w:tc>
          <w:tcPr>
            <w:tcW w:w="1276" w:type="dxa"/>
          </w:tcPr>
          <w:p w14:paraId="39ACB793" w14:textId="77777777" w:rsidR="00437158" w:rsidRPr="00437158" w:rsidRDefault="00437158">
            <w:pPr>
              <w:suppressAutoHyphens/>
              <w:spacing w:before="40" w:after="40" w:line="200" w:lineRule="atLeast"/>
              <w:rPr>
                <w:rFonts w:cs="Arial"/>
              </w:rPr>
            </w:pPr>
            <w:r w:rsidRPr="00437158">
              <w:rPr>
                <w:rFonts w:cs="Arial"/>
              </w:rPr>
              <w:t>Morgan 2018</w:t>
            </w:r>
          </w:p>
        </w:tc>
        <w:tc>
          <w:tcPr>
            <w:tcW w:w="1418" w:type="dxa"/>
          </w:tcPr>
          <w:p w14:paraId="320B4F81" w14:textId="77777777" w:rsidR="00437158" w:rsidRPr="00437158" w:rsidRDefault="00437158">
            <w:pPr>
              <w:suppressAutoHyphens/>
              <w:spacing w:before="40" w:after="40" w:line="200" w:lineRule="atLeast"/>
              <w:rPr>
                <w:rFonts w:cs="Arial"/>
              </w:rPr>
            </w:pPr>
            <w:r w:rsidRPr="00437158">
              <w:rPr>
                <w:rFonts w:cs="Arial"/>
              </w:rPr>
              <w:t>Teachers</w:t>
            </w:r>
          </w:p>
        </w:tc>
        <w:tc>
          <w:tcPr>
            <w:tcW w:w="1134" w:type="dxa"/>
          </w:tcPr>
          <w:p w14:paraId="76F5DE2D" w14:textId="77777777" w:rsidR="00437158" w:rsidRPr="00437158" w:rsidRDefault="00437158">
            <w:pPr>
              <w:suppressAutoHyphens/>
              <w:spacing w:before="40" w:after="40" w:line="200" w:lineRule="atLeast"/>
              <w:rPr>
                <w:rFonts w:cs="Arial"/>
              </w:rPr>
            </w:pPr>
            <w:r w:rsidRPr="00437158">
              <w:rPr>
                <w:rFonts w:cs="Arial"/>
              </w:rPr>
              <w:t>Group</w:t>
            </w:r>
          </w:p>
        </w:tc>
        <w:tc>
          <w:tcPr>
            <w:tcW w:w="1275" w:type="dxa"/>
          </w:tcPr>
          <w:p w14:paraId="51596E24" w14:textId="77777777" w:rsidR="00437158" w:rsidRPr="00437158" w:rsidRDefault="00437158">
            <w:pPr>
              <w:suppressAutoHyphens/>
              <w:spacing w:before="40" w:after="40" w:line="200" w:lineRule="atLeast"/>
              <w:rPr>
                <w:rFonts w:cs="Arial"/>
              </w:rPr>
            </w:pPr>
            <w:r w:rsidRPr="00437158">
              <w:rPr>
                <w:rFonts w:cs="Arial"/>
              </w:rPr>
              <w:t>Classroom</w:t>
            </w:r>
          </w:p>
        </w:tc>
        <w:tc>
          <w:tcPr>
            <w:tcW w:w="1701" w:type="dxa"/>
          </w:tcPr>
          <w:p w14:paraId="6EE3366A" w14:textId="77777777" w:rsidR="00437158" w:rsidRPr="00437158" w:rsidRDefault="00437158">
            <w:pPr>
              <w:suppressAutoHyphens/>
              <w:spacing w:before="40" w:after="40" w:line="200" w:lineRule="atLeast"/>
              <w:rPr>
                <w:rFonts w:cs="Arial"/>
              </w:rPr>
            </w:pPr>
            <w:r w:rsidRPr="00437158">
              <w:rPr>
                <w:rFonts w:cs="Arial"/>
                <w:color w:val="000000"/>
              </w:rPr>
              <w:t>Coaching (initial 3-day training, then ongoing) was provided to guide teachers to implement CSI for 25 hr per week across classroom activities</w:t>
            </w:r>
          </w:p>
        </w:tc>
        <w:tc>
          <w:tcPr>
            <w:tcW w:w="1843" w:type="dxa"/>
          </w:tcPr>
          <w:p w14:paraId="1DAB6A75" w14:textId="77777777" w:rsidR="00437158" w:rsidRPr="00437158" w:rsidRDefault="00437158">
            <w:pPr>
              <w:suppressAutoHyphens/>
              <w:spacing w:before="40" w:after="40" w:line="200" w:lineRule="atLeast"/>
              <w:rPr>
                <w:rFonts w:cs="Arial"/>
              </w:rPr>
            </w:pPr>
            <w:r w:rsidRPr="00437158">
              <w:rPr>
                <w:rFonts w:cs="Arial"/>
              </w:rPr>
              <w:t>Capacity-building (professional);</w:t>
            </w:r>
          </w:p>
          <w:p w14:paraId="541FDE33" w14:textId="77777777" w:rsidR="00437158" w:rsidRPr="00437158" w:rsidRDefault="00437158">
            <w:pPr>
              <w:suppressAutoHyphens/>
              <w:spacing w:before="40" w:after="40" w:line="200" w:lineRule="atLeast"/>
              <w:rPr>
                <w:rFonts w:cs="Arial"/>
              </w:rPr>
            </w:pPr>
            <w:r w:rsidRPr="00437158">
              <w:rPr>
                <w:rFonts w:cs="Arial"/>
              </w:rPr>
              <w:t>Natural env.</w:t>
            </w:r>
          </w:p>
          <w:p w14:paraId="659C203E" w14:textId="77777777" w:rsidR="00437158" w:rsidRPr="00437158" w:rsidRDefault="00437158">
            <w:pPr>
              <w:suppressAutoHyphens/>
              <w:spacing w:before="40" w:after="40" w:line="200" w:lineRule="atLeast"/>
              <w:rPr>
                <w:rFonts w:cs="Arial"/>
              </w:rPr>
            </w:pPr>
            <w:r w:rsidRPr="00437158">
              <w:rPr>
                <w:rFonts w:cs="Arial"/>
              </w:rPr>
              <w:t>Inclusion (classroom);</w:t>
            </w:r>
          </w:p>
        </w:tc>
      </w:tr>
      <w:tr w:rsidR="00437158" w:rsidRPr="00437158" w14:paraId="6A0EE53C"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2B47C0B2" w14:textId="77777777" w:rsidR="00437158" w:rsidRPr="00437158" w:rsidRDefault="00437158">
            <w:pPr>
              <w:suppressAutoHyphens/>
              <w:spacing w:before="40" w:after="40" w:line="200" w:lineRule="atLeast"/>
              <w:rPr>
                <w:rFonts w:cs="Arial"/>
              </w:rPr>
            </w:pPr>
            <w:r w:rsidRPr="00437158">
              <w:rPr>
                <w:rFonts w:cs="Arial"/>
              </w:rPr>
              <w:t>SCERTS-Group</w:t>
            </w:r>
          </w:p>
        </w:tc>
        <w:tc>
          <w:tcPr>
            <w:tcW w:w="3969" w:type="dxa"/>
          </w:tcPr>
          <w:p w14:paraId="7AB82648" w14:textId="77777777" w:rsidR="00437158" w:rsidRPr="00437158" w:rsidRDefault="00437158">
            <w:pPr>
              <w:suppressAutoHyphens/>
              <w:spacing w:before="40" w:after="40" w:line="200" w:lineRule="atLeast"/>
              <w:rPr>
                <w:rFonts w:cs="Arial"/>
              </w:rPr>
            </w:pPr>
            <w:r w:rsidRPr="00437158">
              <w:rPr>
                <w:rFonts w:cs="Arial"/>
              </w:rPr>
              <w:t xml:space="preserve">The </w:t>
            </w:r>
            <w:r w:rsidRPr="00437158">
              <w:rPr>
                <w:rFonts w:cs="Arial"/>
                <w:b/>
              </w:rPr>
              <w:t>SCERTS</w:t>
            </w:r>
            <w:r w:rsidRPr="00437158">
              <w:rPr>
                <w:rFonts w:cs="Arial"/>
              </w:rPr>
              <w:t xml:space="preserve"> curriculum was applied through a low-intensity, evidence-based early social intervention (ESI) model. Groups of four to five families attended the sessions led by interventionists. Sessions included educational (1 per month, focussing on the SCERTS curriculum) or implementation-focussed playgroups (3 per month) that provided an opportunity for peer and interventionist support. </w:t>
            </w:r>
          </w:p>
        </w:tc>
        <w:tc>
          <w:tcPr>
            <w:tcW w:w="1276" w:type="dxa"/>
          </w:tcPr>
          <w:p w14:paraId="05A18C26" w14:textId="77777777" w:rsidR="00437158" w:rsidRPr="00437158" w:rsidRDefault="00437158">
            <w:pPr>
              <w:suppressAutoHyphens/>
              <w:spacing w:before="40" w:after="40" w:line="200" w:lineRule="atLeast"/>
              <w:rPr>
                <w:rFonts w:cs="Arial"/>
              </w:rPr>
            </w:pPr>
            <w:r w:rsidRPr="00437158">
              <w:rPr>
                <w:rFonts w:cs="Arial"/>
              </w:rPr>
              <w:t>Guthrie 2023</w:t>
            </w:r>
          </w:p>
        </w:tc>
        <w:tc>
          <w:tcPr>
            <w:tcW w:w="1418" w:type="dxa"/>
          </w:tcPr>
          <w:p w14:paraId="218A482D" w14:textId="77777777" w:rsidR="00437158" w:rsidRPr="00437158" w:rsidRDefault="00437158">
            <w:pPr>
              <w:suppressAutoHyphens/>
              <w:spacing w:before="40" w:after="40" w:line="200" w:lineRule="atLeast"/>
              <w:rPr>
                <w:rFonts w:cs="Arial"/>
              </w:rPr>
            </w:pPr>
            <w:r w:rsidRPr="00437158">
              <w:rPr>
                <w:rFonts w:cs="Arial"/>
              </w:rPr>
              <w:t xml:space="preserve">Caregivers (trained by interventionists) </w:t>
            </w:r>
          </w:p>
        </w:tc>
        <w:tc>
          <w:tcPr>
            <w:tcW w:w="1134" w:type="dxa"/>
          </w:tcPr>
          <w:p w14:paraId="50FFACEE" w14:textId="77777777" w:rsidR="00437158" w:rsidRPr="00437158" w:rsidRDefault="00437158">
            <w:pPr>
              <w:suppressAutoHyphens/>
              <w:spacing w:before="40" w:after="40" w:line="200" w:lineRule="atLeast"/>
              <w:rPr>
                <w:rFonts w:cs="Arial"/>
              </w:rPr>
            </w:pPr>
            <w:r w:rsidRPr="00437158">
              <w:rPr>
                <w:rFonts w:cs="Arial"/>
              </w:rPr>
              <w:t xml:space="preserve">Face-to-Face, Group </w:t>
            </w:r>
          </w:p>
        </w:tc>
        <w:tc>
          <w:tcPr>
            <w:tcW w:w="1275" w:type="dxa"/>
          </w:tcPr>
          <w:p w14:paraId="7B9A0458" w14:textId="77777777" w:rsidR="00437158" w:rsidRPr="00437158" w:rsidRDefault="00437158">
            <w:pPr>
              <w:suppressAutoHyphens/>
              <w:spacing w:before="40" w:after="40" w:line="200" w:lineRule="atLeast"/>
              <w:rPr>
                <w:rFonts w:cs="Arial"/>
              </w:rPr>
            </w:pPr>
            <w:r w:rsidRPr="00437158">
              <w:rPr>
                <w:rFonts w:cs="Arial"/>
              </w:rPr>
              <w:t>Clinic</w:t>
            </w:r>
          </w:p>
        </w:tc>
        <w:tc>
          <w:tcPr>
            <w:tcW w:w="1701" w:type="dxa"/>
          </w:tcPr>
          <w:p w14:paraId="5EA594A9" w14:textId="77777777" w:rsidR="00437158" w:rsidRPr="00437158" w:rsidRDefault="00437158">
            <w:pPr>
              <w:suppressAutoHyphens/>
              <w:spacing w:before="40" w:after="40" w:line="200" w:lineRule="atLeast"/>
              <w:rPr>
                <w:rFonts w:cs="Arial"/>
              </w:rPr>
            </w:pPr>
            <w:r w:rsidRPr="00437158">
              <w:rPr>
                <w:rFonts w:cs="Arial"/>
              </w:rPr>
              <w:t>1 session per week for 9 months</w:t>
            </w:r>
          </w:p>
        </w:tc>
        <w:tc>
          <w:tcPr>
            <w:tcW w:w="1843" w:type="dxa"/>
          </w:tcPr>
          <w:p w14:paraId="1144F86E" w14:textId="77777777" w:rsidR="00437158" w:rsidRPr="00437158" w:rsidRDefault="00437158">
            <w:pPr>
              <w:suppressAutoHyphens/>
              <w:spacing w:before="40" w:after="40" w:line="200" w:lineRule="atLeast"/>
              <w:rPr>
                <w:rFonts w:cs="Arial"/>
              </w:rPr>
            </w:pPr>
            <w:r w:rsidRPr="00437158">
              <w:rPr>
                <w:rFonts w:cs="Arial"/>
              </w:rPr>
              <w:t>Family-centred (peer connection) Capacity--building (parent);</w:t>
            </w:r>
          </w:p>
          <w:p w14:paraId="1DFB500E" w14:textId="77777777" w:rsidR="00437158" w:rsidRPr="00437158" w:rsidRDefault="00437158">
            <w:pPr>
              <w:suppressAutoHyphens/>
              <w:spacing w:before="40" w:after="40" w:line="200" w:lineRule="atLeast"/>
              <w:rPr>
                <w:rFonts w:cs="Arial"/>
              </w:rPr>
            </w:pPr>
          </w:p>
          <w:p w14:paraId="4D3AF67D" w14:textId="77777777" w:rsidR="00437158" w:rsidRPr="00437158" w:rsidRDefault="00437158">
            <w:pPr>
              <w:suppressAutoHyphens/>
              <w:spacing w:before="40" w:after="40" w:line="200" w:lineRule="atLeast"/>
              <w:rPr>
                <w:rFonts w:cs="Arial"/>
              </w:rPr>
            </w:pPr>
          </w:p>
        </w:tc>
      </w:tr>
      <w:tr w:rsidR="00437158" w:rsidRPr="00437158" w14:paraId="0A942552"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587D281B" w14:textId="77777777" w:rsidR="00437158" w:rsidRPr="00437158" w:rsidRDefault="00437158">
            <w:pPr>
              <w:suppressAutoHyphens/>
              <w:spacing w:before="40" w:after="40" w:line="200" w:lineRule="atLeast"/>
              <w:rPr>
                <w:rFonts w:cs="Arial"/>
              </w:rPr>
            </w:pPr>
            <w:r w:rsidRPr="00437158">
              <w:rPr>
                <w:rFonts w:cs="Arial"/>
              </w:rPr>
              <w:t>SCERTS-Individual</w:t>
            </w:r>
          </w:p>
        </w:tc>
        <w:tc>
          <w:tcPr>
            <w:tcW w:w="3969" w:type="dxa"/>
          </w:tcPr>
          <w:p w14:paraId="54787092" w14:textId="77777777" w:rsidR="00437158" w:rsidRPr="00437158" w:rsidRDefault="00437158">
            <w:pPr>
              <w:suppressAutoHyphens/>
              <w:spacing w:before="40" w:after="40" w:line="200" w:lineRule="atLeast"/>
              <w:rPr>
                <w:rFonts w:cs="Arial"/>
              </w:rPr>
            </w:pPr>
            <w:r w:rsidRPr="00437158">
              <w:rPr>
                <w:rFonts w:cs="Arial"/>
              </w:rPr>
              <w:t xml:space="preserve">The Individualised high-intensity </w:t>
            </w:r>
            <w:r w:rsidRPr="00437158">
              <w:rPr>
                <w:rFonts w:cs="Arial"/>
                <w:b/>
              </w:rPr>
              <w:t>SCERTS</w:t>
            </w:r>
            <w:r w:rsidRPr="00437158">
              <w:rPr>
                <w:rFonts w:cs="Arial"/>
              </w:rPr>
              <w:t xml:space="preserve"> curriculum was applied through an evidence-based early social intervention model. Parents were trained to support their child's active engagement in natural environments via a 4-step collaborative coaching model. Parents were encouraged to embed evidence-based strategies for their child's individualised targets in everyday activities.</w:t>
            </w:r>
          </w:p>
          <w:p w14:paraId="2B8365EF" w14:textId="77777777" w:rsidR="00437158" w:rsidRPr="00437158" w:rsidRDefault="00437158">
            <w:pPr>
              <w:suppressAutoHyphens/>
              <w:spacing w:before="40" w:after="40" w:line="200" w:lineRule="atLeast"/>
              <w:rPr>
                <w:rFonts w:cs="Arial"/>
              </w:rPr>
            </w:pPr>
            <w:r w:rsidRPr="00437158">
              <w:rPr>
                <w:rFonts w:cs="Arial"/>
              </w:rPr>
              <w:t>(Comparison to SCERTS group, above)</w:t>
            </w:r>
          </w:p>
        </w:tc>
        <w:tc>
          <w:tcPr>
            <w:tcW w:w="1276" w:type="dxa"/>
          </w:tcPr>
          <w:p w14:paraId="6AEA53F1" w14:textId="77777777" w:rsidR="00437158" w:rsidRPr="00437158" w:rsidRDefault="00437158">
            <w:pPr>
              <w:suppressAutoHyphens/>
              <w:spacing w:before="40" w:after="40" w:line="200" w:lineRule="atLeast"/>
              <w:rPr>
                <w:rFonts w:cs="Arial"/>
              </w:rPr>
            </w:pPr>
            <w:r w:rsidRPr="00437158">
              <w:rPr>
                <w:rFonts w:cs="Arial"/>
              </w:rPr>
              <w:t>As above</w:t>
            </w:r>
          </w:p>
        </w:tc>
        <w:tc>
          <w:tcPr>
            <w:tcW w:w="1418" w:type="dxa"/>
          </w:tcPr>
          <w:p w14:paraId="3AA347C0" w14:textId="77777777" w:rsidR="00437158" w:rsidRPr="00437158" w:rsidRDefault="00437158">
            <w:pPr>
              <w:suppressAutoHyphens/>
              <w:spacing w:before="40" w:after="40" w:line="200" w:lineRule="atLeast"/>
              <w:rPr>
                <w:rFonts w:cs="Arial"/>
              </w:rPr>
            </w:pPr>
            <w:r w:rsidRPr="00437158">
              <w:rPr>
                <w:rFonts w:cs="Arial"/>
              </w:rPr>
              <w:t>As above</w:t>
            </w:r>
          </w:p>
        </w:tc>
        <w:tc>
          <w:tcPr>
            <w:tcW w:w="1134" w:type="dxa"/>
          </w:tcPr>
          <w:p w14:paraId="25046CB0"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35CA70E8" w14:textId="77777777" w:rsidR="00437158" w:rsidRPr="00437158" w:rsidRDefault="00437158">
            <w:pPr>
              <w:suppressAutoHyphens/>
              <w:spacing w:before="40" w:after="40" w:line="200" w:lineRule="atLeast"/>
              <w:rPr>
                <w:rFonts w:cs="Arial"/>
              </w:rPr>
            </w:pPr>
            <w:r w:rsidRPr="00437158">
              <w:rPr>
                <w:rFonts w:cs="Arial"/>
              </w:rPr>
              <w:t>Home, clinic, community</w:t>
            </w:r>
          </w:p>
        </w:tc>
        <w:tc>
          <w:tcPr>
            <w:tcW w:w="1701" w:type="dxa"/>
          </w:tcPr>
          <w:p w14:paraId="325A4D5F" w14:textId="77777777" w:rsidR="00437158" w:rsidRPr="00437158" w:rsidRDefault="00437158">
            <w:pPr>
              <w:suppressAutoHyphens/>
              <w:spacing w:before="40" w:after="40" w:line="200" w:lineRule="atLeast"/>
              <w:rPr>
                <w:rFonts w:cs="Arial"/>
              </w:rPr>
            </w:pPr>
            <w:r w:rsidRPr="00437158">
              <w:rPr>
                <w:rFonts w:cs="Arial"/>
              </w:rPr>
              <w:t>3 sessions/ week for 6 months; 2 sessions/week for 3 months. 20 hours/ week of at-home parent implementation</w:t>
            </w:r>
          </w:p>
        </w:tc>
        <w:tc>
          <w:tcPr>
            <w:tcW w:w="1843" w:type="dxa"/>
          </w:tcPr>
          <w:p w14:paraId="4D570E3A" w14:textId="77777777" w:rsidR="00437158" w:rsidRPr="00437158" w:rsidRDefault="00437158">
            <w:pPr>
              <w:suppressAutoHyphens/>
              <w:spacing w:before="40" w:after="40" w:line="200" w:lineRule="atLeast"/>
              <w:rPr>
                <w:rFonts w:cs="Arial"/>
              </w:rPr>
            </w:pPr>
            <w:r w:rsidRPr="00437158">
              <w:rPr>
                <w:rFonts w:cs="Arial"/>
              </w:rPr>
              <w:t>Family-centred (individualised);</w:t>
            </w:r>
          </w:p>
          <w:p w14:paraId="1FC9A34F" w14:textId="77777777" w:rsidR="00437158" w:rsidRPr="00437158" w:rsidRDefault="00437158">
            <w:pPr>
              <w:suppressAutoHyphens/>
              <w:spacing w:before="40" w:after="40" w:line="200" w:lineRule="atLeast"/>
              <w:rPr>
                <w:rFonts w:cs="Arial"/>
              </w:rPr>
            </w:pPr>
            <w:r w:rsidRPr="00437158">
              <w:rPr>
                <w:rFonts w:cs="Arial"/>
              </w:rPr>
              <w:t>Capacity-building (parent);</w:t>
            </w:r>
          </w:p>
          <w:p w14:paraId="158AD82E"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68563A3D"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70686EA3" w14:textId="77777777" w:rsidR="00437158" w:rsidRPr="00437158" w:rsidRDefault="00437158">
            <w:pPr>
              <w:suppressAutoHyphens/>
              <w:spacing w:before="40" w:after="40" w:line="200" w:lineRule="atLeast"/>
              <w:rPr>
                <w:rFonts w:cs="Arial"/>
              </w:rPr>
            </w:pPr>
            <w:r w:rsidRPr="00437158">
              <w:rPr>
                <w:rFonts w:cs="Arial"/>
              </w:rPr>
              <w:t>SCERTS-Group</w:t>
            </w:r>
          </w:p>
        </w:tc>
        <w:tc>
          <w:tcPr>
            <w:tcW w:w="3969" w:type="dxa"/>
          </w:tcPr>
          <w:p w14:paraId="716957BA" w14:textId="77777777" w:rsidR="00437158" w:rsidRPr="00437158" w:rsidRDefault="00437158">
            <w:pPr>
              <w:suppressAutoHyphens/>
              <w:spacing w:before="40" w:after="40" w:line="200" w:lineRule="atLeast"/>
              <w:rPr>
                <w:rFonts w:cs="Arial"/>
              </w:rPr>
            </w:pPr>
            <w:r w:rsidRPr="00437158">
              <w:rPr>
                <w:rFonts w:cs="Arial"/>
              </w:rPr>
              <w:t>The</w:t>
            </w:r>
            <w:r w:rsidRPr="00437158">
              <w:rPr>
                <w:rFonts w:cs="Arial"/>
                <w:b/>
              </w:rPr>
              <w:t xml:space="preserve"> SCERTS</w:t>
            </w:r>
            <w:r w:rsidRPr="00437158">
              <w:rPr>
                <w:rFonts w:cs="Arial"/>
              </w:rPr>
              <w:t xml:space="preserve"> curriculum was applied through a low-intensity, evidence-based early social intervention (ESI) model over 9 months. Groups of four to five families attended the sessions led by interventionists. Sessions included educational (1 per month, focussing on the SCERTS curriculum) or implementation-focussed playgroups (3 per month) that provided an opportunity for peer and interventionist support. </w:t>
            </w:r>
          </w:p>
        </w:tc>
        <w:tc>
          <w:tcPr>
            <w:tcW w:w="1276" w:type="dxa"/>
          </w:tcPr>
          <w:p w14:paraId="715765CA" w14:textId="77777777" w:rsidR="00437158" w:rsidRPr="00437158" w:rsidRDefault="00437158">
            <w:pPr>
              <w:suppressAutoHyphens/>
              <w:spacing w:before="40" w:after="40" w:line="200" w:lineRule="atLeast"/>
              <w:rPr>
                <w:rFonts w:cs="Arial"/>
              </w:rPr>
            </w:pPr>
            <w:r w:rsidRPr="00437158">
              <w:rPr>
                <w:rFonts w:cs="Arial"/>
              </w:rPr>
              <w:t>Wetherby 2014</w:t>
            </w:r>
          </w:p>
        </w:tc>
        <w:tc>
          <w:tcPr>
            <w:tcW w:w="1418" w:type="dxa"/>
          </w:tcPr>
          <w:p w14:paraId="40E8F3E3" w14:textId="77777777" w:rsidR="00437158" w:rsidRPr="00437158" w:rsidRDefault="00437158">
            <w:pPr>
              <w:suppressAutoHyphens/>
              <w:spacing w:before="40" w:after="40" w:line="200" w:lineRule="atLeast"/>
              <w:rPr>
                <w:rFonts w:cs="Arial"/>
              </w:rPr>
            </w:pPr>
            <w:r w:rsidRPr="00437158">
              <w:rPr>
                <w:rFonts w:cs="Arial"/>
              </w:rPr>
              <w:t xml:space="preserve">Caregivers (trained by interventionists)  </w:t>
            </w:r>
          </w:p>
        </w:tc>
        <w:tc>
          <w:tcPr>
            <w:tcW w:w="1134" w:type="dxa"/>
          </w:tcPr>
          <w:p w14:paraId="43E12EE5" w14:textId="77777777" w:rsidR="00437158" w:rsidRPr="00437158" w:rsidRDefault="00437158">
            <w:pPr>
              <w:suppressAutoHyphens/>
              <w:spacing w:before="40" w:after="40" w:line="200" w:lineRule="atLeast"/>
              <w:rPr>
                <w:rFonts w:cs="Arial"/>
              </w:rPr>
            </w:pPr>
            <w:r w:rsidRPr="00437158">
              <w:rPr>
                <w:rFonts w:cs="Arial"/>
              </w:rPr>
              <w:t xml:space="preserve">Face-to-Face, Group </w:t>
            </w:r>
          </w:p>
        </w:tc>
        <w:tc>
          <w:tcPr>
            <w:tcW w:w="1275" w:type="dxa"/>
          </w:tcPr>
          <w:p w14:paraId="30D0E275" w14:textId="77777777" w:rsidR="00437158" w:rsidRPr="00437158" w:rsidRDefault="00437158">
            <w:pPr>
              <w:suppressAutoHyphens/>
              <w:spacing w:before="40" w:after="40" w:line="200" w:lineRule="atLeast"/>
              <w:rPr>
                <w:rFonts w:cs="Arial"/>
              </w:rPr>
            </w:pPr>
            <w:r w:rsidRPr="00437158">
              <w:rPr>
                <w:rFonts w:cs="Arial"/>
              </w:rPr>
              <w:t>Clinic</w:t>
            </w:r>
          </w:p>
        </w:tc>
        <w:tc>
          <w:tcPr>
            <w:tcW w:w="1701" w:type="dxa"/>
          </w:tcPr>
          <w:p w14:paraId="588C5F1F" w14:textId="77777777" w:rsidR="00437158" w:rsidRPr="00437158" w:rsidRDefault="00437158">
            <w:pPr>
              <w:suppressAutoHyphens/>
              <w:spacing w:before="40" w:after="40" w:line="200" w:lineRule="atLeast"/>
              <w:rPr>
                <w:rFonts w:cs="Arial"/>
              </w:rPr>
            </w:pPr>
            <w:r w:rsidRPr="00437158">
              <w:rPr>
                <w:rFonts w:cs="Arial"/>
              </w:rPr>
              <w:t>1 hour session per week for 9 months plus 25+ hours per week of parent implementation.</w:t>
            </w:r>
          </w:p>
        </w:tc>
        <w:tc>
          <w:tcPr>
            <w:tcW w:w="1843" w:type="dxa"/>
          </w:tcPr>
          <w:p w14:paraId="1C2A0015" w14:textId="77777777" w:rsidR="00437158" w:rsidRPr="00437158" w:rsidRDefault="00437158">
            <w:pPr>
              <w:suppressAutoHyphens/>
              <w:spacing w:before="40" w:after="40" w:line="200" w:lineRule="atLeast"/>
              <w:rPr>
                <w:rFonts w:cs="Arial"/>
              </w:rPr>
            </w:pPr>
            <w:r w:rsidRPr="00437158">
              <w:rPr>
                <w:rFonts w:cs="Arial"/>
              </w:rPr>
              <w:t>Family-centred (peer connection) Capacity-building (parent);</w:t>
            </w:r>
          </w:p>
          <w:p w14:paraId="1251D49D" w14:textId="77777777" w:rsidR="00437158" w:rsidRPr="00437158" w:rsidRDefault="00437158">
            <w:pPr>
              <w:suppressAutoHyphens/>
              <w:spacing w:before="40" w:after="40" w:line="200" w:lineRule="atLeast"/>
              <w:rPr>
                <w:rFonts w:cs="Arial"/>
              </w:rPr>
            </w:pPr>
          </w:p>
        </w:tc>
      </w:tr>
      <w:tr w:rsidR="00437158" w:rsidRPr="00437158" w14:paraId="10D091AE"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4F0520A2" w14:textId="77777777" w:rsidR="00437158" w:rsidRPr="00437158" w:rsidRDefault="00437158">
            <w:pPr>
              <w:suppressAutoHyphens/>
              <w:spacing w:before="40" w:after="40" w:line="200" w:lineRule="atLeast"/>
              <w:rPr>
                <w:rFonts w:cs="Arial"/>
              </w:rPr>
            </w:pPr>
            <w:r w:rsidRPr="00437158">
              <w:rPr>
                <w:rFonts w:cs="Arial"/>
              </w:rPr>
              <w:t>SCERTS-Individual</w:t>
            </w:r>
          </w:p>
        </w:tc>
        <w:tc>
          <w:tcPr>
            <w:tcW w:w="3969" w:type="dxa"/>
          </w:tcPr>
          <w:p w14:paraId="12C1C4F7" w14:textId="77777777" w:rsidR="00437158" w:rsidRPr="00437158" w:rsidRDefault="00437158">
            <w:pPr>
              <w:suppressAutoHyphens/>
              <w:spacing w:before="40" w:after="40" w:line="200" w:lineRule="atLeast"/>
              <w:rPr>
                <w:rFonts w:cs="Arial"/>
              </w:rPr>
            </w:pPr>
            <w:r w:rsidRPr="00437158">
              <w:rPr>
                <w:rFonts w:cs="Arial"/>
              </w:rPr>
              <w:t xml:space="preserve">The Individualised high-intensity </w:t>
            </w:r>
            <w:r w:rsidRPr="00437158">
              <w:rPr>
                <w:rFonts w:cs="Arial"/>
                <w:b/>
              </w:rPr>
              <w:t xml:space="preserve">SCERTS </w:t>
            </w:r>
            <w:r w:rsidRPr="00437158">
              <w:rPr>
                <w:rFonts w:cs="Arial"/>
              </w:rPr>
              <w:t>curriculum was applied through an evidence-based early social intervention model. Parents were trained to support their child's active engagement in natural environments via a 4-step collaborative coaching model. Intervention sessions included reviewing and updates, practicing supports and strategies in 3 to 5 different activities, problem solving, and planning. Parents were encouraged to embed evidence-based strategies for their child's individualised targets in everyday activities.</w:t>
            </w:r>
          </w:p>
          <w:p w14:paraId="2EADF09A" w14:textId="77777777" w:rsidR="00437158" w:rsidRPr="00437158" w:rsidRDefault="00437158">
            <w:pPr>
              <w:suppressAutoHyphens/>
              <w:spacing w:before="40" w:after="40" w:line="200" w:lineRule="atLeast"/>
              <w:rPr>
                <w:rFonts w:cs="Arial"/>
              </w:rPr>
            </w:pPr>
            <w:r w:rsidRPr="00437158">
              <w:rPr>
                <w:rFonts w:cs="Arial"/>
              </w:rPr>
              <w:t xml:space="preserve">(Comparison to SCERTS group, above) </w:t>
            </w:r>
          </w:p>
        </w:tc>
        <w:tc>
          <w:tcPr>
            <w:tcW w:w="1276" w:type="dxa"/>
          </w:tcPr>
          <w:p w14:paraId="61F4189D" w14:textId="77777777" w:rsidR="00437158" w:rsidRPr="00437158" w:rsidRDefault="00437158">
            <w:pPr>
              <w:suppressAutoHyphens/>
              <w:spacing w:before="40" w:after="40" w:line="200" w:lineRule="atLeast"/>
              <w:rPr>
                <w:rFonts w:cs="Arial"/>
              </w:rPr>
            </w:pPr>
            <w:r w:rsidRPr="00437158">
              <w:rPr>
                <w:rFonts w:cs="Arial"/>
              </w:rPr>
              <w:t>As above</w:t>
            </w:r>
          </w:p>
        </w:tc>
        <w:tc>
          <w:tcPr>
            <w:tcW w:w="1418" w:type="dxa"/>
          </w:tcPr>
          <w:p w14:paraId="6C61229D" w14:textId="77777777" w:rsidR="00437158" w:rsidRPr="00437158" w:rsidRDefault="00437158">
            <w:pPr>
              <w:suppressAutoHyphens/>
              <w:spacing w:before="40" w:after="40" w:line="200" w:lineRule="atLeast"/>
              <w:rPr>
                <w:rFonts w:cs="Arial"/>
              </w:rPr>
            </w:pPr>
            <w:r w:rsidRPr="00437158">
              <w:rPr>
                <w:rFonts w:cs="Arial"/>
              </w:rPr>
              <w:t>As above</w:t>
            </w:r>
          </w:p>
        </w:tc>
        <w:tc>
          <w:tcPr>
            <w:tcW w:w="1134" w:type="dxa"/>
          </w:tcPr>
          <w:p w14:paraId="6579CA3C"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0C503A8A" w14:textId="77777777" w:rsidR="00437158" w:rsidRPr="00437158" w:rsidRDefault="00437158">
            <w:pPr>
              <w:suppressAutoHyphens/>
              <w:spacing w:before="40" w:after="40" w:line="200" w:lineRule="atLeast"/>
              <w:rPr>
                <w:rFonts w:cs="Arial"/>
              </w:rPr>
            </w:pPr>
            <w:r w:rsidRPr="00437158">
              <w:rPr>
                <w:rFonts w:cs="Arial"/>
              </w:rPr>
              <w:t>Home, clinic, community</w:t>
            </w:r>
          </w:p>
        </w:tc>
        <w:tc>
          <w:tcPr>
            <w:tcW w:w="1701" w:type="dxa"/>
          </w:tcPr>
          <w:p w14:paraId="7CE27255" w14:textId="77777777" w:rsidR="00437158" w:rsidRPr="00437158" w:rsidRDefault="00437158">
            <w:pPr>
              <w:suppressAutoHyphens/>
              <w:spacing w:before="40" w:after="40" w:line="200" w:lineRule="atLeast"/>
              <w:rPr>
                <w:rFonts w:cs="Arial"/>
              </w:rPr>
            </w:pPr>
            <w:r w:rsidRPr="00437158">
              <w:rPr>
                <w:rFonts w:cs="Arial"/>
              </w:rPr>
              <w:t>3 sessions weekly for 6 months; 2 sessions weekly for 3 months. Total average of 3.33 hours/week, plus 25+ hours per week of parent implementation</w:t>
            </w:r>
          </w:p>
        </w:tc>
        <w:tc>
          <w:tcPr>
            <w:tcW w:w="1843" w:type="dxa"/>
          </w:tcPr>
          <w:p w14:paraId="16491B8C" w14:textId="77777777" w:rsidR="00437158" w:rsidRPr="00437158" w:rsidRDefault="00437158">
            <w:pPr>
              <w:suppressAutoHyphens/>
              <w:spacing w:before="40" w:after="40" w:line="200" w:lineRule="atLeast"/>
              <w:rPr>
                <w:rFonts w:cs="Arial"/>
              </w:rPr>
            </w:pPr>
            <w:r w:rsidRPr="00437158">
              <w:rPr>
                <w:rFonts w:cs="Arial"/>
              </w:rPr>
              <w:t>Family-centred (individualised);</w:t>
            </w:r>
          </w:p>
          <w:p w14:paraId="0DB2764C" w14:textId="77777777" w:rsidR="00437158" w:rsidRPr="00437158" w:rsidRDefault="00437158">
            <w:pPr>
              <w:suppressAutoHyphens/>
              <w:spacing w:before="40" w:after="40" w:line="200" w:lineRule="atLeast"/>
              <w:rPr>
                <w:rFonts w:cs="Arial"/>
              </w:rPr>
            </w:pPr>
            <w:r w:rsidRPr="00437158">
              <w:rPr>
                <w:rFonts w:cs="Arial"/>
              </w:rPr>
              <w:t>Capacity-building (parent);</w:t>
            </w:r>
          </w:p>
          <w:p w14:paraId="1270EA13" w14:textId="77777777" w:rsidR="00437158" w:rsidRPr="00437158" w:rsidRDefault="00437158">
            <w:pPr>
              <w:suppressAutoHyphens/>
              <w:spacing w:before="40" w:after="40" w:line="200" w:lineRule="atLeast"/>
              <w:rPr>
                <w:rFonts w:cs="Arial"/>
              </w:rPr>
            </w:pPr>
            <w:r w:rsidRPr="00437158">
              <w:rPr>
                <w:rFonts w:cs="Arial"/>
              </w:rPr>
              <w:t>Natural env.</w:t>
            </w:r>
          </w:p>
        </w:tc>
      </w:tr>
      <w:tr w:rsidR="00437158" w:rsidRPr="00437158" w14:paraId="507600D9"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Pr>
          <w:p w14:paraId="2C716B39" w14:textId="77777777" w:rsidR="00437158" w:rsidRPr="00437158" w:rsidRDefault="00437158">
            <w:pPr>
              <w:suppressAutoHyphens/>
              <w:spacing w:before="40" w:after="40" w:line="200" w:lineRule="atLeast"/>
              <w:rPr>
                <w:rFonts w:cs="Arial"/>
              </w:rPr>
            </w:pPr>
            <w:r w:rsidRPr="00437158">
              <w:rPr>
                <w:rFonts w:cs="Arial"/>
              </w:rPr>
              <w:t>SPT</w:t>
            </w:r>
          </w:p>
        </w:tc>
        <w:tc>
          <w:tcPr>
            <w:tcW w:w="3969" w:type="dxa"/>
          </w:tcPr>
          <w:p w14:paraId="162B273A" w14:textId="77777777" w:rsidR="00437158" w:rsidRPr="00437158" w:rsidRDefault="00437158">
            <w:pPr>
              <w:suppressAutoHyphens/>
              <w:spacing w:before="40" w:after="40" w:line="200" w:lineRule="atLeast"/>
              <w:rPr>
                <w:rFonts w:cs="Arial"/>
              </w:rPr>
            </w:pPr>
            <w:r w:rsidRPr="00437158">
              <w:rPr>
                <w:rFonts w:cs="Arial"/>
                <w:b/>
              </w:rPr>
              <w:t xml:space="preserve">Sleep Parent Training </w:t>
            </w:r>
            <w:r w:rsidRPr="00437158">
              <w:rPr>
                <w:rFonts w:cs="Arial"/>
              </w:rPr>
              <w:t>(SPT) is a manualised, telehealth delivered, behaviourally based sleep intervention for parents of young autistic children with sleep disturbances.</w:t>
            </w:r>
          </w:p>
        </w:tc>
        <w:tc>
          <w:tcPr>
            <w:tcW w:w="1276" w:type="dxa"/>
          </w:tcPr>
          <w:p w14:paraId="108C946B" w14:textId="77777777" w:rsidR="00437158" w:rsidRPr="00437158" w:rsidRDefault="00437158">
            <w:pPr>
              <w:suppressAutoHyphens/>
              <w:spacing w:before="40" w:after="40" w:line="200" w:lineRule="atLeast"/>
              <w:rPr>
                <w:rFonts w:cs="Arial"/>
              </w:rPr>
            </w:pPr>
            <w:r w:rsidRPr="00437158">
              <w:rPr>
                <w:rFonts w:cs="Arial"/>
              </w:rPr>
              <w:t>Johnson 2023</w:t>
            </w:r>
          </w:p>
        </w:tc>
        <w:tc>
          <w:tcPr>
            <w:tcW w:w="1418" w:type="dxa"/>
          </w:tcPr>
          <w:p w14:paraId="7C26971F" w14:textId="77777777" w:rsidR="00437158" w:rsidRPr="00437158" w:rsidRDefault="00437158">
            <w:pPr>
              <w:suppressAutoHyphens/>
              <w:spacing w:before="40" w:after="40" w:line="200" w:lineRule="atLeast"/>
              <w:rPr>
                <w:rFonts w:cs="Arial"/>
              </w:rPr>
            </w:pPr>
            <w:r w:rsidRPr="00437158">
              <w:rPr>
                <w:rFonts w:cs="Arial"/>
              </w:rPr>
              <w:t>Caregiver (Behaviour analyst or psychologist to coach)</w:t>
            </w:r>
          </w:p>
        </w:tc>
        <w:tc>
          <w:tcPr>
            <w:tcW w:w="1134" w:type="dxa"/>
          </w:tcPr>
          <w:p w14:paraId="6F8080B0" w14:textId="77777777" w:rsidR="00437158" w:rsidRPr="00437158" w:rsidRDefault="00437158">
            <w:pPr>
              <w:suppressAutoHyphens/>
              <w:spacing w:before="40" w:after="40" w:line="200" w:lineRule="atLeast"/>
              <w:rPr>
                <w:rFonts w:cs="Arial"/>
              </w:rPr>
            </w:pPr>
            <w:r w:rsidRPr="00437158">
              <w:rPr>
                <w:rFonts w:cs="Arial"/>
              </w:rPr>
              <w:t>Telehealth, Individual</w:t>
            </w:r>
          </w:p>
        </w:tc>
        <w:tc>
          <w:tcPr>
            <w:tcW w:w="1275" w:type="dxa"/>
          </w:tcPr>
          <w:p w14:paraId="2FD5C684" w14:textId="77777777" w:rsidR="00437158" w:rsidRPr="00437158" w:rsidRDefault="00437158">
            <w:pPr>
              <w:suppressAutoHyphens/>
              <w:spacing w:before="40" w:after="40" w:line="200" w:lineRule="atLeast"/>
              <w:rPr>
                <w:rFonts w:cs="Arial"/>
              </w:rPr>
            </w:pPr>
            <w:r w:rsidRPr="00437158">
              <w:rPr>
                <w:rFonts w:cs="Arial"/>
              </w:rPr>
              <w:t>Home via Telehealth</w:t>
            </w:r>
          </w:p>
        </w:tc>
        <w:tc>
          <w:tcPr>
            <w:tcW w:w="1701" w:type="dxa"/>
          </w:tcPr>
          <w:p w14:paraId="372D830E" w14:textId="77777777" w:rsidR="00437158" w:rsidRPr="00437158" w:rsidRDefault="00437158">
            <w:pPr>
              <w:suppressAutoHyphens/>
              <w:spacing w:before="40" w:after="40" w:line="200" w:lineRule="atLeast"/>
              <w:rPr>
                <w:rFonts w:cs="Arial"/>
              </w:rPr>
            </w:pPr>
            <w:r w:rsidRPr="00437158">
              <w:rPr>
                <w:rFonts w:cs="Arial"/>
              </w:rPr>
              <w:t>5 X 1-hour sessions over 10 weeks</w:t>
            </w:r>
          </w:p>
        </w:tc>
        <w:tc>
          <w:tcPr>
            <w:tcW w:w="1843" w:type="dxa"/>
          </w:tcPr>
          <w:p w14:paraId="68098667" w14:textId="77777777" w:rsidR="00437158" w:rsidRPr="00437158" w:rsidRDefault="00437158">
            <w:pPr>
              <w:suppressAutoHyphens/>
              <w:spacing w:before="40" w:after="40" w:line="200" w:lineRule="atLeast"/>
              <w:rPr>
                <w:rFonts w:cs="Arial"/>
              </w:rPr>
            </w:pPr>
            <w:r w:rsidRPr="00437158">
              <w:rPr>
                <w:rFonts w:cs="Arial"/>
              </w:rPr>
              <w:t>Capacity-building (parent)</w:t>
            </w:r>
          </w:p>
        </w:tc>
      </w:tr>
      <w:tr w:rsidR="00437158" w:rsidRPr="00437158" w14:paraId="7102AF2A" w14:textId="77777777">
        <w:trPr>
          <w:cnfStyle w:val="000000010000" w:firstRow="0" w:lastRow="0" w:firstColumn="0" w:lastColumn="0" w:oddVBand="0" w:evenVBand="0" w:oddHBand="0" w:evenHBand="1" w:firstRowFirstColumn="0" w:firstRowLastColumn="0" w:lastRowFirstColumn="0" w:lastRowLastColumn="0"/>
          <w:trHeight w:val="340"/>
        </w:trPr>
        <w:tc>
          <w:tcPr>
            <w:tcW w:w="1134" w:type="dxa"/>
          </w:tcPr>
          <w:p w14:paraId="5A0B6018" w14:textId="77777777" w:rsidR="00437158" w:rsidRPr="00437158" w:rsidRDefault="00437158">
            <w:pPr>
              <w:suppressAutoHyphens/>
              <w:spacing w:before="40" w:after="40" w:line="200" w:lineRule="atLeast"/>
              <w:rPr>
                <w:rFonts w:cs="Arial"/>
              </w:rPr>
            </w:pPr>
            <w:r w:rsidRPr="00437158">
              <w:rPr>
                <w:rFonts w:cs="Arial"/>
              </w:rPr>
              <w:t>Study Specific EI + Sticky Mittens</w:t>
            </w:r>
          </w:p>
        </w:tc>
        <w:tc>
          <w:tcPr>
            <w:tcW w:w="3969" w:type="dxa"/>
          </w:tcPr>
          <w:p w14:paraId="01725BB4" w14:textId="77777777" w:rsidR="00437158" w:rsidRPr="00437158" w:rsidRDefault="00437158">
            <w:pPr>
              <w:suppressAutoHyphens/>
              <w:spacing w:before="40" w:after="40" w:line="200" w:lineRule="atLeast"/>
              <w:rPr>
                <w:rFonts w:cs="Arial"/>
              </w:rPr>
            </w:pPr>
            <w:r w:rsidRPr="00437158">
              <w:rPr>
                <w:rFonts w:cs="Arial"/>
              </w:rPr>
              <w:t>Parent-mediated</w:t>
            </w:r>
            <w:r w:rsidRPr="00437158">
              <w:rPr>
                <w:rFonts w:cs="Arial"/>
                <w:b/>
              </w:rPr>
              <w:t xml:space="preserve"> early intervention</w:t>
            </w:r>
            <w:r w:rsidRPr="00437158">
              <w:rPr>
                <w:rFonts w:cs="Arial"/>
              </w:rPr>
              <w:t xml:space="preserve"> (EI) enrichment technique aiming to facilitate reaching behaviour in pre-reaching infants using Velcro mittens.</w:t>
            </w:r>
          </w:p>
        </w:tc>
        <w:tc>
          <w:tcPr>
            <w:tcW w:w="1276" w:type="dxa"/>
          </w:tcPr>
          <w:p w14:paraId="1B34B9D9" w14:textId="77777777" w:rsidR="00437158" w:rsidRPr="00437158" w:rsidRDefault="00437158">
            <w:pPr>
              <w:suppressAutoHyphens/>
              <w:spacing w:before="40" w:after="40" w:line="200" w:lineRule="atLeast"/>
              <w:rPr>
                <w:rFonts w:cs="Arial"/>
              </w:rPr>
            </w:pPr>
            <w:r w:rsidRPr="00437158">
              <w:rPr>
                <w:rFonts w:cs="Arial"/>
              </w:rPr>
              <w:t>Fidler 2021</w:t>
            </w:r>
          </w:p>
        </w:tc>
        <w:tc>
          <w:tcPr>
            <w:tcW w:w="1418" w:type="dxa"/>
          </w:tcPr>
          <w:p w14:paraId="50CA68D0" w14:textId="77777777" w:rsidR="00437158" w:rsidRPr="00437158" w:rsidRDefault="00437158">
            <w:pPr>
              <w:suppressAutoHyphens/>
              <w:spacing w:before="40" w:after="40" w:line="200" w:lineRule="atLeast"/>
              <w:rPr>
                <w:rFonts w:cs="Arial"/>
              </w:rPr>
            </w:pPr>
            <w:r w:rsidRPr="00437158">
              <w:rPr>
                <w:rFonts w:cs="Arial"/>
              </w:rPr>
              <w:t xml:space="preserve">Parents </w:t>
            </w:r>
          </w:p>
        </w:tc>
        <w:tc>
          <w:tcPr>
            <w:tcW w:w="1134" w:type="dxa"/>
          </w:tcPr>
          <w:p w14:paraId="0023D4A3" w14:textId="77777777" w:rsidR="00437158" w:rsidRPr="00437158" w:rsidRDefault="00437158">
            <w:pPr>
              <w:suppressAutoHyphens/>
              <w:spacing w:before="40" w:after="40" w:line="200" w:lineRule="atLeast"/>
              <w:rPr>
                <w:rFonts w:cs="Arial"/>
              </w:rPr>
            </w:pPr>
            <w:r w:rsidRPr="00437158">
              <w:rPr>
                <w:rFonts w:cs="Arial"/>
              </w:rPr>
              <w:t xml:space="preserve">Face-to-face, Individual </w:t>
            </w:r>
          </w:p>
        </w:tc>
        <w:tc>
          <w:tcPr>
            <w:tcW w:w="1275" w:type="dxa"/>
          </w:tcPr>
          <w:p w14:paraId="79A11DA5" w14:textId="77777777" w:rsidR="00437158" w:rsidRPr="00437158" w:rsidRDefault="00437158">
            <w:pPr>
              <w:suppressAutoHyphens/>
              <w:spacing w:before="40" w:after="40" w:line="200" w:lineRule="atLeast"/>
              <w:rPr>
                <w:rFonts w:cs="Arial"/>
              </w:rPr>
            </w:pPr>
            <w:r w:rsidRPr="00437158">
              <w:rPr>
                <w:rFonts w:cs="Arial"/>
              </w:rPr>
              <w:t>At home</w:t>
            </w:r>
          </w:p>
        </w:tc>
        <w:tc>
          <w:tcPr>
            <w:tcW w:w="1701" w:type="dxa"/>
          </w:tcPr>
          <w:p w14:paraId="34FB3822" w14:textId="77777777" w:rsidR="00437158" w:rsidRPr="00437158" w:rsidRDefault="00437158">
            <w:pPr>
              <w:suppressAutoHyphens/>
              <w:spacing w:before="40" w:after="40" w:line="200" w:lineRule="atLeast"/>
              <w:rPr>
                <w:rFonts w:cs="Arial"/>
              </w:rPr>
            </w:pPr>
            <w:r w:rsidRPr="00437158">
              <w:rPr>
                <w:rFonts w:cs="Arial"/>
              </w:rPr>
              <w:t>5-10 minutes daily, for approximately 2 to 3 weeks</w:t>
            </w:r>
          </w:p>
        </w:tc>
        <w:tc>
          <w:tcPr>
            <w:tcW w:w="1843" w:type="dxa"/>
          </w:tcPr>
          <w:p w14:paraId="24A53583" w14:textId="77777777" w:rsidR="00437158" w:rsidRPr="00437158" w:rsidRDefault="00437158">
            <w:pPr>
              <w:suppressAutoHyphens/>
              <w:spacing w:before="40" w:after="40" w:line="200" w:lineRule="atLeast"/>
              <w:rPr>
                <w:rFonts w:cs="Arial"/>
              </w:rPr>
            </w:pPr>
            <w:r w:rsidRPr="00437158">
              <w:rPr>
                <w:rFonts w:cs="Arial"/>
              </w:rPr>
              <w:t>Capacity- building (parent; child)</w:t>
            </w:r>
          </w:p>
        </w:tc>
      </w:tr>
      <w:tr w:rsidR="00437158" w:rsidRPr="00437158" w14:paraId="2ADC83F0" w14:textId="77777777">
        <w:trPr>
          <w:cnfStyle w:val="000000100000" w:firstRow="0" w:lastRow="0" w:firstColumn="0" w:lastColumn="0" w:oddVBand="0" w:evenVBand="0" w:oddHBand="1" w:evenHBand="0" w:firstRowFirstColumn="0" w:firstRowLastColumn="0" w:lastRowFirstColumn="0" w:lastRowLastColumn="0"/>
          <w:trHeight w:val="340"/>
        </w:trPr>
        <w:tc>
          <w:tcPr>
            <w:tcW w:w="1134" w:type="dxa"/>
            <w:tcBorders>
              <w:bottom w:val="single" w:sz="4" w:space="0" w:color="auto"/>
            </w:tcBorders>
          </w:tcPr>
          <w:p w14:paraId="0F06D087" w14:textId="77777777" w:rsidR="00437158" w:rsidRPr="00437158" w:rsidRDefault="00437158">
            <w:pPr>
              <w:suppressAutoHyphens/>
              <w:spacing w:before="40" w:after="40" w:line="200" w:lineRule="atLeast"/>
              <w:rPr>
                <w:rFonts w:cs="Arial"/>
              </w:rPr>
            </w:pPr>
            <w:r w:rsidRPr="00437158">
              <w:rPr>
                <w:rFonts w:cs="Arial"/>
              </w:rPr>
              <w:t>TELL Curriculum</w:t>
            </w:r>
          </w:p>
        </w:tc>
        <w:tc>
          <w:tcPr>
            <w:tcW w:w="3969" w:type="dxa"/>
            <w:tcBorders>
              <w:bottom w:val="single" w:sz="4" w:space="0" w:color="auto"/>
            </w:tcBorders>
          </w:tcPr>
          <w:p w14:paraId="137A7EAC" w14:textId="77777777" w:rsidR="00437158" w:rsidRPr="00437158" w:rsidRDefault="00437158">
            <w:pPr>
              <w:suppressAutoHyphens/>
              <w:spacing w:before="40" w:after="40" w:line="200" w:lineRule="atLeast"/>
              <w:rPr>
                <w:rFonts w:cs="Arial"/>
              </w:rPr>
            </w:pPr>
            <w:r w:rsidRPr="00437158">
              <w:rPr>
                <w:rFonts w:cs="Arial"/>
              </w:rPr>
              <w:t>The</w:t>
            </w:r>
            <w:r w:rsidRPr="00437158">
              <w:rPr>
                <w:rFonts w:cs="Arial"/>
                <w:b/>
              </w:rPr>
              <w:t xml:space="preserve"> Teaching Early Literacy and Language </w:t>
            </w:r>
            <w:r w:rsidRPr="00437158">
              <w:rPr>
                <w:rFonts w:cs="Arial"/>
              </w:rPr>
              <w:t>(TELL) curriculum</w:t>
            </w:r>
            <w:r w:rsidRPr="00437158">
              <w:rPr>
                <w:rFonts w:cs="Arial"/>
                <w:b/>
              </w:rPr>
              <w:t xml:space="preserve"> </w:t>
            </w:r>
            <w:r w:rsidRPr="00437158">
              <w:rPr>
                <w:rFonts w:cs="Arial"/>
              </w:rPr>
              <w:t>is a tier one whole class curriculum that embeds incidental and explicit oral language and early literacy teaching practices within planned learning opportunities</w:t>
            </w:r>
          </w:p>
        </w:tc>
        <w:tc>
          <w:tcPr>
            <w:tcW w:w="1276" w:type="dxa"/>
            <w:tcBorders>
              <w:bottom w:val="single" w:sz="4" w:space="0" w:color="auto"/>
            </w:tcBorders>
          </w:tcPr>
          <w:p w14:paraId="5D5A45BA" w14:textId="77777777" w:rsidR="00437158" w:rsidRPr="00437158" w:rsidRDefault="00437158">
            <w:pPr>
              <w:suppressAutoHyphens/>
              <w:spacing w:before="40" w:after="40" w:line="200" w:lineRule="atLeast"/>
              <w:rPr>
                <w:rFonts w:cs="Arial"/>
              </w:rPr>
            </w:pPr>
            <w:r w:rsidRPr="00437158">
              <w:rPr>
                <w:rFonts w:cs="Arial"/>
              </w:rPr>
              <w:t>Wilcox 2020</w:t>
            </w:r>
          </w:p>
        </w:tc>
        <w:tc>
          <w:tcPr>
            <w:tcW w:w="1418" w:type="dxa"/>
            <w:tcBorders>
              <w:bottom w:val="single" w:sz="4" w:space="0" w:color="auto"/>
            </w:tcBorders>
          </w:tcPr>
          <w:p w14:paraId="6B31E814" w14:textId="77777777" w:rsidR="00437158" w:rsidRPr="00437158" w:rsidRDefault="00437158">
            <w:pPr>
              <w:suppressAutoHyphens/>
              <w:spacing w:before="40" w:after="40" w:line="200" w:lineRule="atLeast"/>
              <w:rPr>
                <w:rFonts w:cs="Arial"/>
              </w:rPr>
            </w:pPr>
            <w:r w:rsidRPr="00437158">
              <w:rPr>
                <w:rFonts w:cs="Arial"/>
              </w:rPr>
              <w:t>Teachers</w:t>
            </w:r>
          </w:p>
        </w:tc>
        <w:tc>
          <w:tcPr>
            <w:tcW w:w="1134" w:type="dxa"/>
            <w:tcBorders>
              <w:bottom w:val="single" w:sz="4" w:space="0" w:color="auto"/>
            </w:tcBorders>
          </w:tcPr>
          <w:p w14:paraId="74A13C9A" w14:textId="77777777" w:rsidR="00437158" w:rsidRPr="00437158" w:rsidRDefault="00437158">
            <w:pPr>
              <w:suppressAutoHyphens/>
              <w:spacing w:before="40" w:after="40" w:line="200" w:lineRule="atLeast"/>
              <w:rPr>
                <w:rFonts w:cs="Arial"/>
              </w:rPr>
            </w:pPr>
            <w:r w:rsidRPr="00437158">
              <w:rPr>
                <w:rFonts w:cs="Arial"/>
              </w:rPr>
              <w:t>Face-to-face, Group</w:t>
            </w:r>
          </w:p>
        </w:tc>
        <w:tc>
          <w:tcPr>
            <w:tcW w:w="1275" w:type="dxa"/>
            <w:tcBorders>
              <w:bottom w:val="single" w:sz="4" w:space="0" w:color="auto"/>
            </w:tcBorders>
          </w:tcPr>
          <w:p w14:paraId="689ECB04" w14:textId="77777777" w:rsidR="00437158" w:rsidRPr="00437158" w:rsidRDefault="00437158">
            <w:pPr>
              <w:suppressAutoHyphens/>
              <w:spacing w:before="40" w:after="40" w:line="200" w:lineRule="atLeast"/>
              <w:rPr>
                <w:rFonts w:cs="Arial"/>
              </w:rPr>
            </w:pPr>
            <w:r w:rsidRPr="00437158">
              <w:rPr>
                <w:rFonts w:cs="Arial"/>
              </w:rPr>
              <w:t>Preschool/ kindergarten</w:t>
            </w:r>
          </w:p>
        </w:tc>
        <w:tc>
          <w:tcPr>
            <w:tcW w:w="1701" w:type="dxa"/>
            <w:tcBorders>
              <w:bottom w:val="single" w:sz="4" w:space="0" w:color="auto"/>
            </w:tcBorders>
          </w:tcPr>
          <w:p w14:paraId="2EDF4806" w14:textId="77777777" w:rsidR="00437158" w:rsidRPr="00437158" w:rsidRDefault="00437158">
            <w:pPr>
              <w:suppressAutoHyphens/>
              <w:spacing w:before="40" w:after="40" w:line="200" w:lineRule="atLeast"/>
              <w:rPr>
                <w:rFonts w:cs="Arial"/>
              </w:rPr>
            </w:pPr>
            <w:r w:rsidRPr="00437158">
              <w:rPr>
                <w:rFonts w:cs="Arial"/>
              </w:rPr>
              <w:t>34 weeks of instruction during the school year</w:t>
            </w:r>
          </w:p>
        </w:tc>
        <w:tc>
          <w:tcPr>
            <w:tcW w:w="1843" w:type="dxa"/>
            <w:tcBorders>
              <w:bottom w:val="single" w:sz="4" w:space="0" w:color="auto"/>
            </w:tcBorders>
          </w:tcPr>
          <w:p w14:paraId="46DAD36A" w14:textId="77777777" w:rsidR="00437158" w:rsidRPr="00437158" w:rsidRDefault="00437158">
            <w:pPr>
              <w:suppressAutoHyphens/>
              <w:spacing w:before="40" w:after="40" w:line="200" w:lineRule="atLeast"/>
              <w:rPr>
                <w:rFonts w:cs="Arial"/>
              </w:rPr>
            </w:pPr>
            <w:r w:rsidRPr="00437158">
              <w:rPr>
                <w:rFonts w:cs="Arial"/>
              </w:rPr>
              <w:t>Capacity-building (child);</w:t>
            </w:r>
          </w:p>
          <w:p w14:paraId="53ED5D0D" w14:textId="77777777" w:rsidR="00437158" w:rsidRPr="00437158" w:rsidRDefault="00437158">
            <w:pPr>
              <w:suppressAutoHyphens/>
              <w:spacing w:before="40" w:after="40" w:line="200" w:lineRule="atLeast"/>
              <w:rPr>
                <w:rFonts w:cs="Arial"/>
              </w:rPr>
            </w:pPr>
            <w:r w:rsidRPr="00437158">
              <w:rPr>
                <w:rFonts w:cs="Arial"/>
              </w:rPr>
              <w:t>Inclusion (school);</w:t>
            </w:r>
          </w:p>
          <w:p w14:paraId="5417A9DE" w14:textId="77777777" w:rsidR="00437158" w:rsidRPr="00437158" w:rsidRDefault="00437158">
            <w:pPr>
              <w:suppressAutoHyphens/>
              <w:spacing w:before="40" w:after="40" w:line="200" w:lineRule="atLeast"/>
              <w:rPr>
                <w:rFonts w:cs="Arial"/>
              </w:rPr>
            </w:pPr>
          </w:p>
        </w:tc>
      </w:tr>
    </w:tbl>
    <w:p w14:paraId="3153DC9B" w14:textId="1B31BBEF" w:rsidR="009B1067" w:rsidRPr="00B013DA" w:rsidRDefault="00F53506" w:rsidP="009B1067">
      <w:pPr>
        <w:rPr>
          <w:rFonts w:cs="Arial"/>
          <w:color w:val="000000" w:themeColor="text1"/>
          <w:sz w:val="20"/>
          <w:szCs w:val="20"/>
          <w:lang w:val="en-US"/>
        </w:rPr>
      </w:pPr>
      <w:r w:rsidRPr="00B013DA">
        <w:rPr>
          <w:rFonts w:cs="Arial"/>
          <w:color w:val="000000" w:themeColor="text1"/>
          <w:sz w:val="20"/>
          <w:szCs w:val="20"/>
          <w:lang w:val="en-US"/>
        </w:rPr>
        <w:t>Notes:  Data are displayed according to key characteristics of the T</w:t>
      </w:r>
      <w:r w:rsidR="001B1A8F">
        <w:rPr>
          <w:rFonts w:cs="Arial"/>
          <w:color w:val="000000" w:themeColor="text1"/>
          <w:sz w:val="20"/>
          <w:szCs w:val="20"/>
          <w:lang w:val="en-US"/>
        </w:rPr>
        <w:t>I</w:t>
      </w:r>
      <w:r w:rsidRPr="00B013DA">
        <w:rPr>
          <w:rFonts w:cs="Arial"/>
          <w:color w:val="000000" w:themeColor="text1"/>
          <w:sz w:val="20"/>
          <w:szCs w:val="20"/>
          <w:lang w:val="en-US"/>
        </w:rPr>
        <w:t>D</w:t>
      </w:r>
      <w:r w:rsidR="001B1A8F">
        <w:rPr>
          <w:rFonts w:cs="Arial"/>
          <w:color w:val="000000" w:themeColor="text1"/>
          <w:sz w:val="20"/>
          <w:szCs w:val="20"/>
          <w:lang w:val="en-US"/>
        </w:rPr>
        <w:t>ie</w:t>
      </w:r>
      <w:r w:rsidRPr="00B013DA">
        <w:rPr>
          <w:rFonts w:cs="Arial"/>
          <w:color w:val="000000" w:themeColor="text1"/>
          <w:sz w:val="20"/>
          <w:szCs w:val="20"/>
          <w:lang w:val="en-US"/>
        </w:rPr>
        <w:t>R framework. NR = not reported; other acronyms are defined within the row of data.</w:t>
      </w:r>
    </w:p>
    <w:p w14:paraId="049B6872" w14:textId="77777777" w:rsidR="00C42033" w:rsidRPr="00C42033" w:rsidRDefault="00C42033" w:rsidP="009B1067">
      <w:pPr>
        <w:rPr>
          <w:rFonts w:cs="Arial"/>
          <w:color w:val="000000" w:themeColor="text1"/>
          <w:lang w:val="en-US"/>
        </w:rPr>
      </w:pPr>
    </w:p>
    <w:p w14:paraId="1664521C" w14:textId="301F06C7" w:rsidR="009B1067" w:rsidRPr="009B1067" w:rsidRDefault="009B1067" w:rsidP="009B1067">
      <w:pPr>
        <w:rPr>
          <w:rFonts w:cs="Arial"/>
          <w:b/>
          <w:bCs/>
          <w:color w:val="000000" w:themeColor="text1"/>
          <w:lang w:val="en-US"/>
        </w:rPr>
      </w:pPr>
      <w:r w:rsidRPr="009B1067">
        <w:rPr>
          <w:rFonts w:cs="Arial"/>
          <w:b/>
          <w:bCs/>
          <w:color w:val="000000" w:themeColor="text1"/>
          <w:lang w:val="en-US"/>
        </w:rPr>
        <w:t>Reported outcomes of the randomised controlled trials</w:t>
      </w:r>
    </w:p>
    <w:p w14:paraId="44A9A696" w14:textId="0C276107" w:rsidR="009B1067" w:rsidRPr="009B1067" w:rsidRDefault="009B1067" w:rsidP="009B1067">
      <w:pPr>
        <w:rPr>
          <w:rFonts w:cs="Arial"/>
          <w:color w:val="000000" w:themeColor="text1"/>
          <w:lang w:val="en-US"/>
        </w:rPr>
      </w:pPr>
      <w:r w:rsidRPr="009B1067">
        <w:rPr>
          <w:rFonts w:cs="Arial"/>
          <w:color w:val="000000" w:themeColor="text1"/>
          <w:lang w:val="en-US"/>
        </w:rPr>
        <w:t xml:space="preserve">To understand the extent to which ECI practices deliver positive outcomes, findings of the RCTs are reported in the following order: (i) child related outcomes at the level of body function (Table 8), child related outcomes measured using diagnostic instruments (Table 9); activity-level outcomes </w:t>
      </w:r>
    </w:p>
    <w:p w14:paraId="3B689179" w14:textId="77777777" w:rsidR="009B1067" w:rsidRPr="009B1067" w:rsidRDefault="009B1067" w:rsidP="009B1067">
      <w:pPr>
        <w:rPr>
          <w:rFonts w:cs="Arial"/>
          <w:color w:val="000000" w:themeColor="text1"/>
          <w:lang w:val="en-US"/>
        </w:rPr>
      </w:pPr>
      <w:r w:rsidRPr="009B1067">
        <w:rPr>
          <w:rFonts w:cs="Arial"/>
          <w:color w:val="000000" w:themeColor="text1"/>
          <w:lang w:val="en-US"/>
        </w:rPr>
        <w:t xml:space="preserve">Table 10), participation or quality of life outcomes (Table 11); (ii) parent/caregiver outcomes (Table 12); and practitioners or organisational outcomes (Table 13). </w:t>
      </w:r>
    </w:p>
    <w:p w14:paraId="35A1A5A6" w14:textId="77777777" w:rsidR="009B1067" w:rsidRPr="001757A4" w:rsidRDefault="009B1067" w:rsidP="009B1067">
      <w:pPr>
        <w:rPr>
          <w:rFonts w:cs="Arial"/>
          <w:b/>
          <w:bCs/>
          <w:color w:val="000000" w:themeColor="text1"/>
          <w:lang w:val="en-US"/>
        </w:rPr>
      </w:pPr>
      <w:r w:rsidRPr="001757A4">
        <w:rPr>
          <w:rFonts w:cs="Arial"/>
          <w:b/>
          <w:bCs/>
          <w:color w:val="000000" w:themeColor="text1"/>
          <w:lang w:val="en-US"/>
        </w:rPr>
        <w:t xml:space="preserve">Outcomes for children </w:t>
      </w:r>
    </w:p>
    <w:p w14:paraId="155CB137" w14:textId="77777777" w:rsidR="009B1067" w:rsidRPr="009B1067" w:rsidRDefault="009B1067" w:rsidP="009B1067">
      <w:pPr>
        <w:rPr>
          <w:rFonts w:cs="Arial"/>
          <w:color w:val="000000" w:themeColor="text1"/>
          <w:lang w:val="en-US"/>
        </w:rPr>
      </w:pPr>
      <w:r w:rsidRPr="009B1067">
        <w:rPr>
          <w:rFonts w:cs="Arial"/>
          <w:color w:val="000000" w:themeColor="text1"/>
          <w:lang w:val="en-US"/>
        </w:rPr>
        <w:t xml:space="preserve">Domains of interest were defined broadly according to the ICF domains of body structure/function, activity and participation, and/or the environmental chapters. No outcomes were collected related to body structures. ICF Body Function outcomes related to Chapter 1, Mental functions; Chapter 2, Sensory functions and pain; or Chapter 7, Neuromusculoskeletal and movement-related functions. ICF Activity level outcomes were related to Chapter 1, Learning and applying knowledge; Chapter 2, General tasks and demands; Chapter 3, Communication; Chapter 4, Mobility; Chapter 5, Self-care; and Chapter 7, Interpersonal interactions and relationships. </w:t>
      </w:r>
    </w:p>
    <w:p w14:paraId="200751A4" w14:textId="77777777" w:rsidR="009B1067" w:rsidRPr="009B1067" w:rsidRDefault="009B1067" w:rsidP="009B1067">
      <w:pPr>
        <w:rPr>
          <w:rFonts w:cs="Arial"/>
          <w:color w:val="000000" w:themeColor="text1"/>
          <w:lang w:val="en-US"/>
        </w:rPr>
      </w:pPr>
      <w:r w:rsidRPr="009B1067">
        <w:rPr>
          <w:rFonts w:cs="Arial"/>
          <w:color w:val="000000" w:themeColor="text1"/>
          <w:lang w:val="en-US"/>
        </w:rPr>
        <w:t xml:space="preserve">Activity level outcomes related to Communication and General tasks and demands (e.g., behavioural outcomes) were the most reported. The remaining activity level outcomes were typically captured within developmental or adaptive behaviour assessments. Few if any studies provided consistent evidence of difference between groups in favour of the intervention under investigation. Many studies demonstrated within-group changes (i.e., improvements over time within one or both groups, but the benefit of the intervention under investigation over and above the control or comparison condition was not consistently demonstrated across child-related outcomes.  </w:t>
      </w:r>
    </w:p>
    <w:p w14:paraId="53D3BF11" w14:textId="77777777" w:rsidR="009B1067" w:rsidRPr="009B1067" w:rsidRDefault="009B1067" w:rsidP="009B1067">
      <w:pPr>
        <w:rPr>
          <w:rFonts w:cs="Arial"/>
          <w:color w:val="000000" w:themeColor="text1"/>
          <w:lang w:val="en-US"/>
        </w:rPr>
      </w:pPr>
    </w:p>
    <w:p w14:paraId="3505BAD7" w14:textId="7D55DBBE" w:rsidR="009B1067" w:rsidRDefault="009B1067" w:rsidP="009B1067">
      <w:pPr>
        <w:rPr>
          <w:rFonts w:cs="Arial"/>
          <w:color w:val="000000" w:themeColor="text1"/>
          <w:lang w:val="en-US"/>
        </w:rPr>
      </w:pPr>
      <w:r w:rsidRPr="009B1067">
        <w:rPr>
          <w:rFonts w:cs="Arial"/>
          <w:color w:val="000000" w:themeColor="text1"/>
          <w:lang w:val="en-US"/>
        </w:rPr>
        <w:t>Three RCTs captured outcomes broadly defined as participation focused, and related to enjoyment, play and active engagement in the classroom. One study included a measure of infant/toddler quality of life. Again, no consistent evidence of the benefit of the intervention under investigation was demonstrated.</w:t>
      </w:r>
    </w:p>
    <w:p w14:paraId="10891258" w14:textId="0F1CCE73" w:rsidR="00C42033" w:rsidRPr="00BE4714" w:rsidRDefault="00BE4714" w:rsidP="00BE4714">
      <w:pPr>
        <w:pStyle w:val="Caption"/>
        <w:keepNext/>
      </w:pPr>
      <w:bookmarkStart w:id="98" w:name="_Toc177725007"/>
      <w:bookmarkStart w:id="99" w:name="_Toc177727327"/>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9</w:t>
      </w:r>
      <w:r w:rsidR="00627239" w:rsidRPr="00B5106F">
        <w:rPr>
          <w:b/>
          <w:bCs/>
          <w:noProof/>
        </w:rPr>
        <w:fldChar w:fldCharType="end"/>
      </w:r>
      <w:r w:rsidRPr="00B5106F">
        <w:rPr>
          <w:b/>
          <w:bCs/>
        </w:rPr>
        <w:t>.</w:t>
      </w:r>
      <w:r w:rsidRPr="001B07C3">
        <w:t xml:space="preserve"> Body function outcomes for children</w:t>
      </w:r>
      <w:bookmarkEnd w:id="98"/>
      <w:bookmarkEnd w:id="99"/>
    </w:p>
    <w:tbl>
      <w:tblPr>
        <w:tblStyle w:val="UniofMelTable33"/>
        <w:tblpPr w:leftFromText="180" w:rightFromText="180" w:vertAnchor="text" w:tblpY="1"/>
        <w:tblOverlap w:val="never"/>
        <w:tblW w:w="4916" w:type="pct"/>
        <w:tblLook w:val="04A0" w:firstRow="1" w:lastRow="0" w:firstColumn="1" w:lastColumn="0" w:noHBand="0" w:noVBand="1"/>
      </w:tblPr>
      <w:tblGrid>
        <w:gridCol w:w="1218"/>
        <w:gridCol w:w="1504"/>
        <w:gridCol w:w="1383"/>
        <w:gridCol w:w="2146"/>
        <w:gridCol w:w="1959"/>
        <w:gridCol w:w="5514"/>
      </w:tblGrid>
      <w:tr w:rsidR="007E4C11" w:rsidRPr="00516643" w14:paraId="5555347B" w14:textId="77777777" w:rsidTr="005811DB">
        <w:trPr>
          <w:cnfStyle w:val="100000000000" w:firstRow="1" w:lastRow="0" w:firstColumn="0" w:lastColumn="0" w:oddVBand="0" w:evenVBand="0" w:oddHBand="0" w:evenHBand="0" w:firstRowFirstColumn="0" w:firstRowLastColumn="0" w:lastRowFirstColumn="0" w:lastRowLastColumn="0"/>
          <w:trHeight w:val="340"/>
        </w:trPr>
        <w:tc>
          <w:tcPr>
            <w:tcW w:w="1218" w:type="dxa"/>
            <w:shd w:val="clear" w:color="auto" w:fill="082A75"/>
          </w:tcPr>
          <w:p w14:paraId="71D4DCDA" w14:textId="77777777" w:rsidR="007E4C11" w:rsidRPr="007E4C11" w:rsidRDefault="007E4C11">
            <w:pPr>
              <w:suppressAutoHyphens/>
              <w:spacing w:after="0"/>
              <w:rPr>
                <w:rFonts w:cs="Arial"/>
                <w:b/>
                <w:color w:val="FFFFFF"/>
              </w:rPr>
            </w:pPr>
            <w:r w:rsidRPr="007E4C11">
              <w:rPr>
                <w:rFonts w:cs="Arial"/>
                <w:b/>
                <w:color w:val="FFFFFF"/>
              </w:rPr>
              <w:t xml:space="preserve">Author </w:t>
            </w:r>
          </w:p>
          <w:p w14:paraId="0E29808C" w14:textId="77777777" w:rsidR="007E4C11" w:rsidRPr="007E4C11" w:rsidRDefault="007E4C11">
            <w:pPr>
              <w:suppressAutoHyphens/>
              <w:spacing w:after="0"/>
              <w:rPr>
                <w:rFonts w:cs="Arial"/>
                <w:b/>
                <w:color w:val="FFFFFF"/>
              </w:rPr>
            </w:pPr>
            <w:r w:rsidRPr="007E4C11">
              <w:rPr>
                <w:rFonts w:cs="Arial"/>
                <w:b/>
                <w:color w:val="FFFFFF"/>
              </w:rPr>
              <w:t xml:space="preserve">Year </w:t>
            </w:r>
          </w:p>
        </w:tc>
        <w:tc>
          <w:tcPr>
            <w:tcW w:w="1504" w:type="dxa"/>
            <w:shd w:val="clear" w:color="auto" w:fill="082A75"/>
          </w:tcPr>
          <w:p w14:paraId="69353D2B" w14:textId="77777777" w:rsidR="007E4C11" w:rsidRPr="007E4C11" w:rsidRDefault="007E4C11">
            <w:pPr>
              <w:suppressAutoHyphens/>
              <w:spacing w:after="0"/>
              <w:rPr>
                <w:rFonts w:cs="Arial"/>
                <w:b/>
              </w:rPr>
            </w:pPr>
            <w:r w:rsidRPr="007E4C11">
              <w:rPr>
                <w:rFonts w:cs="Arial"/>
                <w:b/>
              </w:rPr>
              <w:t>Intervention</w:t>
            </w:r>
          </w:p>
          <w:p w14:paraId="3A78914F" w14:textId="77777777" w:rsidR="007E4C11" w:rsidRPr="007E4C11" w:rsidRDefault="007E4C11">
            <w:pPr>
              <w:suppressAutoHyphens/>
              <w:spacing w:after="0"/>
              <w:rPr>
                <w:rFonts w:cs="Arial"/>
                <w:b/>
              </w:rPr>
            </w:pPr>
            <w:r w:rsidRPr="007E4C11">
              <w:rPr>
                <w:rFonts w:cs="Arial"/>
                <w:b/>
              </w:rPr>
              <w:t>in focus (n)</w:t>
            </w:r>
          </w:p>
        </w:tc>
        <w:tc>
          <w:tcPr>
            <w:tcW w:w="1383" w:type="dxa"/>
            <w:shd w:val="clear" w:color="auto" w:fill="082A75"/>
          </w:tcPr>
          <w:p w14:paraId="3E6B52C0" w14:textId="77777777" w:rsidR="007E4C11" w:rsidRPr="007E4C11" w:rsidRDefault="007E4C11">
            <w:pPr>
              <w:suppressAutoHyphens/>
              <w:spacing w:after="0"/>
              <w:rPr>
                <w:rFonts w:cs="Arial"/>
                <w:b/>
              </w:rPr>
            </w:pPr>
            <w:r w:rsidRPr="007E4C11">
              <w:rPr>
                <w:rFonts w:cs="Arial"/>
                <w:b/>
              </w:rPr>
              <w:t xml:space="preserve">Comparison </w:t>
            </w:r>
          </w:p>
          <w:p w14:paraId="36525B6E" w14:textId="77777777" w:rsidR="007E4C11" w:rsidRPr="007E4C11" w:rsidRDefault="007E4C11">
            <w:pPr>
              <w:suppressAutoHyphens/>
              <w:spacing w:after="0"/>
              <w:rPr>
                <w:rFonts w:cs="Arial"/>
                <w:b/>
              </w:rPr>
            </w:pPr>
            <w:r w:rsidRPr="007E4C11">
              <w:rPr>
                <w:rFonts w:cs="Arial"/>
                <w:b/>
              </w:rPr>
              <w:t>(n)</w:t>
            </w:r>
          </w:p>
        </w:tc>
        <w:tc>
          <w:tcPr>
            <w:tcW w:w="2146" w:type="dxa"/>
            <w:shd w:val="clear" w:color="auto" w:fill="082A75"/>
          </w:tcPr>
          <w:p w14:paraId="108A4FF9" w14:textId="77777777" w:rsidR="007E4C11" w:rsidRPr="007E4C11" w:rsidRDefault="007E4C11">
            <w:pPr>
              <w:suppressAutoHyphens/>
              <w:spacing w:after="0"/>
              <w:rPr>
                <w:rFonts w:cs="Arial"/>
                <w:b/>
              </w:rPr>
            </w:pPr>
            <w:r w:rsidRPr="007E4C11">
              <w:rPr>
                <w:rFonts w:cs="Arial"/>
                <w:b/>
              </w:rPr>
              <w:t xml:space="preserve">Measure </w:t>
            </w:r>
          </w:p>
          <w:p w14:paraId="252AC219" w14:textId="77777777" w:rsidR="007E4C11" w:rsidRPr="007E4C11" w:rsidRDefault="007E4C11">
            <w:pPr>
              <w:suppressAutoHyphens/>
              <w:spacing w:after="0"/>
              <w:rPr>
                <w:rFonts w:cs="Arial"/>
                <w:b/>
              </w:rPr>
            </w:pPr>
            <w:r w:rsidRPr="007E4C11">
              <w:rPr>
                <w:rFonts w:cs="Arial"/>
                <w:b/>
              </w:rPr>
              <w:t>(variable)</w:t>
            </w:r>
          </w:p>
        </w:tc>
        <w:tc>
          <w:tcPr>
            <w:tcW w:w="1959" w:type="dxa"/>
            <w:shd w:val="clear" w:color="auto" w:fill="082A75"/>
          </w:tcPr>
          <w:p w14:paraId="74650D39" w14:textId="77777777" w:rsidR="007E4C11" w:rsidRPr="007E4C11" w:rsidRDefault="007E4C11">
            <w:pPr>
              <w:suppressAutoHyphens/>
              <w:spacing w:after="0"/>
              <w:jc w:val="center"/>
              <w:rPr>
                <w:rFonts w:cs="Arial"/>
                <w:b/>
              </w:rPr>
            </w:pPr>
            <w:r w:rsidRPr="007E4C11">
              <w:rPr>
                <w:rFonts w:cs="Arial"/>
                <w:b/>
              </w:rPr>
              <w:t>Timepoints</w:t>
            </w:r>
          </w:p>
        </w:tc>
        <w:tc>
          <w:tcPr>
            <w:tcW w:w="5514" w:type="dxa"/>
            <w:shd w:val="clear" w:color="auto" w:fill="082A75"/>
          </w:tcPr>
          <w:p w14:paraId="63B9433C" w14:textId="77777777" w:rsidR="007E4C11" w:rsidRPr="007E4C11" w:rsidRDefault="007E4C11">
            <w:pPr>
              <w:suppressAutoHyphens/>
              <w:spacing w:after="0"/>
              <w:rPr>
                <w:rFonts w:cs="Arial"/>
                <w:b/>
              </w:rPr>
            </w:pPr>
            <w:r w:rsidRPr="007E4C11">
              <w:rPr>
                <w:rFonts w:cs="Arial"/>
                <w:b/>
              </w:rPr>
              <w:t xml:space="preserve">Summary </w:t>
            </w:r>
          </w:p>
        </w:tc>
      </w:tr>
      <w:tr w:rsidR="007E4C11" w:rsidRPr="00516643" w14:paraId="4D35C553" w14:textId="77777777" w:rsidTr="005811DB">
        <w:trPr>
          <w:cnfStyle w:val="000000100000" w:firstRow="0" w:lastRow="0" w:firstColumn="0" w:lastColumn="0" w:oddVBand="0" w:evenVBand="0" w:oddHBand="1" w:evenHBand="0" w:firstRowFirstColumn="0" w:firstRowLastColumn="0" w:lastRowFirstColumn="0" w:lastRowLastColumn="0"/>
          <w:trHeight w:val="340"/>
        </w:trPr>
        <w:tc>
          <w:tcPr>
            <w:tcW w:w="13724" w:type="dxa"/>
            <w:gridSpan w:val="6"/>
            <w:shd w:val="clear" w:color="auto" w:fill="DAE2E6"/>
          </w:tcPr>
          <w:p w14:paraId="40CB2ACD" w14:textId="77777777" w:rsidR="007E4C11" w:rsidRPr="007E4C11" w:rsidRDefault="007E4C11">
            <w:pPr>
              <w:suppressAutoHyphens/>
              <w:spacing w:after="0"/>
              <w:rPr>
                <w:rFonts w:cs="Arial"/>
              </w:rPr>
            </w:pPr>
            <w:r w:rsidRPr="007E4C11">
              <w:rPr>
                <w:rFonts w:cs="Arial"/>
                <w:b/>
              </w:rPr>
              <w:t>CareToy</w:t>
            </w:r>
          </w:p>
        </w:tc>
      </w:tr>
      <w:tr w:rsidR="007E4C11" w:rsidRPr="00516643" w14:paraId="44B629D0" w14:textId="77777777" w:rsidTr="005811DB">
        <w:trPr>
          <w:cnfStyle w:val="000000010000" w:firstRow="0" w:lastRow="0" w:firstColumn="0" w:lastColumn="0" w:oddVBand="0" w:evenVBand="0" w:oddHBand="0" w:evenHBand="1" w:firstRowFirstColumn="0" w:firstRowLastColumn="0" w:lastRowFirstColumn="0" w:lastRowLastColumn="0"/>
          <w:trHeight w:val="340"/>
        </w:trPr>
        <w:tc>
          <w:tcPr>
            <w:tcW w:w="1218" w:type="dxa"/>
            <w:vMerge w:val="restart"/>
          </w:tcPr>
          <w:p w14:paraId="22DFEC9A" w14:textId="77777777" w:rsidR="007E4C11" w:rsidRPr="007E4C11" w:rsidRDefault="007E4C11">
            <w:pPr>
              <w:suppressAutoHyphens/>
              <w:spacing w:after="0"/>
              <w:rPr>
                <w:rFonts w:cs="Arial"/>
                <w:b/>
              </w:rPr>
            </w:pPr>
            <w:r w:rsidRPr="007E4C11">
              <w:rPr>
                <w:rFonts w:cs="Arial"/>
                <w:b/>
              </w:rPr>
              <w:t xml:space="preserve">Sgandurra </w:t>
            </w:r>
          </w:p>
          <w:p w14:paraId="0384958F" w14:textId="77777777" w:rsidR="007E4C11" w:rsidRPr="007E4C11" w:rsidRDefault="007E4C11">
            <w:pPr>
              <w:suppressAutoHyphens/>
              <w:spacing w:after="0"/>
              <w:rPr>
                <w:rFonts w:cs="Arial"/>
                <w:b/>
              </w:rPr>
            </w:pPr>
            <w:r w:rsidRPr="007E4C11">
              <w:rPr>
                <w:rFonts w:cs="Arial"/>
                <w:b/>
              </w:rPr>
              <w:t>2017</w:t>
            </w:r>
          </w:p>
        </w:tc>
        <w:tc>
          <w:tcPr>
            <w:tcW w:w="1504" w:type="dxa"/>
            <w:vMerge w:val="restart"/>
          </w:tcPr>
          <w:p w14:paraId="106A389D" w14:textId="77777777" w:rsidR="007E4C11" w:rsidRPr="007E4C11" w:rsidRDefault="007E4C11">
            <w:pPr>
              <w:suppressAutoHyphens/>
              <w:spacing w:after="0"/>
              <w:rPr>
                <w:rFonts w:cs="Arial"/>
              </w:rPr>
            </w:pPr>
            <w:r w:rsidRPr="007E4C11">
              <w:rPr>
                <w:rFonts w:cs="Arial"/>
              </w:rPr>
              <w:t xml:space="preserve">CareToy </w:t>
            </w:r>
          </w:p>
          <w:p w14:paraId="560A9236" w14:textId="77777777" w:rsidR="007E4C11" w:rsidRPr="007E4C11" w:rsidRDefault="007E4C11">
            <w:pPr>
              <w:suppressAutoHyphens/>
              <w:spacing w:after="0"/>
              <w:rPr>
                <w:rFonts w:cs="Arial"/>
              </w:rPr>
            </w:pPr>
            <w:r w:rsidRPr="007E4C11">
              <w:rPr>
                <w:rFonts w:cs="Arial"/>
              </w:rPr>
              <w:t>(n=24)</w:t>
            </w:r>
          </w:p>
        </w:tc>
        <w:tc>
          <w:tcPr>
            <w:tcW w:w="1383" w:type="dxa"/>
            <w:vMerge w:val="restart"/>
          </w:tcPr>
          <w:p w14:paraId="6E97FDC7" w14:textId="77777777" w:rsidR="007E4C11" w:rsidRPr="007E4C11" w:rsidRDefault="007E4C11">
            <w:pPr>
              <w:suppressAutoHyphens/>
              <w:spacing w:after="0"/>
              <w:rPr>
                <w:rFonts w:cs="Arial"/>
              </w:rPr>
            </w:pPr>
            <w:r w:rsidRPr="007E4C11">
              <w:rPr>
                <w:rFonts w:cs="Arial"/>
              </w:rPr>
              <w:t xml:space="preserve">SAU </w:t>
            </w:r>
          </w:p>
          <w:p w14:paraId="57EFA52A" w14:textId="77777777" w:rsidR="007E4C11" w:rsidRPr="007E4C11" w:rsidRDefault="007E4C11">
            <w:pPr>
              <w:suppressAutoHyphens/>
              <w:spacing w:after="0"/>
              <w:rPr>
                <w:rFonts w:cs="Arial"/>
              </w:rPr>
            </w:pPr>
            <w:r w:rsidRPr="007E4C11">
              <w:rPr>
                <w:rFonts w:cs="Arial"/>
              </w:rPr>
              <w:t>(n=20)</w:t>
            </w:r>
          </w:p>
          <w:p w14:paraId="1FA02F6D" w14:textId="77777777" w:rsidR="007E4C11" w:rsidRPr="007E4C11" w:rsidRDefault="007E4C11">
            <w:pPr>
              <w:suppressAutoHyphens/>
              <w:spacing w:after="0"/>
              <w:rPr>
                <w:rFonts w:cs="Arial"/>
              </w:rPr>
            </w:pPr>
          </w:p>
        </w:tc>
        <w:tc>
          <w:tcPr>
            <w:tcW w:w="2146" w:type="dxa"/>
          </w:tcPr>
          <w:p w14:paraId="5F48230A" w14:textId="77777777" w:rsidR="007E4C11" w:rsidRPr="007E4C11" w:rsidRDefault="007E4C11">
            <w:pPr>
              <w:suppressAutoHyphens/>
              <w:spacing w:after="0"/>
              <w:rPr>
                <w:rFonts w:cs="Arial"/>
              </w:rPr>
            </w:pPr>
            <w:r w:rsidRPr="007E4C11">
              <w:rPr>
                <w:rFonts w:cs="Arial"/>
              </w:rPr>
              <w:t>Alberta Infant Motor Profile (AIMS)</w:t>
            </w:r>
          </w:p>
          <w:p w14:paraId="6D752A8B" w14:textId="77777777" w:rsidR="007E4C11" w:rsidRPr="007E4C11" w:rsidRDefault="007E4C11">
            <w:pPr>
              <w:suppressAutoHyphens/>
              <w:spacing w:after="0"/>
              <w:rPr>
                <w:rFonts w:cs="Arial"/>
              </w:rPr>
            </w:pPr>
          </w:p>
        </w:tc>
        <w:tc>
          <w:tcPr>
            <w:tcW w:w="1959" w:type="dxa"/>
          </w:tcPr>
          <w:p w14:paraId="42EE16A0" w14:textId="77777777" w:rsidR="007E4C11" w:rsidRPr="007E4C11" w:rsidRDefault="007E4C11">
            <w:pPr>
              <w:suppressAutoHyphens/>
              <w:spacing w:after="0"/>
              <w:rPr>
                <w:rFonts w:cs="Arial"/>
              </w:rPr>
            </w:pPr>
            <w:r w:rsidRPr="007E4C11">
              <w:rPr>
                <w:rFonts w:cs="Arial"/>
              </w:rPr>
              <w:t>Baseline;</w:t>
            </w:r>
          </w:p>
          <w:p w14:paraId="42E6C2D4" w14:textId="77777777" w:rsidR="007E4C11" w:rsidRPr="007E4C11" w:rsidRDefault="007E4C11">
            <w:pPr>
              <w:suppressAutoHyphens/>
              <w:spacing w:after="0"/>
              <w:rPr>
                <w:rFonts w:cs="Arial"/>
              </w:rPr>
            </w:pPr>
            <w:r w:rsidRPr="007E4C11">
              <w:rPr>
                <w:rFonts w:cs="Arial"/>
              </w:rPr>
              <w:t>Post-intervention;</w:t>
            </w:r>
          </w:p>
          <w:p w14:paraId="29CD1C87" w14:textId="77777777" w:rsidR="007E4C11" w:rsidRPr="007E4C11" w:rsidRDefault="007E4C11">
            <w:pPr>
              <w:suppressAutoHyphens/>
              <w:spacing w:after="0"/>
              <w:rPr>
                <w:rFonts w:cs="Arial"/>
              </w:rPr>
            </w:pPr>
            <w:r w:rsidRPr="007E4C11">
              <w:rPr>
                <w:rFonts w:cs="Arial"/>
              </w:rPr>
              <w:t>Follow up (4 weeks)</w:t>
            </w:r>
          </w:p>
        </w:tc>
        <w:tc>
          <w:tcPr>
            <w:tcW w:w="5514" w:type="dxa"/>
          </w:tcPr>
          <w:p w14:paraId="3CCC34E5" w14:textId="77777777" w:rsidR="007E4C11" w:rsidRPr="007E4C11" w:rsidRDefault="007E4C11">
            <w:pPr>
              <w:suppressAutoHyphens/>
              <w:spacing w:after="0"/>
              <w:rPr>
                <w:rFonts w:cs="Arial"/>
              </w:rPr>
            </w:pPr>
            <w:r w:rsidRPr="007E4C11">
              <w:rPr>
                <w:rFonts w:cs="Arial"/>
              </w:rPr>
              <w:t>Evidence of increased motor behaviour post-intervention for CareToy.</w:t>
            </w:r>
          </w:p>
          <w:p w14:paraId="01160478" w14:textId="77777777" w:rsidR="007E4C11" w:rsidRPr="007E4C11" w:rsidRDefault="007E4C11">
            <w:pPr>
              <w:suppressAutoHyphens/>
              <w:spacing w:after="0"/>
              <w:rPr>
                <w:rFonts w:cs="Arial"/>
              </w:rPr>
            </w:pPr>
            <w:r w:rsidRPr="007E4C11">
              <w:rPr>
                <w:rFonts w:cs="Arial"/>
              </w:rPr>
              <w:t>No evidence of a difference between groups for motor behaviours at follow-up.</w:t>
            </w:r>
          </w:p>
        </w:tc>
      </w:tr>
      <w:tr w:rsidR="007E4C11" w:rsidRPr="00516643" w14:paraId="517FA42E" w14:textId="77777777" w:rsidTr="005811DB">
        <w:trPr>
          <w:cnfStyle w:val="000000100000" w:firstRow="0" w:lastRow="0" w:firstColumn="0" w:lastColumn="0" w:oddVBand="0" w:evenVBand="0" w:oddHBand="1" w:evenHBand="0" w:firstRowFirstColumn="0" w:firstRowLastColumn="0" w:lastRowFirstColumn="0" w:lastRowLastColumn="0"/>
          <w:trHeight w:val="524"/>
        </w:trPr>
        <w:tc>
          <w:tcPr>
            <w:tcW w:w="1218" w:type="dxa"/>
            <w:vMerge/>
          </w:tcPr>
          <w:p w14:paraId="1B6EEF93" w14:textId="77777777" w:rsidR="007E4C11" w:rsidRPr="007E4C11" w:rsidRDefault="007E4C11">
            <w:pPr>
              <w:suppressAutoHyphens/>
              <w:spacing w:after="0"/>
              <w:rPr>
                <w:rFonts w:cs="Arial"/>
                <w:b/>
              </w:rPr>
            </w:pPr>
          </w:p>
        </w:tc>
        <w:tc>
          <w:tcPr>
            <w:tcW w:w="1504" w:type="dxa"/>
            <w:vMerge/>
          </w:tcPr>
          <w:p w14:paraId="09E9A5A2" w14:textId="77777777" w:rsidR="007E4C11" w:rsidRPr="007E4C11" w:rsidRDefault="007E4C11">
            <w:pPr>
              <w:suppressAutoHyphens/>
              <w:spacing w:after="0"/>
              <w:rPr>
                <w:rFonts w:cs="Arial"/>
              </w:rPr>
            </w:pPr>
          </w:p>
        </w:tc>
        <w:tc>
          <w:tcPr>
            <w:tcW w:w="1383" w:type="dxa"/>
            <w:vMerge/>
          </w:tcPr>
          <w:p w14:paraId="6383F969" w14:textId="77777777" w:rsidR="007E4C11" w:rsidRPr="007E4C11" w:rsidRDefault="007E4C11">
            <w:pPr>
              <w:suppressAutoHyphens/>
              <w:spacing w:after="0"/>
              <w:rPr>
                <w:rFonts w:cs="Arial"/>
              </w:rPr>
            </w:pPr>
          </w:p>
        </w:tc>
        <w:tc>
          <w:tcPr>
            <w:tcW w:w="2146" w:type="dxa"/>
          </w:tcPr>
          <w:p w14:paraId="59042EDF" w14:textId="77777777" w:rsidR="007E4C11" w:rsidRPr="007E4C11" w:rsidRDefault="007E4C11">
            <w:pPr>
              <w:suppressAutoHyphens/>
              <w:spacing w:after="0"/>
              <w:rPr>
                <w:rFonts w:cs="Arial"/>
              </w:rPr>
            </w:pPr>
            <w:r w:rsidRPr="007E4C11">
              <w:rPr>
                <w:rFonts w:cs="Arial"/>
              </w:rPr>
              <w:t>Teller Acuity Cards (TAC)</w:t>
            </w:r>
          </w:p>
        </w:tc>
        <w:tc>
          <w:tcPr>
            <w:tcW w:w="1959" w:type="dxa"/>
          </w:tcPr>
          <w:p w14:paraId="10871946" w14:textId="77777777" w:rsidR="007E4C11" w:rsidRPr="007E4C11" w:rsidRDefault="007E4C11">
            <w:pPr>
              <w:suppressAutoHyphens/>
              <w:spacing w:after="0"/>
              <w:rPr>
                <w:rFonts w:cs="Arial"/>
              </w:rPr>
            </w:pPr>
            <w:r w:rsidRPr="007E4C11">
              <w:rPr>
                <w:rFonts w:cs="Arial"/>
              </w:rPr>
              <w:t xml:space="preserve">As above </w:t>
            </w:r>
          </w:p>
        </w:tc>
        <w:tc>
          <w:tcPr>
            <w:tcW w:w="5514" w:type="dxa"/>
          </w:tcPr>
          <w:p w14:paraId="29E15A5D" w14:textId="77777777" w:rsidR="007E4C11" w:rsidRPr="007E4C11" w:rsidRDefault="007E4C11">
            <w:pPr>
              <w:suppressAutoHyphens/>
              <w:spacing w:after="0"/>
              <w:rPr>
                <w:rFonts w:cs="Arial"/>
              </w:rPr>
            </w:pPr>
            <w:r w:rsidRPr="007E4C11">
              <w:rPr>
                <w:rFonts w:cs="Arial"/>
              </w:rPr>
              <w:t>Evidence of increased visual acuity post-intervention for CareToy.</w:t>
            </w:r>
          </w:p>
          <w:p w14:paraId="455463A6" w14:textId="77777777" w:rsidR="007E4C11" w:rsidRPr="007E4C11" w:rsidRDefault="007E4C11">
            <w:pPr>
              <w:suppressAutoHyphens/>
              <w:spacing w:after="0"/>
              <w:rPr>
                <w:rFonts w:cs="Arial"/>
              </w:rPr>
            </w:pPr>
            <w:r w:rsidRPr="007E4C11">
              <w:rPr>
                <w:rFonts w:cs="Arial"/>
              </w:rPr>
              <w:t>No evidence of a difference between groups for visual at follow-up.</w:t>
            </w:r>
          </w:p>
        </w:tc>
      </w:tr>
      <w:tr w:rsidR="007E4C11" w:rsidRPr="00516643" w14:paraId="76E464D6" w14:textId="77777777" w:rsidTr="005811DB">
        <w:trPr>
          <w:cnfStyle w:val="000000010000" w:firstRow="0" w:lastRow="0" w:firstColumn="0" w:lastColumn="0" w:oddVBand="0" w:evenVBand="0" w:oddHBand="0" w:evenHBand="1" w:firstRowFirstColumn="0" w:firstRowLastColumn="0" w:lastRowFirstColumn="0" w:lastRowLastColumn="0"/>
          <w:trHeight w:val="340"/>
        </w:trPr>
        <w:tc>
          <w:tcPr>
            <w:tcW w:w="13724" w:type="dxa"/>
            <w:gridSpan w:val="6"/>
            <w:shd w:val="clear" w:color="auto" w:fill="DAE2E6"/>
          </w:tcPr>
          <w:p w14:paraId="28CA607D" w14:textId="77777777" w:rsidR="007E4C11" w:rsidRPr="007E4C11" w:rsidRDefault="007E4C11">
            <w:pPr>
              <w:suppressAutoHyphens/>
              <w:spacing w:after="0"/>
              <w:rPr>
                <w:rFonts w:cs="Arial"/>
                <w:b/>
              </w:rPr>
            </w:pPr>
            <w:r w:rsidRPr="007E4C11">
              <w:rPr>
                <w:rFonts w:cs="Arial"/>
                <w:b/>
              </w:rPr>
              <w:t>Children in Action Motor Program for Preschoolers (CHAMPPS)</w:t>
            </w:r>
          </w:p>
        </w:tc>
      </w:tr>
      <w:tr w:rsidR="007E4C11" w:rsidRPr="00516643" w14:paraId="0FC4C1C1" w14:textId="77777777" w:rsidTr="005811DB">
        <w:trPr>
          <w:cnfStyle w:val="000000100000" w:firstRow="0" w:lastRow="0" w:firstColumn="0" w:lastColumn="0" w:oddVBand="0" w:evenVBand="0" w:oddHBand="1" w:evenHBand="0" w:firstRowFirstColumn="0" w:firstRowLastColumn="0" w:lastRowFirstColumn="0" w:lastRowLastColumn="0"/>
          <w:trHeight w:val="340"/>
        </w:trPr>
        <w:tc>
          <w:tcPr>
            <w:tcW w:w="1218" w:type="dxa"/>
            <w:vMerge w:val="restart"/>
          </w:tcPr>
          <w:p w14:paraId="32FD663F" w14:textId="77777777" w:rsidR="007E4C11" w:rsidRPr="007E4C11" w:rsidRDefault="007E4C11">
            <w:pPr>
              <w:suppressAutoHyphens/>
              <w:spacing w:after="0"/>
              <w:rPr>
                <w:rFonts w:cs="Arial"/>
                <w:b/>
              </w:rPr>
            </w:pPr>
            <w:r w:rsidRPr="007E4C11">
              <w:rPr>
                <w:rFonts w:cs="Arial"/>
                <w:b/>
              </w:rPr>
              <w:t xml:space="preserve">Ostrosky </w:t>
            </w:r>
          </w:p>
          <w:p w14:paraId="3E484625" w14:textId="77777777" w:rsidR="007E4C11" w:rsidRPr="007E4C11" w:rsidRDefault="007E4C11">
            <w:pPr>
              <w:suppressAutoHyphens/>
              <w:spacing w:after="0"/>
              <w:rPr>
                <w:rFonts w:cs="Arial"/>
                <w:b/>
                <w:color w:val="000000"/>
              </w:rPr>
            </w:pPr>
            <w:r w:rsidRPr="007E4C11">
              <w:rPr>
                <w:rFonts w:cs="Arial"/>
                <w:b/>
              </w:rPr>
              <w:t>2024</w:t>
            </w:r>
          </w:p>
        </w:tc>
        <w:tc>
          <w:tcPr>
            <w:tcW w:w="1504" w:type="dxa"/>
            <w:vMerge w:val="restart"/>
          </w:tcPr>
          <w:p w14:paraId="75B7C950" w14:textId="77777777" w:rsidR="007E4C11" w:rsidRPr="007E4C11" w:rsidRDefault="007E4C11">
            <w:pPr>
              <w:suppressAutoHyphens/>
              <w:spacing w:after="0"/>
              <w:rPr>
                <w:rFonts w:cs="Arial"/>
              </w:rPr>
            </w:pPr>
            <w:r w:rsidRPr="007E4C11">
              <w:rPr>
                <w:rFonts w:cs="Arial"/>
              </w:rPr>
              <w:t xml:space="preserve">CHAMPPS </w:t>
            </w:r>
          </w:p>
          <w:p w14:paraId="26B2F408" w14:textId="77777777" w:rsidR="007E4C11" w:rsidRPr="007E4C11" w:rsidRDefault="007E4C11">
            <w:pPr>
              <w:suppressAutoHyphens/>
              <w:spacing w:after="0"/>
              <w:rPr>
                <w:rFonts w:cs="Arial"/>
              </w:rPr>
            </w:pPr>
            <w:r w:rsidRPr="007E4C11">
              <w:rPr>
                <w:rFonts w:cs="Arial"/>
              </w:rPr>
              <w:t>(n=29)</w:t>
            </w:r>
          </w:p>
        </w:tc>
        <w:tc>
          <w:tcPr>
            <w:tcW w:w="1383" w:type="dxa"/>
            <w:vMerge w:val="restart"/>
          </w:tcPr>
          <w:p w14:paraId="3A489506" w14:textId="77777777" w:rsidR="007E4C11" w:rsidRPr="007E4C11" w:rsidRDefault="007E4C11">
            <w:pPr>
              <w:suppressAutoHyphens/>
              <w:spacing w:after="0"/>
              <w:rPr>
                <w:rFonts w:cs="Arial"/>
              </w:rPr>
            </w:pPr>
            <w:r w:rsidRPr="007E4C11">
              <w:rPr>
                <w:rFonts w:cs="Arial"/>
              </w:rPr>
              <w:t>Control</w:t>
            </w:r>
          </w:p>
          <w:p w14:paraId="0D89D0EA" w14:textId="77777777" w:rsidR="007E4C11" w:rsidRPr="007E4C11" w:rsidRDefault="007E4C11">
            <w:pPr>
              <w:suppressAutoHyphens/>
              <w:spacing w:after="0"/>
              <w:rPr>
                <w:rFonts w:cs="Arial"/>
              </w:rPr>
            </w:pPr>
            <w:r w:rsidRPr="007E4C11">
              <w:rPr>
                <w:rFonts w:cs="Arial"/>
              </w:rPr>
              <w:t>(n=22)</w:t>
            </w:r>
          </w:p>
        </w:tc>
        <w:tc>
          <w:tcPr>
            <w:tcW w:w="2146" w:type="dxa"/>
          </w:tcPr>
          <w:p w14:paraId="7B204A4A" w14:textId="77777777" w:rsidR="007E4C11" w:rsidRPr="007E4C11" w:rsidRDefault="007E4C11">
            <w:pPr>
              <w:suppressAutoHyphens/>
              <w:spacing w:after="0"/>
              <w:rPr>
                <w:rFonts w:cs="Arial"/>
              </w:rPr>
            </w:pPr>
            <w:r w:rsidRPr="007E4C11">
              <w:rPr>
                <w:rFonts w:cs="Arial"/>
              </w:rPr>
              <w:t>Actigraph</w:t>
            </w:r>
          </w:p>
        </w:tc>
        <w:tc>
          <w:tcPr>
            <w:tcW w:w="1959" w:type="dxa"/>
          </w:tcPr>
          <w:p w14:paraId="20CEFC4F" w14:textId="77777777" w:rsidR="007E4C11" w:rsidRPr="007E4C11" w:rsidRDefault="007E4C11">
            <w:pPr>
              <w:suppressAutoHyphens/>
              <w:spacing w:after="0"/>
              <w:rPr>
                <w:rFonts w:cs="Arial"/>
              </w:rPr>
            </w:pPr>
            <w:r w:rsidRPr="007E4C11">
              <w:rPr>
                <w:rFonts w:cs="Arial"/>
              </w:rPr>
              <w:t xml:space="preserve">Baseline; </w:t>
            </w:r>
          </w:p>
          <w:p w14:paraId="3FB22D1A" w14:textId="77777777" w:rsidR="007E4C11" w:rsidRPr="007E4C11" w:rsidRDefault="007E4C11">
            <w:pPr>
              <w:suppressAutoHyphens/>
              <w:spacing w:after="0"/>
              <w:rPr>
                <w:rFonts w:cs="Arial"/>
              </w:rPr>
            </w:pPr>
            <w:r w:rsidRPr="007E4C11">
              <w:rPr>
                <w:rFonts w:cs="Arial"/>
              </w:rPr>
              <w:t>Post-intervention</w:t>
            </w:r>
          </w:p>
        </w:tc>
        <w:tc>
          <w:tcPr>
            <w:tcW w:w="5514" w:type="dxa"/>
          </w:tcPr>
          <w:p w14:paraId="31792672" w14:textId="77777777" w:rsidR="007E4C11" w:rsidRPr="007E4C11" w:rsidRDefault="007E4C11">
            <w:pPr>
              <w:suppressAutoHyphens/>
              <w:spacing w:after="0"/>
              <w:rPr>
                <w:rFonts w:cs="Arial"/>
              </w:rPr>
            </w:pPr>
            <w:r w:rsidRPr="007E4C11">
              <w:rPr>
                <w:rFonts w:cs="Arial"/>
              </w:rPr>
              <w:t xml:space="preserve">No between group data presented. </w:t>
            </w:r>
          </w:p>
        </w:tc>
      </w:tr>
      <w:tr w:rsidR="007E4C11" w:rsidRPr="00516643" w14:paraId="7CA74A1F" w14:textId="77777777" w:rsidTr="005811DB">
        <w:trPr>
          <w:cnfStyle w:val="000000010000" w:firstRow="0" w:lastRow="0" w:firstColumn="0" w:lastColumn="0" w:oddVBand="0" w:evenVBand="0" w:oddHBand="0" w:evenHBand="1" w:firstRowFirstColumn="0" w:firstRowLastColumn="0" w:lastRowFirstColumn="0" w:lastRowLastColumn="0"/>
          <w:trHeight w:val="712"/>
        </w:trPr>
        <w:tc>
          <w:tcPr>
            <w:tcW w:w="1218" w:type="dxa"/>
            <w:vMerge/>
          </w:tcPr>
          <w:p w14:paraId="0A49B087" w14:textId="77777777" w:rsidR="007E4C11" w:rsidRPr="007E4C11" w:rsidRDefault="007E4C11">
            <w:pPr>
              <w:suppressAutoHyphens/>
              <w:spacing w:after="0"/>
              <w:rPr>
                <w:rFonts w:cs="Arial"/>
              </w:rPr>
            </w:pPr>
          </w:p>
        </w:tc>
        <w:tc>
          <w:tcPr>
            <w:tcW w:w="1504" w:type="dxa"/>
            <w:vMerge/>
          </w:tcPr>
          <w:p w14:paraId="4805F359" w14:textId="77777777" w:rsidR="007E4C11" w:rsidRPr="007E4C11" w:rsidRDefault="007E4C11">
            <w:pPr>
              <w:suppressAutoHyphens/>
              <w:spacing w:after="0"/>
              <w:rPr>
                <w:rFonts w:cs="Arial"/>
              </w:rPr>
            </w:pPr>
          </w:p>
        </w:tc>
        <w:tc>
          <w:tcPr>
            <w:tcW w:w="1383" w:type="dxa"/>
            <w:vMerge/>
          </w:tcPr>
          <w:p w14:paraId="2755820A" w14:textId="77777777" w:rsidR="007E4C11" w:rsidRPr="007E4C11" w:rsidRDefault="007E4C11">
            <w:pPr>
              <w:suppressAutoHyphens/>
              <w:spacing w:after="0"/>
              <w:rPr>
                <w:rFonts w:cs="Arial"/>
              </w:rPr>
            </w:pPr>
          </w:p>
        </w:tc>
        <w:tc>
          <w:tcPr>
            <w:tcW w:w="2146" w:type="dxa"/>
          </w:tcPr>
          <w:p w14:paraId="166A71E8" w14:textId="77777777" w:rsidR="007E4C11" w:rsidRPr="007E4C11" w:rsidRDefault="007E4C11">
            <w:pPr>
              <w:suppressAutoHyphens/>
              <w:spacing w:after="0"/>
              <w:rPr>
                <w:rFonts w:cs="Arial"/>
              </w:rPr>
            </w:pPr>
            <w:r w:rsidRPr="007E4C11">
              <w:rPr>
                <w:rFonts w:cs="Arial"/>
              </w:rPr>
              <w:t>CHAMPPS Observer Impression Scale (CHOIS)</w:t>
            </w:r>
          </w:p>
        </w:tc>
        <w:tc>
          <w:tcPr>
            <w:tcW w:w="1959" w:type="dxa"/>
          </w:tcPr>
          <w:p w14:paraId="0CA09492" w14:textId="77777777" w:rsidR="007E4C11" w:rsidRPr="007E4C11" w:rsidRDefault="007E4C11">
            <w:pPr>
              <w:suppressAutoHyphens/>
              <w:spacing w:after="0"/>
              <w:rPr>
                <w:rFonts w:cs="Arial"/>
              </w:rPr>
            </w:pPr>
            <w:r w:rsidRPr="007E4C11">
              <w:rPr>
                <w:rFonts w:cs="Arial"/>
              </w:rPr>
              <w:t xml:space="preserve">As above </w:t>
            </w:r>
          </w:p>
        </w:tc>
        <w:tc>
          <w:tcPr>
            <w:tcW w:w="5514" w:type="dxa"/>
          </w:tcPr>
          <w:p w14:paraId="07705CDD" w14:textId="77777777" w:rsidR="007E4C11" w:rsidRPr="007E4C11" w:rsidRDefault="007E4C11">
            <w:pPr>
              <w:suppressAutoHyphens/>
              <w:spacing w:after="0"/>
              <w:rPr>
                <w:rFonts w:cs="Arial"/>
              </w:rPr>
            </w:pPr>
            <w:r w:rsidRPr="007E4C11">
              <w:rPr>
                <w:rFonts w:cs="Arial"/>
              </w:rPr>
              <w:t xml:space="preserve">No between group data presented.  </w:t>
            </w:r>
          </w:p>
        </w:tc>
      </w:tr>
      <w:tr w:rsidR="007E4C11" w:rsidRPr="00516643" w14:paraId="249C4204" w14:textId="77777777" w:rsidTr="005811DB">
        <w:trPr>
          <w:cnfStyle w:val="000000100000" w:firstRow="0" w:lastRow="0" w:firstColumn="0" w:lastColumn="0" w:oddVBand="0" w:evenVBand="0" w:oddHBand="1" w:evenHBand="0" w:firstRowFirstColumn="0" w:firstRowLastColumn="0" w:lastRowFirstColumn="0" w:lastRowLastColumn="0"/>
          <w:trHeight w:val="340"/>
        </w:trPr>
        <w:tc>
          <w:tcPr>
            <w:tcW w:w="13724" w:type="dxa"/>
            <w:gridSpan w:val="6"/>
            <w:shd w:val="clear" w:color="auto" w:fill="DAE2E6"/>
          </w:tcPr>
          <w:p w14:paraId="38D37E2C" w14:textId="77777777" w:rsidR="007E4C11" w:rsidRPr="007E4C11" w:rsidRDefault="007E4C11">
            <w:pPr>
              <w:suppressAutoHyphens/>
              <w:spacing w:after="0"/>
              <w:rPr>
                <w:rFonts w:cs="Arial"/>
                <w:b/>
              </w:rPr>
            </w:pPr>
            <w:r w:rsidRPr="007E4C11">
              <w:rPr>
                <w:rFonts w:cs="Arial"/>
                <w:b/>
              </w:rPr>
              <w:t>Social Communication, Emotional Regulation, and Transactional Support (SCERTS)</w:t>
            </w:r>
          </w:p>
        </w:tc>
      </w:tr>
      <w:tr w:rsidR="007E4C11" w:rsidRPr="00516643" w14:paraId="5DC2685D" w14:textId="77777777" w:rsidTr="005811DB">
        <w:trPr>
          <w:cnfStyle w:val="000000010000" w:firstRow="0" w:lastRow="0" w:firstColumn="0" w:lastColumn="0" w:oddVBand="0" w:evenVBand="0" w:oddHBand="0" w:evenHBand="1" w:firstRowFirstColumn="0" w:firstRowLastColumn="0" w:lastRowFirstColumn="0" w:lastRowLastColumn="0"/>
          <w:trHeight w:val="340"/>
        </w:trPr>
        <w:tc>
          <w:tcPr>
            <w:tcW w:w="1218" w:type="dxa"/>
          </w:tcPr>
          <w:p w14:paraId="199D59BD" w14:textId="77777777" w:rsidR="007E4C11" w:rsidRPr="007E4C11" w:rsidRDefault="007E4C11">
            <w:pPr>
              <w:suppressAutoHyphens/>
              <w:spacing w:after="0"/>
              <w:rPr>
                <w:rFonts w:cs="Arial"/>
                <w:b/>
              </w:rPr>
            </w:pPr>
            <w:r w:rsidRPr="007E4C11">
              <w:rPr>
                <w:rFonts w:cs="Arial"/>
                <w:b/>
              </w:rPr>
              <w:t xml:space="preserve">Morgan </w:t>
            </w:r>
          </w:p>
          <w:p w14:paraId="448869AC" w14:textId="77777777" w:rsidR="007E4C11" w:rsidRPr="007E4C11" w:rsidRDefault="007E4C11">
            <w:pPr>
              <w:suppressAutoHyphens/>
              <w:spacing w:after="0"/>
              <w:rPr>
                <w:rFonts w:cs="Arial"/>
              </w:rPr>
            </w:pPr>
            <w:r w:rsidRPr="007E4C11">
              <w:rPr>
                <w:rFonts w:cs="Arial"/>
                <w:b/>
              </w:rPr>
              <w:t>2018</w:t>
            </w:r>
          </w:p>
        </w:tc>
        <w:tc>
          <w:tcPr>
            <w:tcW w:w="1504" w:type="dxa"/>
          </w:tcPr>
          <w:p w14:paraId="404AC64C" w14:textId="77777777" w:rsidR="007E4C11" w:rsidRPr="007E4C11" w:rsidRDefault="007E4C11">
            <w:pPr>
              <w:suppressAutoHyphens/>
              <w:spacing w:after="0"/>
              <w:rPr>
                <w:rFonts w:cs="Arial"/>
              </w:rPr>
            </w:pPr>
            <w:r w:rsidRPr="007E4C11">
              <w:rPr>
                <w:rFonts w:cs="Arial"/>
              </w:rPr>
              <w:t xml:space="preserve">SCERTS </w:t>
            </w:r>
          </w:p>
          <w:p w14:paraId="0FA63125" w14:textId="77777777" w:rsidR="007E4C11" w:rsidRPr="007E4C11" w:rsidRDefault="007E4C11">
            <w:pPr>
              <w:suppressAutoHyphens/>
              <w:spacing w:after="0"/>
              <w:rPr>
                <w:rFonts w:cs="Arial"/>
              </w:rPr>
            </w:pPr>
            <w:r w:rsidRPr="007E4C11">
              <w:rPr>
                <w:rFonts w:cs="Arial"/>
              </w:rPr>
              <w:t>(n=118)</w:t>
            </w:r>
          </w:p>
        </w:tc>
        <w:tc>
          <w:tcPr>
            <w:tcW w:w="1383" w:type="dxa"/>
          </w:tcPr>
          <w:p w14:paraId="75B8229E" w14:textId="77777777" w:rsidR="007E4C11" w:rsidRPr="007E4C11" w:rsidRDefault="007E4C11">
            <w:pPr>
              <w:suppressAutoHyphens/>
              <w:spacing w:after="0"/>
              <w:rPr>
                <w:rFonts w:cs="Arial"/>
              </w:rPr>
            </w:pPr>
            <w:r w:rsidRPr="007E4C11">
              <w:rPr>
                <w:rFonts w:cs="Arial"/>
              </w:rPr>
              <w:t xml:space="preserve">ATM </w:t>
            </w:r>
          </w:p>
          <w:p w14:paraId="341500DC" w14:textId="77777777" w:rsidR="007E4C11" w:rsidRPr="007E4C11" w:rsidRDefault="007E4C11">
            <w:pPr>
              <w:suppressAutoHyphens/>
              <w:spacing w:after="0"/>
              <w:rPr>
                <w:rFonts w:cs="Arial"/>
              </w:rPr>
            </w:pPr>
            <w:r w:rsidRPr="007E4C11">
              <w:rPr>
                <w:rFonts w:cs="Arial"/>
              </w:rPr>
              <w:t>(n=79)</w:t>
            </w:r>
          </w:p>
        </w:tc>
        <w:tc>
          <w:tcPr>
            <w:tcW w:w="2146" w:type="dxa"/>
          </w:tcPr>
          <w:p w14:paraId="24CEBC55" w14:textId="77777777" w:rsidR="007E4C11" w:rsidRPr="007E4C11" w:rsidRDefault="007E4C11">
            <w:pPr>
              <w:suppressAutoHyphens/>
              <w:spacing w:after="0"/>
              <w:rPr>
                <w:rFonts w:cs="Arial"/>
              </w:rPr>
            </w:pPr>
            <w:r w:rsidRPr="007E4C11">
              <w:rPr>
                <w:rFonts w:cs="Arial"/>
              </w:rPr>
              <w:t>Behaviour Rating Inventory of Executive Functioning (BRIEF)</w:t>
            </w:r>
          </w:p>
        </w:tc>
        <w:tc>
          <w:tcPr>
            <w:tcW w:w="1959" w:type="dxa"/>
          </w:tcPr>
          <w:p w14:paraId="2A1BDC80" w14:textId="77777777" w:rsidR="007E4C11" w:rsidRPr="007E4C11" w:rsidRDefault="007E4C11">
            <w:pPr>
              <w:suppressAutoHyphens/>
              <w:spacing w:after="0"/>
              <w:rPr>
                <w:rFonts w:cs="Arial"/>
              </w:rPr>
            </w:pPr>
            <w:r w:rsidRPr="007E4C11">
              <w:rPr>
                <w:rFonts w:cs="Arial"/>
              </w:rPr>
              <w:t xml:space="preserve">Baseline; </w:t>
            </w:r>
          </w:p>
          <w:p w14:paraId="09E6E941" w14:textId="77777777" w:rsidR="007E4C11" w:rsidRPr="007E4C11" w:rsidRDefault="007E4C11">
            <w:pPr>
              <w:suppressAutoHyphens/>
              <w:spacing w:after="0"/>
              <w:rPr>
                <w:rFonts w:cs="Arial"/>
              </w:rPr>
            </w:pPr>
            <w:r w:rsidRPr="007E4C11">
              <w:rPr>
                <w:rFonts w:cs="Arial"/>
              </w:rPr>
              <w:t>Post-intervention (8 months)</w:t>
            </w:r>
          </w:p>
        </w:tc>
        <w:tc>
          <w:tcPr>
            <w:tcW w:w="5514" w:type="dxa"/>
          </w:tcPr>
          <w:p w14:paraId="7A8F126A" w14:textId="77777777" w:rsidR="007E4C11" w:rsidRPr="007E4C11" w:rsidRDefault="007E4C11">
            <w:pPr>
              <w:suppressAutoHyphens/>
              <w:spacing w:after="0"/>
              <w:rPr>
                <w:rFonts w:cs="Arial"/>
              </w:rPr>
            </w:pPr>
            <w:r w:rsidRPr="007E4C11">
              <w:rPr>
                <w:rFonts w:cs="Arial"/>
              </w:rPr>
              <w:t>Evidence of decreased executive functioning impairment for the SCERTS group.</w:t>
            </w:r>
          </w:p>
        </w:tc>
      </w:tr>
      <w:tr w:rsidR="007E4C11" w:rsidRPr="00516643" w14:paraId="2B9727FC" w14:textId="77777777" w:rsidTr="005811DB">
        <w:trPr>
          <w:cnfStyle w:val="000000100000" w:firstRow="0" w:lastRow="0" w:firstColumn="0" w:lastColumn="0" w:oddVBand="0" w:evenVBand="0" w:oddHBand="1" w:evenHBand="0" w:firstRowFirstColumn="0" w:firstRowLastColumn="0" w:lastRowFirstColumn="0" w:lastRowLastColumn="0"/>
          <w:trHeight w:val="340"/>
        </w:trPr>
        <w:tc>
          <w:tcPr>
            <w:tcW w:w="13724" w:type="dxa"/>
            <w:gridSpan w:val="6"/>
            <w:shd w:val="clear" w:color="auto" w:fill="DAE2E6"/>
          </w:tcPr>
          <w:p w14:paraId="062A9B5E" w14:textId="77777777" w:rsidR="007E4C11" w:rsidRPr="007E4C11" w:rsidRDefault="007E4C11">
            <w:pPr>
              <w:suppressAutoHyphens/>
              <w:spacing w:after="0"/>
              <w:rPr>
                <w:rFonts w:cs="Arial"/>
              </w:rPr>
            </w:pPr>
            <w:r w:rsidRPr="007E4C11">
              <w:rPr>
                <w:rFonts w:cs="Arial"/>
                <w:b/>
              </w:rPr>
              <w:t>Sleep Parent Training (SPT) cf Parent Education Program (PEP)</w:t>
            </w:r>
          </w:p>
        </w:tc>
      </w:tr>
      <w:tr w:rsidR="007E4C11" w:rsidRPr="00516643" w14:paraId="470FAC0B" w14:textId="77777777" w:rsidTr="005811DB">
        <w:trPr>
          <w:cnfStyle w:val="000000010000" w:firstRow="0" w:lastRow="0" w:firstColumn="0" w:lastColumn="0" w:oddVBand="0" w:evenVBand="0" w:oddHBand="0" w:evenHBand="1" w:firstRowFirstColumn="0" w:firstRowLastColumn="0" w:lastRowFirstColumn="0" w:lastRowLastColumn="0"/>
          <w:trHeight w:val="340"/>
        </w:trPr>
        <w:tc>
          <w:tcPr>
            <w:tcW w:w="1218" w:type="dxa"/>
          </w:tcPr>
          <w:p w14:paraId="60E5C949" w14:textId="77777777" w:rsidR="007E4C11" w:rsidRPr="007E4C11" w:rsidRDefault="007E4C11">
            <w:pPr>
              <w:suppressAutoHyphens/>
              <w:spacing w:after="0"/>
              <w:rPr>
                <w:rFonts w:cs="Arial"/>
                <w:b/>
              </w:rPr>
            </w:pPr>
            <w:r w:rsidRPr="007E4C11">
              <w:rPr>
                <w:rFonts w:cs="Arial"/>
                <w:b/>
              </w:rPr>
              <w:t>Johnston</w:t>
            </w:r>
          </w:p>
          <w:p w14:paraId="6A67CE15" w14:textId="77777777" w:rsidR="007E4C11" w:rsidRPr="007E4C11" w:rsidRDefault="007E4C11">
            <w:pPr>
              <w:suppressAutoHyphens/>
              <w:spacing w:after="0"/>
              <w:ind w:right="200"/>
              <w:rPr>
                <w:rFonts w:cs="Arial"/>
              </w:rPr>
            </w:pPr>
            <w:r w:rsidRPr="007E4C11">
              <w:rPr>
                <w:rFonts w:cs="Arial"/>
                <w:b/>
              </w:rPr>
              <w:t>2024</w:t>
            </w:r>
          </w:p>
          <w:p w14:paraId="2B59F04B" w14:textId="77777777" w:rsidR="007E4C11" w:rsidRPr="007E4C11" w:rsidRDefault="007E4C11">
            <w:pPr>
              <w:suppressAutoHyphens/>
              <w:spacing w:after="0"/>
              <w:rPr>
                <w:rFonts w:cs="Arial"/>
                <w:b/>
              </w:rPr>
            </w:pPr>
          </w:p>
        </w:tc>
        <w:tc>
          <w:tcPr>
            <w:tcW w:w="1504" w:type="dxa"/>
          </w:tcPr>
          <w:p w14:paraId="34643FF8" w14:textId="77777777" w:rsidR="007E4C11" w:rsidRPr="007E4C11" w:rsidRDefault="007E4C11">
            <w:pPr>
              <w:suppressAutoHyphens/>
              <w:spacing w:after="0"/>
              <w:rPr>
                <w:rFonts w:cs="Arial"/>
              </w:rPr>
            </w:pPr>
            <w:r w:rsidRPr="007E4C11">
              <w:rPr>
                <w:rFonts w:cs="Arial"/>
              </w:rPr>
              <w:t xml:space="preserve">SPT </w:t>
            </w:r>
          </w:p>
          <w:p w14:paraId="04F6D4F4" w14:textId="77777777" w:rsidR="007E4C11" w:rsidRPr="007E4C11" w:rsidRDefault="007E4C11">
            <w:pPr>
              <w:suppressAutoHyphens/>
              <w:spacing w:after="0"/>
              <w:rPr>
                <w:rFonts w:cs="Arial"/>
              </w:rPr>
            </w:pPr>
            <w:r w:rsidRPr="007E4C11">
              <w:rPr>
                <w:rFonts w:cs="Arial"/>
              </w:rPr>
              <w:t>(n=36)</w:t>
            </w:r>
          </w:p>
          <w:p w14:paraId="0C544F8A" w14:textId="77777777" w:rsidR="007E4C11" w:rsidRPr="007E4C11" w:rsidRDefault="007E4C11">
            <w:pPr>
              <w:suppressAutoHyphens/>
              <w:spacing w:after="0"/>
              <w:rPr>
                <w:rFonts w:cs="Arial"/>
              </w:rPr>
            </w:pPr>
          </w:p>
        </w:tc>
        <w:tc>
          <w:tcPr>
            <w:tcW w:w="1383" w:type="dxa"/>
          </w:tcPr>
          <w:p w14:paraId="197C0BC5" w14:textId="77777777" w:rsidR="007E4C11" w:rsidRPr="007E4C11" w:rsidRDefault="007E4C11">
            <w:pPr>
              <w:suppressAutoHyphens/>
              <w:spacing w:after="0"/>
              <w:rPr>
                <w:rFonts w:cs="Arial"/>
              </w:rPr>
            </w:pPr>
            <w:r w:rsidRPr="007E4C11">
              <w:rPr>
                <w:rFonts w:cs="Arial"/>
              </w:rPr>
              <w:t xml:space="preserve">PEP </w:t>
            </w:r>
          </w:p>
          <w:p w14:paraId="46DC459B" w14:textId="77777777" w:rsidR="007E4C11" w:rsidRPr="007E4C11" w:rsidRDefault="007E4C11">
            <w:pPr>
              <w:suppressAutoHyphens/>
              <w:spacing w:after="0"/>
              <w:rPr>
                <w:rFonts w:cs="Arial"/>
              </w:rPr>
            </w:pPr>
            <w:r w:rsidRPr="007E4C11">
              <w:rPr>
                <w:rFonts w:cs="Arial"/>
              </w:rPr>
              <w:t>(n=38)</w:t>
            </w:r>
          </w:p>
          <w:p w14:paraId="0B671843" w14:textId="77777777" w:rsidR="007E4C11" w:rsidRPr="007E4C11" w:rsidRDefault="007E4C11">
            <w:pPr>
              <w:spacing w:after="0"/>
              <w:rPr>
                <w:rFonts w:cs="Arial"/>
              </w:rPr>
            </w:pPr>
          </w:p>
          <w:p w14:paraId="0D1A8AB9" w14:textId="77777777" w:rsidR="007E4C11" w:rsidRPr="007E4C11" w:rsidRDefault="007E4C11">
            <w:pPr>
              <w:suppressAutoHyphens/>
              <w:spacing w:after="0"/>
              <w:rPr>
                <w:rFonts w:cs="Arial"/>
              </w:rPr>
            </w:pPr>
          </w:p>
        </w:tc>
        <w:tc>
          <w:tcPr>
            <w:tcW w:w="2146" w:type="dxa"/>
          </w:tcPr>
          <w:p w14:paraId="4E48A084" w14:textId="77777777" w:rsidR="007E4C11" w:rsidRPr="007E4C11" w:rsidRDefault="007E4C11">
            <w:pPr>
              <w:suppressAutoHyphens/>
              <w:spacing w:after="0"/>
              <w:rPr>
                <w:rFonts w:cs="Arial"/>
              </w:rPr>
            </w:pPr>
            <w:r w:rsidRPr="007E4C11">
              <w:rPr>
                <w:rFonts w:cs="Arial"/>
              </w:rPr>
              <w:t>Global Clinical Impression – Improvement Scale / Severity Scale (CGI-S, CGI-I)</w:t>
            </w:r>
          </w:p>
        </w:tc>
        <w:tc>
          <w:tcPr>
            <w:tcW w:w="1959" w:type="dxa"/>
          </w:tcPr>
          <w:p w14:paraId="5342C277" w14:textId="77777777" w:rsidR="007E4C11" w:rsidRPr="007E4C11" w:rsidRDefault="007E4C11">
            <w:pPr>
              <w:suppressAutoHyphens/>
              <w:spacing w:after="0"/>
              <w:rPr>
                <w:rFonts w:cs="Arial"/>
              </w:rPr>
            </w:pPr>
            <w:r w:rsidRPr="007E4C11">
              <w:rPr>
                <w:rFonts w:cs="Arial"/>
              </w:rPr>
              <w:t xml:space="preserve">Baseline; </w:t>
            </w:r>
          </w:p>
          <w:p w14:paraId="432B3941" w14:textId="77777777" w:rsidR="007E4C11" w:rsidRPr="007E4C11" w:rsidRDefault="007E4C11">
            <w:pPr>
              <w:suppressAutoHyphens/>
              <w:spacing w:after="0"/>
              <w:rPr>
                <w:rFonts w:cs="Arial"/>
              </w:rPr>
            </w:pPr>
            <w:r w:rsidRPr="007E4C11">
              <w:rPr>
                <w:rFonts w:cs="Arial"/>
              </w:rPr>
              <w:t xml:space="preserve">Mid-intervention (week 5); </w:t>
            </w:r>
          </w:p>
          <w:p w14:paraId="6C404D46" w14:textId="77777777" w:rsidR="007E4C11" w:rsidRPr="007E4C11" w:rsidRDefault="007E4C11">
            <w:pPr>
              <w:suppressAutoHyphens/>
              <w:spacing w:after="0"/>
              <w:rPr>
                <w:rFonts w:cs="Arial"/>
              </w:rPr>
            </w:pPr>
            <w:r w:rsidRPr="007E4C11">
              <w:rPr>
                <w:rFonts w:cs="Arial"/>
              </w:rPr>
              <w:t>Post-intervention (week 10)</w:t>
            </w:r>
          </w:p>
        </w:tc>
        <w:tc>
          <w:tcPr>
            <w:tcW w:w="5514" w:type="dxa"/>
          </w:tcPr>
          <w:p w14:paraId="79E16E63" w14:textId="77777777" w:rsidR="007E4C11" w:rsidRPr="007E4C11" w:rsidRDefault="007E4C11">
            <w:pPr>
              <w:suppressAutoHyphens/>
              <w:spacing w:after="0"/>
              <w:rPr>
                <w:rFonts w:cs="Arial"/>
              </w:rPr>
            </w:pPr>
            <w:r w:rsidRPr="007E4C11">
              <w:rPr>
                <w:rFonts w:cs="Arial"/>
              </w:rPr>
              <w:t xml:space="preserve">Evidence of increased clinical improvements for the </w:t>
            </w:r>
          </w:p>
          <w:p w14:paraId="5854C4D3" w14:textId="77777777" w:rsidR="007E4C11" w:rsidRPr="007E4C11" w:rsidRDefault="007E4C11">
            <w:pPr>
              <w:suppressAutoHyphens/>
              <w:spacing w:after="0"/>
              <w:rPr>
                <w:rFonts w:cs="Arial"/>
              </w:rPr>
            </w:pPr>
            <w:r w:rsidRPr="007E4C11">
              <w:rPr>
                <w:rFonts w:cs="Arial"/>
              </w:rPr>
              <w:t>SPT group at weeks 5 and post-intervention.</w:t>
            </w:r>
          </w:p>
        </w:tc>
      </w:tr>
      <w:tr w:rsidR="007E4C11" w:rsidRPr="00516643" w14:paraId="34974A96" w14:textId="77777777" w:rsidTr="005811DB">
        <w:trPr>
          <w:cnfStyle w:val="000000100000" w:firstRow="0" w:lastRow="0" w:firstColumn="0" w:lastColumn="0" w:oddVBand="0" w:evenVBand="0" w:oddHBand="1" w:evenHBand="0" w:firstRowFirstColumn="0" w:firstRowLastColumn="0" w:lastRowFirstColumn="0" w:lastRowLastColumn="0"/>
          <w:trHeight w:val="340"/>
        </w:trPr>
        <w:tc>
          <w:tcPr>
            <w:tcW w:w="1218" w:type="dxa"/>
          </w:tcPr>
          <w:p w14:paraId="3F47F039" w14:textId="77777777" w:rsidR="007E4C11" w:rsidRPr="007E4C11" w:rsidRDefault="007E4C11">
            <w:pPr>
              <w:suppressAutoHyphens/>
              <w:spacing w:after="0"/>
              <w:rPr>
                <w:rFonts w:cs="Arial"/>
                <w:b/>
              </w:rPr>
            </w:pPr>
          </w:p>
        </w:tc>
        <w:tc>
          <w:tcPr>
            <w:tcW w:w="1504" w:type="dxa"/>
          </w:tcPr>
          <w:p w14:paraId="45D78676" w14:textId="77777777" w:rsidR="007E4C11" w:rsidRPr="007E4C11" w:rsidRDefault="007E4C11">
            <w:pPr>
              <w:suppressAutoHyphens/>
              <w:spacing w:after="0"/>
              <w:rPr>
                <w:rFonts w:cs="Arial"/>
              </w:rPr>
            </w:pPr>
          </w:p>
        </w:tc>
        <w:tc>
          <w:tcPr>
            <w:tcW w:w="1383" w:type="dxa"/>
          </w:tcPr>
          <w:p w14:paraId="784E28D7" w14:textId="77777777" w:rsidR="007E4C11" w:rsidRPr="007E4C11" w:rsidRDefault="007E4C11">
            <w:pPr>
              <w:suppressAutoHyphens/>
              <w:spacing w:after="0"/>
              <w:rPr>
                <w:rFonts w:cs="Arial"/>
              </w:rPr>
            </w:pPr>
          </w:p>
        </w:tc>
        <w:tc>
          <w:tcPr>
            <w:tcW w:w="2146" w:type="dxa"/>
          </w:tcPr>
          <w:p w14:paraId="6981C759" w14:textId="77777777" w:rsidR="007E4C11" w:rsidRPr="007E4C11" w:rsidRDefault="007E4C11">
            <w:pPr>
              <w:suppressAutoHyphens/>
              <w:spacing w:after="0"/>
              <w:rPr>
                <w:rFonts w:cs="Arial"/>
              </w:rPr>
            </w:pPr>
            <w:r w:rsidRPr="007E4C11">
              <w:rPr>
                <w:rFonts w:cs="Arial"/>
              </w:rPr>
              <w:t>Modified Simonds &amp; Parraga Sleep Questionnaire MSPSQ – CSI (composite index)</w:t>
            </w:r>
          </w:p>
        </w:tc>
        <w:tc>
          <w:tcPr>
            <w:tcW w:w="1959" w:type="dxa"/>
          </w:tcPr>
          <w:p w14:paraId="32C99C4A" w14:textId="77777777" w:rsidR="007E4C11" w:rsidRPr="007E4C11" w:rsidRDefault="007E4C11">
            <w:pPr>
              <w:suppressAutoHyphens/>
              <w:spacing w:after="0"/>
              <w:rPr>
                <w:rFonts w:cs="Arial"/>
              </w:rPr>
            </w:pPr>
            <w:r w:rsidRPr="007E4C11">
              <w:rPr>
                <w:rFonts w:cs="Arial"/>
              </w:rPr>
              <w:t xml:space="preserve">As above </w:t>
            </w:r>
          </w:p>
        </w:tc>
        <w:tc>
          <w:tcPr>
            <w:tcW w:w="5514" w:type="dxa"/>
          </w:tcPr>
          <w:p w14:paraId="7B7D9F7E" w14:textId="77777777" w:rsidR="007E4C11" w:rsidRPr="007E4C11" w:rsidRDefault="007E4C11">
            <w:pPr>
              <w:suppressAutoHyphens/>
              <w:spacing w:after="0"/>
              <w:rPr>
                <w:rFonts w:cs="Arial"/>
              </w:rPr>
            </w:pPr>
            <w:r w:rsidRPr="007E4C11">
              <w:rPr>
                <w:rFonts w:cs="Arial"/>
              </w:rPr>
              <w:t xml:space="preserve">Evidence of increased sleep improvements for the </w:t>
            </w:r>
          </w:p>
          <w:p w14:paraId="1D5C9219" w14:textId="77777777" w:rsidR="007E4C11" w:rsidRPr="007E4C11" w:rsidRDefault="007E4C11">
            <w:pPr>
              <w:suppressAutoHyphens/>
              <w:spacing w:after="0"/>
              <w:rPr>
                <w:rFonts w:cs="Arial"/>
              </w:rPr>
            </w:pPr>
            <w:r w:rsidRPr="007E4C11">
              <w:rPr>
                <w:rFonts w:cs="Arial"/>
              </w:rPr>
              <w:t>SPT group at weeks 5 and post-intervention.</w:t>
            </w:r>
          </w:p>
          <w:p w14:paraId="035D7D29" w14:textId="77777777" w:rsidR="007E4C11" w:rsidRPr="007E4C11" w:rsidRDefault="007E4C11">
            <w:pPr>
              <w:suppressAutoHyphens/>
              <w:spacing w:after="0"/>
              <w:rPr>
                <w:rFonts w:cs="Arial"/>
              </w:rPr>
            </w:pPr>
          </w:p>
        </w:tc>
      </w:tr>
      <w:tr w:rsidR="007E4C11" w:rsidRPr="00516643" w14:paraId="688FE403" w14:textId="77777777" w:rsidTr="005811DB">
        <w:trPr>
          <w:cnfStyle w:val="000000010000" w:firstRow="0" w:lastRow="0" w:firstColumn="0" w:lastColumn="0" w:oddVBand="0" w:evenVBand="0" w:oddHBand="0" w:evenHBand="1" w:firstRowFirstColumn="0" w:firstRowLastColumn="0" w:lastRowFirstColumn="0" w:lastRowLastColumn="0"/>
          <w:trHeight w:val="340"/>
        </w:trPr>
        <w:tc>
          <w:tcPr>
            <w:tcW w:w="13724" w:type="dxa"/>
            <w:gridSpan w:val="6"/>
            <w:shd w:val="clear" w:color="auto" w:fill="DAE2E6"/>
          </w:tcPr>
          <w:p w14:paraId="2B153B47" w14:textId="77777777" w:rsidR="007E4C11" w:rsidRPr="007E4C11" w:rsidRDefault="007E4C11">
            <w:pPr>
              <w:suppressAutoHyphens/>
              <w:spacing w:after="0"/>
              <w:rPr>
                <w:rFonts w:cs="Arial"/>
                <w:b/>
              </w:rPr>
            </w:pPr>
            <w:r w:rsidRPr="007E4C11">
              <w:rPr>
                <w:rFonts w:cs="Arial"/>
                <w:b/>
              </w:rPr>
              <w:t>Early Intervention (EI) + Sticky Mittens</w:t>
            </w:r>
          </w:p>
        </w:tc>
      </w:tr>
      <w:tr w:rsidR="007E4C11" w:rsidRPr="00516643" w14:paraId="33B37E61" w14:textId="77777777" w:rsidTr="005811DB">
        <w:trPr>
          <w:cnfStyle w:val="000000100000" w:firstRow="0" w:lastRow="0" w:firstColumn="0" w:lastColumn="0" w:oddVBand="0" w:evenVBand="0" w:oddHBand="1" w:evenHBand="0" w:firstRowFirstColumn="0" w:firstRowLastColumn="0" w:lastRowFirstColumn="0" w:lastRowLastColumn="0"/>
          <w:trHeight w:val="340"/>
        </w:trPr>
        <w:tc>
          <w:tcPr>
            <w:tcW w:w="1218" w:type="dxa"/>
            <w:tcBorders>
              <w:top w:val="nil"/>
              <w:bottom w:val="single" w:sz="4" w:space="0" w:color="auto"/>
            </w:tcBorders>
          </w:tcPr>
          <w:p w14:paraId="732B4365" w14:textId="77777777" w:rsidR="007E4C11" w:rsidRPr="007E4C11" w:rsidRDefault="007E4C11">
            <w:pPr>
              <w:suppressAutoHyphens/>
              <w:spacing w:after="0"/>
              <w:rPr>
                <w:rFonts w:cs="Arial"/>
                <w:b/>
              </w:rPr>
            </w:pPr>
            <w:r w:rsidRPr="007E4C11">
              <w:rPr>
                <w:rFonts w:cs="Arial"/>
                <w:b/>
              </w:rPr>
              <w:t xml:space="preserve">Fidler </w:t>
            </w:r>
          </w:p>
          <w:p w14:paraId="5DC560A4" w14:textId="77777777" w:rsidR="007E4C11" w:rsidRPr="007E4C11" w:rsidRDefault="007E4C11">
            <w:pPr>
              <w:suppressAutoHyphens/>
              <w:spacing w:after="0"/>
              <w:rPr>
                <w:rFonts w:cs="Arial"/>
              </w:rPr>
            </w:pPr>
            <w:r w:rsidRPr="007E4C11">
              <w:rPr>
                <w:rFonts w:cs="Arial"/>
                <w:b/>
              </w:rPr>
              <w:t>2021</w:t>
            </w:r>
          </w:p>
        </w:tc>
        <w:tc>
          <w:tcPr>
            <w:tcW w:w="1504" w:type="dxa"/>
            <w:tcBorders>
              <w:top w:val="nil"/>
              <w:bottom w:val="single" w:sz="4" w:space="0" w:color="auto"/>
            </w:tcBorders>
          </w:tcPr>
          <w:p w14:paraId="78196371" w14:textId="77777777" w:rsidR="007E4C11" w:rsidRPr="007E4C11" w:rsidRDefault="007E4C11">
            <w:pPr>
              <w:suppressAutoHyphens/>
              <w:spacing w:after="0"/>
              <w:rPr>
                <w:rFonts w:cs="Arial"/>
              </w:rPr>
            </w:pPr>
            <w:r w:rsidRPr="007E4C11">
              <w:rPr>
                <w:rFonts w:cs="Arial"/>
              </w:rPr>
              <w:t>Study Specific EI + Sticky Mittens (n=19)</w:t>
            </w:r>
          </w:p>
        </w:tc>
        <w:tc>
          <w:tcPr>
            <w:tcW w:w="1383" w:type="dxa"/>
            <w:tcBorders>
              <w:top w:val="nil"/>
              <w:bottom w:val="single" w:sz="4" w:space="0" w:color="auto"/>
            </w:tcBorders>
          </w:tcPr>
          <w:p w14:paraId="0108ED86" w14:textId="77777777" w:rsidR="007E4C11" w:rsidRPr="007E4C11" w:rsidRDefault="007E4C11">
            <w:pPr>
              <w:suppressAutoHyphens/>
              <w:spacing w:after="0"/>
              <w:rPr>
                <w:rFonts w:cs="Arial"/>
              </w:rPr>
            </w:pPr>
            <w:r w:rsidRPr="007E4C11">
              <w:rPr>
                <w:rFonts w:cs="Arial"/>
              </w:rPr>
              <w:t>Study Specific EI (n=18)</w:t>
            </w:r>
          </w:p>
        </w:tc>
        <w:tc>
          <w:tcPr>
            <w:tcW w:w="2146" w:type="dxa"/>
            <w:tcBorders>
              <w:top w:val="nil"/>
              <w:bottom w:val="single" w:sz="4" w:space="0" w:color="auto"/>
            </w:tcBorders>
          </w:tcPr>
          <w:p w14:paraId="4E8CF0BD" w14:textId="77777777" w:rsidR="007E4C11" w:rsidRPr="007E4C11" w:rsidRDefault="007E4C11">
            <w:pPr>
              <w:suppressAutoHyphens/>
              <w:spacing w:after="0"/>
              <w:rPr>
                <w:rFonts w:cs="Arial"/>
              </w:rPr>
            </w:pPr>
            <w:r w:rsidRPr="007E4C11">
              <w:rPr>
                <w:rFonts w:cs="Arial"/>
              </w:rPr>
              <w:t>Videoed Coded Behaviour (VBC)</w:t>
            </w:r>
          </w:p>
        </w:tc>
        <w:tc>
          <w:tcPr>
            <w:tcW w:w="1959" w:type="dxa"/>
            <w:tcBorders>
              <w:top w:val="nil"/>
              <w:bottom w:val="single" w:sz="4" w:space="0" w:color="auto"/>
            </w:tcBorders>
          </w:tcPr>
          <w:p w14:paraId="0FFC724F" w14:textId="77777777" w:rsidR="007E4C11" w:rsidRPr="007E4C11" w:rsidRDefault="007E4C11">
            <w:pPr>
              <w:suppressAutoHyphens/>
              <w:spacing w:after="0"/>
              <w:rPr>
                <w:rFonts w:cs="Arial"/>
              </w:rPr>
            </w:pPr>
            <w:r w:rsidRPr="007E4C11">
              <w:rPr>
                <w:rFonts w:cs="Arial"/>
              </w:rPr>
              <w:t xml:space="preserve">Baseline; </w:t>
            </w:r>
          </w:p>
          <w:p w14:paraId="62B9F200" w14:textId="77777777" w:rsidR="007E4C11" w:rsidRPr="007E4C11" w:rsidRDefault="007E4C11">
            <w:pPr>
              <w:suppressAutoHyphens/>
              <w:spacing w:after="0"/>
              <w:rPr>
                <w:rFonts w:cs="Arial"/>
              </w:rPr>
            </w:pPr>
            <w:r w:rsidRPr="007E4C11">
              <w:rPr>
                <w:rFonts w:cs="Arial"/>
              </w:rPr>
              <w:t>Post-intervention</w:t>
            </w:r>
          </w:p>
        </w:tc>
        <w:tc>
          <w:tcPr>
            <w:tcW w:w="5514" w:type="dxa"/>
            <w:tcBorders>
              <w:top w:val="nil"/>
              <w:bottom w:val="single" w:sz="4" w:space="0" w:color="auto"/>
            </w:tcBorders>
          </w:tcPr>
          <w:p w14:paraId="1285D7C6" w14:textId="77777777" w:rsidR="007E4C11" w:rsidRPr="007E4C11" w:rsidRDefault="007E4C11">
            <w:pPr>
              <w:suppressAutoHyphens/>
              <w:spacing w:after="0"/>
              <w:rPr>
                <w:rFonts w:cs="Arial"/>
              </w:rPr>
            </w:pPr>
            <w:r w:rsidRPr="007E4C11">
              <w:rPr>
                <w:rFonts w:cs="Arial"/>
              </w:rPr>
              <w:t>Evidence of improvements in motor behaviours (reduced latencies to contact objects, higher frequency of reach attempts and swats at objects) at post-intervention for Sticky Mittens group.</w:t>
            </w:r>
          </w:p>
        </w:tc>
      </w:tr>
    </w:tbl>
    <w:p w14:paraId="3E6CDFDC" w14:textId="626F43E9" w:rsidR="007E4C11" w:rsidRPr="001B1A8F" w:rsidRDefault="005811DB" w:rsidP="009B1067">
      <w:pPr>
        <w:rPr>
          <w:rFonts w:cs="Arial"/>
          <w:color w:val="000000" w:themeColor="text1"/>
          <w:sz w:val="20"/>
          <w:szCs w:val="20"/>
          <w:lang w:val="en-US"/>
        </w:rPr>
      </w:pPr>
      <w:r w:rsidRPr="001B1A8F">
        <w:rPr>
          <w:rFonts w:cs="Arial"/>
          <w:color w:val="000000" w:themeColor="text1"/>
          <w:sz w:val="20"/>
          <w:szCs w:val="20"/>
          <w:lang w:val="en-US"/>
        </w:rPr>
        <w:t>Note: N is baseline sample size; cf = compared with; ATM = Autism Training Modules; BAU = business as usual; PEP = Parent education program; SAU = services as usual; all other acronyms defined in the table row.</w:t>
      </w:r>
    </w:p>
    <w:p w14:paraId="01A5A4B5" w14:textId="77777777" w:rsidR="005811DB" w:rsidRDefault="005811DB" w:rsidP="009B1067">
      <w:pPr>
        <w:rPr>
          <w:rFonts w:cs="Arial"/>
          <w:color w:val="000000" w:themeColor="text1"/>
          <w:lang w:val="en-US"/>
        </w:rPr>
      </w:pPr>
    </w:p>
    <w:p w14:paraId="1419D013" w14:textId="77777777" w:rsidR="001B1A8F" w:rsidRDefault="001B1A8F" w:rsidP="009B1067">
      <w:pPr>
        <w:rPr>
          <w:rFonts w:cs="Arial"/>
          <w:color w:val="000000" w:themeColor="text1"/>
          <w:lang w:val="en-US"/>
        </w:rPr>
      </w:pPr>
    </w:p>
    <w:p w14:paraId="45FE7FAB" w14:textId="77777777" w:rsidR="001B1A8F" w:rsidRDefault="001B1A8F" w:rsidP="009B1067">
      <w:pPr>
        <w:rPr>
          <w:rFonts w:cs="Arial"/>
          <w:color w:val="000000" w:themeColor="text1"/>
          <w:lang w:val="en-US"/>
        </w:rPr>
      </w:pPr>
    </w:p>
    <w:p w14:paraId="478E1CD9" w14:textId="77777777" w:rsidR="001B1A8F" w:rsidRDefault="001B1A8F" w:rsidP="009B1067">
      <w:pPr>
        <w:rPr>
          <w:rFonts w:cs="Arial"/>
          <w:color w:val="000000" w:themeColor="text1"/>
          <w:lang w:val="en-US"/>
        </w:rPr>
      </w:pPr>
    </w:p>
    <w:p w14:paraId="36AA1991" w14:textId="77777777" w:rsidR="001B1A8F" w:rsidRDefault="001B1A8F" w:rsidP="009B1067">
      <w:pPr>
        <w:rPr>
          <w:rFonts w:cs="Arial"/>
          <w:color w:val="000000" w:themeColor="text1"/>
          <w:lang w:val="en-US"/>
        </w:rPr>
      </w:pPr>
    </w:p>
    <w:p w14:paraId="3F32440F" w14:textId="77777777" w:rsidR="001B1A8F" w:rsidRDefault="001B1A8F" w:rsidP="009B1067">
      <w:pPr>
        <w:rPr>
          <w:rFonts w:cs="Arial"/>
          <w:color w:val="000000" w:themeColor="text1"/>
          <w:lang w:val="en-US"/>
        </w:rPr>
      </w:pPr>
    </w:p>
    <w:p w14:paraId="211582AA" w14:textId="77777777" w:rsidR="001B1A8F" w:rsidRDefault="001B1A8F" w:rsidP="009B1067">
      <w:pPr>
        <w:rPr>
          <w:rFonts w:cs="Arial"/>
          <w:color w:val="000000" w:themeColor="text1"/>
          <w:lang w:val="en-US"/>
        </w:rPr>
      </w:pPr>
    </w:p>
    <w:p w14:paraId="7E4DDA22" w14:textId="77777777" w:rsidR="001B1A8F" w:rsidRDefault="001B1A8F" w:rsidP="009B1067">
      <w:pPr>
        <w:rPr>
          <w:rFonts w:cs="Arial"/>
          <w:color w:val="000000" w:themeColor="text1"/>
          <w:lang w:val="en-US"/>
        </w:rPr>
      </w:pPr>
    </w:p>
    <w:p w14:paraId="12B2696C" w14:textId="77777777" w:rsidR="00B40491" w:rsidRDefault="00B40491" w:rsidP="00CD620A">
      <w:pPr>
        <w:pStyle w:val="Caption"/>
      </w:pPr>
    </w:p>
    <w:p w14:paraId="549661DF" w14:textId="62811844" w:rsidR="005811DB" w:rsidRDefault="00CD620A" w:rsidP="00CD620A">
      <w:pPr>
        <w:pStyle w:val="Caption"/>
        <w:rPr>
          <w:rFonts w:cs="Arial"/>
          <w:color w:val="000000" w:themeColor="text1"/>
          <w:lang w:val="en-US"/>
        </w:rPr>
      </w:pPr>
      <w:bookmarkStart w:id="100" w:name="_Toc177725008"/>
      <w:bookmarkStart w:id="101" w:name="_Toc177727328"/>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10</w:t>
      </w:r>
      <w:r w:rsidR="00627239" w:rsidRPr="00B5106F">
        <w:rPr>
          <w:b/>
          <w:bCs/>
          <w:noProof/>
        </w:rPr>
        <w:fldChar w:fldCharType="end"/>
      </w:r>
      <w:r w:rsidRPr="00B5106F">
        <w:rPr>
          <w:b/>
          <w:bCs/>
        </w:rPr>
        <w:t>.</w:t>
      </w:r>
      <w:r>
        <w:t xml:space="preserve"> </w:t>
      </w:r>
      <w:r w:rsidRPr="004A2C38">
        <w:t>Outcomes according to diagnostic measures</w:t>
      </w:r>
      <w:bookmarkEnd w:id="100"/>
      <w:bookmarkEnd w:id="101"/>
    </w:p>
    <w:tbl>
      <w:tblPr>
        <w:tblStyle w:val="UniofMelTable37"/>
        <w:tblpPr w:leftFromText="180" w:rightFromText="180" w:vertAnchor="text" w:tblpY="1"/>
        <w:tblOverlap w:val="never"/>
        <w:tblW w:w="13892" w:type="dxa"/>
        <w:tblLayout w:type="fixed"/>
        <w:tblLook w:val="04A0" w:firstRow="1" w:lastRow="0" w:firstColumn="1" w:lastColumn="0" w:noHBand="0" w:noVBand="1"/>
      </w:tblPr>
      <w:tblGrid>
        <w:gridCol w:w="1276"/>
        <w:gridCol w:w="1560"/>
        <w:gridCol w:w="1394"/>
        <w:gridCol w:w="1739"/>
        <w:gridCol w:w="2678"/>
        <w:gridCol w:w="5239"/>
        <w:gridCol w:w="6"/>
      </w:tblGrid>
      <w:tr w:rsidR="002772D2" w:rsidRPr="00516643" w14:paraId="63D478EF" w14:textId="77777777">
        <w:trPr>
          <w:cnfStyle w:val="100000000000" w:firstRow="1" w:lastRow="0" w:firstColumn="0" w:lastColumn="0" w:oddVBand="0" w:evenVBand="0" w:oddHBand="0" w:evenHBand="0" w:firstRowFirstColumn="0" w:firstRowLastColumn="0" w:lastRowFirstColumn="0" w:lastRowLastColumn="0"/>
          <w:trHeight w:val="340"/>
        </w:trPr>
        <w:tc>
          <w:tcPr>
            <w:tcW w:w="1276" w:type="dxa"/>
            <w:shd w:val="clear" w:color="auto" w:fill="082A75"/>
          </w:tcPr>
          <w:p w14:paraId="61CAD22C" w14:textId="77777777" w:rsidR="002772D2" w:rsidRPr="002772D2" w:rsidRDefault="002772D2">
            <w:pPr>
              <w:suppressAutoHyphens/>
              <w:spacing w:before="40" w:after="40" w:line="200" w:lineRule="atLeast"/>
              <w:rPr>
                <w:rFonts w:cs="Arial"/>
                <w:b/>
                <w:color w:val="FFFFFF"/>
                <w:lang w:eastAsia="en-AU"/>
              </w:rPr>
            </w:pPr>
            <w:r w:rsidRPr="002772D2">
              <w:rPr>
                <w:rFonts w:cs="Arial"/>
                <w:b/>
                <w:color w:val="FFFFFF"/>
                <w:lang w:eastAsia="en-AU"/>
              </w:rPr>
              <w:t xml:space="preserve">Author </w:t>
            </w:r>
          </w:p>
          <w:p w14:paraId="3CEDCFC1" w14:textId="77777777" w:rsidR="002772D2" w:rsidRPr="002772D2" w:rsidRDefault="002772D2">
            <w:pPr>
              <w:suppressAutoHyphens/>
              <w:spacing w:before="40" w:after="40" w:line="200" w:lineRule="atLeast"/>
              <w:rPr>
                <w:rFonts w:cs="Arial"/>
                <w:b/>
                <w:color w:val="FFFFFF"/>
                <w:lang w:eastAsia="en-AU"/>
              </w:rPr>
            </w:pPr>
            <w:r w:rsidRPr="002772D2">
              <w:rPr>
                <w:rFonts w:cs="Arial"/>
                <w:b/>
                <w:color w:val="FFFFFF"/>
                <w:lang w:eastAsia="en-AU"/>
              </w:rPr>
              <w:t xml:space="preserve">Year </w:t>
            </w:r>
          </w:p>
        </w:tc>
        <w:tc>
          <w:tcPr>
            <w:tcW w:w="1560" w:type="dxa"/>
            <w:shd w:val="clear" w:color="auto" w:fill="082A75"/>
          </w:tcPr>
          <w:p w14:paraId="0A47FCED" w14:textId="77777777" w:rsidR="002772D2" w:rsidRPr="002772D2" w:rsidRDefault="002772D2">
            <w:pPr>
              <w:suppressAutoHyphens/>
              <w:spacing w:before="40" w:after="40" w:line="200" w:lineRule="atLeast"/>
              <w:rPr>
                <w:rFonts w:cs="Arial"/>
                <w:b/>
                <w:lang w:eastAsia="en-AU"/>
              </w:rPr>
            </w:pPr>
            <w:r w:rsidRPr="002772D2">
              <w:rPr>
                <w:rFonts w:cs="Arial"/>
                <w:b/>
                <w:lang w:eastAsia="en-AU"/>
              </w:rPr>
              <w:t xml:space="preserve">Intervention in focus  </w:t>
            </w:r>
          </w:p>
        </w:tc>
        <w:tc>
          <w:tcPr>
            <w:tcW w:w="1394" w:type="dxa"/>
            <w:shd w:val="clear" w:color="auto" w:fill="082A75"/>
          </w:tcPr>
          <w:p w14:paraId="06BED376" w14:textId="77777777" w:rsidR="002772D2" w:rsidRPr="002772D2" w:rsidRDefault="002772D2">
            <w:pPr>
              <w:suppressAutoHyphens/>
              <w:spacing w:before="40" w:after="40" w:line="200" w:lineRule="atLeast"/>
              <w:rPr>
                <w:rFonts w:cs="Arial"/>
                <w:b/>
                <w:lang w:eastAsia="en-AU"/>
              </w:rPr>
            </w:pPr>
            <w:r w:rsidRPr="002772D2">
              <w:rPr>
                <w:rFonts w:cs="Arial"/>
                <w:b/>
                <w:lang w:eastAsia="en-AU"/>
              </w:rPr>
              <w:t xml:space="preserve">Comparison </w:t>
            </w:r>
          </w:p>
        </w:tc>
        <w:tc>
          <w:tcPr>
            <w:tcW w:w="1739" w:type="dxa"/>
            <w:shd w:val="clear" w:color="auto" w:fill="082A75"/>
          </w:tcPr>
          <w:p w14:paraId="61C314A8" w14:textId="77777777" w:rsidR="002772D2" w:rsidRPr="002772D2" w:rsidRDefault="002772D2">
            <w:pPr>
              <w:suppressAutoHyphens/>
              <w:spacing w:before="40" w:after="40" w:line="200" w:lineRule="atLeast"/>
              <w:rPr>
                <w:rFonts w:cs="Arial"/>
                <w:b/>
                <w:lang w:eastAsia="en-AU"/>
              </w:rPr>
            </w:pPr>
            <w:r w:rsidRPr="002772D2">
              <w:rPr>
                <w:rFonts w:cs="Arial"/>
                <w:b/>
                <w:lang w:eastAsia="en-AU"/>
              </w:rPr>
              <w:t xml:space="preserve">Measure </w:t>
            </w:r>
          </w:p>
        </w:tc>
        <w:tc>
          <w:tcPr>
            <w:tcW w:w="2678" w:type="dxa"/>
            <w:shd w:val="clear" w:color="auto" w:fill="082A75"/>
          </w:tcPr>
          <w:p w14:paraId="13FC531E" w14:textId="77777777" w:rsidR="002772D2" w:rsidRPr="002772D2" w:rsidRDefault="002772D2">
            <w:pPr>
              <w:suppressAutoHyphens/>
              <w:spacing w:before="40" w:after="40" w:line="200" w:lineRule="atLeast"/>
              <w:rPr>
                <w:rFonts w:cs="Arial"/>
                <w:b/>
                <w:lang w:eastAsia="en-AU"/>
              </w:rPr>
            </w:pPr>
            <w:r w:rsidRPr="002772D2">
              <w:rPr>
                <w:rFonts w:cs="Arial"/>
                <w:b/>
                <w:lang w:eastAsia="en-AU"/>
              </w:rPr>
              <w:t>Timepoints</w:t>
            </w:r>
          </w:p>
        </w:tc>
        <w:tc>
          <w:tcPr>
            <w:tcW w:w="5245" w:type="dxa"/>
            <w:gridSpan w:val="2"/>
            <w:shd w:val="clear" w:color="auto" w:fill="082A75"/>
          </w:tcPr>
          <w:p w14:paraId="520D5075" w14:textId="77777777" w:rsidR="002772D2" w:rsidRPr="002772D2" w:rsidRDefault="002772D2">
            <w:pPr>
              <w:suppressAutoHyphens/>
              <w:spacing w:before="40" w:after="40" w:line="200" w:lineRule="atLeast"/>
              <w:rPr>
                <w:rFonts w:cs="Arial"/>
                <w:b/>
                <w:lang w:eastAsia="en-AU"/>
              </w:rPr>
            </w:pPr>
            <w:r w:rsidRPr="002772D2">
              <w:rPr>
                <w:rFonts w:cs="Arial"/>
                <w:b/>
                <w:lang w:eastAsia="en-AU"/>
              </w:rPr>
              <w:t xml:space="preserve">Summary </w:t>
            </w:r>
          </w:p>
        </w:tc>
      </w:tr>
      <w:tr w:rsidR="002772D2" w:rsidRPr="002772D2" w14:paraId="7FE9B258" w14:textId="77777777">
        <w:trPr>
          <w:gridAfter w:val="1"/>
          <w:cnfStyle w:val="000000100000" w:firstRow="0" w:lastRow="0" w:firstColumn="0" w:lastColumn="0" w:oddVBand="0" w:evenVBand="0" w:oddHBand="1" w:evenHBand="0" w:firstRowFirstColumn="0" w:firstRowLastColumn="0" w:lastRowFirstColumn="0" w:lastRowLastColumn="0"/>
          <w:wAfter w:w="6" w:type="dxa"/>
          <w:trHeight w:val="340"/>
        </w:trPr>
        <w:tc>
          <w:tcPr>
            <w:tcW w:w="13886" w:type="dxa"/>
            <w:gridSpan w:val="6"/>
            <w:shd w:val="clear" w:color="auto" w:fill="DAE2E6"/>
          </w:tcPr>
          <w:p w14:paraId="69306042" w14:textId="77777777" w:rsidR="002772D2" w:rsidRPr="002772D2" w:rsidRDefault="002772D2">
            <w:pPr>
              <w:suppressAutoHyphens/>
              <w:spacing w:before="40" w:after="40" w:line="200" w:lineRule="atLeast"/>
              <w:rPr>
                <w:rFonts w:cs="Arial"/>
                <w:b/>
              </w:rPr>
            </w:pPr>
            <w:r w:rsidRPr="002772D2">
              <w:rPr>
                <w:rFonts w:cs="Arial"/>
                <w:b/>
              </w:rPr>
              <w:t>Early Start Denver Model (ESDM)</w:t>
            </w:r>
          </w:p>
        </w:tc>
      </w:tr>
      <w:tr w:rsidR="002772D2" w:rsidRPr="00516643" w14:paraId="5880C7A0" w14:textId="77777777">
        <w:trPr>
          <w:cnfStyle w:val="000000010000" w:firstRow="0" w:lastRow="0" w:firstColumn="0" w:lastColumn="0" w:oddVBand="0" w:evenVBand="0" w:oddHBand="0" w:evenHBand="1" w:firstRowFirstColumn="0" w:firstRowLastColumn="0" w:lastRowFirstColumn="0" w:lastRowLastColumn="0"/>
          <w:trHeight w:val="340"/>
        </w:trPr>
        <w:tc>
          <w:tcPr>
            <w:tcW w:w="1276" w:type="dxa"/>
          </w:tcPr>
          <w:p w14:paraId="436BC92A" w14:textId="77777777" w:rsidR="002772D2" w:rsidRPr="002772D2" w:rsidRDefault="002772D2">
            <w:pPr>
              <w:suppressAutoHyphens/>
              <w:spacing w:before="40" w:after="40" w:line="200" w:lineRule="atLeast"/>
              <w:rPr>
                <w:rFonts w:cs="Arial"/>
                <w:b/>
              </w:rPr>
            </w:pPr>
            <w:r w:rsidRPr="002772D2">
              <w:rPr>
                <w:rFonts w:cs="Arial"/>
                <w:b/>
              </w:rPr>
              <w:t xml:space="preserve">Rogers </w:t>
            </w:r>
          </w:p>
          <w:p w14:paraId="19111904" w14:textId="77777777" w:rsidR="002772D2" w:rsidRPr="002772D2" w:rsidRDefault="002772D2">
            <w:pPr>
              <w:suppressAutoHyphens/>
              <w:spacing w:before="40" w:after="40" w:line="200" w:lineRule="atLeast"/>
              <w:rPr>
                <w:rFonts w:cs="Arial"/>
                <w:b/>
              </w:rPr>
            </w:pPr>
            <w:r w:rsidRPr="002772D2">
              <w:rPr>
                <w:rFonts w:cs="Arial"/>
                <w:b/>
              </w:rPr>
              <w:t>2019b</w:t>
            </w:r>
          </w:p>
        </w:tc>
        <w:tc>
          <w:tcPr>
            <w:tcW w:w="1560" w:type="dxa"/>
          </w:tcPr>
          <w:p w14:paraId="3FF9703E" w14:textId="77777777" w:rsidR="002772D2" w:rsidRPr="002772D2" w:rsidRDefault="002772D2">
            <w:pPr>
              <w:suppressAutoHyphens/>
              <w:spacing w:before="40" w:after="40" w:line="200" w:lineRule="atLeast"/>
              <w:rPr>
                <w:rFonts w:cs="Arial"/>
              </w:rPr>
            </w:pPr>
            <w:r w:rsidRPr="002772D2">
              <w:rPr>
                <w:rFonts w:cs="Arial"/>
              </w:rPr>
              <w:t>ESDM</w:t>
            </w:r>
          </w:p>
          <w:p w14:paraId="5F53C06E" w14:textId="77777777" w:rsidR="002772D2" w:rsidRPr="002772D2" w:rsidRDefault="002772D2">
            <w:pPr>
              <w:suppressAutoHyphens/>
              <w:spacing w:before="40" w:after="40" w:line="200" w:lineRule="atLeast"/>
              <w:rPr>
                <w:rFonts w:cs="Arial"/>
              </w:rPr>
            </w:pPr>
            <w:r w:rsidRPr="002772D2">
              <w:rPr>
                <w:rFonts w:cs="Arial"/>
              </w:rPr>
              <w:t>(n=55)</w:t>
            </w:r>
          </w:p>
        </w:tc>
        <w:tc>
          <w:tcPr>
            <w:tcW w:w="1394" w:type="dxa"/>
          </w:tcPr>
          <w:p w14:paraId="2B0A27DC" w14:textId="77777777" w:rsidR="002772D2" w:rsidRPr="002772D2" w:rsidRDefault="002772D2">
            <w:pPr>
              <w:suppressAutoHyphens/>
              <w:spacing w:before="40" w:after="40" w:line="200" w:lineRule="atLeast"/>
              <w:ind w:left="284" w:hanging="284"/>
              <w:rPr>
                <w:rFonts w:cs="Arial"/>
              </w:rPr>
            </w:pPr>
            <w:r w:rsidRPr="002772D2">
              <w:rPr>
                <w:rFonts w:cs="Arial"/>
              </w:rPr>
              <w:t xml:space="preserve">CS </w:t>
            </w:r>
          </w:p>
          <w:p w14:paraId="3FA7EBFA" w14:textId="77777777" w:rsidR="002772D2" w:rsidRPr="002772D2" w:rsidRDefault="002772D2">
            <w:pPr>
              <w:suppressAutoHyphens/>
              <w:spacing w:before="40" w:after="40" w:line="200" w:lineRule="atLeast"/>
              <w:ind w:left="284" w:hanging="284"/>
              <w:rPr>
                <w:rFonts w:cs="Arial"/>
              </w:rPr>
            </w:pPr>
            <w:r w:rsidRPr="002772D2">
              <w:rPr>
                <w:rFonts w:cs="Arial"/>
              </w:rPr>
              <w:t>(n=63)</w:t>
            </w:r>
          </w:p>
        </w:tc>
        <w:tc>
          <w:tcPr>
            <w:tcW w:w="1739" w:type="dxa"/>
          </w:tcPr>
          <w:p w14:paraId="2814B37C" w14:textId="77777777" w:rsidR="002772D2" w:rsidRPr="002772D2" w:rsidRDefault="002772D2">
            <w:pPr>
              <w:suppressAutoHyphens/>
              <w:spacing w:before="40" w:after="40" w:line="200" w:lineRule="atLeast"/>
              <w:rPr>
                <w:rFonts w:cs="Arial"/>
              </w:rPr>
            </w:pPr>
            <w:r w:rsidRPr="002772D2">
              <w:rPr>
                <w:rFonts w:cs="Arial"/>
              </w:rPr>
              <w:t>Autism Diagnostic Observation Schedule (ADOS)</w:t>
            </w:r>
          </w:p>
        </w:tc>
        <w:tc>
          <w:tcPr>
            <w:tcW w:w="2678" w:type="dxa"/>
          </w:tcPr>
          <w:p w14:paraId="3D365179" w14:textId="77777777" w:rsidR="002772D2" w:rsidRPr="002772D2" w:rsidRDefault="002772D2">
            <w:pPr>
              <w:suppressAutoHyphens/>
              <w:spacing w:before="40" w:after="40" w:line="200" w:lineRule="atLeast"/>
              <w:rPr>
                <w:rFonts w:cs="Arial"/>
              </w:rPr>
            </w:pPr>
            <w:r w:rsidRPr="002772D2">
              <w:rPr>
                <w:rFonts w:cs="Arial"/>
              </w:rPr>
              <w:t xml:space="preserve">Baseline; </w:t>
            </w:r>
          </w:p>
          <w:p w14:paraId="67E055FD" w14:textId="77777777" w:rsidR="002772D2" w:rsidRPr="002772D2" w:rsidRDefault="002772D2">
            <w:pPr>
              <w:suppressAutoHyphens/>
              <w:spacing w:before="40" w:after="40" w:line="200" w:lineRule="atLeast"/>
              <w:rPr>
                <w:rFonts w:cs="Arial"/>
              </w:rPr>
            </w:pPr>
            <w:r w:rsidRPr="002772D2">
              <w:rPr>
                <w:rFonts w:cs="Arial"/>
              </w:rPr>
              <w:t xml:space="preserve">Mid-intervention (3 months); </w:t>
            </w:r>
          </w:p>
          <w:p w14:paraId="244FAC3E" w14:textId="77777777" w:rsidR="002772D2" w:rsidRPr="002772D2" w:rsidRDefault="002772D2">
            <w:pPr>
              <w:suppressAutoHyphens/>
              <w:spacing w:before="40" w:after="40" w:line="200" w:lineRule="atLeast"/>
              <w:rPr>
                <w:rFonts w:cs="Arial"/>
              </w:rPr>
            </w:pPr>
            <w:r w:rsidRPr="002772D2">
              <w:rPr>
                <w:rFonts w:cs="Arial"/>
              </w:rPr>
              <w:t>Mid-intervention (15 months); post-intervention (27 months)</w:t>
            </w:r>
          </w:p>
        </w:tc>
        <w:tc>
          <w:tcPr>
            <w:tcW w:w="5245" w:type="dxa"/>
            <w:gridSpan w:val="2"/>
          </w:tcPr>
          <w:p w14:paraId="1F8F9E7E" w14:textId="77777777" w:rsidR="002772D2" w:rsidRPr="002772D2" w:rsidRDefault="002772D2">
            <w:pPr>
              <w:suppressAutoHyphens/>
              <w:spacing w:before="40" w:after="40" w:line="200" w:lineRule="atLeast"/>
              <w:rPr>
                <w:rFonts w:cs="Arial"/>
              </w:rPr>
            </w:pPr>
            <w:r w:rsidRPr="002772D2">
              <w:rPr>
                <w:rFonts w:cs="Arial"/>
              </w:rPr>
              <w:t>No evidence of a difference between groups for autism symptoms severity throughout the intervention period.</w:t>
            </w:r>
          </w:p>
          <w:p w14:paraId="63C004B0" w14:textId="77777777" w:rsidR="002772D2" w:rsidRPr="002772D2" w:rsidRDefault="002772D2">
            <w:pPr>
              <w:suppressAutoHyphens/>
              <w:spacing w:before="40" w:after="40" w:line="200" w:lineRule="atLeast"/>
              <w:rPr>
                <w:rFonts w:cs="Arial"/>
              </w:rPr>
            </w:pPr>
          </w:p>
        </w:tc>
      </w:tr>
      <w:tr w:rsidR="002772D2" w:rsidRPr="00516643" w14:paraId="06FD460E" w14:textId="77777777">
        <w:trPr>
          <w:cnfStyle w:val="000000100000" w:firstRow="0" w:lastRow="0" w:firstColumn="0" w:lastColumn="0" w:oddVBand="0" w:evenVBand="0" w:oddHBand="1" w:evenHBand="0" w:firstRowFirstColumn="0" w:firstRowLastColumn="0" w:lastRowFirstColumn="0" w:lastRowLastColumn="0"/>
          <w:trHeight w:val="340"/>
        </w:trPr>
        <w:tc>
          <w:tcPr>
            <w:tcW w:w="1276" w:type="dxa"/>
          </w:tcPr>
          <w:p w14:paraId="5F773059" w14:textId="77777777" w:rsidR="002772D2" w:rsidRPr="002772D2" w:rsidRDefault="002772D2">
            <w:pPr>
              <w:suppressAutoHyphens/>
              <w:spacing w:before="40" w:after="40" w:line="200" w:lineRule="atLeast"/>
              <w:rPr>
                <w:rFonts w:cs="Arial"/>
                <w:b/>
              </w:rPr>
            </w:pPr>
            <w:r w:rsidRPr="002772D2">
              <w:rPr>
                <w:rFonts w:cs="Arial"/>
                <w:b/>
              </w:rPr>
              <w:t xml:space="preserve">Rogers </w:t>
            </w:r>
          </w:p>
          <w:p w14:paraId="7A869D65" w14:textId="77777777" w:rsidR="002772D2" w:rsidRPr="002772D2" w:rsidRDefault="002772D2">
            <w:pPr>
              <w:suppressAutoHyphens/>
              <w:spacing w:before="40" w:after="40" w:line="200" w:lineRule="atLeast"/>
              <w:rPr>
                <w:rFonts w:cs="Arial"/>
                <w:b/>
              </w:rPr>
            </w:pPr>
            <w:r w:rsidRPr="002772D2">
              <w:rPr>
                <w:rFonts w:cs="Arial"/>
                <w:b/>
              </w:rPr>
              <w:t>2019a</w:t>
            </w:r>
          </w:p>
        </w:tc>
        <w:tc>
          <w:tcPr>
            <w:tcW w:w="1560" w:type="dxa"/>
          </w:tcPr>
          <w:p w14:paraId="19512E72" w14:textId="77777777" w:rsidR="002772D2" w:rsidRPr="002772D2" w:rsidRDefault="002772D2">
            <w:pPr>
              <w:suppressAutoHyphens/>
              <w:spacing w:before="40" w:after="40" w:line="200" w:lineRule="atLeast"/>
              <w:rPr>
                <w:rFonts w:cs="Arial"/>
              </w:rPr>
            </w:pPr>
            <w:r w:rsidRPr="002772D2">
              <w:rPr>
                <w:rFonts w:cs="Arial"/>
              </w:rPr>
              <w:t>ESDM-P ++ (n=21)</w:t>
            </w:r>
          </w:p>
        </w:tc>
        <w:tc>
          <w:tcPr>
            <w:tcW w:w="1394" w:type="dxa"/>
          </w:tcPr>
          <w:p w14:paraId="5A6F7D8A" w14:textId="77777777" w:rsidR="002772D2" w:rsidRPr="002772D2" w:rsidRDefault="002772D2">
            <w:pPr>
              <w:suppressAutoHyphens/>
              <w:spacing w:before="40" w:after="40" w:line="200" w:lineRule="atLeast"/>
              <w:rPr>
                <w:rFonts w:cs="Arial"/>
              </w:rPr>
            </w:pPr>
            <w:r w:rsidRPr="002772D2">
              <w:rPr>
                <w:rFonts w:cs="Arial"/>
              </w:rPr>
              <w:t>P-ESDM-P (n=24)</w:t>
            </w:r>
          </w:p>
        </w:tc>
        <w:tc>
          <w:tcPr>
            <w:tcW w:w="1739" w:type="dxa"/>
          </w:tcPr>
          <w:p w14:paraId="023004D5" w14:textId="77777777" w:rsidR="002772D2" w:rsidRPr="002772D2" w:rsidRDefault="002772D2">
            <w:pPr>
              <w:suppressAutoHyphens/>
              <w:spacing w:before="40" w:after="40" w:line="200" w:lineRule="atLeast"/>
              <w:rPr>
                <w:rFonts w:cs="Arial"/>
              </w:rPr>
            </w:pPr>
            <w:r w:rsidRPr="002772D2">
              <w:rPr>
                <w:rFonts w:cs="Arial"/>
              </w:rPr>
              <w:t>Autism Diagnostic Observation Schedule (ADOS-T)</w:t>
            </w:r>
          </w:p>
        </w:tc>
        <w:tc>
          <w:tcPr>
            <w:tcW w:w="2678" w:type="dxa"/>
          </w:tcPr>
          <w:p w14:paraId="07360FDC" w14:textId="77777777" w:rsidR="002772D2" w:rsidRPr="002772D2" w:rsidRDefault="002772D2">
            <w:pPr>
              <w:suppressAutoHyphens/>
              <w:spacing w:before="40" w:after="40" w:line="200" w:lineRule="atLeast"/>
              <w:rPr>
                <w:rFonts w:cs="Arial"/>
              </w:rPr>
            </w:pPr>
            <w:r w:rsidRPr="002772D2">
              <w:rPr>
                <w:rFonts w:cs="Arial"/>
              </w:rPr>
              <w:t xml:space="preserve">Baseline; </w:t>
            </w:r>
          </w:p>
          <w:p w14:paraId="400B3268" w14:textId="77777777" w:rsidR="002772D2" w:rsidRPr="002772D2" w:rsidRDefault="002772D2">
            <w:pPr>
              <w:suppressAutoHyphens/>
              <w:spacing w:before="40" w:after="40" w:line="200" w:lineRule="atLeast"/>
              <w:rPr>
                <w:rFonts w:cs="Arial"/>
              </w:rPr>
            </w:pPr>
            <w:r w:rsidRPr="002772D2">
              <w:rPr>
                <w:rFonts w:cs="Arial"/>
              </w:rPr>
              <w:t>Post-intervention (12 weeks)</w:t>
            </w:r>
          </w:p>
        </w:tc>
        <w:tc>
          <w:tcPr>
            <w:tcW w:w="5245" w:type="dxa"/>
            <w:gridSpan w:val="2"/>
          </w:tcPr>
          <w:p w14:paraId="08999532" w14:textId="77777777" w:rsidR="002772D2" w:rsidRPr="002772D2" w:rsidRDefault="002772D2">
            <w:pPr>
              <w:suppressAutoHyphens/>
              <w:spacing w:before="40" w:after="40" w:line="200" w:lineRule="atLeast"/>
              <w:rPr>
                <w:rFonts w:cs="Arial"/>
              </w:rPr>
            </w:pPr>
            <w:r w:rsidRPr="002772D2">
              <w:rPr>
                <w:rFonts w:cs="Arial"/>
              </w:rPr>
              <w:t xml:space="preserve">All groups showed improvements, but no evidence of a difference between groups for autism symptoms severity throughout the intervention period. </w:t>
            </w:r>
          </w:p>
        </w:tc>
      </w:tr>
      <w:tr w:rsidR="002772D2" w:rsidRPr="00516643" w14:paraId="28AD5CE4" w14:textId="77777777">
        <w:trPr>
          <w:cnfStyle w:val="000000010000" w:firstRow="0" w:lastRow="0" w:firstColumn="0" w:lastColumn="0" w:oddVBand="0" w:evenVBand="0" w:oddHBand="0" w:evenHBand="1" w:firstRowFirstColumn="0" w:firstRowLastColumn="0" w:lastRowFirstColumn="0" w:lastRowLastColumn="0"/>
          <w:trHeight w:val="340"/>
        </w:trPr>
        <w:tc>
          <w:tcPr>
            <w:tcW w:w="1276" w:type="dxa"/>
          </w:tcPr>
          <w:p w14:paraId="3D7544FA" w14:textId="77777777" w:rsidR="002772D2" w:rsidRPr="002772D2" w:rsidRDefault="002772D2">
            <w:pPr>
              <w:suppressAutoHyphens/>
              <w:spacing w:before="40" w:after="40" w:line="200" w:lineRule="atLeast"/>
              <w:rPr>
                <w:rFonts w:cs="Arial"/>
                <w:b/>
              </w:rPr>
            </w:pPr>
            <w:r w:rsidRPr="002772D2">
              <w:rPr>
                <w:rFonts w:cs="Arial"/>
                <w:b/>
              </w:rPr>
              <w:t xml:space="preserve">Rogers </w:t>
            </w:r>
          </w:p>
          <w:p w14:paraId="56E40602" w14:textId="77777777" w:rsidR="002772D2" w:rsidRPr="002772D2" w:rsidRDefault="002772D2">
            <w:pPr>
              <w:suppressAutoHyphens/>
              <w:spacing w:before="40" w:after="40" w:line="200" w:lineRule="atLeast"/>
              <w:rPr>
                <w:rFonts w:cs="Arial"/>
                <w:b/>
              </w:rPr>
            </w:pPr>
            <w:r w:rsidRPr="002772D2">
              <w:rPr>
                <w:rFonts w:cs="Arial"/>
                <w:b/>
              </w:rPr>
              <w:t>2021</w:t>
            </w:r>
          </w:p>
        </w:tc>
        <w:tc>
          <w:tcPr>
            <w:tcW w:w="1560" w:type="dxa"/>
          </w:tcPr>
          <w:p w14:paraId="04C756BE" w14:textId="77777777" w:rsidR="002772D2" w:rsidRPr="002772D2" w:rsidRDefault="002772D2">
            <w:pPr>
              <w:suppressAutoHyphens/>
              <w:spacing w:before="40" w:after="40" w:line="200" w:lineRule="atLeast"/>
              <w:rPr>
                <w:rFonts w:cs="Arial"/>
              </w:rPr>
            </w:pPr>
            <w:r w:rsidRPr="002772D2">
              <w:rPr>
                <w:rFonts w:cs="Arial"/>
              </w:rPr>
              <w:t xml:space="preserve">ESDM </w:t>
            </w:r>
          </w:p>
          <w:p w14:paraId="6E576C98" w14:textId="77777777" w:rsidR="002772D2" w:rsidRPr="002772D2" w:rsidRDefault="002772D2">
            <w:pPr>
              <w:suppressAutoHyphens/>
              <w:spacing w:before="40" w:after="40" w:line="200" w:lineRule="atLeast"/>
              <w:rPr>
                <w:rFonts w:cs="Arial"/>
              </w:rPr>
            </w:pPr>
            <w:r w:rsidRPr="002772D2">
              <w:rPr>
                <w:rFonts w:cs="Arial"/>
              </w:rPr>
              <w:t>(n=42)</w:t>
            </w:r>
          </w:p>
        </w:tc>
        <w:tc>
          <w:tcPr>
            <w:tcW w:w="1394" w:type="dxa"/>
          </w:tcPr>
          <w:p w14:paraId="2AEDFE8D" w14:textId="77777777" w:rsidR="002772D2" w:rsidRPr="002772D2" w:rsidRDefault="002772D2">
            <w:pPr>
              <w:suppressAutoHyphens/>
              <w:spacing w:before="40" w:after="40" w:line="200" w:lineRule="atLeast"/>
              <w:rPr>
                <w:rFonts w:cs="Arial"/>
              </w:rPr>
            </w:pPr>
            <w:r w:rsidRPr="002772D2">
              <w:rPr>
                <w:rFonts w:cs="Arial"/>
              </w:rPr>
              <w:t xml:space="preserve">EIBI </w:t>
            </w:r>
          </w:p>
          <w:p w14:paraId="074B4051" w14:textId="77777777" w:rsidR="002772D2" w:rsidRPr="002772D2" w:rsidRDefault="002772D2">
            <w:pPr>
              <w:suppressAutoHyphens/>
              <w:spacing w:before="40" w:after="40" w:line="200" w:lineRule="atLeast"/>
              <w:rPr>
                <w:rFonts w:cs="Arial"/>
              </w:rPr>
            </w:pPr>
            <w:r w:rsidRPr="002772D2">
              <w:rPr>
                <w:rFonts w:cs="Arial"/>
              </w:rPr>
              <w:t>(n=45)</w:t>
            </w:r>
          </w:p>
        </w:tc>
        <w:tc>
          <w:tcPr>
            <w:tcW w:w="1739" w:type="dxa"/>
          </w:tcPr>
          <w:p w14:paraId="6CEF15C6" w14:textId="77777777" w:rsidR="002772D2" w:rsidRPr="002772D2" w:rsidRDefault="002772D2">
            <w:pPr>
              <w:suppressAutoHyphens/>
              <w:spacing w:before="40" w:after="40" w:line="200" w:lineRule="atLeast"/>
              <w:rPr>
                <w:rFonts w:cs="Arial"/>
              </w:rPr>
            </w:pPr>
            <w:r w:rsidRPr="002772D2">
              <w:rPr>
                <w:rFonts w:cs="Arial"/>
              </w:rPr>
              <w:t>Autism Diagnostic Observation Schedule (ADOS-2) and Pervasive Developmental Disorder Behaviour Inventory (PDDB-I) [Composite]</w:t>
            </w:r>
          </w:p>
          <w:p w14:paraId="2B234F88" w14:textId="77777777" w:rsidR="002772D2" w:rsidRPr="002772D2" w:rsidRDefault="002772D2">
            <w:pPr>
              <w:suppressAutoHyphens/>
              <w:spacing w:before="40" w:after="40" w:line="200" w:lineRule="atLeast"/>
              <w:rPr>
                <w:rFonts w:cs="Arial"/>
              </w:rPr>
            </w:pPr>
          </w:p>
        </w:tc>
        <w:tc>
          <w:tcPr>
            <w:tcW w:w="2678" w:type="dxa"/>
          </w:tcPr>
          <w:p w14:paraId="04AEDEF7" w14:textId="77777777" w:rsidR="002772D2" w:rsidRPr="002772D2" w:rsidRDefault="002772D2">
            <w:pPr>
              <w:suppressAutoHyphens/>
              <w:spacing w:before="40" w:after="40" w:line="200" w:lineRule="atLeast"/>
              <w:rPr>
                <w:rFonts w:cs="Arial"/>
              </w:rPr>
            </w:pPr>
            <w:r w:rsidRPr="002772D2">
              <w:rPr>
                <w:rFonts w:cs="Arial"/>
              </w:rPr>
              <w:t xml:space="preserve">Baseline; </w:t>
            </w:r>
          </w:p>
          <w:p w14:paraId="43AC52F1" w14:textId="77777777" w:rsidR="002772D2" w:rsidRPr="002772D2" w:rsidRDefault="002772D2">
            <w:pPr>
              <w:suppressAutoHyphens/>
              <w:spacing w:before="40" w:after="40" w:line="200" w:lineRule="atLeast"/>
              <w:rPr>
                <w:rFonts w:cs="Arial"/>
              </w:rPr>
            </w:pPr>
            <w:r w:rsidRPr="002772D2">
              <w:rPr>
                <w:rFonts w:cs="Arial"/>
              </w:rPr>
              <w:t xml:space="preserve">Mid-intervention (6 months); </w:t>
            </w:r>
          </w:p>
          <w:p w14:paraId="44F6BDA5" w14:textId="77777777" w:rsidR="002772D2" w:rsidRPr="002772D2" w:rsidRDefault="002772D2">
            <w:pPr>
              <w:suppressAutoHyphens/>
              <w:spacing w:before="40" w:after="40" w:line="200" w:lineRule="atLeast"/>
              <w:rPr>
                <w:rFonts w:cs="Arial"/>
              </w:rPr>
            </w:pPr>
            <w:r w:rsidRPr="002772D2">
              <w:rPr>
                <w:rFonts w:cs="Arial"/>
              </w:rPr>
              <w:t>Post-intervention (12 months);</w:t>
            </w:r>
          </w:p>
          <w:p w14:paraId="48D63177" w14:textId="77777777" w:rsidR="002772D2" w:rsidRPr="002772D2" w:rsidRDefault="002772D2">
            <w:pPr>
              <w:suppressAutoHyphens/>
              <w:spacing w:before="40" w:after="40" w:line="200" w:lineRule="atLeast"/>
              <w:rPr>
                <w:rFonts w:cs="Arial"/>
              </w:rPr>
            </w:pPr>
            <w:r w:rsidRPr="002772D2">
              <w:rPr>
                <w:rFonts w:cs="Arial"/>
              </w:rPr>
              <w:t>Follow up (24 months)</w:t>
            </w:r>
          </w:p>
        </w:tc>
        <w:tc>
          <w:tcPr>
            <w:tcW w:w="5245" w:type="dxa"/>
            <w:gridSpan w:val="2"/>
          </w:tcPr>
          <w:p w14:paraId="5C3489DB" w14:textId="77777777" w:rsidR="002772D2" w:rsidRPr="002772D2" w:rsidRDefault="002772D2">
            <w:pPr>
              <w:suppressAutoHyphens/>
              <w:spacing w:before="40" w:after="40" w:line="200" w:lineRule="atLeast"/>
              <w:rPr>
                <w:rFonts w:cs="Arial"/>
              </w:rPr>
            </w:pPr>
            <w:r w:rsidRPr="002772D2">
              <w:rPr>
                <w:rFonts w:cs="Arial"/>
              </w:rPr>
              <w:t xml:space="preserve">All groups showed improvements. No evidence of a group by time effect, or group by time by site effect for autism symptom severity. Greater improvement resulting from higher intensity for one site only; other 2 sites, no time by intensity interaction effect on autism severity. </w:t>
            </w:r>
          </w:p>
          <w:p w14:paraId="6699786A" w14:textId="77777777" w:rsidR="002772D2" w:rsidRPr="002772D2" w:rsidRDefault="002772D2">
            <w:pPr>
              <w:suppressAutoHyphens/>
              <w:spacing w:before="40" w:after="40" w:line="200" w:lineRule="atLeast"/>
              <w:rPr>
                <w:rFonts w:cs="Arial"/>
              </w:rPr>
            </w:pPr>
            <w:r w:rsidRPr="002772D2">
              <w:rPr>
                <w:rFonts w:cs="Arial"/>
              </w:rPr>
              <w:t xml:space="preserve"> </w:t>
            </w:r>
          </w:p>
        </w:tc>
      </w:tr>
      <w:tr w:rsidR="002772D2" w:rsidRPr="002772D2" w14:paraId="03F3A34B" w14:textId="77777777">
        <w:trPr>
          <w:gridAfter w:val="1"/>
          <w:cnfStyle w:val="000000100000" w:firstRow="0" w:lastRow="0" w:firstColumn="0" w:lastColumn="0" w:oddVBand="0" w:evenVBand="0" w:oddHBand="1" w:evenHBand="0" w:firstRowFirstColumn="0" w:firstRowLastColumn="0" w:lastRowFirstColumn="0" w:lastRowLastColumn="0"/>
          <w:wAfter w:w="6" w:type="dxa"/>
          <w:trHeight w:val="340"/>
        </w:trPr>
        <w:tc>
          <w:tcPr>
            <w:tcW w:w="13886" w:type="dxa"/>
            <w:gridSpan w:val="6"/>
            <w:shd w:val="clear" w:color="auto" w:fill="DAE2E6"/>
          </w:tcPr>
          <w:p w14:paraId="1DD15D43" w14:textId="77777777" w:rsidR="002772D2" w:rsidRPr="002772D2" w:rsidRDefault="002772D2">
            <w:pPr>
              <w:spacing w:after="0"/>
              <w:rPr>
                <w:rFonts w:cs="Arial"/>
                <w:b/>
              </w:rPr>
            </w:pPr>
            <w:r w:rsidRPr="002772D2">
              <w:rPr>
                <w:rFonts w:cs="Arial"/>
                <w:b/>
              </w:rPr>
              <w:t>iBASIS</w:t>
            </w:r>
            <w:r w:rsidRPr="002772D2">
              <w:rPr>
                <w:rFonts w:eastAsia="MS Mincho" w:cs="Arial"/>
                <w:b/>
              </w:rPr>
              <w:t xml:space="preserve"> - Video Interaction for Promoting Positive Parenting program</w:t>
            </w:r>
          </w:p>
        </w:tc>
      </w:tr>
      <w:tr w:rsidR="002772D2" w:rsidRPr="00516643" w14:paraId="013946B7" w14:textId="77777777">
        <w:trPr>
          <w:cnfStyle w:val="000000010000" w:firstRow="0" w:lastRow="0" w:firstColumn="0" w:lastColumn="0" w:oddVBand="0" w:evenVBand="0" w:oddHBand="0" w:evenHBand="1" w:firstRowFirstColumn="0" w:firstRowLastColumn="0" w:lastRowFirstColumn="0" w:lastRowLastColumn="0"/>
          <w:trHeight w:val="340"/>
        </w:trPr>
        <w:tc>
          <w:tcPr>
            <w:tcW w:w="1276" w:type="dxa"/>
            <w:vMerge w:val="restart"/>
          </w:tcPr>
          <w:p w14:paraId="34CC2074" w14:textId="77777777" w:rsidR="002772D2" w:rsidRPr="002772D2" w:rsidRDefault="002772D2">
            <w:pPr>
              <w:suppressAutoHyphens/>
              <w:spacing w:before="40" w:after="40" w:line="200" w:lineRule="atLeast"/>
              <w:rPr>
                <w:rFonts w:cs="Arial"/>
                <w:b/>
              </w:rPr>
            </w:pPr>
            <w:r w:rsidRPr="002772D2">
              <w:rPr>
                <w:rFonts w:cs="Arial"/>
                <w:b/>
              </w:rPr>
              <w:t xml:space="preserve">Whitehouse </w:t>
            </w:r>
          </w:p>
          <w:p w14:paraId="1605E26D" w14:textId="77777777" w:rsidR="002772D2" w:rsidRPr="002772D2" w:rsidRDefault="002772D2">
            <w:pPr>
              <w:suppressAutoHyphens/>
              <w:spacing w:before="40" w:after="40" w:line="200" w:lineRule="atLeast"/>
              <w:rPr>
                <w:rFonts w:cs="Arial"/>
                <w:b/>
              </w:rPr>
            </w:pPr>
            <w:r w:rsidRPr="002772D2">
              <w:rPr>
                <w:rFonts w:cs="Arial"/>
                <w:b/>
              </w:rPr>
              <w:t>2021</w:t>
            </w:r>
          </w:p>
        </w:tc>
        <w:tc>
          <w:tcPr>
            <w:tcW w:w="1560" w:type="dxa"/>
            <w:vMerge w:val="restart"/>
          </w:tcPr>
          <w:p w14:paraId="7ACC32BB" w14:textId="77777777" w:rsidR="002772D2" w:rsidRPr="002772D2" w:rsidRDefault="002772D2">
            <w:pPr>
              <w:suppressAutoHyphens/>
              <w:spacing w:before="40" w:after="40" w:line="200" w:lineRule="atLeast"/>
              <w:rPr>
                <w:rFonts w:cs="Arial"/>
              </w:rPr>
            </w:pPr>
            <w:r w:rsidRPr="002772D2">
              <w:rPr>
                <w:rFonts w:cs="Arial"/>
              </w:rPr>
              <w:t>iBASIS-VIPP (n=44)</w:t>
            </w:r>
          </w:p>
        </w:tc>
        <w:tc>
          <w:tcPr>
            <w:tcW w:w="1394" w:type="dxa"/>
            <w:vMerge w:val="restart"/>
          </w:tcPr>
          <w:p w14:paraId="06C3268D" w14:textId="77777777" w:rsidR="002772D2" w:rsidRPr="002772D2" w:rsidRDefault="002772D2">
            <w:pPr>
              <w:suppressAutoHyphens/>
              <w:spacing w:before="40" w:after="40" w:line="200" w:lineRule="atLeast"/>
              <w:rPr>
                <w:rFonts w:cs="Arial"/>
              </w:rPr>
            </w:pPr>
            <w:r w:rsidRPr="002772D2">
              <w:rPr>
                <w:rFonts w:cs="Arial"/>
              </w:rPr>
              <w:t xml:space="preserve">SAU </w:t>
            </w:r>
          </w:p>
          <w:p w14:paraId="07AA9105" w14:textId="77777777" w:rsidR="002772D2" w:rsidRPr="002772D2" w:rsidRDefault="002772D2">
            <w:pPr>
              <w:suppressAutoHyphens/>
              <w:spacing w:before="40" w:after="40" w:line="200" w:lineRule="atLeast"/>
              <w:rPr>
                <w:rFonts w:cs="Arial"/>
              </w:rPr>
            </w:pPr>
            <w:r w:rsidRPr="002772D2">
              <w:rPr>
                <w:rFonts w:cs="Arial"/>
              </w:rPr>
              <w:t>(n=45)</w:t>
            </w:r>
          </w:p>
        </w:tc>
        <w:tc>
          <w:tcPr>
            <w:tcW w:w="1739" w:type="dxa"/>
          </w:tcPr>
          <w:p w14:paraId="358A1D39" w14:textId="77777777" w:rsidR="002772D2" w:rsidRPr="002772D2" w:rsidRDefault="002772D2">
            <w:pPr>
              <w:suppressAutoHyphens/>
              <w:spacing w:before="40" w:after="40" w:line="200" w:lineRule="atLeast"/>
              <w:rPr>
                <w:rFonts w:cs="Arial"/>
              </w:rPr>
            </w:pPr>
            <w:r w:rsidRPr="002772D2">
              <w:rPr>
                <w:rFonts w:cs="Arial"/>
              </w:rPr>
              <w:t>Autism Diagnostic Observation Schedule (ADOS-2)</w:t>
            </w:r>
          </w:p>
        </w:tc>
        <w:tc>
          <w:tcPr>
            <w:tcW w:w="2678" w:type="dxa"/>
          </w:tcPr>
          <w:p w14:paraId="0E8FD439" w14:textId="77777777" w:rsidR="002772D2" w:rsidRPr="002772D2" w:rsidRDefault="002772D2">
            <w:pPr>
              <w:suppressAutoHyphens/>
              <w:spacing w:before="40" w:after="40" w:line="200" w:lineRule="atLeast"/>
              <w:rPr>
                <w:rFonts w:cs="Arial"/>
              </w:rPr>
            </w:pPr>
            <w:r w:rsidRPr="002772D2">
              <w:rPr>
                <w:rFonts w:cs="Arial"/>
              </w:rPr>
              <w:t>Baseline;</w:t>
            </w:r>
          </w:p>
          <w:p w14:paraId="3ECD513E" w14:textId="77777777" w:rsidR="002772D2" w:rsidRPr="002772D2" w:rsidRDefault="002772D2">
            <w:pPr>
              <w:suppressAutoHyphens/>
              <w:spacing w:before="40" w:after="40" w:line="200" w:lineRule="atLeast"/>
              <w:rPr>
                <w:rFonts w:cs="Arial"/>
              </w:rPr>
            </w:pPr>
            <w:r w:rsidRPr="002772D2">
              <w:rPr>
                <w:rFonts w:cs="Arial"/>
              </w:rPr>
              <w:t xml:space="preserve">Post-intervention (6 months); </w:t>
            </w:r>
          </w:p>
          <w:p w14:paraId="65B29CC0" w14:textId="77777777" w:rsidR="002772D2" w:rsidRPr="002772D2" w:rsidRDefault="002772D2">
            <w:pPr>
              <w:suppressAutoHyphens/>
              <w:spacing w:before="40" w:after="40" w:line="200" w:lineRule="atLeast"/>
              <w:rPr>
                <w:rFonts w:cs="Arial"/>
              </w:rPr>
            </w:pPr>
            <w:r w:rsidRPr="002772D2">
              <w:rPr>
                <w:rFonts w:cs="Arial"/>
              </w:rPr>
              <w:t xml:space="preserve">Follow up (12 months); </w:t>
            </w:r>
          </w:p>
          <w:p w14:paraId="10345ACD" w14:textId="77777777" w:rsidR="002772D2" w:rsidRPr="002772D2" w:rsidRDefault="002772D2">
            <w:pPr>
              <w:suppressAutoHyphens/>
              <w:spacing w:before="40" w:after="40" w:line="200" w:lineRule="atLeast"/>
              <w:rPr>
                <w:rFonts w:cs="Arial"/>
              </w:rPr>
            </w:pPr>
            <w:r w:rsidRPr="002772D2">
              <w:rPr>
                <w:rFonts w:cs="Arial"/>
              </w:rPr>
              <w:t>Follow up (24 months)</w:t>
            </w:r>
          </w:p>
        </w:tc>
        <w:tc>
          <w:tcPr>
            <w:tcW w:w="5245" w:type="dxa"/>
            <w:gridSpan w:val="2"/>
          </w:tcPr>
          <w:p w14:paraId="438C3746" w14:textId="77777777" w:rsidR="002772D2" w:rsidRPr="002772D2" w:rsidRDefault="002772D2">
            <w:pPr>
              <w:suppressAutoHyphens/>
              <w:spacing w:before="40" w:after="40" w:line="200" w:lineRule="atLeast"/>
              <w:rPr>
                <w:rFonts w:cs="Arial"/>
              </w:rPr>
            </w:pPr>
            <w:r w:rsidRPr="002772D2">
              <w:rPr>
                <w:rFonts w:cs="Arial"/>
              </w:rPr>
              <w:t xml:space="preserve">Evidence of decreased autism symptom severity from post-intervention to the 12-month and 24-month follow up assessments for the iBASIS-VIPP group. </w:t>
            </w:r>
          </w:p>
          <w:p w14:paraId="7531593C" w14:textId="77777777" w:rsidR="002772D2" w:rsidRPr="002772D2" w:rsidRDefault="002772D2">
            <w:pPr>
              <w:suppressAutoHyphens/>
              <w:spacing w:before="40" w:after="40" w:line="200" w:lineRule="atLeast"/>
              <w:rPr>
                <w:rFonts w:cs="Arial"/>
              </w:rPr>
            </w:pPr>
          </w:p>
        </w:tc>
      </w:tr>
      <w:tr w:rsidR="002772D2" w:rsidRPr="00516643" w14:paraId="084DF755" w14:textId="77777777">
        <w:trPr>
          <w:cnfStyle w:val="000000100000" w:firstRow="0" w:lastRow="0" w:firstColumn="0" w:lastColumn="0" w:oddVBand="0" w:evenVBand="0" w:oddHBand="1" w:evenHBand="0" w:firstRowFirstColumn="0" w:firstRowLastColumn="0" w:lastRowFirstColumn="0" w:lastRowLastColumn="0"/>
          <w:trHeight w:val="340"/>
        </w:trPr>
        <w:tc>
          <w:tcPr>
            <w:tcW w:w="1276" w:type="dxa"/>
            <w:vMerge/>
          </w:tcPr>
          <w:p w14:paraId="0D5A8DF6" w14:textId="77777777" w:rsidR="002772D2" w:rsidRPr="002772D2" w:rsidRDefault="002772D2">
            <w:pPr>
              <w:suppressAutoHyphens/>
              <w:spacing w:before="40" w:after="40" w:line="200" w:lineRule="atLeast"/>
              <w:rPr>
                <w:rFonts w:cs="Arial"/>
              </w:rPr>
            </w:pPr>
          </w:p>
        </w:tc>
        <w:tc>
          <w:tcPr>
            <w:tcW w:w="1560" w:type="dxa"/>
            <w:vMerge/>
          </w:tcPr>
          <w:p w14:paraId="6604C1AD" w14:textId="77777777" w:rsidR="002772D2" w:rsidRPr="002772D2" w:rsidRDefault="002772D2">
            <w:pPr>
              <w:suppressAutoHyphens/>
              <w:spacing w:before="40" w:after="40" w:line="200" w:lineRule="atLeast"/>
              <w:rPr>
                <w:rFonts w:cs="Arial"/>
              </w:rPr>
            </w:pPr>
          </w:p>
        </w:tc>
        <w:tc>
          <w:tcPr>
            <w:tcW w:w="1394" w:type="dxa"/>
            <w:vMerge/>
          </w:tcPr>
          <w:p w14:paraId="5F86EEBD" w14:textId="77777777" w:rsidR="002772D2" w:rsidRPr="002772D2" w:rsidRDefault="002772D2">
            <w:pPr>
              <w:suppressAutoHyphens/>
              <w:spacing w:before="40" w:after="40" w:line="200" w:lineRule="atLeast"/>
              <w:rPr>
                <w:rFonts w:cs="Arial"/>
              </w:rPr>
            </w:pPr>
          </w:p>
        </w:tc>
        <w:tc>
          <w:tcPr>
            <w:tcW w:w="1739" w:type="dxa"/>
          </w:tcPr>
          <w:p w14:paraId="5681A592" w14:textId="77777777" w:rsidR="002772D2" w:rsidRPr="002772D2" w:rsidRDefault="002772D2">
            <w:pPr>
              <w:suppressAutoHyphens/>
              <w:spacing w:before="40" w:after="40" w:line="200" w:lineRule="atLeast"/>
              <w:rPr>
                <w:rFonts w:cs="Arial"/>
              </w:rPr>
            </w:pPr>
            <w:r w:rsidRPr="002772D2">
              <w:rPr>
                <w:rFonts w:cs="Arial"/>
              </w:rPr>
              <w:t>Diagnostic and Statistical Manual of Mental Disorders (DSM-5</w:t>
            </w:r>
          </w:p>
        </w:tc>
        <w:tc>
          <w:tcPr>
            <w:tcW w:w="2678" w:type="dxa"/>
          </w:tcPr>
          <w:p w14:paraId="46B9B4DF" w14:textId="77777777" w:rsidR="002772D2" w:rsidRPr="002772D2" w:rsidRDefault="002772D2">
            <w:pPr>
              <w:suppressAutoHyphens/>
              <w:spacing w:before="40" w:after="40" w:line="200" w:lineRule="atLeast"/>
              <w:rPr>
                <w:rFonts w:cs="Arial"/>
              </w:rPr>
            </w:pPr>
            <w:r w:rsidRPr="002772D2">
              <w:rPr>
                <w:rFonts w:cs="Arial"/>
              </w:rPr>
              <w:t>Follow up (24 months)</w:t>
            </w:r>
          </w:p>
        </w:tc>
        <w:tc>
          <w:tcPr>
            <w:tcW w:w="5245" w:type="dxa"/>
            <w:gridSpan w:val="2"/>
          </w:tcPr>
          <w:p w14:paraId="5D5C98E4" w14:textId="77777777" w:rsidR="002772D2" w:rsidRPr="002772D2" w:rsidRDefault="002772D2">
            <w:pPr>
              <w:spacing w:after="0"/>
              <w:rPr>
                <w:rFonts w:cs="Arial"/>
              </w:rPr>
            </w:pPr>
            <w:r w:rsidRPr="002772D2">
              <w:rPr>
                <w:rFonts w:cs="Arial"/>
              </w:rPr>
              <w:t xml:space="preserve">No evidence of a difference between groups for 3-level diagnostic classification of autism at follow-up.  </w:t>
            </w:r>
          </w:p>
          <w:p w14:paraId="4462406A" w14:textId="77777777" w:rsidR="002772D2" w:rsidRPr="002772D2" w:rsidRDefault="002772D2">
            <w:pPr>
              <w:spacing w:after="0"/>
              <w:rPr>
                <w:rFonts w:cs="Arial"/>
              </w:rPr>
            </w:pPr>
            <w:r w:rsidRPr="002772D2">
              <w:rPr>
                <w:rFonts w:cs="Arial"/>
              </w:rPr>
              <w:t xml:space="preserve">Evidence of reduced odds of autism classification at follow-up for the iBASIS-VIPP group, when covariates were considered in the analysis. </w:t>
            </w:r>
          </w:p>
        </w:tc>
      </w:tr>
      <w:tr w:rsidR="002772D2" w:rsidRPr="002772D2" w14:paraId="1556AD15" w14:textId="77777777">
        <w:trPr>
          <w:gridAfter w:val="1"/>
          <w:cnfStyle w:val="000000010000" w:firstRow="0" w:lastRow="0" w:firstColumn="0" w:lastColumn="0" w:oddVBand="0" w:evenVBand="0" w:oddHBand="0" w:evenHBand="1" w:firstRowFirstColumn="0" w:firstRowLastColumn="0" w:lastRowFirstColumn="0" w:lastRowLastColumn="0"/>
          <w:wAfter w:w="6" w:type="dxa"/>
          <w:trHeight w:val="340"/>
        </w:trPr>
        <w:tc>
          <w:tcPr>
            <w:tcW w:w="13886" w:type="dxa"/>
            <w:gridSpan w:val="6"/>
            <w:shd w:val="clear" w:color="auto" w:fill="BFCDD4"/>
          </w:tcPr>
          <w:p w14:paraId="32161CAB" w14:textId="77777777" w:rsidR="002772D2" w:rsidRPr="002772D2" w:rsidRDefault="002772D2">
            <w:pPr>
              <w:suppressAutoHyphens/>
              <w:spacing w:before="40" w:after="40" w:line="200" w:lineRule="atLeast"/>
              <w:rPr>
                <w:rFonts w:cs="Arial"/>
              </w:rPr>
            </w:pPr>
            <w:r w:rsidRPr="002772D2">
              <w:rPr>
                <w:rFonts w:cs="Arial"/>
                <w:b/>
              </w:rPr>
              <w:t>Preschool Autism Communication Trial Therapy (PACT)</w:t>
            </w:r>
          </w:p>
        </w:tc>
      </w:tr>
      <w:tr w:rsidR="002772D2" w:rsidRPr="00516643" w14:paraId="32E79CAE" w14:textId="77777777">
        <w:trPr>
          <w:cnfStyle w:val="000000100000" w:firstRow="0" w:lastRow="0" w:firstColumn="0" w:lastColumn="0" w:oddVBand="0" w:evenVBand="0" w:oddHBand="1" w:evenHBand="0" w:firstRowFirstColumn="0" w:firstRowLastColumn="0" w:lastRowFirstColumn="0" w:lastRowLastColumn="0"/>
          <w:trHeight w:val="340"/>
        </w:trPr>
        <w:tc>
          <w:tcPr>
            <w:tcW w:w="1276" w:type="dxa"/>
          </w:tcPr>
          <w:p w14:paraId="393AB3C1" w14:textId="77777777" w:rsidR="002772D2" w:rsidRPr="002772D2" w:rsidRDefault="002772D2">
            <w:pPr>
              <w:spacing w:after="0"/>
              <w:rPr>
                <w:rFonts w:cs="Arial"/>
                <w:b/>
                <w:color w:val="000000"/>
              </w:rPr>
            </w:pPr>
            <w:r w:rsidRPr="002772D2">
              <w:rPr>
                <w:rFonts w:cs="Arial"/>
                <w:b/>
                <w:color w:val="000000"/>
              </w:rPr>
              <w:t xml:space="preserve">Pickles </w:t>
            </w:r>
          </w:p>
          <w:p w14:paraId="1C0EC4A3" w14:textId="77777777" w:rsidR="002772D2" w:rsidRPr="002772D2" w:rsidRDefault="002772D2">
            <w:pPr>
              <w:spacing w:after="0"/>
              <w:rPr>
                <w:rFonts w:cs="Arial"/>
                <w:color w:val="000000"/>
              </w:rPr>
            </w:pPr>
            <w:r w:rsidRPr="002772D2">
              <w:rPr>
                <w:rFonts w:cs="Arial"/>
                <w:b/>
                <w:color w:val="000000"/>
              </w:rPr>
              <w:t>2016</w:t>
            </w:r>
          </w:p>
        </w:tc>
        <w:tc>
          <w:tcPr>
            <w:tcW w:w="1560" w:type="dxa"/>
          </w:tcPr>
          <w:p w14:paraId="7D9A6CAA" w14:textId="77777777" w:rsidR="002772D2" w:rsidRPr="002772D2" w:rsidRDefault="002772D2">
            <w:pPr>
              <w:suppressAutoHyphens/>
              <w:spacing w:before="40" w:after="40" w:line="200" w:lineRule="atLeast"/>
              <w:rPr>
                <w:rFonts w:cs="Arial"/>
              </w:rPr>
            </w:pPr>
            <w:r w:rsidRPr="002772D2">
              <w:rPr>
                <w:rFonts w:cs="Arial"/>
              </w:rPr>
              <w:t xml:space="preserve">PACT </w:t>
            </w:r>
          </w:p>
          <w:p w14:paraId="2847B297" w14:textId="77777777" w:rsidR="002772D2" w:rsidRPr="002772D2" w:rsidRDefault="002772D2">
            <w:pPr>
              <w:suppressAutoHyphens/>
              <w:spacing w:before="40" w:after="40" w:line="200" w:lineRule="atLeast"/>
              <w:rPr>
                <w:rFonts w:cs="Arial"/>
              </w:rPr>
            </w:pPr>
            <w:r w:rsidRPr="002772D2">
              <w:rPr>
                <w:rFonts w:cs="Arial"/>
              </w:rPr>
              <w:t>(n=77)</w:t>
            </w:r>
          </w:p>
        </w:tc>
        <w:tc>
          <w:tcPr>
            <w:tcW w:w="1394" w:type="dxa"/>
          </w:tcPr>
          <w:p w14:paraId="619B15DB" w14:textId="77777777" w:rsidR="002772D2" w:rsidRPr="002772D2" w:rsidRDefault="002772D2">
            <w:pPr>
              <w:suppressAutoHyphens/>
              <w:spacing w:before="40" w:after="40" w:line="200" w:lineRule="atLeast"/>
              <w:rPr>
                <w:rFonts w:cs="Arial"/>
              </w:rPr>
            </w:pPr>
            <w:r w:rsidRPr="002772D2">
              <w:rPr>
                <w:rFonts w:cs="Arial"/>
              </w:rPr>
              <w:t xml:space="preserve">TAU </w:t>
            </w:r>
          </w:p>
          <w:p w14:paraId="15A26BF2" w14:textId="77777777" w:rsidR="002772D2" w:rsidRPr="002772D2" w:rsidRDefault="002772D2">
            <w:pPr>
              <w:suppressAutoHyphens/>
              <w:spacing w:before="40" w:after="40" w:line="200" w:lineRule="atLeast"/>
              <w:rPr>
                <w:rFonts w:cs="Arial"/>
              </w:rPr>
            </w:pPr>
            <w:r w:rsidRPr="002772D2">
              <w:rPr>
                <w:rFonts w:cs="Arial"/>
              </w:rPr>
              <w:t>(n=75)</w:t>
            </w:r>
          </w:p>
        </w:tc>
        <w:tc>
          <w:tcPr>
            <w:tcW w:w="1739" w:type="dxa"/>
          </w:tcPr>
          <w:p w14:paraId="1313E049" w14:textId="77777777" w:rsidR="002772D2" w:rsidRPr="002772D2" w:rsidRDefault="002772D2">
            <w:pPr>
              <w:suppressAutoHyphens/>
              <w:spacing w:before="40" w:after="40" w:line="200" w:lineRule="atLeast"/>
              <w:rPr>
                <w:rFonts w:cs="Arial"/>
              </w:rPr>
            </w:pPr>
            <w:r w:rsidRPr="002772D2">
              <w:rPr>
                <w:rFonts w:cs="Arial"/>
              </w:rPr>
              <w:t>Autism Diagnostic Observation Schedule (ADOS)</w:t>
            </w:r>
          </w:p>
        </w:tc>
        <w:tc>
          <w:tcPr>
            <w:tcW w:w="2678" w:type="dxa"/>
          </w:tcPr>
          <w:p w14:paraId="7C8FFAED" w14:textId="77777777" w:rsidR="002772D2" w:rsidRPr="002772D2" w:rsidRDefault="002772D2">
            <w:pPr>
              <w:spacing w:after="0"/>
              <w:rPr>
                <w:rFonts w:cs="Arial"/>
                <w:color w:val="FF0000"/>
              </w:rPr>
            </w:pPr>
            <w:r w:rsidRPr="002772D2">
              <w:rPr>
                <w:rFonts w:cs="Arial"/>
                <w:color w:val="000000"/>
              </w:rPr>
              <w:t xml:space="preserve">baseline;  </w:t>
            </w:r>
          </w:p>
          <w:p w14:paraId="3A9A4EF5" w14:textId="77777777" w:rsidR="002772D2" w:rsidRPr="002772D2" w:rsidRDefault="002772D2">
            <w:pPr>
              <w:spacing w:after="0"/>
              <w:rPr>
                <w:rFonts w:cs="Arial"/>
              </w:rPr>
            </w:pPr>
            <w:r w:rsidRPr="002772D2">
              <w:rPr>
                <w:rFonts w:cs="Arial"/>
              </w:rPr>
              <w:t xml:space="preserve">Post-intervention; </w:t>
            </w:r>
          </w:p>
          <w:p w14:paraId="4CD3E665" w14:textId="77777777" w:rsidR="002772D2" w:rsidRPr="002772D2" w:rsidRDefault="002772D2">
            <w:pPr>
              <w:spacing w:after="0"/>
              <w:rPr>
                <w:rFonts w:cs="Arial"/>
                <w:color w:val="000000"/>
              </w:rPr>
            </w:pPr>
            <w:r w:rsidRPr="002772D2">
              <w:rPr>
                <w:rFonts w:cs="Arial"/>
                <w:color w:val="000000"/>
              </w:rPr>
              <w:t>Follow up (6 years)</w:t>
            </w:r>
          </w:p>
          <w:p w14:paraId="783A7EEA" w14:textId="77777777" w:rsidR="002772D2" w:rsidRPr="002772D2" w:rsidRDefault="002772D2">
            <w:pPr>
              <w:suppressAutoHyphens/>
              <w:spacing w:before="40" w:after="40" w:line="200" w:lineRule="atLeast"/>
              <w:rPr>
                <w:rFonts w:cs="Arial"/>
              </w:rPr>
            </w:pPr>
          </w:p>
        </w:tc>
        <w:tc>
          <w:tcPr>
            <w:tcW w:w="5245" w:type="dxa"/>
            <w:gridSpan w:val="2"/>
          </w:tcPr>
          <w:p w14:paraId="7723C91F" w14:textId="77777777" w:rsidR="002772D2" w:rsidRPr="002772D2" w:rsidRDefault="002772D2">
            <w:pPr>
              <w:spacing w:after="0"/>
              <w:rPr>
                <w:rFonts w:cs="Arial"/>
              </w:rPr>
            </w:pPr>
            <w:r w:rsidRPr="002772D2">
              <w:rPr>
                <w:rFonts w:cs="Arial"/>
              </w:rPr>
              <w:t>Evidence of decreased autism severity scores over time for PACT group.</w:t>
            </w:r>
          </w:p>
        </w:tc>
      </w:tr>
      <w:tr w:rsidR="002772D2" w:rsidRPr="002772D2" w14:paraId="15C3034D" w14:textId="77777777">
        <w:trPr>
          <w:gridAfter w:val="1"/>
          <w:cnfStyle w:val="000000010000" w:firstRow="0" w:lastRow="0" w:firstColumn="0" w:lastColumn="0" w:oddVBand="0" w:evenVBand="0" w:oddHBand="0" w:evenHBand="1" w:firstRowFirstColumn="0" w:firstRowLastColumn="0" w:lastRowFirstColumn="0" w:lastRowLastColumn="0"/>
          <w:wAfter w:w="6" w:type="dxa"/>
          <w:trHeight w:val="340"/>
        </w:trPr>
        <w:tc>
          <w:tcPr>
            <w:tcW w:w="13886" w:type="dxa"/>
            <w:gridSpan w:val="6"/>
            <w:shd w:val="clear" w:color="auto" w:fill="DAE2E6"/>
          </w:tcPr>
          <w:p w14:paraId="7A7280C5" w14:textId="77777777" w:rsidR="002772D2" w:rsidRPr="002772D2" w:rsidRDefault="002772D2">
            <w:pPr>
              <w:suppressAutoHyphens/>
              <w:spacing w:before="40" w:after="40" w:line="200" w:lineRule="atLeast"/>
              <w:rPr>
                <w:rFonts w:cs="Arial"/>
              </w:rPr>
            </w:pPr>
            <w:r w:rsidRPr="002772D2">
              <w:rPr>
                <w:rFonts w:cs="Arial"/>
                <w:b/>
              </w:rPr>
              <w:t>Play and Language for Autistic Youngsters (PLAY)</w:t>
            </w:r>
          </w:p>
        </w:tc>
      </w:tr>
      <w:tr w:rsidR="002772D2" w:rsidRPr="00516643" w14:paraId="1A742E70" w14:textId="77777777">
        <w:trPr>
          <w:cnfStyle w:val="000000100000" w:firstRow="0" w:lastRow="0" w:firstColumn="0" w:lastColumn="0" w:oddVBand="0" w:evenVBand="0" w:oddHBand="1" w:evenHBand="0" w:firstRowFirstColumn="0" w:firstRowLastColumn="0" w:lastRowFirstColumn="0" w:lastRowLastColumn="0"/>
          <w:trHeight w:val="340"/>
        </w:trPr>
        <w:tc>
          <w:tcPr>
            <w:tcW w:w="1276" w:type="dxa"/>
          </w:tcPr>
          <w:p w14:paraId="75624C81" w14:textId="77777777" w:rsidR="002772D2" w:rsidRPr="002772D2" w:rsidRDefault="002772D2">
            <w:pPr>
              <w:suppressAutoHyphens/>
              <w:spacing w:before="40" w:after="40" w:line="200" w:lineRule="atLeast"/>
              <w:rPr>
                <w:rFonts w:cs="Arial"/>
                <w:b/>
              </w:rPr>
            </w:pPr>
            <w:r w:rsidRPr="002772D2">
              <w:rPr>
                <w:rFonts w:cs="Arial"/>
                <w:b/>
              </w:rPr>
              <w:t xml:space="preserve">Solomon </w:t>
            </w:r>
          </w:p>
          <w:p w14:paraId="571DDF28" w14:textId="77777777" w:rsidR="002772D2" w:rsidRPr="002772D2" w:rsidRDefault="002772D2">
            <w:pPr>
              <w:suppressAutoHyphens/>
              <w:spacing w:before="40" w:after="40" w:line="200" w:lineRule="atLeast"/>
              <w:rPr>
                <w:rFonts w:cs="Arial"/>
              </w:rPr>
            </w:pPr>
            <w:r w:rsidRPr="002772D2">
              <w:rPr>
                <w:rFonts w:cs="Arial"/>
                <w:b/>
              </w:rPr>
              <w:t>2014</w:t>
            </w:r>
          </w:p>
        </w:tc>
        <w:tc>
          <w:tcPr>
            <w:tcW w:w="1560" w:type="dxa"/>
          </w:tcPr>
          <w:p w14:paraId="3006E9C2" w14:textId="77777777" w:rsidR="002772D2" w:rsidRPr="002772D2" w:rsidRDefault="002772D2">
            <w:pPr>
              <w:suppressAutoHyphens/>
              <w:spacing w:before="40" w:after="40" w:line="200" w:lineRule="atLeast"/>
              <w:rPr>
                <w:rFonts w:cs="Arial"/>
              </w:rPr>
            </w:pPr>
            <w:r w:rsidRPr="002772D2">
              <w:rPr>
                <w:rFonts w:cs="Arial"/>
              </w:rPr>
              <w:t>PLAY (n=64)</w:t>
            </w:r>
          </w:p>
        </w:tc>
        <w:tc>
          <w:tcPr>
            <w:tcW w:w="1394" w:type="dxa"/>
          </w:tcPr>
          <w:p w14:paraId="1442845B" w14:textId="77777777" w:rsidR="002772D2" w:rsidRPr="002772D2" w:rsidRDefault="002772D2">
            <w:pPr>
              <w:suppressAutoHyphens/>
              <w:spacing w:before="40" w:after="40" w:line="200" w:lineRule="atLeast"/>
              <w:rPr>
                <w:rFonts w:cs="Arial"/>
              </w:rPr>
            </w:pPr>
            <w:r w:rsidRPr="002772D2">
              <w:rPr>
                <w:rFonts w:cs="Arial"/>
              </w:rPr>
              <w:t>SAU (n=64)</w:t>
            </w:r>
          </w:p>
        </w:tc>
        <w:tc>
          <w:tcPr>
            <w:tcW w:w="1739" w:type="dxa"/>
          </w:tcPr>
          <w:p w14:paraId="56DC5878" w14:textId="77777777" w:rsidR="002772D2" w:rsidRPr="002772D2" w:rsidRDefault="002772D2">
            <w:pPr>
              <w:suppressAutoHyphens/>
              <w:spacing w:before="40" w:after="40" w:line="200" w:lineRule="atLeast"/>
              <w:rPr>
                <w:rFonts w:cs="Arial"/>
              </w:rPr>
            </w:pPr>
            <w:r w:rsidRPr="002772D2">
              <w:rPr>
                <w:rFonts w:cs="Arial"/>
              </w:rPr>
              <w:t>Autism Diagnostic Observation Schedule (ADOS-G)</w:t>
            </w:r>
          </w:p>
        </w:tc>
        <w:tc>
          <w:tcPr>
            <w:tcW w:w="2678" w:type="dxa"/>
          </w:tcPr>
          <w:p w14:paraId="5E3AE363" w14:textId="77777777" w:rsidR="002772D2" w:rsidRPr="002772D2" w:rsidRDefault="002772D2">
            <w:pPr>
              <w:suppressAutoHyphens/>
              <w:spacing w:before="40" w:after="40" w:line="200" w:lineRule="atLeast"/>
              <w:rPr>
                <w:rFonts w:cs="Arial"/>
              </w:rPr>
            </w:pPr>
            <w:r w:rsidRPr="002772D2">
              <w:rPr>
                <w:rFonts w:cs="Arial"/>
              </w:rPr>
              <w:t>Baseline;</w:t>
            </w:r>
          </w:p>
          <w:p w14:paraId="1432271B" w14:textId="77777777" w:rsidR="002772D2" w:rsidRPr="002772D2" w:rsidRDefault="002772D2">
            <w:pPr>
              <w:suppressAutoHyphens/>
              <w:spacing w:before="40" w:after="40" w:line="200" w:lineRule="atLeast"/>
              <w:rPr>
                <w:rFonts w:cs="Arial"/>
              </w:rPr>
            </w:pPr>
            <w:r w:rsidRPr="002772D2">
              <w:rPr>
                <w:rFonts w:cs="Arial"/>
              </w:rPr>
              <w:t>Post-intervention (12 months)</w:t>
            </w:r>
          </w:p>
        </w:tc>
        <w:tc>
          <w:tcPr>
            <w:tcW w:w="5245" w:type="dxa"/>
            <w:gridSpan w:val="2"/>
          </w:tcPr>
          <w:p w14:paraId="6312FDFD" w14:textId="77777777" w:rsidR="002772D2" w:rsidRPr="002772D2" w:rsidRDefault="002772D2">
            <w:pPr>
              <w:suppressAutoHyphens/>
              <w:spacing w:before="40" w:after="40" w:line="200" w:lineRule="atLeast"/>
              <w:rPr>
                <w:rFonts w:cs="Arial"/>
              </w:rPr>
            </w:pPr>
            <w:r w:rsidRPr="002772D2">
              <w:rPr>
                <w:rFonts w:cs="Arial"/>
              </w:rPr>
              <w:t>Evidence of decreased autism diagnostic classification for PLAY group.</w:t>
            </w:r>
          </w:p>
          <w:p w14:paraId="6AA6C22D" w14:textId="77777777" w:rsidR="002772D2" w:rsidRPr="002772D2" w:rsidRDefault="002772D2">
            <w:pPr>
              <w:suppressAutoHyphens/>
              <w:spacing w:before="40" w:after="40" w:line="200" w:lineRule="atLeast"/>
              <w:rPr>
                <w:rFonts w:cs="Arial"/>
              </w:rPr>
            </w:pPr>
          </w:p>
        </w:tc>
      </w:tr>
      <w:tr w:rsidR="002772D2" w:rsidRPr="002772D2" w14:paraId="33E63558" w14:textId="77777777">
        <w:trPr>
          <w:gridAfter w:val="1"/>
          <w:cnfStyle w:val="000000010000" w:firstRow="0" w:lastRow="0" w:firstColumn="0" w:lastColumn="0" w:oddVBand="0" w:evenVBand="0" w:oddHBand="0" w:evenHBand="1" w:firstRowFirstColumn="0" w:firstRowLastColumn="0" w:lastRowFirstColumn="0" w:lastRowLastColumn="0"/>
          <w:wAfter w:w="6" w:type="dxa"/>
          <w:trHeight w:val="340"/>
        </w:trPr>
        <w:tc>
          <w:tcPr>
            <w:tcW w:w="13886" w:type="dxa"/>
            <w:gridSpan w:val="6"/>
            <w:shd w:val="clear" w:color="auto" w:fill="DAE2E6"/>
          </w:tcPr>
          <w:p w14:paraId="76263C5A" w14:textId="77777777" w:rsidR="002772D2" w:rsidRPr="002772D2" w:rsidRDefault="002772D2">
            <w:pPr>
              <w:suppressAutoHyphens/>
              <w:spacing w:before="40" w:after="40" w:line="200" w:lineRule="atLeast"/>
              <w:rPr>
                <w:rFonts w:cs="Arial"/>
              </w:rPr>
            </w:pPr>
            <w:r w:rsidRPr="002772D2">
              <w:rPr>
                <w:rFonts w:cs="Arial"/>
                <w:b/>
              </w:rPr>
              <w:t>Social Communication, Emotional Regulation, and Transactional Support (SCERTS)</w:t>
            </w:r>
          </w:p>
        </w:tc>
      </w:tr>
      <w:tr w:rsidR="002772D2" w:rsidRPr="00516643" w14:paraId="787FC491" w14:textId="77777777">
        <w:trPr>
          <w:cnfStyle w:val="000000100000" w:firstRow="0" w:lastRow="0" w:firstColumn="0" w:lastColumn="0" w:oddVBand="0" w:evenVBand="0" w:oddHBand="1" w:evenHBand="0" w:firstRowFirstColumn="0" w:firstRowLastColumn="0" w:lastRowFirstColumn="0" w:lastRowLastColumn="0"/>
          <w:trHeight w:val="340"/>
        </w:trPr>
        <w:tc>
          <w:tcPr>
            <w:tcW w:w="1276" w:type="dxa"/>
          </w:tcPr>
          <w:p w14:paraId="219932FC" w14:textId="77777777" w:rsidR="002772D2" w:rsidRPr="00516643" w:rsidRDefault="002772D2">
            <w:pPr>
              <w:suppressAutoHyphens/>
              <w:spacing w:before="40" w:after="40" w:line="200" w:lineRule="atLeast"/>
              <w:rPr>
                <w:rFonts w:ascii="Calibri" w:hAnsi="Calibri" w:cs="Calibri"/>
                <w:b/>
              </w:rPr>
            </w:pPr>
            <w:r w:rsidRPr="00516643">
              <w:rPr>
                <w:rFonts w:ascii="Calibri" w:hAnsi="Calibri" w:cs="Calibri"/>
                <w:b/>
              </w:rPr>
              <w:t xml:space="preserve">Guthrie </w:t>
            </w:r>
          </w:p>
          <w:p w14:paraId="0D45A200" w14:textId="77777777" w:rsidR="002772D2" w:rsidRPr="00516643" w:rsidRDefault="002772D2">
            <w:pPr>
              <w:suppressAutoHyphens/>
              <w:spacing w:before="40" w:after="40" w:line="200" w:lineRule="atLeast"/>
              <w:rPr>
                <w:rFonts w:ascii="Calibri" w:hAnsi="Calibri" w:cs="Calibri"/>
              </w:rPr>
            </w:pPr>
            <w:r w:rsidRPr="00516643">
              <w:rPr>
                <w:rFonts w:ascii="Calibri" w:hAnsi="Calibri" w:cs="Calibri"/>
                <w:b/>
              </w:rPr>
              <w:t>2023</w:t>
            </w:r>
          </w:p>
        </w:tc>
        <w:tc>
          <w:tcPr>
            <w:tcW w:w="1560" w:type="dxa"/>
          </w:tcPr>
          <w:p w14:paraId="4364932C" w14:textId="77777777" w:rsidR="002772D2" w:rsidRPr="002772D2" w:rsidRDefault="002772D2">
            <w:pPr>
              <w:suppressAutoHyphens/>
              <w:spacing w:before="40" w:after="40" w:line="200" w:lineRule="atLeast"/>
              <w:rPr>
                <w:rFonts w:cs="Arial"/>
              </w:rPr>
            </w:pPr>
            <w:r w:rsidRPr="002772D2">
              <w:rPr>
                <w:rFonts w:cs="Arial"/>
              </w:rPr>
              <w:t>SCERTS- Individual (n=42)</w:t>
            </w:r>
          </w:p>
        </w:tc>
        <w:tc>
          <w:tcPr>
            <w:tcW w:w="1394" w:type="dxa"/>
          </w:tcPr>
          <w:p w14:paraId="046EC92B" w14:textId="77777777" w:rsidR="002772D2" w:rsidRPr="002772D2" w:rsidRDefault="002772D2">
            <w:pPr>
              <w:suppressAutoHyphens/>
              <w:spacing w:before="40" w:after="40" w:line="200" w:lineRule="atLeast"/>
              <w:rPr>
                <w:rFonts w:cs="Arial"/>
              </w:rPr>
            </w:pPr>
            <w:r w:rsidRPr="002772D2">
              <w:rPr>
                <w:rFonts w:cs="Arial"/>
              </w:rPr>
              <w:t>SCERTS-Group (n=40)</w:t>
            </w:r>
          </w:p>
        </w:tc>
        <w:tc>
          <w:tcPr>
            <w:tcW w:w="1739" w:type="dxa"/>
          </w:tcPr>
          <w:p w14:paraId="2928235B" w14:textId="77777777" w:rsidR="002772D2" w:rsidRPr="002772D2" w:rsidRDefault="002772D2">
            <w:pPr>
              <w:suppressAutoHyphens/>
              <w:spacing w:before="40" w:after="40" w:line="200" w:lineRule="atLeast"/>
              <w:rPr>
                <w:rFonts w:cs="Arial"/>
              </w:rPr>
            </w:pPr>
            <w:r w:rsidRPr="002772D2">
              <w:rPr>
                <w:rFonts w:cs="Arial"/>
              </w:rPr>
              <w:t>Autism Diagnostic Observation Schedule (ADOS/ADOS-2)</w:t>
            </w:r>
          </w:p>
        </w:tc>
        <w:tc>
          <w:tcPr>
            <w:tcW w:w="2678" w:type="dxa"/>
          </w:tcPr>
          <w:p w14:paraId="03E11E66" w14:textId="77777777" w:rsidR="002772D2" w:rsidRPr="002772D2" w:rsidRDefault="002772D2">
            <w:pPr>
              <w:suppressAutoHyphens/>
              <w:spacing w:before="40" w:after="40" w:line="200" w:lineRule="atLeast"/>
              <w:rPr>
                <w:rFonts w:cs="Arial"/>
              </w:rPr>
            </w:pPr>
            <w:r w:rsidRPr="002772D2">
              <w:rPr>
                <w:rFonts w:cs="Arial"/>
              </w:rPr>
              <w:t xml:space="preserve">Baseline, </w:t>
            </w:r>
          </w:p>
          <w:p w14:paraId="6E57D557" w14:textId="77777777" w:rsidR="002772D2" w:rsidRPr="002772D2" w:rsidRDefault="002772D2">
            <w:pPr>
              <w:suppressAutoHyphens/>
              <w:spacing w:before="40" w:after="40" w:line="200" w:lineRule="atLeast"/>
              <w:rPr>
                <w:rFonts w:cs="Arial"/>
              </w:rPr>
            </w:pPr>
            <w:r w:rsidRPr="002772D2">
              <w:rPr>
                <w:rFonts w:cs="Arial"/>
              </w:rPr>
              <w:t>Post-intervention (9 months), Follow up (18 months)</w:t>
            </w:r>
          </w:p>
        </w:tc>
        <w:tc>
          <w:tcPr>
            <w:tcW w:w="5245" w:type="dxa"/>
            <w:gridSpan w:val="2"/>
          </w:tcPr>
          <w:p w14:paraId="3AA063D7" w14:textId="77777777" w:rsidR="002772D2" w:rsidRPr="002772D2" w:rsidRDefault="002772D2">
            <w:pPr>
              <w:spacing w:after="0"/>
              <w:rPr>
                <w:rFonts w:eastAsia="MS Mincho" w:cs="Arial"/>
                <w:bCs/>
              </w:rPr>
            </w:pPr>
            <w:r w:rsidRPr="002772D2">
              <w:rPr>
                <w:rFonts w:eastAsia="MS Mincho" w:cs="Arial"/>
                <w:bCs/>
              </w:rPr>
              <w:t xml:space="preserve">No evidence of a difference between groups for autism symptom severity (Social Affect and Restricted and Repetitive Behaviour) throughout the intervention.  </w:t>
            </w:r>
          </w:p>
          <w:p w14:paraId="362304E6" w14:textId="77777777" w:rsidR="002772D2" w:rsidRPr="002772D2" w:rsidRDefault="002772D2">
            <w:pPr>
              <w:spacing w:after="0"/>
              <w:rPr>
                <w:rFonts w:cs="Arial"/>
                <w:b/>
                <w:bCs/>
              </w:rPr>
            </w:pPr>
          </w:p>
        </w:tc>
      </w:tr>
      <w:tr w:rsidR="002772D2" w:rsidRPr="00516643" w14:paraId="64D68332" w14:textId="77777777">
        <w:trPr>
          <w:cnfStyle w:val="000000010000" w:firstRow="0" w:lastRow="0" w:firstColumn="0" w:lastColumn="0" w:oddVBand="0" w:evenVBand="0" w:oddHBand="0" w:evenHBand="1" w:firstRowFirstColumn="0" w:firstRowLastColumn="0" w:lastRowFirstColumn="0" w:lastRowLastColumn="0"/>
          <w:trHeight w:val="340"/>
        </w:trPr>
        <w:tc>
          <w:tcPr>
            <w:tcW w:w="1276" w:type="dxa"/>
          </w:tcPr>
          <w:p w14:paraId="58A4E6C9" w14:textId="77777777" w:rsidR="002772D2" w:rsidRPr="00516643" w:rsidRDefault="002772D2">
            <w:pPr>
              <w:suppressAutoHyphens/>
              <w:spacing w:before="40" w:after="40" w:line="200" w:lineRule="atLeast"/>
              <w:rPr>
                <w:rFonts w:ascii="Calibri" w:hAnsi="Calibri" w:cs="Calibri"/>
                <w:b/>
              </w:rPr>
            </w:pPr>
            <w:r w:rsidRPr="00516643">
              <w:rPr>
                <w:rFonts w:ascii="Calibri" w:hAnsi="Calibri" w:cs="Calibri"/>
                <w:b/>
              </w:rPr>
              <w:t xml:space="preserve">Wetherby </w:t>
            </w:r>
          </w:p>
          <w:p w14:paraId="49368D74" w14:textId="77777777" w:rsidR="002772D2" w:rsidRPr="00516643" w:rsidRDefault="002772D2">
            <w:pPr>
              <w:suppressAutoHyphens/>
              <w:spacing w:before="40" w:after="40" w:line="200" w:lineRule="atLeast"/>
              <w:rPr>
                <w:rFonts w:ascii="Calibri" w:hAnsi="Calibri" w:cs="Calibri"/>
                <w:b/>
              </w:rPr>
            </w:pPr>
            <w:r w:rsidRPr="00516643">
              <w:rPr>
                <w:rFonts w:ascii="Calibri" w:hAnsi="Calibri" w:cs="Calibri"/>
                <w:b/>
              </w:rPr>
              <w:t>2014</w:t>
            </w:r>
          </w:p>
        </w:tc>
        <w:tc>
          <w:tcPr>
            <w:tcW w:w="1560" w:type="dxa"/>
          </w:tcPr>
          <w:p w14:paraId="4CDD6C36" w14:textId="77777777" w:rsidR="002772D2" w:rsidRPr="002772D2" w:rsidRDefault="002772D2">
            <w:pPr>
              <w:suppressAutoHyphens/>
              <w:spacing w:before="40" w:after="40" w:line="200" w:lineRule="atLeast"/>
              <w:rPr>
                <w:rFonts w:cs="Arial"/>
              </w:rPr>
            </w:pPr>
            <w:r w:rsidRPr="002772D2">
              <w:rPr>
                <w:rFonts w:cs="Arial"/>
              </w:rPr>
              <w:t>SCERTS- Individual (n=42)</w:t>
            </w:r>
          </w:p>
        </w:tc>
        <w:tc>
          <w:tcPr>
            <w:tcW w:w="1394" w:type="dxa"/>
          </w:tcPr>
          <w:p w14:paraId="658D41FC" w14:textId="77777777" w:rsidR="002772D2" w:rsidRPr="002772D2" w:rsidRDefault="002772D2">
            <w:pPr>
              <w:suppressAutoHyphens/>
              <w:spacing w:before="40" w:after="40" w:line="200" w:lineRule="atLeast"/>
              <w:rPr>
                <w:rFonts w:cs="Arial"/>
              </w:rPr>
            </w:pPr>
            <w:r w:rsidRPr="002772D2">
              <w:rPr>
                <w:rFonts w:cs="Arial"/>
              </w:rPr>
              <w:t>SCERTS-Group (n=40)</w:t>
            </w:r>
          </w:p>
        </w:tc>
        <w:tc>
          <w:tcPr>
            <w:tcW w:w="1739" w:type="dxa"/>
          </w:tcPr>
          <w:p w14:paraId="77294FBD" w14:textId="77777777" w:rsidR="002772D2" w:rsidRPr="002772D2" w:rsidRDefault="002772D2">
            <w:pPr>
              <w:suppressAutoHyphens/>
              <w:spacing w:before="40" w:after="40" w:line="200" w:lineRule="atLeast"/>
              <w:rPr>
                <w:rFonts w:cs="Arial"/>
              </w:rPr>
            </w:pPr>
            <w:r w:rsidRPr="002772D2">
              <w:rPr>
                <w:rFonts w:cs="Arial"/>
              </w:rPr>
              <w:t>Autism Diagnostic Observation Schedule (ADOS)</w:t>
            </w:r>
          </w:p>
        </w:tc>
        <w:tc>
          <w:tcPr>
            <w:tcW w:w="2678" w:type="dxa"/>
          </w:tcPr>
          <w:p w14:paraId="06E4F4C8" w14:textId="77777777" w:rsidR="002772D2" w:rsidRPr="002772D2" w:rsidRDefault="002772D2">
            <w:pPr>
              <w:suppressAutoHyphens/>
              <w:spacing w:before="40" w:after="40" w:line="200" w:lineRule="atLeast"/>
              <w:rPr>
                <w:rFonts w:cs="Arial"/>
              </w:rPr>
            </w:pPr>
            <w:r w:rsidRPr="002772D2">
              <w:rPr>
                <w:rFonts w:cs="Arial"/>
              </w:rPr>
              <w:t xml:space="preserve">Baseline; </w:t>
            </w:r>
          </w:p>
          <w:p w14:paraId="188F5E85" w14:textId="77777777" w:rsidR="002772D2" w:rsidRPr="002772D2" w:rsidRDefault="002772D2">
            <w:pPr>
              <w:suppressAutoHyphens/>
              <w:spacing w:before="40" w:after="40" w:line="200" w:lineRule="atLeast"/>
              <w:rPr>
                <w:rFonts w:cs="Arial"/>
              </w:rPr>
            </w:pPr>
            <w:r w:rsidRPr="002772D2">
              <w:rPr>
                <w:rFonts w:cs="Arial"/>
              </w:rPr>
              <w:t>Post-intervention (9 months)</w:t>
            </w:r>
          </w:p>
        </w:tc>
        <w:tc>
          <w:tcPr>
            <w:tcW w:w="5245" w:type="dxa"/>
            <w:gridSpan w:val="2"/>
          </w:tcPr>
          <w:p w14:paraId="4F29E131" w14:textId="77777777" w:rsidR="002772D2" w:rsidRPr="002772D2" w:rsidRDefault="002772D2">
            <w:pPr>
              <w:spacing w:after="0"/>
              <w:rPr>
                <w:rFonts w:eastAsia="MS Mincho" w:cs="Arial"/>
                <w:bCs/>
              </w:rPr>
            </w:pPr>
            <w:r w:rsidRPr="002772D2">
              <w:rPr>
                <w:rFonts w:eastAsia="MS Mincho" w:cs="Arial"/>
                <w:bCs/>
              </w:rPr>
              <w:t xml:space="preserve">Both groups showed improvement in Social Affect and worsening of Restricted, Repetitive Behaviour. No evidence of a difference between groups for autism symptom severity over time.  </w:t>
            </w:r>
          </w:p>
          <w:p w14:paraId="14B0FC94" w14:textId="77777777" w:rsidR="002772D2" w:rsidRPr="002772D2" w:rsidRDefault="002772D2">
            <w:pPr>
              <w:spacing w:after="0"/>
              <w:rPr>
                <w:rFonts w:cs="Arial"/>
                <w:b/>
                <w:bCs/>
              </w:rPr>
            </w:pPr>
          </w:p>
        </w:tc>
      </w:tr>
    </w:tbl>
    <w:p w14:paraId="53382418" w14:textId="789CFD19" w:rsidR="00C42033" w:rsidRPr="001B1A8F" w:rsidRDefault="00234853" w:rsidP="009B1067">
      <w:pPr>
        <w:rPr>
          <w:rFonts w:cs="Arial"/>
          <w:color w:val="000000" w:themeColor="text1"/>
          <w:sz w:val="20"/>
          <w:szCs w:val="20"/>
          <w:lang w:val="en-US"/>
        </w:rPr>
      </w:pPr>
      <w:r w:rsidRPr="001B1A8F">
        <w:rPr>
          <w:rFonts w:cs="Arial"/>
          <w:color w:val="000000" w:themeColor="text1"/>
          <w:sz w:val="20"/>
          <w:szCs w:val="20"/>
          <w:lang w:val="en-US"/>
        </w:rPr>
        <w:t>Note: N is baseline sample size; cf = compared with; BAU = business as usual; CS = Community services; SAU = services as usual; ATM = Autism Training Modules; all other acronyms defined in the table row.</w:t>
      </w:r>
    </w:p>
    <w:p w14:paraId="2573E3DC" w14:textId="3849F4AB" w:rsidR="000E2DE9" w:rsidRPr="00B40491" w:rsidRDefault="00B40491" w:rsidP="00B40491">
      <w:pPr>
        <w:pStyle w:val="Caption"/>
        <w:keepNext/>
      </w:pPr>
      <w:bookmarkStart w:id="102" w:name="_Toc177725009"/>
      <w:bookmarkStart w:id="103" w:name="_Toc177727329"/>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11</w:t>
      </w:r>
      <w:r w:rsidR="00627239" w:rsidRPr="00B5106F">
        <w:rPr>
          <w:b/>
          <w:bCs/>
          <w:noProof/>
        </w:rPr>
        <w:fldChar w:fldCharType="end"/>
      </w:r>
      <w:r w:rsidRPr="00B5106F">
        <w:rPr>
          <w:b/>
          <w:bCs/>
        </w:rPr>
        <w:t>.</w:t>
      </w:r>
      <w:r w:rsidRPr="004C3E03">
        <w:t xml:space="preserve"> Activity-level outcomes for children</w:t>
      </w:r>
      <w:bookmarkEnd w:id="102"/>
      <w:bookmarkEnd w:id="103"/>
    </w:p>
    <w:tbl>
      <w:tblPr>
        <w:tblStyle w:val="UniofMelTable38"/>
        <w:tblpPr w:leftFromText="180" w:rightFromText="180" w:vertAnchor="text" w:tblpY="1"/>
        <w:tblOverlap w:val="never"/>
        <w:tblW w:w="13892" w:type="dxa"/>
        <w:tblLayout w:type="fixed"/>
        <w:tblLook w:val="04A0" w:firstRow="1" w:lastRow="0" w:firstColumn="1" w:lastColumn="0" w:noHBand="0" w:noVBand="1"/>
      </w:tblPr>
      <w:tblGrid>
        <w:gridCol w:w="1418"/>
        <w:gridCol w:w="1276"/>
        <w:gridCol w:w="1417"/>
        <w:gridCol w:w="1843"/>
        <w:gridCol w:w="2268"/>
        <w:gridCol w:w="5670"/>
      </w:tblGrid>
      <w:tr w:rsidR="001C7687" w:rsidRPr="001C7687" w14:paraId="0BDBE3D0" w14:textId="77777777">
        <w:trPr>
          <w:cnfStyle w:val="100000000000" w:firstRow="1" w:lastRow="0" w:firstColumn="0" w:lastColumn="0" w:oddVBand="0" w:evenVBand="0" w:oddHBand="0" w:evenHBand="0" w:firstRowFirstColumn="0" w:firstRowLastColumn="0" w:lastRowFirstColumn="0" w:lastRowLastColumn="0"/>
          <w:trHeight w:val="340"/>
        </w:trPr>
        <w:tc>
          <w:tcPr>
            <w:tcW w:w="1418" w:type="dxa"/>
            <w:shd w:val="clear" w:color="auto" w:fill="082A75"/>
          </w:tcPr>
          <w:p w14:paraId="08041417" w14:textId="77777777" w:rsidR="001C7687" w:rsidRPr="001C7687" w:rsidRDefault="001C7687">
            <w:pPr>
              <w:suppressAutoHyphens/>
              <w:spacing w:after="0"/>
              <w:rPr>
                <w:rFonts w:eastAsia="Times New Roman" w:cs="Arial"/>
                <w:b/>
                <w:color w:val="FFFFFF"/>
                <w:lang w:eastAsia="en-AU"/>
              </w:rPr>
            </w:pPr>
            <w:r w:rsidRPr="001C7687">
              <w:rPr>
                <w:rFonts w:eastAsia="Times New Roman" w:cs="Arial"/>
                <w:b/>
                <w:color w:val="FFFFFF"/>
                <w:lang w:eastAsia="en-AU"/>
              </w:rPr>
              <w:t>Author</w:t>
            </w:r>
          </w:p>
          <w:p w14:paraId="1F837D64" w14:textId="77777777" w:rsidR="001C7687" w:rsidRPr="001C7687" w:rsidRDefault="001C7687">
            <w:pPr>
              <w:suppressAutoHyphens/>
              <w:spacing w:after="0"/>
              <w:rPr>
                <w:rFonts w:eastAsia="Times New Roman" w:cs="Arial"/>
                <w:b/>
                <w:color w:val="FFFFFF"/>
                <w:lang w:eastAsia="en-AU"/>
              </w:rPr>
            </w:pPr>
            <w:r w:rsidRPr="001C7687">
              <w:rPr>
                <w:rFonts w:eastAsia="Times New Roman" w:cs="Arial"/>
                <w:b/>
                <w:color w:val="FFFFFF"/>
                <w:lang w:eastAsia="en-AU"/>
              </w:rPr>
              <w:t xml:space="preserve">Year </w:t>
            </w:r>
          </w:p>
        </w:tc>
        <w:tc>
          <w:tcPr>
            <w:tcW w:w="1276" w:type="dxa"/>
            <w:shd w:val="clear" w:color="auto" w:fill="082A75"/>
          </w:tcPr>
          <w:p w14:paraId="126E204D" w14:textId="77777777" w:rsidR="001C7687" w:rsidRPr="001C7687" w:rsidRDefault="001C7687">
            <w:pPr>
              <w:suppressAutoHyphens/>
              <w:spacing w:after="0"/>
              <w:rPr>
                <w:rFonts w:eastAsia="Times New Roman" w:cs="Arial"/>
                <w:b/>
                <w:lang w:eastAsia="en-AU"/>
              </w:rPr>
            </w:pPr>
            <w:r w:rsidRPr="001C7687">
              <w:rPr>
                <w:rFonts w:eastAsia="Times New Roman" w:cs="Arial"/>
                <w:b/>
                <w:lang w:eastAsia="en-AU"/>
              </w:rPr>
              <w:t xml:space="preserve">Intervention </w:t>
            </w:r>
          </w:p>
          <w:p w14:paraId="25D9DB94" w14:textId="77777777" w:rsidR="001C7687" w:rsidRPr="001C7687" w:rsidRDefault="001C7687">
            <w:pPr>
              <w:suppressAutoHyphens/>
              <w:spacing w:after="0"/>
              <w:ind w:right="168"/>
              <w:rPr>
                <w:rFonts w:eastAsia="Times New Roman" w:cs="Arial"/>
                <w:b/>
                <w:lang w:eastAsia="en-AU"/>
              </w:rPr>
            </w:pPr>
            <w:r w:rsidRPr="001C7687">
              <w:rPr>
                <w:rFonts w:eastAsia="Times New Roman" w:cs="Arial"/>
                <w:b/>
                <w:lang w:eastAsia="en-AU"/>
              </w:rPr>
              <w:t xml:space="preserve">in focus  </w:t>
            </w:r>
          </w:p>
        </w:tc>
        <w:tc>
          <w:tcPr>
            <w:tcW w:w="1417" w:type="dxa"/>
            <w:shd w:val="clear" w:color="auto" w:fill="082A75"/>
          </w:tcPr>
          <w:p w14:paraId="31C979AF" w14:textId="77777777" w:rsidR="001C7687" w:rsidRPr="001C7687" w:rsidRDefault="001C7687">
            <w:pPr>
              <w:suppressAutoHyphens/>
              <w:spacing w:after="0"/>
              <w:ind w:right="177"/>
              <w:rPr>
                <w:rFonts w:eastAsia="Times New Roman" w:cs="Arial"/>
                <w:b/>
                <w:lang w:eastAsia="en-AU"/>
              </w:rPr>
            </w:pPr>
            <w:r w:rsidRPr="001C7687">
              <w:rPr>
                <w:rFonts w:eastAsia="Times New Roman" w:cs="Arial"/>
                <w:b/>
                <w:lang w:eastAsia="en-AU"/>
              </w:rPr>
              <w:t xml:space="preserve">Comparison </w:t>
            </w:r>
          </w:p>
        </w:tc>
        <w:tc>
          <w:tcPr>
            <w:tcW w:w="1843" w:type="dxa"/>
            <w:shd w:val="clear" w:color="auto" w:fill="082A75"/>
          </w:tcPr>
          <w:p w14:paraId="194DFBE7" w14:textId="77777777" w:rsidR="001C7687" w:rsidRPr="001C7687" w:rsidRDefault="001C7687">
            <w:pPr>
              <w:suppressAutoHyphens/>
              <w:spacing w:after="0"/>
              <w:rPr>
                <w:rFonts w:eastAsia="Times New Roman" w:cs="Arial"/>
                <w:b/>
                <w:lang w:eastAsia="en-AU"/>
              </w:rPr>
            </w:pPr>
            <w:r w:rsidRPr="001C7687">
              <w:rPr>
                <w:rFonts w:eastAsia="Times New Roman" w:cs="Arial"/>
                <w:b/>
                <w:lang w:eastAsia="en-AU"/>
              </w:rPr>
              <w:t xml:space="preserve">Measure </w:t>
            </w:r>
          </w:p>
        </w:tc>
        <w:tc>
          <w:tcPr>
            <w:tcW w:w="2268" w:type="dxa"/>
            <w:shd w:val="clear" w:color="auto" w:fill="082A75"/>
          </w:tcPr>
          <w:p w14:paraId="5FC591C7" w14:textId="77777777" w:rsidR="001C7687" w:rsidRPr="001C7687" w:rsidRDefault="001C7687">
            <w:pPr>
              <w:suppressAutoHyphens/>
              <w:spacing w:after="0"/>
              <w:ind w:left="260" w:right="39"/>
              <w:rPr>
                <w:rFonts w:eastAsia="Times New Roman" w:cs="Arial"/>
                <w:b/>
                <w:lang w:eastAsia="en-AU"/>
              </w:rPr>
            </w:pPr>
            <w:r w:rsidRPr="001C7687">
              <w:rPr>
                <w:rFonts w:eastAsia="Times New Roman" w:cs="Arial"/>
                <w:b/>
                <w:lang w:eastAsia="en-AU"/>
              </w:rPr>
              <w:t>Timepoints</w:t>
            </w:r>
          </w:p>
        </w:tc>
        <w:tc>
          <w:tcPr>
            <w:tcW w:w="5670" w:type="dxa"/>
            <w:shd w:val="clear" w:color="auto" w:fill="082A75"/>
          </w:tcPr>
          <w:p w14:paraId="3976565C" w14:textId="77777777" w:rsidR="001C7687" w:rsidRPr="001C7687" w:rsidRDefault="001C7687">
            <w:pPr>
              <w:suppressAutoHyphens/>
              <w:spacing w:after="0"/>
              <w:rPr>
                <w:rFonts w:eastAsia="Times New Roman" w:cs="Arial"/>
                <w:b/>
                <w:lang w:eastAsia="en-AU"/>
              </w:rPr>
            </w:pPr>
            <w:r w:rsidRPr="001C7687">
              <w:rPr>
                <w:rFonts w:eastAsia="Times New Roman" w:cs="Arial"/>
                <w:b/>
                <w:lang w:eastAsia="en-AU"/>
              </w:rPr>
              <w:t xml:space="preserve">Summary of findings </w:t>
            </w:r>
          </w:p>
        </w:tc>
      </w:tr>
      <w:tr w:rsidR="001C7687" w:rsidRPr="001C7687" w14:paraId="001DF1C4"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0DBF549E" w14:textId="77777777" w:rsidR="001C7687" w:rsidRPr="001C7687" w:rsidRDefault="001C7687">
            <w:pPr>
              <w:suppressAutoHyphens/>
              <w:spacing w:after="0"/>
              <w:rPr>
                <w:rFonts w:cs="Arial"/>
              </w:rPr>
            </w:pPr>
            <w:r w:rsidRPr="001C7687">
              <w:rPr>
                <w:rFonts w:cs="Arial"/>
                <w:b/>
              </w:rPr>
              <w:t xml:space="preserve">CareToy </w:t>
            </w:r>
          </w:p>
        </w:tc>
      </w:tr>
      <w:tr w:rsidR="001C7687" w:rsidRPr="001C7687" w14:paraId="41AFB2F3"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tcPr>
          <w:p w14:paraId="17D0A0CE" w14:textId="77777777" w:rsidR="001C7687" w:rsidRPr="001C7687" w:rsidRDefault="001C7687">
            <w:pPr>
              <w:suppressAutoHyphens/>
              <w:spacing w:after="0"/>
              <w:rPr>
                <w:rFonts w:cs="Arial"/>
                <w:b/>
              </w:rPr>
            </w:pPr>
            <w:r w:rsidRPr="001C7687">
              <w:rPr>
                <w:rFonts w:cs="Arial"/>
                <w:b/>
              </w:rPr>
              <w:t xml:space="preserve">Sgandurra </w:t>
            </w:r>
          </w:p>
          <w:p w14:paraId="39B5C5F2" w14:textId="77777777" w:rsidR="001C7687" w:rsidRPr="001C7687" w:rsidRDefault="001C7687">
            <w:pPr>
              <w:suppressAutoHyphens/>
              <w:spacing w:after="0"/>
              <w:rPr>
                <w:rFonts w:cs="Arial"/>
                <w:b/>
              </w:rPr>
            </w:pPr>
            <w:r w:rsidRPr="001C7687">
              <w:rPr>
                <w:rFonts w:cs="Arial"/>
                <w:b/>
              </w:rPr>
              <w:t>2019</w:t>
            </w:r>
          </w:p>
        </w:tc>
        <w:tc>
          <w:tcPr>
            <w:tcW w:w="1276" w:type="dxa"/>
          </w:tcPr>
          <w:p w14:paraId="0D77A539" w14:textId="77777777" w:rsidR="001C7687" w:rsidRPr="001C7687" w:rsidRDefault="001C7687">
            <w:pPr>
              <w:suppressAutoHyphens/>
              <w:spacing w:after="0"/>
              <w:rPr>
                <w:rFonts w:cs="Arial"/>
              </w:rPr>
            </w:pPr>
            <w:r w:rsidRPr="001C7687">
              <w:rPr>
                <w:rFonts w:cs="Arial"/>
              </w:rPr>
              <w:t xml:space="preserve">CareToy </w:t>
            </w:r>
          </w:p>
          <w:p w14:paraId="420A2C43" w14:textId="77777777" w:rsidR="001C7687" w:rsidRPr="001C7687" w:rsidRDefault="001C7687">
            <w:pPr>
              <w:suppressAutoHyphens/>
              <w:spacing w:after="0"/>
              <w:rPr>
                <w:rFonts w:cs="Arial"/>
              </w:rPr>
            </w:pPr>
            <w:r w:rsidRPr="001C7687">
              <w:rPr>
                <w:rFonts w:cs="Arial"/>
              </w:rPr>
              <w:t>(n=24)</w:t>
            </w:r>
          </w:p>
        </w:tc>
        <w:tc>
          <w:tcPr>
            <w:tcW w:w="1417" w:type="dxa"/>
          </w:tcPr>
          <w:p w14:paraId="1B50D4CB" w14:textId="77777777" w:rsidR="001C7687" w:rsidRPr="001C7687" w:rsidRDefault="001C7687">
            <w:pPr>
              <w:suppressAutoHyphens/>
              <w:spacing w:after="0"/>
              <w:rPr>
                <w:rFonts w:cs="Arial"/>
              </w:rPr>
            </w:pPr>
            <w:r w:rsidRPr="001C7687">
              <w:rPr>
                <w:rFonts w:cs="Arial"/>
              </w:rPr>
              <w:t xml:space="preserve">SAU </w:t>
            </w:r>
          </w:p>
          <w:p w14:paraId="07002A0B" w14:textId="77777777" w:rsidR="001C7687" w:rsidRPr="001C7687" w:rsidRDefault="001C7687">
            <w:pPr>
              <w:suppressAutoHyphens/>
              <w:spacing w:after="0"/>
              <w:rPr>
                <w:rFonts w:cs="Arial"/>
              </w:rPr>
            </w:pPr>
            <w:r w:rsidRPr="001C7687">
              <w:rPr>
                <w:rFonts w:cs="Arial"/>
              </w:rPr>
              <w:t>(n=20)</w:t>
            </w:r>
          </w:p>
          <w:p w14:paraId="2C59A79D" w14:textId="77777777" w:rsidR="001C7687" w:rsidRPr="001C7687" w:rsidRDefault="001C7687">
            <w:pPr>
              <w:suppressAutoHyphens/>
              <w:spacing w:after="0"/>
              <w:ind w:left="284" w:hanging="284"/>
              <w:rPr>
                <w:rFonts w:cs="Arial"/>
              </w:rPr>
            </w:pPr>
          </w:p>
        </w:tc>
        <w:tc>
          <w:tcPr>
            <w:tcW w:w="1843" w:type="dxa"/>
          </w:tcPr>
          <w:p w14:paraId="067FEDAF" w14:textId="77777777" w:rsidR="001C7687" w:rsidRPr="001C7687" w:rsidRDefault="001C7687">
            <w:pPr>
              <w:suppressAutoHyphens/>
              <w:spacing w:after="0"/>
              <w:rPr>
                <w:rFonts w:cs="Arial"/>
              </w:rPr>
            </w:pPr>
            <w:r w:rsidRPr="001C7687">
              <w:rPr>
                <w:rFonts w:cs="Arial"/>
              </w:rPr>
              <w:t>Infant Motor Profile (IMP)</w:t>
            </w:r>
          </w:p>
        </w:tc>
        <w:tc>
          <w:tcPr>
            <w:tcW w:w="2268" w:type="dxa"/>
          </w:tcPr>
          <w:p w14:paraId="74CDF62A" w14:textId="77777777" w:rsidR="001C7687" w:rsidRPr="001C7687" w:rsidRDefault="001C7687">
            <w:pPr>
              <w:suppressAutoHyphens/>
              <w:spacing w:after="0"/>
              <w:rPr>
                <w:rFonts w:cs="Arial"/>
              </w:rPr>
            </w:pPr>
            <w:r w:rsidRPr="001C7687">
              <w:rPr>
                <w:rFonts w:cs="Arial"/>
              </w:rPr>
              <w:t>Baseline;</w:t>
            </w:r>
          </w:p>
          <w:p w14:paraId="1C698DD0" w14:textId="77777777" w:rsidR="001C7687" w:rsidRPr="001C7687" w:rsidRDefault="001C7687">
            <w:pPr>
              <w:suppressAutoHyphens/>
              <w:spacing w:after="0"/>
              <w:rPr>
                <w:rFonts w:cs="Arial"/>
              </w:rPr>
            </w:pPr>
            <w:r w:rsidRPr="001C7687">
              <w:rPr>
                <w:rFonts w:cs="Arial"/>
              </w:rPr>
              <w:t>Post-intervention;</w:t>
            </w:r>
          </w:p>
          <w:p w14:paraId="18723543" w14:textId="77777777" w:rsidR="001C7687" w:rsidRPr="001C7687" w:rsidRDefault="001C7687">
            <w:pPr>
              <w:suppressAutoHyphens/>
              <w:spacing w:after="0"/>
              <w:rPr>
                <w:rFonts w:cs="Arial"/>
              </w:rPr>
            </w:pPr>
            <w:r w:rsidRPr="001C7687">
              <w:rPr>
                <w:rFonts w:cs="Arial"/>
              </w:rPr>
              <w:t>Follow up (4 weeks)</w:t>
            </w:r>
          </w:p>
        </w:tc>
        <w:tc>
          <w:tcPr>
            <w:tcW w:w="5670" w:type="dxa"/>
          </w:tcPr>
          <w:p w14:paraId="707216DD" w14:textId="77777777" w:rsidR="001C7687" w:rsidRPr="001C7687" w:rsidRDefault="001C7687">
            <w:pPr>
              <w:suppressAutoHyphens/>
              <w:spacing w:after="0"/>
              <w:rPr>
                <w:rFonts w:cs="Arial"/>
              </w:rPr>
            </w:pPr>
            <w:r w:rsidRPr="001C7687">
              <w:rPr>
                <w:rFonts w:cs="Arial"/>
              </w:rPr>
              <w:t>Evidence of increased motor abilities post-intervention for the CareToy group.</w:t>
            </w:r>
          </w:p>
          <w:p w14:paraId="63E42015" w14:textId="77777777" w:rsidR="001C7687" w:rsidRPr="001C7687" w:rsidRDefault="001C7687">
            <w:pPr>
              <w:suppressAutoHyphens/>
              <w:spacing w:after="0"/>
              <w:rPr>
                <w:rFonts w:cs="Arial"/>
              </w:rPr>
            </w:pPr>
            <w:r w:rsidRPr="001C7687">
              <w:rPr>
                <w:rFonts w:cs="Arial"/>
              </w:rPr>
              <w:t>No evidence of a difference between groups for motor abilities at follow-up.</w:t>
            </w:r>
          </w:p>
        </w:tc>
      </w:tr>
      <w:tr w:rsidR="001C7687" w:rsidRPr="001C7687" w14:paraId="637FE5AA"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0C70EEA5" w14:textId="77777777" w:rsidR="001C7687" w:rsidRPr="001C7687" w:rsidRDefault="001C7687">
            <w:pPr>
              <w:suppressAutoHyphens/>
              <w:spacing w:after="0"/>
              <w:rPr>
                <w:rFonts w:cs="Arial"/>
              </w:rPr>
            </w:pPr>
            <w:r w:rsidRPr="001C7687">
              <w:rPr>
                <w:rFonts w:cs="Arial"/>
                <w:b/>
              </w:rPr>
              <w:t>Children in Action Motor Program for Preschoolers (CHAMPPS)</w:t>
            </w:r>
          </w:p>
        </w:tc>
      </w:tr>
      <w:tr w:rsidR="001C7687" w:rsidRPr="001C7687" w14:paraId="1E7977DB"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3C9A8DAA" w14:textId="77777777" w:rsidR="001C7687" w:rsidRPr="001C7687" w:rsidRDefault="001C7687">
            <w:pPr>
              <w:suppressAutoHyphens/>
              <w:spacing w:after="0"/>
              <w:rPr>
                <w:rFonts w:cs="Arial"/>
                <w:b/>
              </w:rPr>
            </w:pPr>
            <w:r w:rsidRPr="001C7687">
              <w:rPr>
                <w:rFonts w:cs="Arial"/>
                <w:b/>
              </w:rPr>
              <w:t xml:space="preserve">Ostrosky </w:t>
            </w:r>
          </w:p>
          <w:p w14:paraId="1039839C" w14:textId="77777777" w:rsidR="001C7687" w:rsidRPr="001C7687" w:rsidRDefault="001C7687">
            <w:pPr>
              <w:suppressAutoHyphens/>
              <w:spacing w:after="0"/>
              <w:rPr>
                <w:rFonts w:cs="Arial"/>
              </w:rPr>
            </w:pPr>
            <w:r w:rsidRPr="001C7687">
              <w:rPr>
                <w:rFonts w:cs="Arial"/>
                <w:b/>
              </w:rPr>
              <w:t>2024</w:t>
            </w:r>
          </w:p>
        </w:tc>
        <w:tc>
          <w:tcPr>
            <w:tcW w:w="1276" w:type="dxa"/>
            <w:vMerge w:val="restart"/>
          </w:tcPr>
          <w:p w14:paraId="097AAAC7" w14:textId="77777777" w:rsidR="001C7687" w:rsidRPr="001C7687" w:rsidRDefault="001C7687">
            <w:pPr>
              <w:suppressAutoHyphens/>
              <w:spacing w:after="0"/>
              <w:rPr>
                <w:rFonts w:cs="Arial"/>
              </w:rPr>
            </w:pPr>
            <w:r w:rsidRPr="001C7687">
              <w:rPr>
                <w:rFonts w:cs="Arial"/>
              </w:rPr>
              <w:t xml:space="preserve">CHAMPPS </w:t>
            </w:r>
          </w:p>
          <w:p w14:paraId="41F64320" w14:textId="77777777" w:rsidR="001C7687" w:rsidRPr="001C7687" w:rsidRDefault="001C7687">
            <w:pPr>
              <w:suppressAutoHyphens/>
              <w:spacing w:after="0"/>
              <w:rPr>
                <w:rFonts w:cs="Arial"/>
              </w:rPr>
            </w:pPr>
            <w:r w:rsidRPr="001C7687">
              <w:rPr>
                <w:rFonts w:cs="Arial"/>
              </w:rPr>
              <w:t>(n=29)</w:t>
            </w:r>
          </w:p>
        </w:tc>
        <w:tc>
          <w:tcPr>
            <w:tcW w:w="1417" w:type="dxa"/>
            <w:vMerge w:val="restart"/>
          </w:tcPr>
          <w:p w14:paraId="1F79EA42" w14:textId="77777777" w:rsidR="001C7687" w:rsidRPr="001C7687" w:rsidRDefault="001C7687">
            <w:pPr>
              <w:suppressAutoHyphens/>
              <w:spacing w:after="0"/>
              <w:ind w:left="284" w:hanging="284"/>
              <w:rPr>
                <w:rFonts w:cs="Arial"/>
              </w:rPr>
            </w:pPr>
            <w:r w:rsidRPr="001C7687">
              <w:rPr>
                <w:rFonts w:cs="Arial"/>
              </w:rPr>
              <w:t>Control</w:t>
            </w:r>
          </w:p>
          <w:p w14:paraId="231CB255" w14:textId="77777777" w:rsidR="001C7687" w:rsidRPr="001C7687" w:rsidRDefault="001C7687">
            <w:pPr>
              <w:suppressAutoHyphens/>
              <w:spacing w:after="0"/>
              <w:ind w:left="284" w:hanging="284"/>
              <w:rPr>
                <w:rFonts w:cs="Arial"/>
              </w:rPr>
            </w:pPr>
            <w:r w:rsidRPr="001C7687">
              <w:rPr>
                <w:rFonts w:cs="Arial"/>
              </w:rPr>
              <w:t>(n=22)</w:t>
            </w:r>
          </w:p>
        </w:tc>
        <w:tc>
          <w:tcPr>
            <w:tcW w:w="1843" w:type="dxa"/>
          </w:tcPr>
          <w:p w14:paraId="1EF21DE1" w14:textId="77777777" w:rsidR="001C7687" w:rsidRPr="001C7687" w:rsidRDefault="001C7687">
            <w:pPr>
              <w:suppressAutoHyphens/>
              <w:spacing w:after="0"/>
              <w:rPr>
                <w:rFonts w:cs="Arial"/>
              </w:rPr>
            </w:pPr>
            <w:r w:rsidRPr="001C7687">
              <w:rPr>
                <w:rFonts w:cs="Arial"/>
              </w:rPr>
              <w:t xml:space="preserve">Social Skills Improvement System Rating Scales (SSIS-RS) </w:t>
            </w:r>
          </w:p>
        </w:tc>
        <w:tc>
          <w:tcPr>
            <w:tcW w:w="2268" w:type="dxa"/>
          </w:tcPr>
          <w:p w14:paraId="497100A7" w14:textId="77777777" w:rsidR="001C7687" w:rsidRPr="001C7687" w:rsidRDefault="001C7687">
            <w:pPr>
              <w:suppressAutoHyphens/>
              <w:spacing w:after="0"/>
              <w:rPr>
                <w:rFonts w:cs="Arial"/>
              </w:rPr>
            </w:pPr>
            <w:r w:rsidRPr="001C7687">
              <w:rPr>
                <w:rFonts w:cs="Arial"/>
              </w:rPr>
              <w:t xml:space="preserve">Baseline; </w:t>
            </w:r>
          </w:p>
          <w:p w14:paraId="0F32DE30" w14:textId="77777777" w:rsidR="001C7687" w:rsidRPr="001C7687" w:rsidRDefault="001C7687">
            <w:pPr>
              <w:suppressAutoHyphens/>
              <w:spacing w:after="0"/>
              <w:rPr>
                <w:rFonts w:cs="Arial"/>
              </w:rPr>
            </w:pPr>
            <w:r w:rsidRPr="001C7687">
              <w:rPr>
                <w:rFonts w:cs="Arial"/>
              </w:rPr>
              <w:t xml:space="preserve">Post-intervention </w:t>
            </w:r>
          </w:p>
        </w:tc>
        <w:tc>
          <w:tcPr>
            <w:tcW w:w="5670" w:type="dxa"/>
          </w:tcPr>
          <w:p w14:paraId="2D8290E9" w14:textId="77777777" w:rsidR="001C7687" w:rsidRPr="001C7687" w:rsidRDefault="001C7687">
            <w:pPr>
              <w:suppressAutoHyphens/>
              <w:spacing w:after="0"/>
              <w:rPr>
                <w:rFonts w:cs="Arial"/>
              </w:rPr>
            </w:pPr>
            <w:r w:rsidRPr="001C7687">
              <w:rPr>
                <w:rFonts w:cs="Arial"/>
              </w:rPr>
              <w:t xml:space="preserve">Both groups of children made significant improvements in social skills, specific to each group (CHAMPSS: empathy, engagement, self-control, and bullying behaviour, and overall; Control: assertion and overall). </w:t>
            </w:r>
          </w:p>
          <w:p w14:paraId="04FDFA56" w14:textId="77777777" w:rsidR="001C7687" w:rsidRPr="001C7687" w:rsidRDefault="001C7687">
            <w:pPr>
              <w:suppressAutoHyphens/>
              <w:spacing w:after="0"/>
              <w:rPr>
                <w:rFonts w:cs="Arial"/>
              </w:rPr>
            </w:pPr>
            <w:r w:rsidRPr="001C7687">
              <w:rPr>
                <w:rFonts w:cs="Arial"/>
              </w:rPr>
              <w:t xml:space="preserve">No between group data was presented. </w:t>
            </w:r>
          </w:p>
        </w:tc>
      </w:tr>
      <w:tr w:rsidR="001C7687" w:rsidRPr="001C7687" w14:paraId="7206334D"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34F7D265" w14:textId="77777777" w:rsidR="001C7687" w:rsidRPr="001C7687" w:rsidRDefault="001C7687">
            <w:pPr>
              <w:suppressAutoHyphens/>
              <w:spacing w:after="0"/>
              <w:rPr>
                <w:rFonts w:cs="Arial"/>
              </w:rPr>
            </w:pPr>
          </w:p>
        </w:tc>
        <w:tc>
          <w:tcPr>
            <w:tcW w:w="1276" w:type="dxa"/>
            <w:vMerge/>
          </w:tcPr>
          <w:p w14:paraId="224F2B42" w14:textId="77777777" w:rsidR="001C7687" w:rsidRPr="001C7687" w:rsidRDefault="001C7687">
            <w:pPr>
              <w:suppressAutoHyphens/>
              <w:spacing w:after="0"/>
              <w:rPr>
                <w:rFonts w:cs="Arial"/>
              </w:rPr>
            </w:pPr>
          </w:p>
        </w:tc>
        <w:tc>
          <w:tcPr>
            <w:tcW w:w="1417" w:type="dxa"/>
            <w:vMerge/>
          </w:tcPr>
          <w:p w14:paraId="523B5027" w14:textId="77777777" w:rsidR="001C7687" w:rsidRPr="001C7687" w:rsidRDefault="001C7687">
            <w:pPr>
              <w:suppressAutoHyphens/>
              <w:spacing w:after="0"/>
              <w:ind w:left="284" w:hanging="284"/>
              <w:rPr>
                <w:rFonts w:cs="Arial"/>
              </w:rPr>
            </w:pPr>
          </w:p>
        </w:tc>
        <w:tc>
          <w:tcPr>
            <w:tcW w:w="1843" w:type="dxa"/>
          </w:tcPr>
          <w:p w14:paraId="487EC574" w14:textId="77777777" w:rsidR="001C7687" w:rsidRPr="001C7687" w:rsidRDefault="001C7687">
            <w:pPr>
              <w:suppressAutoHyphens/>
              <w:spacing w:after="0"/>
              <w:rPr>
                <w:rFonts w:cs="Arial"/>
              </w:rPr>
            </w:pPr>
            <w:r w:rsidRPr="001C7687">
              <w:rPr>
                <w:rFonts w:cs="Arial"/>
              </w:rPr>
              <w:t>Test of Gross Motor Development 2 (TGMD-2)</w:t>
            </w:r>
          </w:p>
        </w:tc>
        <w:tc>
          <w:tcPr>
            <w:tcW w:w="2268" w:type="dxa"/>
          </w:tcPr>
          <w:p w14:paraId="4269D273"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70BB6169" w14:textId="77777777" w:rsidR="001C7687" w:rsidRPr="001C7687" w:rsidRDefault="001C7687">
            <w:pPr>
              <w:suppressAutoHyphens/>
              <w:spacing w:after="0"/>
              <w:rPr>
                <w:rFonts w:cs="Arial"/>
              </w:rPr>
            </w:pPr>
            <w:r w:rsidRPr="001C7687">
              <w:rPr>
                <w:rFonts w:cs="Arial"/>
              </w:rPr>
              <w:t>Evidence of increased gross motor skills post-intervention for the CHAMPPS group.</w:t>
            </w:r>
          </w:p>
          <w:p w14:paraId="5F94FEF7" w14:textId="77777777" w:rsidR="001C7687" w:rsidRPr="001C7687" w:rsidRDefault="001C7687">
            <w:pPr>
              <w:suppressAutoHyphens/>
              <w:spacing w:after="0"/>
              <w:rPr>
                <w:rFonts w:cs="Arial"/>
              </w:rPr>
            </w:pPr>
            <w:r w:rsidRPr="001C7687">
              <w:rPr>
                <w:rFonts w:cs="Arial"/>
              </w:rPr>
              <w:t xml:space="preserve"> </w:t>
            </w:r>
          </w:p>
        </w:tc>
      </w:tr>
      <w:tr w:rsidR="001C7687" w:rsidRPr="001C7687" w14:paraId="3E9A218C" w14:textId="77777777">
        <w:trPr>
          <w:cnfStyle w:val="000000010000" w:firstRow="0" w:lastRow="0" w:firstColumn="0" w:lastColumn="0" w:oddVBand="0" w:evenVBand="0" w:oddHBand="0" w:evenHBand="1" w:firstRowFirstColumn="0" w:firstRowLastColumn="0" w:lastRowFirstColumn="0" w:lastRowLastColumn="0"/>
          <w:trHeight w:val="340"/>
        </w:trPr>
        <w:tc>
          <w:tcPr>
            <w:tcW w:w="13892" w:type="dxa"/>
            <w:gridSpan w:val="6"/>
            <w:shd w:val="clear" w:color="auto" w:fill="DAE2E6"/>
          </w:tcPr>
          <w:p w14:paraId="72EB0E8D" w14:textId="77777777" w:rsidR="001C7687" w:rsidRPr="001C7687" w:rsidRDefault="001C7687">
            <w:pPr>
              <w:suppressAutoHyphens/>
              <w:spacing w:after="0"/>
              <w:rPr>
                <w:rFonts w:cs="Arial"/>
              </w:rPr>
            </w:pPr>
            <w:r w:rsidRPr="001C7687">
              <w:rPr>
                <w:rFonts w:cs="Arial"/>
                <w:b/>
              </w:rPr>
              <w:t>COPing with and CAring for Infants with Special Needs (COPCA)</w:t>
            </w:r>
          </w:p>
        </w:tc>
      </w:tr>
      <w:tr w:rsidR="001C7687" w:rsidRPr="001C7687" w14:paraId="42742508"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val="restart"/>
          </w:tcPr>
          <w:p w14:paraId="3A05C81C" w14:textId="77777777" w:rsidR="001C7687" w:rsidRPr="001C7687" w:rsidRDefault="001C7687">
            <w:pPr>
              <w:suppressAutoHyphens/>
              <w:spacing w:after="0"/>
              <w:rPr>
                <w:rFonts w:cs="Arial"/>
                <w:b/>
              </w:rPr>
            </w:pPr>
            <w:r w:rsidRPr="001C7687">
              <w:rPr>
                <w:rFonts w:cs="Arial"/>
                <w:b/>
              </w:rPr>
              <w:t xml:space="preserve">Hielkema </w:t>
            </w:r>
          </w:p>
          <w:p w14:paraId="0ADAA242" w14:textId="77777777" w:rsidR="001C7687" w:rsidRPr="001C7687" w:rsidRDefault="001C7687">
            <w:pPr>
              <w:suppressAutoHyphens/>
              <w:spacing w:after="0"/>
              <w:rPr>
                <w:rFonts w:cs="Arial"/>
              </w:rPr>
            </w:pPr>
            <w:r w:rsidRPr="001C7687">
              <w:rPr>
                <w:rFonts w:cs="Arial"/>
                <w:b/>
              </w:rPr>
              <w:t>2020</w:t>
            </w:r>
          </w:p>
        </w:tc>
        <w:tc>
          <w:tcPr>
            <w:tcW w:w="1276" w:type="dxa"/>
            <w:vMerge w:val="restart"/>
          </w:tcPr>
          <w:p w14:paraId="008F676B" w14:textId="77777777" w:rsidR="001C7687" w:rsidRPr="001C7687" w:rsidRDefault="001C7687">
            <w:pPr>
              <w:suppressAutoHyphens/>
              <w:spacing w:after="0"/>
              <w:rPr>
                <w:rFonts w:cs="Arial"/>
              </w:rPr>
            </w:pPr>
            <w:r w:rsidRPr="001C7687">
              <w:rPr>
                <w:rFonts w:cs="Arial"/>
              </w:rPr>
              <w:t>COPCA (n=23)</w:t>
            </w:r>
          </w:p>
        </w:tc>
        <w:tc>
          <w:tcPr>
            <w:tcW w:w="1417" w:type="dxa"/>
            <w:vMerge w:val="restart"/>
          </w:tcPr>
          <w:p w14:paraId="187F1225" w14:textId="77777777" w:rsidR="001C7687" w:rsidRPr="001C7687" w:rsidRDefault="001C7687">
            <w:pPr>
              <w:suppressAutoHyphens/>
              <w:spacing w:after="0"/>
              <w:ind w:left="284" w:hanging="284"/>
              <w:rPr>
                <w:rFonts w:cs="Arial"/>
              </w:rPr>
            </w:pPr>
            <w:r w:rsidRPr="001C7687">
              <w:rPr>
                <w:rFonts w:cs="Arial"/>
              </w:rPr>
              <w:t>SIP</w:t>
            </w:r>
          </w:p>
          <w:p w14:paraId="5DE7D79A" w14:textId="77777777" w:rsidR="001C7687" w:rsidRPr="001C7687" w:rsidRDefault="001C7687">
            <w:pPr>
              <w:suppressAutoHyphens/>
              <w:spacing w:after="0"/>
              <w:ind w:left="284" w:hanging="284"/>
              <w:rPr>
                <w:rFonts w:cs="Arial"/>
              </w:rPr>
            </w:pPr>
            <w:r w:rsidRPr="001C7687">
              <w:rPr>
                <w:rFonts w:cs="Arial"/>
              </w:rPr>
              <w:t>(n=20)</w:t>
            </w:r>
          </w:p>
        </w:tc>
        <w:tc>
          <w:tcPr>
            <w:tcW w:w="1843" w:type="dxa"/>
          </w:tcPr>
          <w:p w14:paraId="22472333" w14:textId="77777777" w:rsidR="001C7687" w:rsidRPr="001C7687" w:rsidRDefault="001C7687">
            <w:pPr>
              <w:suppressAutoHyphens/>
              <w:spacing w:after="0"/>
              <w:rPr>
                <w:rFonts w:cs="Arial"/>
              </w:rPr>
            </w:pPr>
            <w:r w:rsidRPr="001C7687">
              <w:rPr>
                <w:rFonts w:eastAsia="Calibri" w:cs="Arial"/>
                <w:color w:val="000000"/>
              </w:rPr>
              <w:t>Vineland Adaptive Behaviour Scale</w:t>
            </w:r>
            <w:r w:rsidRPr="001C7687">
              <w:rPr>
                <w:rFonts w:eastAsia="Calibri" w:cs="Arial"/>
              </w:rPr>
              <w:t xml:space="preserve"> (</w:t>
            </w:r>
            <w:r w:rsidRPr="001C7687">
              <w:rPr>
                <w:rFonts w:cs="Arial"/>
              </w:rPr>
              <w:t>VABS),</w:t>
            </w:r>
          </w:p>
        </w:tc>
        <w:tc>
          <w:tcPr>
            <w:tcW w:w="2268" w:type="dxa"/>
          </w:tcPr>
          <w:p w14:paraId="1E1E1B25" w14:textId="77777777" w:rsidR="001C7687" w:rsidRPr="001C7687" w:rsidRDefault="001C7687">
            <w:pPr>
              <w:suppressAutoHyphens/>
              <w:spacing w:after="0"/>
              <w:rPr>
                <w:rFonts w:cs="Arial"/>
              </w:rPr>
            </w:pPr>
            <w:r w:rsidRPr="001C7687">
              <w:rPr>
                <w:rFonts w:cs="Arial"/>
              </w:rPr>
              <w:t xml:space="preserve">Baseline </w:t>
            </w:r>
          </w:p>
          <w:p w14:paraId="04041617" w14:textId="77777777" w:rsidR="001C7687" w:rsidRPr="001C7687" w:rsidRDefault="001C7687">
            <w:pPr>
              <w:suppressAutoHyphens/>
              <w:spacing w:after="0"/>
              <w:rPr>
                <w:rFonts w:cs="Arial"/>
              </w:rPr>
            </w:pPr>
            <w:r w:rsidRPr="001C7687">
              <w:rPr>
                <w:rFonts w:cs="Arial"/>
              </w:rPr>
              <w:t>Post-intervention (6 months);</w:t>
            </w:r>
          </w:p>
          <w:p w14:paraId="2BD013F3" w14:textId="77777777" w:rsidR="001C7687" w:rsidRPr="001C7687" w:rsidRDefault="001C7687">
            <w:pPr>
              <w:suppressAutoHyphens/>
              <w:spacing w:after="0"/>
              <w:rPr>
                <w:rFonts w:cs="Arial"/>
              </w:rPr>
            </w:pPr>
            <w:r w:rsidRPr="001C7687">
              <w:rPr>
                <w:rFonts w:cs="Arial"/>
              </w:rPr>
              <w:t>Follow up (12 months)</w:t>
            </w:r>
          </w:p>
        </w:tc>
        <w:tc>
          <w:tcPr>
            <w:tcW w:w="5670" w:type="dxa"/>
            <w:vMerge w:val="restart"/>
          </w:tcPr>
          <w:p w14:paraId="689A0F77" w14:textId="77777777" w:rsidR="001C7687" w:rsidRPr="001C7687" w:rsidRDefault="001C7687">
            <w:pPr>
              <w:spacing w:after="0"/>
              <w:rPr>
                <w:rFonts w:cs="Arial"/>
              </w:rPr>
            </w:pPr>
            <w:r w:rsidRPr="001C7687">
              <w:rPr>
                <w:rFonts w:cs="Arial"/>
              </w:rPr>
              <w:t xml:space="preserve">Evidence of increased adaptive behaviour, functional capabilities and performance in both groups over time, with </w:t>
            </w:r>
            <w:r w:rsidRPr="001C7687" w:rsidDel="00FE7FE5">
              <w:rPr>
                <w:rFonts w:cs="Arial"/>
              </w:rPr>
              <w:t>no</w:t>
            </w:r>
            <w:r w:rsidRPr="001C7687">
              <w:rPr>
                <w:rFonts w:cs="Arial"/>
              </w:rPr>
              <w:t xml:space="preserve"> differences between </w:t>
            </w:r>
            <w:r w:rsidRPr="001C7687" w:rsidDel="00FE7FE5">
              <w:rPr>
                <w:rFonts w:cs="Arial"/>
              </w:rPr>
              <w:t>groups</w:t>
            </w:r>
            <w:r w:rsidRPr="001C7687">
              <w:rPr>
                <w:rFonts w:cs="Arial"/>
              </w:rPr>
              <w:t xml:space="preserve">. </w:t>
            </w:r>
          </w:p>
          <w:p w14:paraId="79503F4A" w14:textId="77777777" w:rsidR="001C7687" w:rsidRPr="001C7687" w:rsidRDefault="001C7687">
            <w:pPr>
              <w:spacing w:after="0"/>
              <w:rPr>
                <w:rFonts w:cs="Arial"/>
              </w:rPr>
            </w:pPr>
          </w:p>
          <w:p w14:paraId="1698EBC7" w14:textId="77777777" w:rsidR="001C7687" w:rsidRPr="001C7687" w:rsidRDefault="001C7687">
            <w:pPr>
              <w:suppressAutoHyphens/>
              <w:spacing w:after="0"/>
              <w:rPr>
                <w:rFonts w:cs="Arial"/>
              </w:rPr>
            </w:pPr>
          </w:p>
          <w:p w14:paraId="0399E85F" w14:textId="77777777" w:rsidR="001C7687" w:rsidRPr="001C7687" w:rsidRDefault="001C7687">
            <w:pPr>
              <w:suppressAutoHyphens/>
              <w:spacing w:after="0"/>
              <w:rPr>
                <w:rFonts w:cs="Arial"/>
              </w:rPr>
            </w:pPr>
          </w:p>
        </w:tc>
      </w:tr>
      <w:tr w:rsidR="001C7687" w:rsidRPr="001C7687" w14:paraId="7FC1F29C"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7CBD774C" w14:textId="77777777" w:rsidR="001C7687" w:rsidRPr="001C7687" w:rsidRDefault="001C7687">
            <w:pPr>
              <w:suppressAutoHyphens/>
              <w:spacing w:after="0"/>
              <w:rPr>
                <w:rFonts w:cs="Arial"/>
                <w:b/>
              </w:rPr>
            </w:pPr>
          </w:p>
        </w:tc>
        <w:tc>
          <w:tcPr>
            <w:tcW w:w="1276" w:type="dxa"/>
            <w:vMerge/>
          </w:tcPr>
          <w:p w14:paraId="0B96A52F" w14:textId="77777777" w:rsidR="001C7687" w:rsidRPr="001C7687" w:rsidRDefault="001C7687">
            <w:pPr>
              <w:suppressAutoHyphens/>
              <w:spacing w:after="0"/>
              <w:rPr>
                <w:rFonts w:cs="Arial"/>
              </w:rPr>
            </w:pPr>
          </w:p>
        </w:tc>
        <w:tc>
          <w:tcPr>
            <w:tcW w:w="1417" w:type="dxa"/>
            <w:vMerge/>
          </w:tcPr>
          <w:p w14:paraId="2D4BB83E" w14:textId="77777777" w:rsidR="001C7687" w:rsidRPr="001C7687" w:rsidRDefault="001C7687">
            <w:pPr>
              <w:suppressAutoHyphens/>
              <w:spacing w:after="0"/>
              <w:ind w:left="284" w:hanging="284"/>
              <w:rPr>
                <w:rFonts w:cs="Arial"/>
              </w:rPr>
            </w:pPr>
          </w:p>
        </w:tc>
        <w:tc>
          <w:tcPr>
            <w:tcW w:w="1843" w:type="dxa"/>
          </w:tcPr>
          <w:p w14:paraId="687FECDA" w14:textId="77777777" w:rsidR="001C7687" w:rsidRDefault="001C7687" w:rsidP="000660C3">
            <w:pPr>
              <w:suppressAutoHyphens/>
              <w:spacing w:after="0"/>
              <w:rPr>
                <w:rFonts w:cs="Arial"/>
              </w:rPr>
            </w:pPr>
            <w:r w:rsidRPr="001C7687">
              <w:rPr>
                <w:rFonts w:cs="Arial"/>
              </w:rPr>
              <w:t>Pediatric Evaluation of Disability Index (PEDI)</w:t>
            </w:r>
          </w:p>
          <w:p w14:paraId="4CE7F6E4" w14:textId="77777777" w:rsidR="001C7687" w:rsidRPr="001C7687" w:rsidRDefault="001C7687">
            <w:pPr>
              <w:suppressAutoHyphens/>
              <w:spacing w:after="0"/>
              <w:rPr>
                <w:rFonts w:eastAsia="Calibri" w:cs="Arial"/>
                <w:color w:val="000000"/>
              </w:rPr>
            </w:pPr>
          </w:p>
        </w:tc>
        <w:tc>
          <w:tcPr>
            <w:tcW w:w="2268" w:type="dxa"/>
          </w:tcPr>
          <w:p w14:paraId="79F776E5" w14:textId="77777777" w:rsidR="001C7687" w:rsidRPr="001C7687" w:rsidRDefault="001C7687">
            <w:pPr>
              <w:suppressAutoHyphens/>
              <w:spacing w:after="0"/>
              <w:rPr>
                <w:rFonts w:cs="Arial"/>
              </w:rPr>
            </w:pPr>
            <w:r w:rsidRPr="001C7687">
              <w:rPr>
                <w:rFonts w:cs="Arial"/>
              </w:rPr>
              <w:t xml:space="preserve">As above </w:t>
            </w:r>
          </w:p>
        </w:tc>
        <w:tc>
          <w:tcPr>
            <w:tcW w:w="5670" w:type="dxa"/>
            <w:vMerge/>
          </w:tcPr>
          <w:p w14:paraId="259928E0" w14:textId="77777777" w:rsidR="001C7687" w:rsidRPr="001C7687" w:rsidRDefault="001C7687">
            <w:pPr>
              <w:spacing w:after="0"/>
              <w:rPr>
                <w:rFonts w:cs="Arial"/>
              </w:rPr>
            </w:pPr>
          </w:p>
        </w:tc>
      </w:tr>
      <w:tr w:rsidR="001C7687" w:rsidRPr="001C7687" w14:paraId="6C81CEEE"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4E8557B0" w14:textId="77777777" w:rsidR="001C7687" w:rsidRPr="001C7687" w:rsidRDefault="001C7687">
            <w:pPr>
              <w:suppressAutoHyphens/>
              <w:spacing w:after="0"/>
              <w:rPr>
                <w:rFonts w:cs="Arial"/>
              </w:rPr>
            </w:pPr>
            <w:r w:rsidRPr="001C7687">
              <w:rPr>
                <w:rFonts w:cs="Arial"/>
                <w:b/>
              </w:rPr>
              <w:t>Early Achievements for Child Care Providers (EA-CP) – book sharing approach</w:t>
            </w:r>
          </w:p>
        </w:tc>
      </w:tr>
      <w:tr w:rsidR="001C7687" w:rsidRPr="001C7687" w14:paraId="2498A25E"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4AEC720D" w14:textId="77777777" w:rsidR="001C7687" w:rsidRPr="001C7687" w:rsidRDefault="001C7687">
            <w:pPr>
              <w:suppressAutoHyphens/>
              <w:spacing w:after="0"/>
              <w:rPr>
                <w:rFonts w:cs="Arial"/>
                <w:b/>
              </w:rPr>
            </w:pPr>
            <w:r w:rsidRPr="001C7687">
              <w:rPr>
                <w:rFonts w:cs="Arial"/>
                <w:b/>
              </w:rPr>
              <w:t xml:space="preserve">Feuerstein </w:t>
            </w:r>
          </w:p>
          <w:p w14:paraId="6BE044A5" w14:textId="77777777" w:rsidR="001C7687" w:rsidRPr="001C7687" w:rsidRDefault="001C7687">
            <w:pPr>
              <w:suppressAutoHyphens/>
              <w:spacing w:after="0"/>
              <w:rPr>
                <w:rFonts w:cs="Arial"/>
                <w:b/>
              </w:rPr>
            </w:pPr>
            <w:r w:rsidRPr="001C7687">
              <w:rPr>
                <w:rFonts w:cs="Arial"/>
                <w:b/>
              </w:rPr>
              <w:t>2020</w:t>
            </w:r>
          </w:p>
        </w:tc>
        <w:tc>
          <w:tcPr>
            <w:tcW w:w="1276" w:type="dxa"/>
            <w:vMerge w:val="restart"/>
          </w:tcPr>
          <w:p w14:paraId="15B66BAD" w14:textId="77777777" w:rsidR="001C7687" w:rsidRPr="001C7687" w:rsidRDefault="001C7687">
            <w:pPr>
              <w:suppressAutoHyphens/>
              <w:spacing w:after="0"/>
              <w:rPr>
                <w:rFonts w:cs="Arial"/>
              </w:rPr>
            </w:pPr>
            <w:r w:rsidRPr="001C7687">
              <w:rPr>
                <w:rFonts w:cs="Arial"/>
              </w:rPr>
              <w:t xml:space="preserve">EA-CP </w:t>
            </w:r>
          </w:p>
          <w:p w14:paraId="124D7762" w14:textId="77777777" w:rsidR="001C7687" w:rsidRPr="001C7687" w:rsidRDefault="001C7687">
            <w:pPr>
              <w:suppressAutoHyphens/>
              <w:spacing w:after="0"/>
              <w:rPr>
                <w:rFonts w:cs="Arial"/>
              </w:rPr>
            </w:pPr>
            <w:r w:rsidRPr="001C7687">
              <w:rPr>
                <w:rFonts w:cs="Arial"/>
              </w:rPr>
              <w:t>(n=24)</w:t>
            </w:r>
          </w:p>
        </w:tc>
        <w:tc>
          <w:tcPr>
            <w:tcW w:w="1417" w:type="dxa"/>
            <w:vMerge w:val="restart"/>
          </w:tcPr>
          <w:p w14:paraId="40E9B288" w14:textId="77777777" w:rsidR="001C7687" w:rsidRPr="001C7687" w:rsidRDefault="001C7687">
            <w:pPr>
              <w:suppressAutoHyphens/>
              <w:spacing w:after="0"/>
              <w:rPr>
                <w:rFonts w:cs="Arial"/>
              </w:rPr>
            </w:pPr>
            <w:r w:rsidRPr="001C7687">
              <w:rPr>
                <w:rFonts w:cs="Arial"/>
              </w:rPr>
              <w:t xml:space="preserve">SAU </w:t>
            </w:r>
          </w:p>
          <w:p w14:paraId="6072F3A1" w14:textId="77777777" w:rsidR="001C7687" w:rsidRPr="001C7687" w:rsidRDefault="001C7687">
            <w:pPr>
              <w:suppressAutoHyphens/>
              <w:spacing w:after="0"/>
              <w:rPr>
                <w:rFonts w:cs="Arial"/>
              </w:rPr>
            </w:pPr>
            <w:r w:rsidRPr="001C7687">
              <w:rPr>
                <w:rFonts w:cs="Arial"/>
              </w:rPr>
              <w:t>(n=22)</w:t>
            </w:r>
          </w:p>
        </w:tc>
        <w:tc>
          <w:tcPr>
            <w:tcW w:w="1843" w:type="dxa"/>
          </w:tcPr>
          <w:p w14:paraId="34F95ABB" w14:textId="77777777" w:rsidR="001C7687" w:rsidRPr="001C7687" w:rsidRDefault="001C7687">
            <w:pPr>
              <w:suppressAutoHyphens/>
              <w:spacing w:after="0"/>
              <w:rPr>
                <w:rFonts w:cs="Arial"/>
              </w:rPr>
            </w:pPr>
            <w:r w:rsidRPr="001C7687">
              <w:rPr>
                <w:rFonts w:eastAsia="Calibri" w:cs="Arial"/>
              </w:rPr>
              <w:t>Mullen Scales of Early Learning (</w:t>
            </w:r>
            <w:r w:rsidRPr="001C7687">
              <w:rPr>
                <w:rFonts w:cs="Arial"/>
              </w:rPr>
              <w:t>MSEL)</w:t>
            </w:r>
          </w:p>
        </w:tc>
        <w:tc>
          <w:tcPr>
            <w:tcW w:w="2268" w:type="dxa"/>
          </w:tcPr>
          <w:p w14:paraId="5D1A7958" w14:textId="77777777" w:rsidR="001C7687" w:rsidRPr="001C7687" w:rsidRDefault="001C7687">
            <w:pPr>
              <w:suppressAutoHyphens/>
              <w:spacing w:after="0"/>
              <w:rPr>
                <w:rFonts w:cs="Arial"/>
              </w:rPr>
            </w:pPr>
            <w:r w:rsidRPr="001C7687">
              <w:rPr>
                <w:rFonts w:cs="Arial"/>
              </w:rPr>
              <w:t>Baseline; post-intervention</w:t>
            </w:r>
          </w:p>
        </w:tc>
        <w:tc>
          <w:tcPr>
            <w:tcW w:w="5670" w:type="dxa"/>
          </w:tcPr>
          <w:p w14:paraId="5BAE14C3" w14:textId="77777777" w:rsidR="001C7687" w:rsidRPr="001C7687" w:rsidRDefault="001C7687">
            <w:pPr>
              <w:spacing w:after="0"/>
              <w:rPr>
                <w:rFonts w:cs="Arial"/>
              </w:rPr>
            </w:pPr>
            <w:r w:rsidRPr="001C7687">
              <w:rPr>
                <w:rFonts w:cs="Arial"/>
              </w:rPr>
              <w:t>Evidence of significant effect of time for child development, but no significant interaction between time and group.</w:t>
            </w:r>
          </w:p>
          <w:p w14:paraId="405F56FB" w14:textId="77777777" w:rsidR="001C7687" w:rsidRPr="001C7687" w:rsidRDefault="001C7687">
            <w:pPr>
              <w:suppressAutoHyphens/>
              <w:spacing w:after="0"/>
              <w:rPr>
                <w:rFonts w:cs="Arial"/>
              </w:rPr>
            </w:pPr>
          </w:p>
        </w:tc>
      </w:tr>
      <w:tr w:rsidR="001C7687" w:rsidRPr="001C7687" w14:paraId="418C299D"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0E99B90F" w14:textId="77777777" w:rsidR="001C7687" w:rsidRPr="001C7687" w:rsidRDefault="001C7687">
            <w:pPr>
              <w:suppressAutoHyphens/>
              <w:spacing w:after="0"/>
              <w:rPr>
                <w:rFonts w:cs="Arial"/>
                <w:b/>
              </w:rPr>
            </w:pPr>
          </w:p>
        </w:tc>
        <w:tc>
          <w:tcPr>
            <w:tcW w:w="1276" w:type="dxa"/>
            <w:vMerge/>
          </w:tcPr>
          <w:p w14:paraId="3A5D1DCF" w14:textId="77777777" w:rsidR="001C7687" w:rsidRPr="001C7687" w:rsidRDefault="001C7687">
            <w:pPr>
              <w:suppressAutoHyphens/>
              <w:spacing w:after="0"/>
              <w:rPr>
                <w:rFonts w:cs="Arial"/>
              </w:rPr>
            </w:pPr>
          </w:p>
        </w:tc>
        <w:tc>
          <w:tcPr>
            <w:tcW w:w="1417" w:type="dxa"/>
            <w:vMerge/>
          </w:tcPr>
          <w:p w14:paraId="214D723B" w14:textId="77777777" w:rsidR="001C7687" w:rsidRPr="001C7687" w:rsidRDefault="001C7687">
            <w:pPr>
              <w:suppressAutoHyphens/>
              <w:spacing w:after="0"/>
              <w:rPr>
                <w:rFonts w:cs="Arial"/>
              </w:rPr>
            </w:pPr>
          </w:p>
        </w:tc>
        <w:tc>
          <w:tcPr>
            <w:tcW w:w="1843" w:type="dxa"/>
          </w:tcPr>
          <w:p w14:paraId="332407B8" w14:textId="77777777" w:rsidR="001C7687" w:rsidRPr="001C7687" w:rsidRDefault="001C7687">
            <w:pPr>
              <w:suppressAutoHyphens/>
              <w:spacing w:after="0"/>
              <w:rPr>
                <w:rFonts w:cs="Arial"/>
              </w:rPr>
            </w:pPr>
            <w:r w:rsidRPr="001C7687">
              <w:rPr>
                <w:rFonts w:cs="Arial"/>
              </w:rPr>
              <w:t>Social Communication Assessment in Book Sharing (SABS)</w:t>
            </w:r>
          </w:p>
        </w:tc>
        <w:tc>
          <w:tcPr>
            <w:tcW w:w="2268" w:type="dxa"/>
          </w:tcPr>
          <w:p w14:paraId="0848DFDC" w14:textId="77777777" w:rsidR="001C7687" w:rsidRPr="001C7687" w:rsidRDefault="001C7687">
            <w:pPr>
              <w:suppressAutoHyphens/>
              <w:spacing w:after="0"/>
              <w:rPr>
                <w:rFonts w:cs="Arial"/>
              </w:rPr>
            </w:pPr>
            <w:r w:rsidRPr="001C7687">
              <w:rPr>
                <w:rFonts w:cs="Arial"/>
              </w:rPr>
              <w:t xml:space="preserve">Baseline; </w:t>
            </w:r>
          </w:p>
          <w:p w14:paraId="6EC0AF5F" w14:textId="77777777" w:rsidR="001C7687" w:rsidRPr="001C7687" w:rsidRDefault="001C7687">
            <w:pPr>
              <w:suppressAutoHyphens/>
              <w:spacing w:after="0"/>
              <w:rPr>
                <w:rFonts w:cs="Arial"/>
              </w:rPr>
            </w:pPr>
            <w:r w:rsidRPr="001C7687">
              <w:rPr>
                <w:rFonts w:cs="Arial"/>
              </w:rPr>
              <w:t>Post-intervention</w:t>
            </w:r>
          </w:p>
        </w:tc>
        <w:tc>
          <w:tcPr>
            <w:tcW w:w="5670" w:type="dxa"/>
          </w:tcPr>
          <w:p w14:paraId="7114AF0B" w14:textId="77777777" w:rsidR="001C7687" w:rsidRPr="001C7687" w:rsidRDefault="001C7687">
            <w:pPr>
              <w:spacing w:after="0"/>
              <w:rPr>
                <w:rFonts w:cs="Arial"/>
              </w:rPr>
            </w:pPr>
            <w:r w:rsidRPr="001C7687">
              <w:rPr>
                <w:rFonts w:cs="Arial"/>
              </w:rPr>
              <w:t xml:space="preserve">Evidence of increased social communication over time for the EA-CP group. </w:t>
            </w:r>
          </w:p>
        </w:tc>
      </w:tr>
      <w:tr w:rsidR="001C7687" w:rsidRPr="001C7687" w14:paraId="680DF7BC"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3925462D" w14:textId="77777777" w:rsidR="001C7687" w:rsidRPr="001C7687" w:rsidRDefault="001C7687">
            <w:pPr>
              <w:suppressAutoHyphens/>
              <w:spacing w:after="0"/>
              <w:rPr>
                <w:rFonts w:cs="Arial"/>
                <w:b/>
              </w:rPr>
            </w:pPr>
            <w:r w:rsidRPr="001C7687">
              <w:rPr>
                <w:rFonts w:cs="Arial"/>
                <w:b/>
              </w:rPr>
              <w:t xml:space="preserve">Landa </w:t>
            </w:r>
          </w:p>
          <w:p w14:paraId="6601F387" w14:textId="77777777" w:rsidR="001C7687" w:rsidRPr="001C7687" w:rsidRDefault="001C7687">
            <w:pPr>
              <w:suppressAutoHyphens/>
              <w:spacing w:after="0"/>
              <w:rPr>
                <w:rFonts w:cs="Arial"/>
                <w:b/>
              </w:rPr>
            </w:pPr>
            <w:r w:rsidRPr="001C7687">
              <w:rPr>
                <w:rFonts w:cs="Arial"/>
                <w:b/>
              </w:rPr>
              <w:t>2024</w:t>
            </w:r>
          </w:p>
        </w:tc>
        <w:tc>
          <w:tcPr>
            <w:tcW w:w="1276" w:type="dxa"/>
            <w:vMerge w:val="restart"/>
          </w:tcPr>
          <w:p w14:paraId="73E8714F" w14:textId="77777777" w:rsidR="001C7687" w:rsidRPr="001C7687" w:rsidRDefault="001C7687">
            <w:pPr>
              <w:suppressAutoHyphens/>
              <w:spacing w:after="0"/>
              <w:rPr>
                <w:rFonts w:cs="Arial"/>
              </w:rPr>
            </w:pPr>
            <w:r w:rsidRPr="001C7687">
              <w:rPr>
                <w:rFonts w:cs="Arial"/>
              </w:rPr>
              <w:t xml:space="preserve">EA-CP </w:t>
            </w:r>
          </w:p>
          <w:p w14:paraId="374FD9C9" w14:textId="77777777" w:rsidR="001C7687" w:rsidRPr="001C7687" w:rsidRDefault="001C7687">
            <w:pPr>
              <w:suppressAutoHyphens/>
              <w:spacing w:after="0"/>
              <w:rPr>
                <w:rFonts w:cs="Arial"/>
              </w:rPr>
            </w:pPr>
            <w:r w:rsidRPr="001C7687">
              <w:rPr>
                <w:rFonts w:cs="Arial"/>
              </w:rPr>
              <w:t>(n=55)</w:t>
            </w:r>
          </w:p>
        </w:tc>
        <w:tc>
          <w:tcPr>
            <w:tcW w:w="1417" w:type="dxa"/>
            <w:vMerge w:val="restart"/>
          </w:tcPr>
          <w:p w14:paraId="0D62D80D" w14:textId="77777777" w:rsidR="001C7687" w:rsidRPr="001C7687" w:rsidRDefault="001C7687">
            <w:pPr>
              <w:suppressAutoHyphens/>
              <w:spacing w:after="0"/>
              <w:rPr>
                <w:rFonts w:cs="Arial"/>
              </w:rPr>
            </w:pPr>
            <w:r w:rsidRPr="001C7687">
              <w:rPr>
                <w:rFonts w:cs="Arial"/>
              </w:rPr>
              <w:t xml:space="preserve">BAU </w:t>
            </w:r>
          </w:p>
          <w:p w14:paraId="24073102" w14:textId="77777777" w:rsidR="001C7687" w:rsidRPr="001C7687" w:rsidRDefault="001C7687">
            <w:pPr>
              <w:suppressAutoHyphens/>
              <w:spacing w:after="0"/>
              <w:rPr>
                <w:rFonts w:cs="Arial"/>
              </w:rPr>
            </w:pPr>
            <w:r w:rsidRPr="001C7687">
              <w:rPr>
                <w:rFonts w:cs="Arial"/>
              </w:rPr>
              <w:t>(n=60)</w:t>
            </w:r>
          </w:p>
        </w:tc>
        <w:tc>
          <w:tcPr>
            <w:tcW w:w="1843" w:type="dxa"/>
          </w:tcPr>
          <w:p w14:paraId="42EFDBBD" w14:textId="77777777" w:rsidR="001C7687" w:rsidRPr="001C7687" w:rsidRDefault="001C7687">
            <w:pPr>
              <w:suppressAutoHyphens/>
              <w:spacing w:after="0"/>
              <w:rPr>
                <w:rFonts w:cs="Arial"/>
              </w:rPr>
            </w:pPr>
            <w:r w:rsidRPr="001C7687">
              <w:rPr>
                <w:rFonts w:cs="Arial"/>
              </w:rPr>
              <w:t>Social Communication Assessment in Book Sharing (SABS)</w:t>
            </w:r>
          </w:p>
        </w:tc>
        <w:tc>
          <w:tcPr>
            <w:tcW w:w="2268" w:type="dxa"/>
          </w:tcPr>
          <w:p w14:paraId="06CDBC7A" w14:textId="77777777" w:rsidR="001C7687" w:rsidRPr="001C7687" w:rsidRDefault="001C7687">
            <w:pPr>
              <w:suppressAutoHyphens/>
              <w:spacing w:after="0"/>
              <w:rPr>
                <w:rFonts w:cs="Arial"/>
              </w:rPr>
            </w:pPr>
            <w:r w:rsidRPr="001C7687">
              <w:rPr>
                <w:rFonts w:cs="Arial"/>
              </w:rPr>
              <w:t xml:space="preserve">Baseline; </w:t>
            </w:r>
          </w:p>
          <w:p w14:paraId="1DC44D7E" w14:textId="77777777" w:rsidR="001C7687" w:rsidRPr="001C7687" w:rsidRDefault="001C7687">
            <w:pPr>
              <w:suppressAutoHyphens/>
              <w:spacing w:after="0"/>
              <w:rPr>
                <w:rFonts w:cs="Arial"/>
              </w:rPr>
            </w:pPr>
            <w:r w:rsidRPr="001C7687">
              <w:rPr>
                <w:rFonts w:cs="Arial"/>
              </w:rPr>
              <w:t>Post-intervention</w:t>
            </w:r>
          </w:p>
        </w:tc>
        <w:tc>
          <w:tcPr>
            <w:tcW w:w="5670" w:type="dxa"/>
          </w:tcPr>
          <w:p w14:paraId="0EDDA4F5" w14:textId="77777777" w:rsidR="001C7687" w:rsidRPr="001C7687" w:rsidRDefault="001C7687">
            <w:pPr>
              <w:suppressAutoHyphens/>
              <w:spacing w:after="0"/>
              <w:rPr>
                <w:rFonts w:cs="Arial"/>
              </w:rPr>
            </w:pPr>
            <w:r w:rsidRPr="001C7687">
              <w:rPr>
                <w:rFonts w:cs="Arial"/>
              </w:rPr>
              <w:t>No evidence of a difference between groups in social communication throughout the intervention period. The result was the same, regardless of whether the children with and without delay were analysed as one or two separate groups.</w:t>
            </w:r>
          </w:p>
        </w:tc>
      </w:tr>
      <w:tr w:rsidR="001C7687" w:rsidRPr="001C7687" w14:paraId="31567AC6"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7AE5D1FE" w14:textId="77777777" w:rsidR="001C7687" w:rsidRPr="001C7687" w:rsidRDefault="001C7687">
            <w:pPr>
              <w:suppressAutoHyphens/>
              <w:spacing w:after="0"/>
              <w:rPr>
                <w:rFonts w:cs="Arial"/>
              </w:rPr>
            </w:pPr>
          </w:p>
        </w:tc>
        <w:tc>
          <w:tcPr>
            <w:tcW w:w="1276" w:type="dxa"/>
            <w:vMerge/>
          </w:tcPr>
          <w:p w14:paraId="5DB5F049" w14:textId="77777777" w:rsidR="001C7687" w:rsidRPr="001C7687" w:rsidRDefault="001C7687">
            <w:pPr>
              <w:suppressAutoHyphens/>
              <w:spacing w:after="0"/>
              <w:rPr>
                <w:rFonts w:cs="Arial"/>
              </w:rPr>
            </w:pPr>
          </w:p>
        </w:tc>
        <w:tc>
          <w:tcPr>
            <w:tcW w:w="1417" w:type="dxa"/>
            <w:vMerge/>
          </w:tcPr>
          <w:p w14:paraId="27D019D5" w14:textId="77777777" w:rsidR="001C7687" w:rsidRPr="001C7687" w:rsidRDefault="001C7687">
            <w:pPr>
              <w:suppressAutoHyphens/>
              <w:spacing w:after="0"/>
              <w:rPr>
                <w:rFonts w:cs="Arial"/>
              </w:rPr>
            </w:pPr>
          </w:p>
        </w:tc>
        <w:tc>
          <w:tcPr>
            <w:tcW w:w="1843" w:type="dxa"/>
          </w:tcPr>
          <w:p w14:paraId="757BB6C6" w14:textId="77777777" w:rsidR="001C7687" w:rsidRPr="001C7687" w:rsidRDefault="001C7687">
            <w:pPr>
              <w:suppressAutoHyphens/>
              <w:spacing w:after="0"/>
              <w:rPr>
                <w:rFonts w:cs="Arial"/>
              </w:rPr>
            </w:pPr>
            <w:r w:rsidRPr="001C7687">
              <w:rPr>
                <w:rFonts w:cs="Arial"/>
              </w:rPr>
              <w:t>Expressive Vocabulary Assessment (EVA)</w:t>
            </w:r>
          </w:p>
        </w:tc>
        <w:tc>
          <w:tcPr>
            <w:tcW w:w="2268" w:type="dxa"/>
          </w:tcPr>
          <w:p w14:paraId="261FC530"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2BDC94A3" w14:textId="77777777" w:rsidR="001C7687" w:rsidRPr="001C7687" w:rsidRDefault="001C7687">
            <w:pPr>
              <w:suppressAutoHyphens/>
              <w:spacing w:after="0"/>
              <w:rPr>
                <w:rFonts w:cs="Arial"/>
              </w:rPr>
            </w:pPr>
            <w:r w:rsidRPr="001C7687">
              <w:rPr>
                <w:rFonts w:cs="Arial"/>
              </w:rPr>
              <w:t xml:space="preserve">Evidence of increased expressive vocabulary over time for the EA-CP group, when children with and without delay were analysed together either as same group or as two separate groups. </w:t>
            </w:r>
          </w:p>
          <w:p w14:paraId="483EEEA8" w14:textId="77777777" w:rsidR="001C7687" w:rsidRPr="001C7687" w:rsidRDefault="001C7687">
            <w:pPr>
              <w:spacing w:after="0"/>
              <w:rPr>
                <w:rFonts w:cs="Arial"/>
              </w:rPr>
            </w:pPr>
          </w:p>
        </w:tc>
      </w:tr>
      <w:tr w:rsidR="001C7687" w:rsidRPr="001C7687" w14:paraId="2F295255"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5DB0CC4E" w14:textId="77777777" w:rsidR="001C7687" w:rsidRPr="001C7687" w:rsidRDefault="001C7687">
            <w:pPr>
              <w:suppressAutoHyphens/>
              <w:spacing w:after="0"/>
              <w:rPr>
                <w:rFonts w:cs="Arial"/>
              </w:rPr>
            </w:pPr>
          </w:p>
        </w:tc>
        <w:tc>
          <w:tcPr>
            <w:tcW w:w="1276" w:type="dxa"/>
            <w:vMerge/>
          </w:tcPr>
          <w:p w14:paraId="629AA606" w14:textId="77777777" w:rsidR="001C7687" w:rsidRPr="001C7687" w:rsidRDefault="001C7687">
            <w:pPr>
              <w:suppressAutoHyphens/>
              <w:spacing w:after="0"/>
              <w:rPr>
                <w:rFonts w:cs="Arial"/>
              </w:rPr>
            </w:pPr>
          </w:p>
        </w:tc>
        <w:tc>
          <w:tcPr>
            <w:tcW w:w="1417" w:type="dxa"/>
            <w:vMerge/>
          </w:tcPr>
          <w:p w14:paraId="61E01E47" w14:textId="77777777" w:rsidR="001C7687" w:rsidRPr="001C7687" w:rsidRDefault="001C7687">
            <w:pPr>
              <w:suppressAutoHyphens/>
              <w:spacing w:after="0"/>
              <w:rPr>
                <w:rFonts w:cs="Arial"/>
              </w:rPr>
            </w:pPr>
          </w:p>
        </w:tc>
        <w:tc>
          <w:tcPr>
            <w:tcW w:w="1843" w:type="dxa"/>
          </w:tcPr>
          <w:p w14:paraId="6DF66B6C" w14:textId="77777777" w:rsidR="001C7687" w:rsidRPr="001C7687" w:rsidRDefault="001C7687">
            <w:pPr>
              <w:suppressAutoHyphens/>
              <w:spacing w:after="0"/>
              <w:rPr>
                <w:rFonts w:cs="Arial"/>
              </w:rPr>
            </w:pPr>
            <w:r w:rsidRPr="001C7687">
              <w:rPr>
                <w:rFonts w:cs="Arial"/>
              </w:rPr>
              <w:t>Receptive One-word Picture Vocabulary Test (ROWPVT-4)</w:t>
            </w:r>
          </w:p>
        </w:tc>
        <w:tc>
          <w:tcPr>
            <w:tcW w:w="2268" w:type="dxa"/>
          </w:tcPr>
          <w:p w14:paraId="21840213"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605065B2" w14:textId="77777777" w:rsidR="001C7687" w:rsidRPr="001C7687" w:rsidRDefault="001C7687">
            <w:pPr>
              <w:suppressAutoHyphens/>
              <w:spacing w:after="0"/>
              <w:rPr>
                <w:rFonts w:cs="Arial"/>
              </w:rPr>
            </w:pPr>
            <w:r w:rsidRPr="001C7687">
              <w:rPr>
                <w:rFonts w:cs="Arial"/>
              </w:rPr>
              <w:t xml:space="preserve">No evidence of a difference between groups for receptive vocabulary throughout the intervention period. The result was the same, regardless of whether the children with and without delay were analysed as one or two separate groups. </w:t>
            </w:r>
          </w:p>
          <w:p w14:paraId="075A52DB" w14:textId="77777777" w:rsidR="001C7687" w:rsidRPr="001C7687" w:rsidRDefault="001C7687">
            <w:pPr>
              <w:suppressAutoHyphens/>
              <w:spacing w:after="0"/>
              <w:rPr>
                <w:rFonts w:cs="Arial"/>
              </w:rPr>
            </w:pPr>
          </w:p>
        </w:tc>
      </w:tr>
      <w:tr w:rsidR="001C7687" w:rsidRPr="001C7687" w14:paraId="756E7320"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5F485840" w14:textId="77777777" w:rsidR="001C7687" w:rsidRPr="001C7687" w:rsidRDefault="001C7687">
            <w:pPr>
              <w:suppressAutoHyphens/>
              <w:spacing w:after="0"/>
              <w:rPr>
                <w:rFonts w:cs="Arial"/>
                <w:b/>
              </w:rPr>
            </w:pPr>
            <w:r w:rsidRPr="001C7687">
              <w:rPr>
                <w:rFonts w:cs="Arial"/>
                <w:b/>
              </w:rPr>
              <w:t>Early Achievements for Education Settings (EA-ES)</w:t>
            </w:r>
          </w:p>
        </w:tc>
      </w:tr>
      <w:tr w:rsidR="001C7687" w:rsidRPr="001C7687" w14:paraId="618C3028"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294397B3" w14:textId="77777777" w:rsidR="001C7687" w:rsidRPr="001C7687" w:rsidRDefault="001C7687">
            <w:pPr>
              <w:suppressAutoHyphens/>
              <w:spacing w:after="0"/>
              <w:rPr>
                <w:rFonts w:cs="Arial"/>
                <w:b/>
              </w:rPr>
            </w:pPr>
            <w:r w:rsidRPr="001C7687">
              <w:rPr>
                <w:rFonts w:cs="Arial"/>
                <w:b/>
              </w:rPr>
              <w:t xml:space="preserve">Engelstad </w:t>
            </w:r>
          </w:p>
          <w:p w14:paraId="211F7849" w14:textId="77777777" w:rsidR="001C7687" w:rsidRPr="001C7687" w:rsidRDefault="001C7687">
            <w:pPr>
              <w:suppressAutoHyphens/>
              <w:spacing w:after="0"/>
              <w:rPr>
                <w:rFonts w:cs="Arial"/>
              </w:rPr>
            </w:pPr>
            <w:r w:rsidRPr="001C7687">
              <w:rPr>
                <w:rFonts w:cs="Arial"/>
                <w:b/>
              </w:rPr>
              <w:t>2020</w:t>
            </w:r>
          </w:p>
        </w:tc>
        <w:tc>
          <w:tcPr>
            <w:tcW w:w="1276" w:type="dxa"/>
            <w:vMerge w:val="restart"/>
          </w:tcPr>
          <w:p w14:paraId="4F563C38" w14:textId="77777777" w:rsidR="001C7687" w:rsidRPr="001C7687" w:rsidRDefault="001C7687">
            <w:pPr>
              <w:suppressAutoHyphens/>
              <w:spacing w:after="0"/>
              <w:rPr>
                <w:rFonts w:cs="Arial"/>
              </w:rPr>
            </w:pPr>
            <w:r w:rsidRPr="001C7687">
              <w:rPr>
                <w:rFonts w:cs="Arial"/>
              </w:rPr>
              <w:t xml:space="preserve">EA-ES </w:t>
            </w:r>
          </w:p>
          <w:p w14:paraId="3A5116EC" w14:textId="77777777" w:rsidR="001C7687" w:rsidRPr="001C7687" w:rsidRDefault="001C7687">
            <w:pPr>
              <w:suppressAutoHyphens/>
              <w:spacing w:after="0"/>
              <w:rPr>
                <w:rFonts w:cs="Arial"/>
              </w:rPr>
            </w:pPr>
            <w:r w:rsidRPr="001C7687">
              <w:rPr>
                <w:rFonts w:cs="Arial"/>
              </w:rPr>
              <w:t>(n=15)</w:t>
            </w:r>
          </w:p>
          <w:p w14:paraId="53E928C3" w14:textId="77777777" w:rsidR="001C7687" w:rsidRPr="001C7687" w:rsidRDefault="001C7687">
            <w:pPr>
              <w:suppressAutoHyphens/>
              <w:spacing w:after="0"/>
              <w:rPr>
                <w:rFonts w:cs="Arial"/>
              </w:rPr>
            </w:pPr>
          </w:p>
        </w:tc>
        <w:tc>
          <w:tcPr>
            <w:tcW w:w="1417" w:type="dxa"/>
            <w:vMerge w:val="restart"/>
          </w:tcPr>
          <w:p w14:paraId="32CD9031" w14:textId="77777777" w:rsidR="001C7687" w:rsidRPr="001C7687" w:rsidRDefault="001C7687">
            <w:pPr>
              <w:suppressAutoHyphens/>
              <w:spacing w:after="0"/>
              <w:rPr>
                <w:rFonts w:cs="Arial"/>
              </w:rPr>
            </w:pPr>
            <w:r w:rsidRPr="001C7687">
              <w:rPr>
                <w:rFonts w:cs="Arial"/>
              </w:rPr>
              <w:t xml:space="preserve">BAU </w:t>
            </w:r>
          </w:p>
          <w:p w14:paraId="132168FE" w14:textId="77777777" w:rsidR="001C7687" w:rsidRPr="001C7687" w:rsidRDefault="001C7687">
            <w:pPr>
              <w:suppressAutoHyphens/>
              <w:spacing w:after="0"/>
              <w:rPr>
                <w:rFonts w:cs="Arial"/>
              </w:rPr>
            </w:pPr>
            <w:r w:rsidRPr="001C7687">
              <w:rPr>
                <w:rFonts w:cs="Arial"/>
              </w:rPr>
              <w:t>(n=16)</w:t>
            </w:r>
          </w:p>
        </w:tc>
        <w:tc>
          <w:tcPr>
            <w:tcW w:w="1843" w:type="dxa"/>
          </w:tcPr>
          <w:p w14:paraId="03C58CCD" w14:textId="77777777" w:rsidR="001C7687" w:rsidRPr="001C7687" w:rsidRDefault="001C7687">
            <w:pPr>
              <w:suppressAutoHyphens/>
              <w:spacing w:after="0"/>
              <w:rPr>
                <w:rFonts w:cs="Arial"/>
              </w:rPr>
            </w:pPr>
            <w:r w:rsidRPr="001C7687">
              <w:rPr>
                <w:rFonts w:cs="Arial"/>
              </w:rPr>
              <w:t>Mullen Scales of Early Learning (MSEL)</w:t>
            </w:r>
          </w:p>
        </w:tc>
        <w:tc>
          <w:tcPr>
            <w:tcW w:w="2268" w:type="dxa"/>
          </w:tcPr>
          <w:p w14:paraId="4CB7549C" w14:textId="77777777" w:rsidR="001C7687" w:rsidRPr="001C7687" w:rsidRDefault="001C7687">
            <w:pPr>
              <w:suppressAutoHyphens/>
              <w:spacing w:after="0"/>
              <w:rPr>
                <w:rFonts w:cs="Arial"/>
              </w:rPr>
            </w:pPr>
            <w:r w:rsidRPr="001C7687">
              <w:rPr>
                <w:rFonts w:cs="Arial"/>
              </w:rPr>
              <w:t xml:space="preserve">Baseline; </w:t>
            </w:r>
          </w:p>
          <w:p w14:paraId="3035D118" w14:textId="77777777" w:rsidR="001C7687" w:rsidRPr="001C7687" w:rsidRDefault="001C7687">
            <w:pPr>
              <w:suppressAutoHyphens/>
              <w:spacing w:after="0"/>
              <w:rPr>
                <w:rFonts w:cs="Arial"/>
              </w:rPr>
            </w:pPr>
            <w:r w:rsidRPr="001C7687">
              <w:rPr>
                <w:rFonts w:cs="Arial"/>
              </w:rPr>
              <w:t>Post-intervention</w:t>
            </w:r>
          </w:p>
        </w:tc>
        <w:tc>
          <w:tcPr>
            <w:tcW w:w="5670" w:type="dxa"/>
          </w:tcPr>
          <w:p w14:paraId="1BA35931" w14:textId="77777777" w:rsidR="001C7687" w:rsidRPr="001C7687" w:rsidRDefault="001C7687">
            <w:pPr>
              <w:spacing w:after="0"/>
              <w:rPr>
                <w:rFonts w:cs="Arial"/>
              </w:rPr>
            </w:pPr>
            <w:r w:rsidRPr="001C7687">
              <w:rPr>
                <w:rFonts w:cs="Arial"/>
              </w:rPr>
              <w:t xml:space="preserve">Evidence of an increased nonverbal score for the EA-ES group when analysing the groups over time.  </w:t>
            </w:r>
          </w:p>
          <w:p w14:paraId="64A16D9D" w14:textId="77777777" w:rsidR="001C7687" w:rsidRPr="001C7687" w:rsidRDefault="001C7687">
            <w:pPr>
              <w:suppressAutoHyphens/>
              <w:spacing w:after="0"/>
              <w:rPr>
                <w:rFonts w:cs="Arial"/>
              </w:rPr>
            </w:pPr>
          </w:p>
          <w:p w14:paraId="1FF6FE72" w14:textId="77777777" w:rsidR="001C7687" w:rsidRPr="001C7687" w:rsidRDefault="001C7687">
            <w:pPr>
              <w:suppressAutoHyphens/>
              <w:spacing w:after="0"/>
              <w:rPr>
                <w:rFonts w:cs="Arial"/>
              </w:rPr>
            </w:pPr>
          </w:p>
        </w:tc>
      </w:tr>
      <w:tr w:rsidR="001C7687" w:rsidRPr="001C7687" w14:paraId="7FB5AF2B"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5A205914" w14:textId="77777777" w:rsidR="001C7687" w:rsidRPr="001C7687" w:rsidRDefault="001C7687">
            <w:pPr>
              <w:suppressAutoHyphens/>
              <w:spacing w:after="0"/>
              <w:rPr>
                <w:rFonts w:cs="Arial"/>
              </w:rPr>
            </w:pPr>
          </w:p>
        </w:tc>
        <w:tc>
          <w:tcPr>
            <w:tcW w:w="1276" w:type="dxa"/>
            <w:vMerge/>
          </w:tcPr>
          <w:p w14:paraId="26063959" w14:textId="77777777" w:rsidR="001C7687" w:rsidRPr="001C7687" w:rsidRDefault="001C7687">
            <w:pPr>
              <w:suppressAutoHyphens/>
              <w:spacing w:after="0"/>
              <w:rPr>
                <w:rFonts w:cs="Arial"/>
              </w:rPr>
            </w:pPr>
          </w:p>
        </w:tc>
        <w:tc>
          <w:tcPr>
            <w:tcW w:w="1417" w:type="dxa"/>
            <w:vMerge/>
          </w:tcPr>
          <w:p w14:paraId="57D2C015" w14:textId="77777777" w:rsidR="001C7687" w:rsidRPr="001C7687" w:rsidRDefault="001C7687">
            <w:pPr>
              <w:suppressAutoHyphens/>
              <w:spacing w:after="0"/>
              <w:rPr>
                <w:rFonts w:cs="Arial"/>
              </w:rPr>
            </w:pPr>
          </w:p>
        </w:tc>
        <w:tc>
          <w:tcPr>
            <w:tcW w:w="1843" w:type="dxa"/>
          </w:tcPr>
          <w:p w14:paraId="4B1FBAAC" w14:textId="77777777" w:rsidR="001C7687" w:rsidRPr="001C7687" w:rsidRDefault="001C7687">
            <w:pPr>
              <w:suppressAutoHyphens/>
              <w:spacing w:after="0"/>
              <w:rPr>
                <w:rFonts w:cs="Arial"/>
              </w:rPr>
            </w:pPr>
            <w:r w:rsidRPr="001C7687">
              <w:rPr>
                <w:rFonts w:cs="Arial"/>
              </w:rPr>
              <w:t>Videoed Behaviour Coding (VBC)</w:t>
            </w:r>
          </w:p>
        </w:tc>
        <w:tc>
          <w:tcPr>
            <w:tcW w:w="2268" w:type="dxa"/>
          </w:tcPr>
          <w:p w14:paraId="1B49388C" w14:textId="77777777" w:rsidR="001C7687" w:rsidRPr="001C7687" w:rsidRDefault="001C7687">
            <w:pPr>
              <w:suppressAutoHyphens/>
              <w:spacing w:after="0"/>
              <w:rPr>
                <w:rFonts w:cs="Arial"/>
              </w:rPr>
            </w:pPr>
            <w:r w:rsidRPr="001C7687">
              <w:rPr>
                <w:rFonts w:cs="Arial"/>
              </w:rPr>
              <w:t xml:space="preserve">Baseline; </w:t>
            </w:r>
          </w:p>
          <w:p w14:paraId="630B0117" w14:textId="77777777" w:rsidR="001C7687" w:rsidRPr="001C7687" w:rsidRDefault="001C7687">
            <w:pPr>
              <w:suppressAutoHyphens/>
              <w:spacing w:after="0"/>
              <w:rPr>
                <w:rFonts w:cs="Arial"/>
              </w:rPr>
            </w:pPr>
            <w:r w:rsidRPr="001C7687">
              <w:rPr>
                <w:rFonts w:cs="Arial"/>
              </w:rPr>
              <w:t xml:space="preserve">Mid-intervention; </w:t>
            </w:r>
          </w:p>
          <w:p w14:paraId="3835ABF8" w14:textId="77777777" w:rsidR="001C7687" w:rsidRPr="001C7687" w:rsidRDefault="001C7687">
            <w:pPr>
              <w:suppressAutoHyphens/>
              <w:spacing w:after="0"/>
              <w:rPr>
                <w:rFonts w:cs="Arial"/>
              </w:rPr>
            </w:pPr>
            <w:r w:rsidRPr="001C7687">
              <w:rPr>
                <w:rFonts w:cs="Arial"/>
              </w:rPr>
              <w:t>Post-intervention</w:t>
            </w:r>
          </w:p>
        </w:tc>
        <w:tc>
          <w:tcPr>
            <w:tcW w:w="5670" w:type="dxa"/>
          </w:tcPr>
          <w:p w14:paraId="7E13100C" w14:textId="77777777" w:rsidR="001C7687" w:rsidRPr="001C7687" w:rsidRDefault="001C7687">
            <w:pPr>
              <w:spacing w:after="0"/>
              <w:rPr>
                <w:rFonts w:cs="Arial"/>
              </w:rPr>
            </w:pPr>
            <w:r w:rsidRPr="001C7687">
              <w:rPr>
                <w:rFonts w:cs="Arial"/>
              </w:rPr>
              <w:t>Evidence of improvements in joint attention, gestures or spontaneous verbalisations from baseline to post-intervention within the EA-ES group.</w:t>
            </w:r>
          </w:p>
          <w:p w14:paraId="3C5B9D16" w14:textId="77777777" w:rsidR="001C7687" w:rsidRPr="001C7687" w:rsidRDefault="001C7687">
            <w:pPr>
              <w:spacing w:after="0"/>
              <w:rPr>
                <w:rFonts w:cs="Arial"/>
              </w:rPr>
            </w:pPr>
            <w:bookmarkStart w:id="104" w:name="_Hlk176186542"/>
            <w:r w:rsidRPr="001C7687">
              <w:rPr>
                <w:rFonts w:cs="Arial"/>
              </w:rPr>
              <w:t xml:space="preserve">Evidence of improvements in joint attention for the EA-ES group when analysing the groups over time.  </w:t>
            </w:r>
            <w:bookmarkEnd w:id="104"/>
          </w:p>
          <w:p w14:paraId="21A63115" w14:textId="77777777" w:rsidR="001C7687" w:rsidRPr="001C7687" w:rsidRDefault="001C7687">
            <w:pPr>
              <w:spacing w:after="0"/>
              <w:rPr>
                <w:rFonts w:cs="Arial"/>
              </w:rPr>
            </w:pPr>
            <w:r w:rsidRPr="001C7687">
              <w:rPr>
                <w:rFonts w:cs="Arial"/>
              </w:rPr>
              <w:t>No evidence of a difference in groups over time for directed gestures or spontaneous verbalisations.</w:t>
            </w:r>
          </w:p>
        </w:tc>
      </w:tr>
      <w:tr w:rsidR="001C7687" w:rsidRPr="001C7687" w14:paraId="4B82F3EB" w14:textId="77777777">
        <w:trPr>
          <w:cnfStyle w:val="000000010000" w:firstRow="0" w:lastRow="0" w:firstColumn="0" w:lastColumn="0" w:oddVBand="0" w:evenVBand="0" w:oddHBand="0" w:evenHBand="1" w:firstRowFirstColumn="0" w:firstRowLastColumn="0" w:lastRowFirstColumn="0" w:lastRowLastColumn="0"/>
          <w:trHeight w:val="340"/>
        </w:trPr>
        <w:tc>
          <w:tcPr>
            <w:tcW w:w="13892" w:type="dxa"/>
            <w:gridSpan w:val="6"/>
            <w:shd w:val="clear" w:color="auto" w:fill="DAE2E6"/>
          </w:tcPr>
          <w:p w14:paraId="780DFBD4" w14:textId="77777777" w:rsidR="001C7687" w:rsidRPr="001C7687" w:rsidRDefault="001C7687">
            <w:pPr>
              <w:suppressAutoHyphens/>
              <w:spacing w:after="0"/>
              <w:rPr>
                <w:rFonts w:cs="Arial"/>
              </w:rPr>
            </w:pPr>
            <w:r w:rsidRPr="001C7687">
              <w:rPr>
                <w:rFonts w:cs="Arial"/>
                <w:b/>
              </w:rPr>
              <w:t>Early Start Denver Model (ESDM)</w:t>
            </w:r>
          </w:p>
        </w:tc>
      </w:tr>
      <w:tr w:rsidR="001C7687" w:rsidRPr="001C7687" w14:paraId="6D6F6FB6"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tcPr>
          <w:p w14:paraId="79D45A9B" w14:textId="77777777" w:rsidR="001C7687" w:rsidRPr="001C7687" w:rsidRDefault="001C7687">
            <w:pPr>
              <w:suppressAutoHyphens/>
              <w:spacing w:after="0"/>
              <w:rPr>
                <w:rFonts w:cs="Arial"/>
                <w:b/>
              </w:rPr>
            </w:pPr>
            <w:r w:rsidRPr="001C7687">
              <w:rPr>
                <w:rFonts w:cs="Arial"/>
                <w:b/>
              </w:rPr>
              <w:t xml:space="preserve">Rogers </w:t>
            </w:r>
          </w:p>
          <w:p w14:paraId="62A4DD26" w14:textId="77777777" w:rsidR="001C7687" w:rsidRPr="001C7687" w:rsidRDefault="001C7687">
            <w:pPr>
              <w:suppressAutoHyphens/>
              <w:spacing w:after="0"/>
              <w:rPr>
                <w:rFonts w:cs="Arial"/>
              </w:rPr>
            </w:pPr>
            <w:r w:rsidRPr="001C7687">
              <w:rPr>
                <w:rFonts w:cs="Arial"/>
                <w:b/>
              </w:rPr>
              <w:t>2019b</w:t>
            </w:r>
          </w:p>
        </w:tc>
        <w:tc>
          <w:tcPr>
            <w:tcW w:w="1276" w:type="dxa"/>
          </w:tcPr>
          <w:p w14:paraId="69C4E9C5" w14:textId="77777777" w:rsidR="001C7687" w:rsidRPr="001C7687" w:rsidRDefault="001C7687">
            <w:pPr>
              <w:suppressAutoHyphens/>
              <w:spacing w:after="0"/>
              <w:rPr>
                <w:rFonts w:cs="Arial"/>
              </w:rPr>
            </w:pPr>
            <w:r w:rsidRPr="001C7687">
              <w:rPr>
                <w:rFonts w:cs="Arial"/>
              </w:rPr>
              <w:t xml:space="preserve">ESDM </w:t>
            </w:r>
          </w:p>
          <w:p w14:paraId="42492B25" w14:textId="77777777" w:rsidR="001C7687" w:rsidRPr="001C7687" w:rsidRDefault="001C7687">
            <w:pPr>
              <w:suppressAutoHyphens/>
              <w:spacing w:after="0"/>
              <w:rPr>
                <w:rFonts w:cs="Arial"/>
              </w:rPr>
            </w:pPr>
            <w:r w:rsidRPr="001C7687">
              <w:rPr>
                <w:rFonts w:cs="Arial"/>
              </w:rPr>
              <w:t>(n=55)</w:t>
            </w:r>
          </w:p>
        </w:tc>
        <w:tc>
          <w:tcPr>
            <w:tcW w:w="1417" w:type="dxa"/>
          </w:tcPr>
          <w:p w14:paraId="0C08F898" w14:textId="77777777" w:rsidR="001C7687" w:rsidRPr="001C7687" w:rsidRDefault="001C7687">
            <w:pPr>
              <w:suppressAutoHyphens/>
              <w:spacing w:after="0"/>
              <w:rPr>
                <w:rFonts w:cs="Arial"/>
              </w:rPr>
            </w:pPr>
            <w:r w:rsidRPr="001C7687">
              <w:rPr>
                <w:rFonts w:cs="Arial"/>
              </w:rPr>
              <w:t>CS (n=63)</w:t>
            </w:r>
          </w:p>
        </w:tc>
        <w:tc>
          <w:tcPr>
            <w:tcW w:w="1843" w:type="dxa"/>
          </w:tcPr>
          <w:p w14:paraId="4F35A401" w14:textId="77777777" w:rsidR="001C7687" w:rsidRPr="001C7687" w:rsidRDefault="001C7687">
            <w:pPr>
              <w:suppressAutoHyphens/>
              <w:spacing w:after="0"/>
              <w:rPr>
                <w:rFonts w:cs="Arial"/>
              </w:rPr>
            </w:pPr>
            <w:r w:rsidRPr="001C7687">
              <w:rPr>
                <w:rFonts w:eastAsia="Calibri" w:cs="Arial"/>
              </w:rPr>
              <w:t>Mullen Scales of Early Learning (</w:t>
            </w:r>
            <w:r w:rsidRPr="001C7687">
              <w:rPr>
                <w:rFonts w:cs="Arial"/>
              </w:rPr>
              <w:t xml:space="preserve">MSEL), </w:t>
            </w:r>
          </w:p>
        </w:tc>
        <w:tc>
          <w:tcPr>
            <w:tcW w:w="2268" w:type="dxa"/>
          </w:tcPr>
          <w:p w14:paraId="57E18A76" w14:textId="77777777" w:rsidR="001C7687" w:rsidRPr="001C7687" w:rsidRDefault="001C7687">
            <w:pPr>
              <w:suppressAutoHyphens/>
              <w:spacing w:after="0"/>
              <w:rPr>
                <w:rFonts w:cs="Arial"/>
              </w:rPr>
            </w:pPr>
            <w:r w:rsidRPr="001C7687">
              <w:rPr>
                <w:rFonts w:cs="Arial"/>
              </w:rPr>
              <w:t xml:space="preserve">Baseline; </w:t>
            </w:r>
          </w:p>
          <w:p w14:paraId="0289B161" w14:textId="77777777" w:rsidR="001C7687" w:rsidRPr="001C7687" w:rsidRDefault="001C7687">
            <w:pPr>
              <w:suppressAutoHyphens/>
              <w:spacing w:after="0"/>
              <w:rPr>
                <w:rFonts w:cs="Arial"/>
              </w:rPr>
            </w:pPr>
            <w:r w:rsidRPr="001C7687">
              <w:rPr>
                <w:rFonts w:cs="Arial"/>
              </w:rPr>
              <w:t xml:space="preserve">Mid-intervention (3 months); </w:t>
            </w:r>
          </w:p>
          <w:p w14:paraId="776687EA" w14:textId="77777777" w:rsidR="001C7687" w:rsidRPr="001C7687" w:rsidRDefault="001C7687">
            <w:pPr>
              <w:suppressAutoHyphens/>
              <w:spacing w:after="0"/>
              <w:rPr>
                <w:rFonts w:cs="Arial"/>
              </w:rPr>
            </w:pPr>
            <w:r w:rsidRPr="001C7687">
              <w:rPr>
                <w:rFonts w:cs="Arial"/>
              </w:rPr>
              <w:t xml:space="preserve">Mid-intervention (15 months); </w:t>
            </w:r>
          </w:p>
          <w:p w14:paraId="33790642" w14:textId="77777777" w:rsidR="001C7687" w:rsidRPr="001C7687" w:rsidRDefault="001C7687">
            <w:pPr>
              <w:suppressAutoHyphens/>
              <w:spacing w:after="0"/>
              <w:rPr>
                <w:rFonts w:cs="Arial"/>
              </w:rPr>
            </w:pPr>
            <w:r w:rsidRPr="001C7687">
              <w:rPr>
                <w:rFonts w:cs="Arial"/>
              </w:rPr>
              <w:t>Post-intervention (27 months)</w:t>
            </w:r>
          </w:p>
        </w:tc>
        <w:tc>
          <w:tcPr>
            <w:tcW w:w="5670" w:type="dxa"/>
          </w:tcPr>
          <w:p w14:paraId="44F1F21C" w14:textId="77777777" w:rsidR="001C7687" w:rsidRPr="001C7687" w:rsidRDefault="001C7687">
            <w:pPr>
              <w:suppressAutoHyphens/>
              <w:spacing w:after="0"/>
              <w:rPr>
                <w:rFonts w:cs="Arial"/>
              </w:rPr>
            </w:pPr>
            <w:r w:rsidRPr="001C7687">
              <w:rPr>
                <w:rFonts w:cs="Arial"/>
              </w:rPr>
              <w:t xml:space="preserve">Evidence of improvements in language for the ESDM group. There was also heterogeneity among sites in the effect of the ESDM intervention. </w:t>
            </w:r>
          </w:p>
          <w:p w14:paraId="10E1F7BD" w14:textId="77777777" w:rsidR="001C7687" w:rsidRPr="001C7687" w:rsidRDefault="001C7687">
            <w:pPr>
              <w:suppressAutoHyphens/>
              <w:spacing w:after="0"/>
              <w:rPr>
                <w:rFonts w:cs="Arial"/>
              </w:rPr>
            </w:pPr>
            <w:r w:rsidRPr="001C7687">
              <w:rPr>
                <w:rFonts w:cs="Arial"/>
              </w:rPr>
              <w:t>No evidence of a difference between groups for the child development outcome throughout the intervention period.</w:t>
            </w:r>
          </w:p>
          <w:p w14:paraId="47E9BFC9" w14:textId="77777777" w:rsidR="001C7687" w:rsidRPr="001C7687" w:rsidRDefault="001C7687">
            <w:pPr>
              <w:suppressAutoHyphens/>
              <w:spacing w:after="0"/>
              <w:rPr>
                <w:rFonts w:cs="Arial"/>
              </w:rPr>
            </w:pPr>
          </w:p>
        </w:tc>
      </w:tr>
      <w:tr w:rsidR="001C7687" w:rsidRPr="001C7687" w14:paraId="6AD5E7C6"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tcPr>
          <w:p w14:paraId="671D9652" w14:textId="77777777" w:rsidR="001C7687" w:rsidRPr="001C7687" w:rsidRDefault="001C7687">
            <w:pPr>
              <w:suppressAutoHyphens/>
              <w:spacing w:after="0"/>
              <w:rPr>
                <w:rFonts w:cs="Arial"/>
                <w:b/>
              </w:rPr>
            </w:pPr>
          </w:p>
        </w:tc>
        <w:tc>
          <w:tcPr>
            <w:tcW w:w="1276" w:type="dxa"/>
          </w:tcPr>
          <w:p w14:paraId="751CB5B5" w14:textId="77777777" w:rsidR="001C7687" w:rsidRPr="001C7687" w:rsidRDefault="001C7687">
            <w:pPr>
              <w:suppressAutoHyphens/>
              <w:spacing w:after="0"/>
              <w:rPr>
                <w:rFonts w:cs="Arial"/>
              </w:rPr>
            </w:pPr>
          </w:p>
        </w:tc>
        <w:tc>
          <w:tcPr>
            <w:tcW w:w="1417" w:type="dxa"/>
          </w:tcPr>
          <w:p w14:paraId="6973CC80" w14:textId="77777777" w:rsidR="001C7687" w:rsidRPr="001C7687" w:rsidRDefault="001C7687">
            <w:pPr>
              <w:suppressAutoHyphens/>
              <w:spacing w:after="0"/>
              <w:rPr>
                <w:rFonts w:cs="Arial"/>
              </w:rPr>
            </w:pPr>
          </w:p>
        </w:tc>
        <w:tc>
          <w:tcPr>
            <w:tcW w:w="1843" w:type="dxa"/>
          </w:tcPr>
          <w:p w14:paraId="1A792BFC" w14:textId="77777777" w:rsidR="001C7687" w:rsidRPr="001C7687" w:rsidRDefault="001C7687">
            <w:pPr>
              <w:suppressAutoHyphens/>
              <w:spacing w:after="0"/>
              <w:rPr>
                <w:rFonts w:eastAsia="Calibri" w:cs="Arial"/>
              </w:rPr>
            </w:pPr>
            <w:r w:rsidRPr="001C7687">
              <w:rPr>
                <w:rFonts w:cs="Arial"/>
              </w:rPr>
              <w:t>Vineland Adaptive Behaviour Scale (VABS-II)</w:t>
            </w:r>
          </w:p>
        </w:tc>
        <w:tc>
          <w:tcPr>
            <w:tcW w:w="2268" w:type="dxa"/>
          </w:tcPr>
          <w:p w14:paraId="35992216" w14:textId="77777777" w:rsidR="001C7687" w:rsidRPr="001C7687" w:rsidRDefault="001C7687">
            <w:pPr>
              <w:suppressAutoHyphens/>
              <w:spacing w:after="0"/>
              <w:rPr>
                <w:rFonts w:cs="Arial"/>
              </w:rPr>
            </w:pPr>
            <w:r w:rsidRPr="001C7687">
              <w:rPr>
                <w:rFonts w:cs="Arial"/>
              </w:rPr>
              <w:t xml:space="preserve">Baseline; </w:t>
            </w:r>
          </w:p>
          <w:p w14:paraId="4EBD8108" w14:textId="77777777" w:rsidR="001C7687" w:rsidRPr="001C7687" w:rsidRDefault="001C7687">
            <w:pPr>
              <w:suppressAutoHyphens/>
              <w:spacing w:after="0"/>
              <w:rPr>
                <w:rFonts w:cs="Arial"/>
              </w:rPr>
            </w:pPr>
            <w:r w:rsidRPr="001C7687">
              <w:rPr>
                <w:rFonts w:cs="Arial"/>
              </w:rPr>
              <w:t xml:space="preserve">Mid-intervention (3 months); </w:t>
            </w:r>
          </w:p>
          <w:p w14:paraId="570BDDFB" w14:textId="77777777" w:rsidR="001C7687" w:rsidRPr="001C7687" w:rsidRDefault="001C7687">
            <w:pPr>
              <w:suppressAutoHyphens/>
              <w:spacing w:after="0"/>
              <w:rPr>
                <w:rFonts w:cs="Arial"/>
              </w:rPr>
            </w:pPr>
            <w:r w:rsidRPr="001C7687">
              <w:rPr>
                <w:rFonts w:cs="Arial"/>
              </w:rPr>
              <w:t xml:space="preserve">Mid-intervention (15 months); </w:t>
            </w:r>
          </w:p>
          <w:p w14:paraId="7D4FCA5C" w14:textId="77777777" w:rsidR="001C7687" w:rsidRPr="001C7687" w:rsidRDefault="001C7687">
            <w:pPr>
              <w:suppressAutoHyphens/>
              <w:spacing w:after="0"/>
              <w:rPr>
                <w:rFonts w:cs="Arial"/>
              </w:rPr>
            </w:pPr>
            <w:r w:rsidRPr="001C7687">
              <w:rPr>
                <w:rFonts w:cs="Arial"/>
              </w:rPr>
              <w:t>Post-intervention (27 months)</w:t>
            </w:r>
          </w:p>
        </w:tc>
        <w:tc>
          <w:tcPr>
            <w:tcW w:w="5670" w:type="dxa"/>
          </w:tcPr>
          <w:p w14:paraId="79132600" w14:textId="77777777" w:rsidR="001C7687" w:rsidRPr="001C7687" w:rsidRDefault="001C7687">
            <w:pPr>
              <w:suppressAutoHyphens/>
              <w:spacing w:after="0"/>
              <w:rPr>
                <w:rFonts w:cs="Arial"/>
              </w:rPr>
            </w:pPr>
            <w:r w:rsidRPr="001C7687">
              <w:rPr>
                <w:rFonts w:cs="Arial"/>
              </w:rPr>
              <w:t>No evidence of a difference between groups for adaptive behaviour throughout the intervention period.</w:t>
            </w:r>
          </w:p>
          <w:p w14:paraId="6EA5D47E" w14:textId="77777777" w:rsidR="001C7687" w:rsidRPr="001C7687" w:rsidRDefault="001C7687">
            <w:pPr>
              <w:suppressAutoHyphens/>
              <w:spacing w:after="0"/>
              <w:rPr>
                <w:rFonts w:cs="Arial"/>
              </w:rPr>
            </w:pPr>
          </w:p>
        </w:tc>
      </w:tr>
      <w:tr w:rsidR="001C7687" w:rsidRPr="001C7687" w14:paraId="146A6F21"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val="restart"/>
          </w:tcPr>
          <w:p w14:paraId="2B297677" w14:textId="77777777" w:rsidR="001C7687" w:rsidRPr="001C7687" w:rsidRDefault="001C7687">
            <w:pPr>
              <w:suppressAutoHyphens/>
              <w:spacing w:after="0"/>
              <w:rPr>
                <w:rFonts w:cs="Arial"/>
                <w:b/>
              </w:rPr>
            </w:pPr>
            <w:r w:rsidRPr="001C7687">
              <w:rPr>
                <w:rFonts w:cs="Arial"/>
                <w:b/>
              </w:rPr>
              <w:t xml:space="preserve">Rogers </w:t>
            </w:r>
          </w:p>
          <w:p w14:paraId="70B27D7B" w14:textId="77777777" w:rsidR="001C7687" w:rsidRPr="001C7687" w:rsidRDefault="001C7687">
            <w:pPr>
              <w:suppressAutoHyphens/>
              <w:spacing w:after="0"/>
              <w:rPr>
                <w:rFonts w:cs="Arial"/>
                <w:b/>
              </w:rPr>
            </w:pPr>
            <w:r w:rsidRPr="001C7687">
              <w:rPr>
                <w:rFonts w:cs="Arial"/>
                <w:b/>
              </w:rPr>
              <w:t>2021</w:t>
            </w:r>
          </w:p>
        </w:tc>
        <w:tc>
          <w:tcPr>
            <w:tcW w:w="1276" w:type="dxa"/>
            <w:vMerge w:val="restart"/>
          </w:tcPr>
          <w:p w14:paraId="0A84D81D" w14:textId="77777777" w:rsidR="001C7687" w:rsidRPr="001C7687" w:rsidRDefault="001C7687">
            <w:pPr>
              <w:suppressAutoHyphens/>
              <w:spacing w:after="0"/>
              <w:rPr>
                <w:rFonts w:cs="Arial"/>
              </w:rPr>
            </w:pPr>
            <w:r w:rsidRPr="001C7687">
              <w:rPr>
                <w:rFonts w:cs="Arial"/>
              </w:rPr>
              <w:t xml:space="preserve">ESDM </w:t>
            </w:r>
          </w:p>
          <w:p w14:paraId="256390C0" w14:textId="77777777" w:rsidR="001C7687" w:rsidRPr="001C7687" w:rsidRDefault="001C7687">
            <w:pPr>
              <w:suppressAutoHyphens/>
              <w:spacing w:after="0"/>
              <w:rPr>
                <w:rFonts w:cs="Arial"/>
              </w:rPr>
            </w:pPr>
            <w:r w:rsidRPr="001C7687">
              <w:rPr>
                <w:rFonts w:cs="Arial"/>
              </w:rPr>
              <w:t>(n=42)</w:t>
            </w:r>
          </w:p>
        </w:tc>
        <w:tc>
          <w:tcPr>
            <w:tcW w:w="1417" w:type="dxa"/>
            <w:vMerge w:val="restart"/>
          </w:tcPr>
          <w:p w14:paraId="77B4E2C6" w14:textId="77777777" w:rsidR="001C7687" w:rsidRPr="001C7687" w:rsidRDefault="001C7687">
            <w:pPr>
              <w:suppressAutoHyphens/>
              <w:spacing w:after="0"/>
              <w:rPr>
                <w:rFonts w:cs="Arial"/>
              </w:rPr>
            </w:pPr>
            <w:r w:rsidRPr="001C7687">
              <w:rPr>
                <w:rFonts w:cs="Arial"/>
              </w:rPr>
              <w:t xml:space="preserve">EIBI </w:t>
            </w:r>
          </w:p>
          <w:p w14:paraId="716CBBA4" w14:textId="77777777" w:rsidR="001C7687" w:rsidRPr="001C7687" w:rsidRDefault="001C7687">
            <w:pPr>
              <w:suppressAutoHyphens/>
              <w:spacing w:after="0"/>
              <w:rPr>
                <w:rFonts w:cs="Arial"/>
              </w:rPr>
            </w:pPr>
            <w:r w:rsidRPr="001C7687">
              <w:rPr>
                <w:rFonts w:cs="Arial"/>
              </w:rPr>
              <w:t>(n=45)</w:t>
            </w:r>
          </w:p>
        </w:tc>
        <w:tc>
          <w:tcPr>
            <w:tcW w:w="1843" w:type="dxa"/>
          </w:tcPr>
          <w:p w14:paraId="73676A33" w14:textId="77777777" w:rsidR="001C7687" w:rsidRPr="001C7687" w:rsidRDefault="001C7687">
            <w:pPr>
              <w:suppressAutoHyphens/>
              <w:spacing w:after="0"/>
              <w:rPr>
                <w:rFonts w:cs="Arial"/>
              </w:rPr>
            </w:pPr>
            <w:r w:rsidRPr="001C7687">
              <w:rPr>
                <w:rFonts w:cs="Arial"/>
              </w:rPr>
              <w:t>Videoed Behaviour Coding (VBC)</w:t>
            </w:r>
          </w:p>
          <w:p w14:paraId="61622ED2" w14:textId="77777777" w:rsidR="001C7687" w:rsidRPr="001C7687" w:rsidRDefault="001C7687">
            <w:pPr>
              <w:suppressAutoHyphens/>
              <w:spacing w:after="0"/>
              <w:rPr>
                <w:rFonts w:cs="Arial"/>
              </w:rPr>
            </w:pPr>
            <w:r w:rsidRPr="001C7687">
              <w:rPr>
                <w:rFonts w:cs="Arial"/>
              </w:rPr>
              <w:t xml:space="preserve">Vineland Adaptive Behaviour Scale (VABS-II), </w:t>
            </w:r>
          </w:p>
        </w:tc>
        <w:tc>
          <w:tcPr>
            <w:tcW w:w="2268" w:type="dxa"/>
          </w:tcPr>
          <w:p w14:paraId="0EAB17B7" w14:textId="77777777" w:rsidR="001C7687" w:rsidRPr="001C7687" w:rsidRDefault="001C7687">
            <w:pPr>
              <w:suppressAutoHyphens/>
              <w:spacing w:after="0"/>
              <w:rPr>
                <w:rFonts w:cs="Arial"/>
              </w:rPr>
            </w:pPr>
            <w:r w:rsidRPr="001C7687">
              <w:rPr>
                <w:rFonts w:cs="Arial"/>
              </w:rPr>
              <w:t xml:space="preserve">Baseline; </w:t>
            </w:r>
          </w:p>
          <w:p w14:paraId="54B990C2" w14:textId="77777777" w:rsidR="001C7687" w:rsidRPr="001C7687" w:rsidRDefault="001C7687">
            <w:pPr>
              <w:suppressAutoHyphens/>
              <w:spacing w:after="0"/>
              <w:rPr>
                <w:rFonts w:cs="Arial"/>
              </w:rPr>
            </w:pPr>
            <w:r w:rsidRPr="001C7687">
              <w:rPr>
                <w:rFonts w:cs="Arial"/>
              </w:rPr>
              <w:t xml:space="preserve">Mid-intervention (6 months); </w:t>
            </w:r>
          </w:p>
          <w:p w14:paraId="6DF3550A" w14:textId="77777777" w:rsidR="001C7687" w:rsidRPr="001C7687" w:rsidRDefault="001C7687">
            <w:pPr>
              <w:suppressAutoHyphens/>
              <w:spacing w:after="0"/>
              <w:rPr>
                <w:rFonts w:cs="Arial"/>
              </w:rPr>
            </w:pPr>
            <w:r w:rsidRPr="001C7687">
              <w:rPr>
                <w:rFonts w:cs="Arial"/>
              </w:rPr>
              <w:t xml:space="preserve">Post-intervention (12 months); </w:t>
            </w:r>
          </w:p>
          <w:p w14:paraId="2B12566C" w14:textId="77777777" w:rsidR="001C7687" w:rsidRPr="001C7687" w:rsidRDefault="001C7687">
            <w:pPr>
              <w:suppressAutoHyphens/>
              <w:spacing w:after="0"/>
              <w:rPr>
                <w:rFonts w:cs="Arial"/>
              </w:rPr>
            </w:pPr>
            <w:r w:rsidRPr="001C7687">
              <w:rPr>
                <w:rFonts w:cs="Arial"/>
              </w:rPr>
              <w:t>Follow up (24 months)</w:t>
            </w:r>
          </w:p>
        </w:tc>
        <w:tc>
          <w:tcPr>
            <w:tcW w:w="5670" w:type="dxa"/>
            <w:vMerge w:val="restart"/>
          </w:tcPr>
          <w:p w14:paraId="798A3563" w14:textId="77777777" w:rsidR="001C7687" w:rsidRPr="001C7687" w:rsidRDefault="001C7687">
            <w:pPr>
              <w:suppressAutoHyphens/>
              <w:spacing w:after="0"/>
              <w:rPr>
                <w:rFonts w:cs="Arial"/>
              </w:rPr>
            </w:pPr>
            <w:r w:rsidRPr="001C7687">
              <w:rPr>
                <w:rFonts w:cs="Arial"/>
              </w:rPr>
              <w:t xml:space="preserve">VBC and VABS-II were combined measures. Both groups of children made significant gains in expressive communication, nonverbal abilities, and receptive language regardless of assignment group. </w:t>
            </w:r>
          </w:p>
          <w:p w14:paraId="462F1418" w14:textId="77777777" w:rsidR="001C7687" w:rsidRPr="001C7687" w:rsidRDefault="001C7687">
            <w:pPr>
              <w:suppressAutoHyphens/>
              <w:spacing w:after="0"/>
              <w:rPr>
                <w:rFonts w:cs="Arial"/>
              </w:rPr>
            </w:pPr>
          </w:p>
          <w:p w14:paraId="1722C399" w14:textId="77777777" w:rsidR="001C7687" w:rsidRPr="001C7687" w:rsidRDefault="001C7687">
            <w:pPr>
              <w:suppressAutoHyphens/>
              <w:spacing w:after="0"/>
              <w:rPr>
                <w:rFonts w:cs="Arial"/>
              </w:rPr>
            </w:pPr>
          </w:p>
          <w:p w14:paraId="2BB6871F" w14:textId="77777777" w:rsidR="001C7687" w:rsidRPr="001C7687" w:rsidRDefault="001C7687">
            <w:pPr>
              <w:suppressAutoHyphens/>
              <w:spacing w:after="0"/>
              <w:rPr>
                <w:rFonts w:cs="Arial"/>
              </w:rPr>
            </w:pPr>
            <w:r w:rsidRPr="001C7687">
              <w:rPr>
                <w:rFonts w:cs="Arial"/>
              </w:rPr>
              <w:t xml:space="preserve">No evidence of group by time, group by time by site, or time by intensity effects for variables measured by MB-CDI, PDBD-I, or MSEL.  </w:t>
            </w:r>
          </w:p>
        </w:tc>
      </w:tr>
      <w:tr w:rsidR="001C7687" w:rsidRPr="001C7687" w14:paraId="10405B3A"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523607AC" w14:textId="77777777" w:rsidR="001C7687" w:rsidRPr="001C7687" w:rsidRDefault="001C7687">
            <w:pPr>
              <w:suppressAutoHyphens/>
              <w:spacing w:after="0"/>
              <w:rPr>
                <w:rFonts w:cs="Arial"/>
                <w:b/>
              </w:rPr>
            </w:pPr>
          </w:p>
        </w:tc>
        <w:tc>
          <w:tcPr>
            <w:tcW w:w="1276" w:type="dxa"/>
            <w:vMerge/>
          </w:tcPr>
          <w:p w14:paraId="7DD144A5" w14:textId="77777777" w:rsidR="001C7687" w:rsidRPr="001C7687" w:rsidRDefault="001C7687">
            <w:pPr>
              <w:suppressAutoHyphens/>
              <w:spacing w:after="0"/>
              <w:rPr>
                <w:rFonts w:cs="Arial"/>
              </w:rPr>
            </w:pPr>
          </w:p>
        </w:tc>
        <w:tc>
          <w:tcPr>
            <w:tcW w:w="1417" w:type="dxa"/>
            <w:vMerge/>
          </w:tcPr>
          <w:p w14:paraId="6043751C" w14:textId="77777777" w:rsidR="001C7687" w:rsidRPr="001C7687" w:rsidRDefault="001C7687">
            <w:pPr>
              <w:suppressAutoHyphens/>
              <w:spacing w:after="0"/>
              <w:rPr>
                <w:rFonts w:cs="Arial"/>
              </w:rPr>
            </w:pPr>
          </w:p>
        </w:tc>
        <w:tc>
          <w:tcPr>
            <w:tcW w:w="1843" w:type="dxa"/>
          </w:tcPr>
          <w:p w14:paraId="16F0A717" w14:textId="77777777" w:rsidR="001C7687" w:rsidRPr="001C7687" w:rsidRDefault="001C7687">
            <w:pPr>
              <w:suppressAutoHyphens/>
              <w:spacing w:after="0"/>
              <w:rPr>
                <w:rFonts w:cs="Arial"/>
              </w:rPr>
            </w:pPr>
            <w:r w:rsidRPr="001C7687">
              <w:rPr>
                <w:rFonts w:cs="Arial"/>
              </w:rPr>
              <w:t xml:space="preserve">MacArthur Bates Communicative Development Inventories (MB-CDI), </w:t>
            </w:r>
          </w:p>
        </w:tc>
        <w:tc>
          <w:tcPr>
            <w:tcW w:w="2268" w:type="dxa"/>
          </w:tcPr>
          <w:p w14:paraId="2946D0C2" w14:textId="77777777" w:rsidR="001C7687" w:rsidRPr="001C7687" w:rsidRDefault="001C7687">
            <w:pPr>
              <w:suppressAutoHyphens/>
              <w:spacing w:after="0"/>
              <w:rPr>
                <w:rFonts w:cs="Arial"/>
              </w:rPr>
            </w:pPr>
            <w:r w:rsidRPr="001C7687">
              <w:rPr>
                <w:rFonts w:cs="Arial"/>
              </w:rPr>
              <w:t xml:space="preserve">As above </w:t>
            </w:r>
          </w:p>
        </w:tc>
        <w:tc>
          <w:tcPr>
            <w:tcW w:w="5670" w:type="dxa"/>
            <w:vMerge/>
          </w:tcPr>
          <w:p w14:paraId="1CC36D2F" w14:textId="77777777" w:rsidR="001C7687" w:rsidRPr="001C7687" w:rsidRDefault="001C7687">
            <w:pPr>
              <w:suppressAutoHyphens/>
              <w:spacing w:after="0"/>
              <w:rPr>
                <w:rFonts w:cs="Arial"/>
              </w:rPr>
            </w:pPr>
          </w:p>
        </w:tc>
      </w:tr>
      <w:tr w:rsidR="001C7687" w:rsidRPr="001C7687" w14:paraId="43BED813"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0FF86790" w14:textId="77777777" w:rsidR="001C7687" w:rsidRPr="001C7687" w:rsidRDefault="001C7687">
            <w:pPr>
              <w:suppressAutoHyphens/>
              <w:spacing w:after="0"/>
              <w:rPr>
                <w:rFonts w:cs="Arial"/>
                <w:b/>
              </w:rPr>
            </w:pPr>
          </w:p>
        </w:tc>
        <w:tc>
          <w:tcPr>
            <w:tcW w:w="1276" w:type="dxa"/>
            <w:vMerge/>
          </w:tcPr>
          <w:p w14:paraId="47A9A839" w14:textId="77777777" w:rsidR="001C7687" w:rsidRPr="001C7687" w:rsidRDefault="001C7687">
            <w:pPr>
              <w:suppressAutoHyphens/>
              <w:spacing w:after="0"/>
              <w:rPr>
                <w:rFonts w:cs="Arial"/>
              </w:rPr>
            </w:pPr>
          </w:p>
        </w:tc>
        <w:tc>
          <w:tcPr>
            <w:tcW w:w="1417" w:type="dxa"/>
            <w:vMerge/>
          </w:tcPr>
          <w:p w14:paraId="52A7734A" w14:textId="77777777" w:rsidR="001C7687" w:rsidRPr="001C7687" w:rsidRDefault="001C7687">
            <w:pPr>
              <w:suppressAutoHyphens/>
              <w:spacing w:after="0"/>
              <w:rPr>
                <w:rFonts w:cs="Arial"/>
              </w:rPr>
            </w:pPr>
          </w:p>
        </w:tc>
        <w:tc>
          <w:tcPr>
            <w:tcW w:w="1843" w:type="dxa"/>
          </w:tcPr>
          <w:p w14:paraId="7CFEBCE3" w14:textId="77777777" w:rsidR="001C7687" w:rsidRPr="001C7687" w:rsidRDefault="001C7687">
            <w:pPr>
              <w:suppressAutoHyphens/>
              <w:spacing w:after="0"/>
              <w:rPr>
                <w:rFonts w:cs="Arial"/>
              </w:rPr>
            </w:pPr>
            <w:r w:rsidRPr="001C7687">
              <w:rPr>
                <w:rFonts w:cs="Arial"/>
              </w:rPr>
              <w:t xml:space="preserve">Pervasive Developmental Disorder Behavior Inventory (PDBD-I), </w:t>
            </w:r>
          </w:p>
        </w:tc>
        <w:tc>
          <w:tcPr>
            <w:tcW w:w="2268" w:type="dxa"/>
          </w:tcPr>
          <w:p w14:paraId="53A15CF4" w14:textId="77777777" w:rsidR="001C7687" w:rsidRPr="001C7687" w:rsidRDefault="001C7687">
            <w:pPr>
              <w:suppressAutoHyphens/>
              <w:spacing w:after="0"/>
              <w:rPr>
                <w:rFonts w:cs="Arial"/>
              </w:rPr>
            </w:pPr>
            <w:r w:rsidRPr="001C7687">
              <w:rPr>
                <w:rFonts w:cs="Arial"/>
              </w:rPr>
              <w:t xml:space="preserve">As above </w:t>
            </w:r>
          </w:p>
        </w:tc>
        <w:tc>
          <w:tcPr>
            <w:tcW w:w="5670" w:type="dxa"/>
            <w:vMerge/>
          </w:tcPr>
          <w:p w14:paraId="7077ECA8" w14:textId="77777777" w:rsidR="001C7687" w:rsidRPr="001C7687" w:rsidRDefault="001C7687">
            <w:pPr>
              <w:suppressAutoHyphens/>
              <w:spacing w:after="0"/>
              <w:rPr>
                <w:rFonts w:cs="Arial"/>
              </w:rPr>
            </w:pPr>
          </w:p>
        </w:tc>
      </w:tr>
      <w:tr w:rsidR="001C7687" w:rsidRPr="001C7687" w14:paraId="678D23EF"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0B743216" w14:textId="77777777" w:rsidR="001C7687" w:rsidRPr="001C7687" w:rsidRDefault="001C7687">
            <w:pPr>
              <w:suppressAutoHyphens/>
              <w:spacing w:after="0"/>
              <w:rPr>
                <w:rFonts w:cs="Arial"/>
                <w:b/>
              </w:rPr>
            </w:pPr>
          </w:p>
        </w:tc>
        <w:tc>
          <w:tcPr>
            <w:tcW w:w="1276" w:type="dxa"/>
            <w:vMerge/>
          </w:tcPr>
          <w:p w14:paraId="03B24006" w14:textId="77777777" w:rsidR="001C7687" w:rsidRPr="001C7687" w:rsidRDefault="001C7687">
            <w:pPr>
              <w:suppressAutoHyphens/>
              <w:spacing w:after="0"/>
              <w:rPr>
                <w:rFonts w:cs="Arial"/>
              </w:rPr>
            </w:pPr>
          </w:p>
        </w:tc>
        <w:tc>
          <w:tcPr>
            <w:tcW w:w="1417" w:type="dxa"/>
            <w:vMerge/>
          </w:tcPr>
          <w:p w14:paraId="684EEB56" w14:textId="77777777" w:rsidR="001C7687" w:rsidRPr="001C7687" w:rsidRDefault="001C7687">
            <w:pPr>
              <w:suppressAutoHyphens/>
              <w:spacing w:after="0"/>
              <w:rPr>
                <w:rFonts w:cs="Arial"/>
              </w:rPr>
            </w:pPr>
          </w:p>
        </w:tc>
        <w:tc>
          <w:tcPr>
            <w:tcW w:w="1843" w:type="dxa"/>
          </w:tcPr>
          <w:p w14:paraId="36A7352F" w14:textId="77777777" w:rsidR="001C7687" w:rsidRPr="001C7687" w:rsidRDefault="001C7687">
            <w:pPr>
              <w:suppressAutoHyphens/>
              <w:spacing w:after="0"/>
              <w:rPr>
                <w:rFonts w:cs="Arial"/>
              </w:rPr>
            </w:pPr>
            <w:r w:rsidRPr="001C7687">
              <w:rPr>
                <w:rFonts w:cs="Arial"/>
              </w:rPr>
              <w:t xml:space="preserve">Mullen Scales of Early Learning (MSEL),  </w:t>
            </w:r>
          </w:p>
        </w:tc>
        <w:tc>
          <w:tcPr>
            <w:tcW w:w="2268" w:type="dxa"/>
          </w:tcPr>
          <w:p w14:paraId="47B017FA" w14:textId="77777777" w:rsidR="001C7687" w:rsidRPr="001C7687" w:rsidRDefault="001C7687">
            <w:pPr>
              <w:suppressAutoHyphens/>
              <w:spacing w:after="0"/>
              <w:rPr>
                <w:rFonts w:cs="Arial"/>
              </w:rPr>
            </w:pPr>
            <w:r w:rsidRPr="001C7687">
              <w:rPr>
                <w:rFonts w:cs="Arial"/>
              </w:rPr>
              <w:t xml:space="preserve">As above </w:t>
            </w:r>
          </w:p>
        </w:tc>
        <w:tc>
          <w:tcPr>
            <w:tcW w:w="5670" w:type="dxa"/>
            <w:vMerge/>
          </w:tcPr>
          <w:p w14:paraId="4994ABBC" w14:textId="77777777" w:rsidR="001C7687" w:rsidRPr="001C7687" w:rsidRDefault="001C7687">
            <w:pPr>
              <w:suppressAutoHyphens/>
              <w:spacing w:after="0"/>
              <w:rPr>
                <w:rFonts w:cs="Arial"/>
              </w:rPr>
            </w:pPr>
          </w:p>
        </w:tc>
      </w:tr>
      <w:tr w:rsidR="001C7687" w:rsidRPr="001C7687" w14:paraId="3E6C2C6E"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val="restart"/>
          </w:tcPr>
          <w:p w14:paraId="2CA88375" w14:textId="77777777" w:rsidR="001C7687" w:rsidRPr="001C7687" w:rsidRDefault="001C7687">
            <w:pPr>
              <w:suppressAutoHyphens/>
              <w:spacing w:after="0"/>
              <w:rPr>
                <w:rFonts w:cs="Arial"/>
                <w:b/>
              </w:rPr>
            </w:pPr>
            <w:r w:rsidRPr="001C7687">
              <w:rPr>
                <w:rFonts w:cs="Arial"/>
                <w:b/>
              </w:rPr>
              <w:t xml:space="preserve">Vivanti </w:t>
            </w:r>
          </w:p>
          <w:p w14:paraId="57C7EE1A" w14:textId="77777777" w:rsidR="001C7687" w:rsidRPr="001C7687" w:rsidRDefault="001C7687">
            <w:pPr>
              <w:suppressAutoHyphens/>
              <w:spacing w:after="0"/>
              <w:rPr>
                <w:rFonts w:cs="Arial"/>
                <w:b/>
              </w:rPr>
            </w:pPr>
            <w:r w:rsidRPr="001C7687">
              <w:rPr>
                <w:rFonts w:cs="Arial"/>
                <w:b/>
              </w:rPr>
              <w:t>2019</w:t>
            </w:r>
          </w:p>
        </w:tc>
        <w:tc>
          <w:tcPr>
            <w:tcW w:w="1276" w:type="dxa"/>
            <w:vMerge w:val="restart"/>
          </w:tcPr>
          <w:p w14:paraId="2C064A0A" w14:textId="77777777" w:rsidR="001C7687" w:rsidRPr="001C7687" w:rsidRDefault="001C7687">
            <w:pPr>
              <w:suppressAutoHyphens/>
              <w:spacing w:after="0"/>
              <w:rPr>
                <w:rFonts w:cs="Arial"/>
              </w:rPr>
            </w:pPr>
            <w:r w:rsidRPr="001C7687">
              <w:rPr>
                <w:rFonts w:cs="Arial"/>
              </w:rPr>
              <w:t>ESDM-G Specialised (n=22)</w:t>
            </w:r>
          </w:p>
          <w:p w14:paraId="08533F5F" w14:textId="77777777" w:rsidR="001C7687" w:rsidRPr="001C7687" w:rsidRDefault="001C7687">
            <w:pPr>
              <w:suppressAutoHyphens/>
              <w:spacing w:after="0"/>
              <w:rPr>
                <w:rFonts w:cs="Arial"/>
              </w:rPr>
            </w:pPr>
          </w:p>
        </w:tc>
        <w:tc>
          <w:tcPr>
            <w:tcW w:w="1417" w:type="dxa"/>
            <w:vMerge w:val="restart"/>
          </w:tcPr>
          <w:p w14:paraId="7CB2DBE7" w14:textId="77777777" w:rsidR="001C7687" w:rsidRPr="001C7687" w:rsidRDefault="001C7687">
            <w:pPr>
              <w:suppressAutoHyphens/>
              <w:spacing w:after="0"/>
              <w:rPr>
                <w:rFonts w:cs="Arial"/>
              </w:rPr>
            </w:pPr>
            <w:r w:rsidRPr="001C7687">
              <w:rPr>
                <w:rFonts w:cs="Arial"/>
              </w:rPr>
              <w:t>ESDM-G Inclusive</w:t>
            </w:r>
          </w:p>
          <w:p w14:paraId="74AB1630" w14:textId="77777777" w:rsidR="001C7687" w:rsidRPr="001C7687" w:rsidRDefault="001C7687">
            <w:pPr>
              <w:suppressAutoHyphens/>
              <w:spacing w:after="0"/>
              <w:rPr>
                <w:rFonts w:cs="Arial"/>
              </w:rPr>
            </w:pPr>
            <w:r w:rsidRPr="001C7687">
              <w:rPr>
                <w:rFonts w:cs="Arial"/>
              </w:rPr>
              <w:t>(n=22)</w:t>
            </w:r>
          </w:p>
          <w:p w14:paraId="627F3795" w14:textId="77777777" w:rsidR="001C7687" w:rsidRPr="001C7687" w:rsidRDefault="001C7687">
            <w:pPr>
              <w:suppressAutoHyphens/>
              <w:spacing w:after="0"/>
              <w:rPr>
                <w:rFonts w:cs="Arial"/>
              </w:rPr>
            </w:pPr>
          </w:p>
        </w:tc>
        <w:tc>
          <w:tcPr>
            <w:tcW w:w="1843" w:type="dxa"/>
          </w:tcPr>
          <w:p w14:paraId="45842A9E" w14:textId="77777777" w:rsidR="001C7687" w:rsidRPr="001C7687" w:rsidRDefault="001C7687">
            <w:pPr>
              <w:suppressAutoHyphens/>
              <w:spacing w:after="0"/>
              <w:rPr>
                <w:rFonts w:cs="Arial"/>
              </w:rPr>
            </w:pPr>
            <w:r w:rsidRPr="001C7687">
              <w:rPr>
                <w:rFonts w:cs="Arial"/>
              </w:rPr>
              <w:t>Language Environment Analysis (LENA)</w:t>
            </w:r>
          </w:p>
        </w:tc>
        <w:tc>
          <w:tcPr>
            <w:tcW w:w="2268" w:type="dxa"/>
          </w:tcPr>
          <w:p w14:paraId="7A63C0EB" w14:textId="77777777" w:rsidR="001C7687" w:rsidRPr="001C7687" w:rsidRDefault="001C7687">
            <w:pPr>
              <w:suppressAutoHyphens/>
              <w:spacing w:after="0"/>
              <w:rPr>
                <w:rFonts w:cs="Arial"/>
              </w:rPr>
            </w:pPr>
            <w:r w:rsidRPr="001C7687">
              <w:rPr>
                <w:rFonts w:cs="Arial"/>
              </w:rPr>
              <w:t xml:space="preserve">Baseline; </w:t>
            </w:r>
          </w:p>
          <w:p w14:paraId="5FECE930" w14:textId="77777777" w:rsidR="001C7687" w:rsidRPr="001C7687" w:rsidRDefault="001C7687">
            <w:pPr>
              <w:suppressAutoHyphens/>
              <w:spacing w:after="0"/>
              <w:rPr>
                <w:rFonts w:cs="Arial"/>
              </w:rPr>
            </w:pPr>
            <w:r w:rsidRPr="001C7687">
              <w:rPr>
                <w:rFonts w:cs="Arial"/>
              </w:rPr>
              <w:t>Post-intervention</w:t>
            </w:r>
          </w:p>
        </w:tc>
        <w:tc>
          <w:tcPr>
            <w:tcW w:w="5670" w:type="dxa"/>
          </w:tcPr>
          <w:p w14:paraId="1EBAACFB" w14:textId="77777777" w:rsidR="001C7687" w:rsidRPr="001C7687" w:rsidRDefault="001C7687">
            <w:pPr>
              <w:spacing w:after="0"/>
              <w:rPr>
                <w:rFonts w:cs="Arial"/>
              </w:rPr>
            </w:pPr>
            <w:r w:rsidRPr="001C7687">
              <w:rPr>
                <w:rFonts w:cs="Arial"/>
              </w:rPr>
              <w:t xml:space="preserve">Evidence of improvements in vocalisations over time for both groups. </w:t>
            </w:r>
          </w:p>
          <w:p w14:paraId="7A8AEB27" w14:textId="77777777" w:rsidR="001C7687" w:rsidRPr="001C7687" w:rsidRDefault="001C7687">
            <w:pPr>
              <w:spacing w:after="0"/>
              <w:rPr>
                <w:rFonts w:cs="Arial"/>
              </w:rPr>
            </w:pPr>
            <w:r w:rsidRPr="001C7687">
              <w:rPr>
                <w:rFonts w:cs="Arial"/>
              </w:rPr>
              <w:t xml:space="preserve">No evidence of a difference in vocalisations between groups or between groups over time.   </w:t>
            </w:r>
          </w:p>
        </w:tc>
      </w:tr>
      <w:tr w:rsidR="001C7687" w:rsidRPr="001C7687" w14:paraId="41903761" w14:textId="77777777">
        <w:trPr>
          <w:cnfStyle w:val="000000010000" w:firstRow="0" w:lastRow="0" w:firstColumn="0" w:lastColumn="0" w:oddVBand="0" w:evenVBand="0" w:oddHBand="0" w:evenHBand="1" w:firstRowFirstColumn="0" w:firstRowLastColumn="0" w:lastRowFirstColumn="0" w:lastRowLastColumn="0"/>
          <w:trHeight w:val="360"/>
        </w:trPr>
        <w:tc>
          <w:tcPr>
            <w:tcW w:w="1418" w:type="dxa"/>
            <w:vMerge/>
          </w:tcPr>
          <w:p w14:paraId="56F15C24" w14:textId="77777777" w:rsidR="001C7687" w:rsidRPr="001C7687" w:rsidRDefault="001C7687">
            <w:pPr>
              <w:suppressAutoHyphens/>
              <w:spacing w:after="0"/>
              <w:rPr>
                <w:rFonts w:cs="Arial"/>
                <w:b/>
              </w:rPr>
            </w:pPr>
          </w:p>
        </w:tc>
        <w:tc>
          <w:tcPr>
            <w:tcW w:w="1276" w:type="dxa"/>
            <w:vMerge/>
          </w:tcPr>
          <w:p w14:paraId="0468A54D" w14:textId="77777777" w:rsidR="001C7687" w:rsidRPr="001C7687" w:rsidRDefault="001C7687">
            <w:pPr>
              <w:suppressAutoHyphens/>
              <w:spacing w:after="0"/>
              <w:rPr>
                <w:rFonts w:cs="Arial"/>
              </w:rPr>
            </w:pPr>
          </w:p>
        </w:tc>
        <w:tc>
          <w:tcPr>
            <w:tcW w:w="1417" w:type="dxa"/>
            <w:vMerge/>
          </w:tcPr>
          <w:p w14:paraId="3D9A34BE" w14:textId="77777777" w:rsidR="001C7687" w:rsidRPr="001C7687" w:rsidRDefault="001C7687">
            <w:pPr>
              <w:suppressAutoHyphens/>
              <w:spacing w:after="0"/>
              <w:rPr>
                <w:rFonts w:cs="Arial"/>
              </w:rPr>
            </w:pPr>
          </w:p>
        </w:tc>
        <w:tc>
          <w:tcPr>
            <w:tcW w:w="1843" w:type="dxa"/>
          </w:tcPr>
          <w:p w14:paraId="5FE63896" w14:textId="77777777" w:rsidR="001C7687" w:rsidRPr="001C7687" w:rsidRDefault="001C7687">
            <w:pPr>
              <w:suppressAutoHyphens/>
              <w:spacing w:after="0"/>
              <w:rPr>
                <w:rFonts w:cs="Arial"/>
              </w:rPr>
            </w:pPr>
            <w:r w:rsidRPr="001C7687">
              <w:rPr>
                <w:rFonts w:cs="Arial"/>
              </w:rPr>
              <w:t xml:space="preserve">Mullen Scales of Early Learning (MSEL), </w:t>
            </w:r>
          </w:p>
          <w:p w14:paraId="1E15AAFC" w14:textId="77777777" w:rsidR="001C7687" w:rsidRPr="001C7687" w:rsidRDefault="001C7687">
            <w:pPr>
              <w:suppressAutoHyphens/>
              <w:spacing w:after="0"/>
              <w:rPr>
                <w:rFonts w:cs="Arial"/>
              </w:rPr>
            </w:pPr>
          </w:p>
        </w:tc>
        <w:tc>
          <w:tcPr>
            <w:tcW w:w="2268" w:type="dxa"/>
          </w:tcPr>
          <w:p w14:paraId="404D4CE1"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708B2A94" w14:textId="77777777" w:rsidR="001C7687" w:rsidRPr="001C7687" w:rsidRDefault="001C7687">
            <w:pPr>
              <w:suppressAutoHyphens/>
              <w:spacing w:after="0"/>
              <w:rPr>
                <w:rFonts w:cs="Arial"/>
              </w:rPr>
            </w:pPr>
            <w:r w:rsidRPr="001C7687">
              <w:rPr>
                <w:rFonts w:cs="Arial"/>
              </w:rPr>
              <w:t xml:space="preserve">No evidence of a difference in nonverbal developmental quotient over time for either group, between groups or for a group by time interaction.   </w:t>
            </w:r>
          </w:p>
          <w:p w14:paraId="25ED5D9D" w14:textId="77777777" w:rsidR="001C7687" w:rsidRPr="001C7687" w:rsidRDefault="001C7687">
            <w:pPr>
              <w:spacing w:after="0"/>
              <w:rPr>
                <w:rFonts w:cs="Arial"/>
              </w:rPr>
            </w:pPr>
            <w:r w:rsidRPr="001C7687">
              <w:rPr>
                <w:rFonts w:cs="Arial"/>
              </w:rPr>
              <w:t xml:space="preserve">Evidence of improvements in verbal developmental quotient in both groups over time. </w:t>
            </w:r>
          </w:p>
          <w:p w14:paraId="1E2D0E74" w14:textId="77777777" w:rsidR="001C7687" w:rsidRPr="001C7687" w:rsidRDefault="001C7687">
            <w:pPr>
              <w:spacing w:after="0"/>
              <w:rPr>
                <w:rFonts w:cs="Arial"/>
              </w:rPr>
            </w:pPr>
            <w:r w:rsidRPr="001C7687">
              <w:rPr>
                <w:rFonts w:cs="Arial"/>
              </w:rPr>
              <w:t xml:space="preserve">No evidence of a difference in verbal developmental quotient between groups or for a group by time interaction.   </w:t>
            </w:r>
          </w:p>
        </w:tc>
      </w:tr>
      <w:tr w:rsidR="001C7687" w:rsidRPr="001C7687" w14:paraId="7FEE9F4C"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54A969C4" w14:textId="77777777" w:rsidR="001C7687" w:rsidRPr="001C7687" w:rsidRDefault="001C7687">
            <w:pPr>
              <w:suppressAutoHyphens/>
              <w:spacing w:after="0"/>
              <w:rPr>
                <w:rFonts w:cs="Arial"/>
              </w:rPr>
            </w:pPr>
          </w:p>
        </w:tc>
        <w:tc>
          <w:tcPr>
            <w:tcW w:w="1276" w:type="dxa"/>
            <w:vMerge/>
          </w:tcPr>
          <w:p w14:paraId="024B62C4" w14:textId="77777777" w:rsidR="001C7687" w:rsidRPr="001C7687" w:rsidRDefault="001C7687">
            <w:pPr>
              <w:suppressAutoHyphens/>
              <w:spacing w:after="0"/>
              <w:rPr>
                <w:rFonts w:cs="Arial"/>
              </w:rPr>
            </w:pPr>
          </w:p>
        </w:tc>
        <w:tc>
          <w:tcPr>
            <w:tcW w:w="1417" w:type="dxa"/>
            <w:vMerge/>
          </w:tcPr>
          <w:p w14:paraId="2118B586" w14:textId="77777777" w:rsidR="001C7687" w:rsidRPr="001C7687" w:rsidRDefault="001C7687">
            <w:pPr>
              <w:suppressAutoHyphens/>
              <w:spacing w:after="0"/>
              <w:rPr>
                <w:rFonts w:cs="Arial"/>
              </w:rPr>
            </w:pPr>
          </w:p>
        </w:tc>
        <w:tc>
          <w:tcPr>
            <w:tcW w:w="1843" w:type="dxa"/>
          </w:tcPr>
          <w:p w14:paraId="4BF891A0" w14:textId="77777777" w:rsidR="001C7687" w:rsidRPr="001C7687" w:rsidRDefault="001C7687">
            <w:pPr>
              <w:suppressAutoHyphens/>
              <w:spacing w:after="0"/>
              <w:rPr>
                <w:rFonts w:cs="Arial"/>
              </w:rPr>
            </w:pPr>
            <w:r w:rsidRPr="001C7687">
              <w:rPr>
                <w:rFonts w:cs="Arial"/>
              </w:rPr>
              <w:t>Vineland Adaptive Behaviour Scale (VABS-II)</w:t>
            </w:r>
          </w:p>
        </w:tc>
        <w:tc>
          <w:tcPr>
            <w:tcW w:w="2268" w:type="dxa"/>
          </w:tcPr>
          <w:p w14:paraId="19F77D98" w14:textId="77777777" w:rsidR="001C7687" w:rsidRPr="001C7687" w:rsidRDefault="001C7687">
            <w:pPr>
              <w:suppressAutoHyphens/>
              <w:spacing w:after="0"/>
              <w:rPr>
                <w:rFonts w:cs="Arial"/>
              </w:rPr>
            </w:pPr>
            <w:r w:rsidRPr="001C7687">
              <w:rPr>
                <w:rFonts w:cs="Arial"/>
              </w:rPr>
              <w:t>As above</w:t>
            </w:r>
          </w:p>
        </w:tc>
        <w:tc>
          <w:tcPr>
            <w:tcW w:w="5670" w:type="dxa"/>
          </w:tcPr>
          <w:p w14:paraId="4699FB39" w14:textId="77777777" w:rsidR="001C7687" w:rsidRPr="001C7687" w:rsidRDefault="001C7687">
            <w:pPr>
              <w:suppressAutoHyphens/>
              <w:spacing w:after="0"/>
              <w:rPr>
                <w:rFonts w:cs="Arial"/>
              </w:rPr>
            </w:pPr>
            <w:r w:rsidRPr="001C7687">
              <w:rPr>
                <w:rFonts w:cs="Arial"/>
              </w:rPr>
              <w:t xml:space="preserve">Evidence of improvements in adaptive behaviour over time for both groups. </w:t>
            </w:r>
          </w:p>
          <w:p w14:paraId="1C478CBB" w14:textId="77777777" w:rsidR="001C7687" w:rsidRPr="001C7687" w:rsidRDefault="001C7687">
            <w:pPr>
              <w:suppressAutoHyphens/>
              <w:spacing w:after="0"/>
              <w:rPr>
                <w:rFonts w:cs="Arial"/>
              </w:rPr>
            </w:pPr>
            <w:r w:rsidRPr="001C7687">
              <w:rPr>
                <w:rFonts w:cs="Arial"/>
              </w:rPr>
              <w:t xml:space="preserve">No evidence of a difference in adaptive behaviour between groups or for a group by time interaction.   </w:t>
            </w:r>
          </w:p>
        </w:tc>
      </w:tr>
      <w:tr w:rsidR="001C7687" w:rsidRPr="001C7687" w14:paraId="7A41F4F9"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00621DC0" w14:textId="77777777" w:rsidR="001C7687" w:rsidRPr="001C7687" w:rsidRDefault="001C7687">
            <w:pPr>
              <w:suppressAutoHyphens/>
              <w:spacing w:after="0"/>
              <w:rPr>
                <w:rFonts w:cs="Arial"/>
              </w:rPr>
            </w:pPr>
          </w:p>
        </w:tc>
        <w:tc>
          <w:tcPr>
            <w:tcW w:w="1276" w:type="dxa"/>
            <w:vMerge/>
          </w:tcPr>
          <w:p w14:paraId="4F1BFAE2" w14:textId="77777777" w:rsidR="001C7687" w:rsidRPr="001C7687" w:rsidRDefault="001C7687">
            <w:pPr>
              <w:suppressAutoHyphens/>
              <w:spacing w:after="0"/>
              <w:rPr>
                <w:rFonts w:cs="Arial"/>
              </w:rPr>
            </w:pPr>
          </w:p>
        </w:tc>
        <w:tc>
          <w:tcPr>
            <w:tcW w:w="1417" w:type="dxa"/>
            <w:vMerge/>
          </w:tcPr>
          <w:p w14:paraId="7F74896A" w14:textId="77777777" w:rsidR="001C7687" w:rsidRPr="001C7687" w:rsidRDefault="001C7687">
            <w:pPr>
              <w:suppressAutoHyphens/>
              <w:spacing w:after="0"/>
              <w:rPr>
                <w:rFonts w:cs="Arial"/>
              </w:rPr>
            </w:pPr>
          </w:p>
        </w:tc>
        <w:tc>
          <w:tcPr>
            <w:tcW w:w="1843" w:type="dxa"/>
          </w:tcPr>
          <w:p w14:paraId="34C8A384" w14:textId="77777777" w:rsidR="001C7687" w:rsidRPr="001C7687" w:rsidRDefault="001C7687">
            <w:pPr>
              <w:suppressAutoHyphens/>
              <w:spacing w:after="0"/>
              <w:rPr>
                <w:rFonts w:cs="Arial"/>
              </w:rPr>
            </w:pPr>
            <w:r w:rsidRPr="001C7687">
              <w:rPr>
                <w:rFonts w:cs="Arial"/>
              </w:rPr>
              <w:t>Modified Classroom Observation Schedule to Measure Intentional Communication (M-COSMIC)</w:t>
            </w:r>
          </w:p>
        </w:tc>
        <w:tc>
          <w:tcPr>
            <w:tcW w:w="2268" w:type="dxa"/>
          </w:tcPr>
          <w:p w14:paraId="1035CA1C"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7A974EC3" w14:textId="77777777" w:rsidR="001C7687" w:rsidRPr="001C7687" w:rsidRDefault="001C7687">
            <w:pPr>
              <w:suppressAutoHyphens/>
              <w:spacing w:after="0"/>
              <w:rPr>
                <w:rFonts w:cs="Arial"/>
              </w:rPr>
            </w:pPr>
            <w:r w:rsidRPr="001C7687">
              <w:rPr>
                <w:rFonts w:cs="Arial"/>
              </w:rPr>
              <w:t xml:space="preserve">Evidence of improvements in social interactions over time for both groups. </w:t>
            </w:r>
          </w:p>
          <w:p w14:paraId="19B590B1" w14:textId="77777777" w:rsidR="001C7687" w:rsidRPr="001C7687" w:rsidRDefault="001C7687">
            <w:pPr>
              <w:suppressAutoHyphens/>
              <w:spacing w:after="0"/>
              <w:rPr>
                <w:rFonts w:cs="Arial"/>
              </w:rPr>
            </w:pPr>
            <w:r w:rsidRPr="001C7687">
              <w:rPr>
                <w:rFonts w:cs="Arial"/>
              </w:rPr>
              <w:t xml:space="preserve">No evidence of a difference in social interactions between groups or for a group by time interaction.   </w:t>
            </w:r>
          </w:p>
          <w:p w14:paraId="657CA7E5" w14:textId="77777777" w:rsidR="001C7687" w:rsidRPr="001C7687" w:rsidRDefault="001C7687">
            <w:pPr>
              <w:suppressAutoHyphens/>
              <w:spacing w:after="0"/>
              <w:rPr>
                <w:rFonts w:cs="Arial"/>
              </w:rPr>
            </w:pPr>
          </w:p>
        </w:tc>
      </w:tr>
      <w:tr w:rsidR="001C7687" w:rsidRPr="001C7687" w14:paraId="07C49A1E"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4F5FED2A" w14:textId="77777777" w:rsidR="001C7687" w:rsidRPr="001C7687" w:rsidRDefault="001C7687">
            <w:pPr>
              <w:suppressAutoHyphens/>
              <w:spacing w:after="0"/>
              <w:rPr>
                <w:rFonts w:cs="Arial"/>
              </w:rPr>
            </w:pPr>
          </w:p>
        </w:tc>
        <w:tc>
          <w:tcPr>
            <w:tcW w:w="1276" w:type="dxa"/>
            <w:vMerge/>
          </w:tcPr>
          <w:p w14:paraId="2E1A5613" w14:textId="77777777" w:rsidR="001C7687" w:rsidRPr="001C7687" w:rsidRDefault="001C7687">
            <w:pPr>
              <w:suppressAutoHyphens/>
              <w:spacing w:after="0"/>
              <w:rPr>
                <w:rFonts w:cs="Arial"/>
              </w:rPr>
            </w:pPr>
          </w:p>
        </w:tc>
        <w:tc>
          <w:tcPr>
            <w:tcW w:w="1417" w:type="dxa"/>
            <w:vMerge/>
          </w:tcPr>
          <w:p w14:paraId="4364ED5F" w14:textId="77777777" w:rsidR="001C7687" w:rsidRPr="001C7687" w:rsidRDefault="001C7687">
            <w:pPr>
              <w:suppressAutoHyphens/>
              <w:spacing w:after="0"/>
              <w:rPr>
                <w:rFonts w:cs="Arial"/>
              </w:rPr>
            </w:pPr>
          </w:p>
        </w:tc>
        <w:tc>
          <w:tcPr>
            <w:tcW w:w="1843" w:type="dxa"/>
          </w:tcPr>
          <w:p w14:paraId="11F32085" w14:textId="77777777" w:rsidR="001C7687" w:rsidRPr="001C7687" w:rsidRDefault="001C7687">
            <w:pPr>
              <w:suppressAutoHyphens/>
              <w:spacing w:after="0"/>
              <w:rPr>
                <w:rFonts w:cs="Arial"/>
              </w:rPr>
            </w:pPr>
            <w:r w:rsidRPr="001C7687">
              <w:rPr>
                <w:rFonts w:cs="Arial"/>
              </w:rPr>
              <w:t xml:space="preserve">Repetitive Behaviour Scale Revised (RBS-R) </w:t>
            </w:r>
          </w:p>
        </w:tc>
        <w:tc>
          <w:tcPr>
            <w:tcW w:w="2268" w:type="dxa"/>
          </w:tcPr>
          <w:p w14:paraId="37333AF9"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436A4630" w14:textId="77777777" w:rsidR="001C7687" w:rsidRPr="001C7687" w:rsidRDefault="001C7687">
            <w:pPr>
              <w:suppressAutoHyphens/>
              <w:spacing w:after="0"/>
              <w:rPr>
                <w:rFonts w:cs="Arial"/>
              </w:rPr>
            </w:pPr>
            <w:r w:rsidRPr="001C7687">
              <w:rPr>
                <w:rFonts w:cs="Arial"/>
              </w:rPr>
              <w:t xml:space="preserve">No evidence of a difference in restricted and repetitive behaviour symptoms over time for both groups, between groups or for a group by time interaction.   </w:t>
            </w:r>
          </w:p>
          <w:p w14:paraId="5F137035" w14:textId="77777777" w:rsidR="001C7687" w:rsidRPr="001C7687" w:rsidRDefault="001C7687">
            <w:pPr>
              <w:suppressAutoHyphens/>
              <w:spacing w:after="0"/>
              <w:rPr>
                <w:rFonts w:cs="Arial"/>
              </w:rPr>
            </w:pPr>
            <w:r w:rsidRPr="001C7687">
              <w:rPr>
                <w:rFonts w:cs="Arial"/>
              </w:rPr>
              <w:t xml:space="preserve"> </w:t>
            </w:r>
          </w:p>
        </w:tc>
      </w:tr>
      <w:tr w:rsidR="001C7687" w:rsidRPr="001C7687" w14:paraId="320C0ED2"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1C5923DA" w14:textId="77777777" w:rsidR="001C7687" w:rsidRPr="001C7687" w:rsidRDefault="001C7687">
            <w:pPr>
              <w:suppressAutoHyphens/>
              <w:spacing w:after="0"/>
              <w:rPr>
                <w:rFonts w:cs="Arial"/>
              </w:rPr>
            </w:pPr>
          </w:p>
        </w:tc>
        <w:tc>
          <w:tcPr>
            <w:tcW w:w="1276" w:type="dxa"/>
            <w:vMerge/>
          </w:tcPr>
          <w:p w14:paraId="22C12974" w14:textId="77777777" w:rsidR="001C7687" w:rsidRPr="001C7687" w:rsidRDefault="001C7687">
            <w:pPr>
              <w:suppressAutoHyphens/>
              <w:spacing w:after="0"/>
              <w:rPr>
                <w:rFonts w:cs="Arial"/>
              </w:rPr>
            </w:pPr>
          </w:p>
        </w:tc>
        <w:tc>
          <w:tcPr>
            <w:tcW w:w="1417" w:type="dxa"/>
            <w:vMerge/>
          </w:tcPr>
          <w:p w14:paraId="67601703" w14:textId="77777777" w:rsidR="001C7687" w:rsidRPr="001C7687" w:rsidRDefault="001C7687">
            <w:pPr>
              <w:suppressAutoHyphens/>
              <w:spacing w:after="0"/>
              <w:rPr>
                <w:rFonts w:cs="Arial"/>
              </w:rPr>
            </w:pPr>
          </w:p>
        </w:tc>
        <w:tc>
          <w:tcPr>
            <w:tcW w:w="1843" w:type="dxa"/>
          </w:tcPr>
          <w:p w14:paraId="6C5FC00E" w14:textId="77777777" w:rsidR="001C7687" w:rsidRPr="001C7687" w:rsidRDefault="001C7687">
            <w:pPr>
              <w:suppressAutoHyphens/>
              <w:spacing w:after="0"/>
              <w:rPr>
                <w:rFonts w:cs="Arial"/>
              </w:rPr>
            </w:pPr>
            <w:r w:rsidRPr="001C7687">
              <w:rPr>
                <w:rFonts w:cs="Arial"/>
              </w:rPr>
              <w:t>Social Communication Questionnaire (SCQ)</w:t>
            </w:r>
          </w:p>
        </w:tc>
        <w:tc>
          <w:tcPr>
            <w:tcW w:w="2268" w:type="dxa"/>
          </w:tcPr>
          <w:p w14:paraId="3057BD7E"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310D4D89" w14:textId="77777777" w:rsidR="001C7687" w:rsidRPr="001C7687" w:rsidRDefault="001C7687">
            <w:pPr>
              <w:suppressAutoHyphens/>
              <w:spacing w:after="0"/>
              <w:rPr>
                <w:rFonts w:cs="Arial"/>
              </w:rPr>
            </w:pPr>
            <w:r w:rsidRPr="001C7687">
              <w:rPr>
                <w:rFonts w:cs="Arial"/>
              </w:rPr>
              <w:t xml:space="preserve">Evidence of improvements in social communication over time for both groups. </w:t>
            </w:r>
          </w:p>
          <w:p w14:paraId="6664548A" w14:textId="77777777" w:rsidR="001C7687" w:rsidRPr="001C7687" w:rsidRDefault="001C7687">
            <w:pPr>
              <w:suppressAutoHyphens/>
              <w:spacing w:after="0"/>
              <w:rPr>
                <w:rFonts w:cs="Arial"/>
              </w:rPr>
            </w:pPr>
            <w:r w:rsidRPr="001C7687">
              <w:rPr>
                <w:rFonts w:cs="Arial"/>
              </w:rPr>
              <w:t xml:space="preserve">No evidence of a difference in social communication between groups or for a group by time interaction.   </w:t>
            </w:r>
          </w:p>
        </w:tc>
      </w:tr>
      <w:tr w:rsidR="001C7687" w:rsidRPr="001C7687" w14:paraId="2E72AAE9"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13A15C38" w14:textId="77777777" w:rsidR="001C7687" w:rsidRPr="001C7687" w:rsidRDefault="001C7687">
            <w:pPr>
              <w:suppressAutoHyphens/>
              <w:spacing w:after="0"/>
              <w:rPr>
                <w:rFonts w:cs="Arial"/>
              </w:rPr>
            </w:pPr>
          </w:p>
        </w:tc>
        <w:tc>
          <w:tcPr>
            <w:tcW w:w="1276" w:type="dxa"/>
            <w:vMerge/>
          </w:tcPr>
          <w:p w14:paraId="305B8039" w14:textId="77777777" w:rsidR="001C7687" w:rsidRPr="001C7687" w:rsidRDefault="001C7687">
            <w:pPr>
              <w:suppressAutoHyphens/>
              <w:spacing w:after="0"/>
              <w:rPr>
                <w:rFonts w:cs="Arial"/>
              </w:rPr>
            </w:pPr>
          </w:p>
        </w:tc>
        <w:tc>
          <w:tcPr>
            <w:tcW w:w="1417" w:type="dxa"/>
            <w:vMerge/>
          </w:tcPr>
          <w:p w14:paraId="4152E72B" w14:textId="77777777" w:rsidR="001C7687" w:rsidRPr="001C7687" w:rsidRDefault="001C7687">
            <w:pPr>
              <w:suppressAutoHyphens/>
              <w:spacing w:after="0"/>
              <w:rPr>
                <w:rFonts w:cs="Arial"/>
              </w:rPr>
            </w:pPr>
          </w:p>
        </w:tc>
        <w:tc>
          <w:tcPr>
            <w:tcW w:w="1843" w:type="dxa"/>
          </w:tcPr>
          <w:p w14:paraId="247B3C02" w14:textId="77777777" w:rsidR="001C7687" w:rsidRPr="001C7687" w:rsidRDefault="001C7687">
            <w:pPr>
              <w:suppressAutoHyphens/>
              <w:spacing w:after="0"/>
              <w:rPr>
                <w:rFonts w:cs="Arial"/>
              </w:rPr>
            </w:pPr>
            <w:r w:rsidRPr="001C7687">
              <w:rPr>
                <w:rFonts w:cs="Arial"/>
              </w:rPr>
              <w:t>Study-Specific Tool</w:t>
            </w:r>
          </w:p>
        </w:tc>
        <w:tc>
          <w:tcPr>
            <w:tcW w:w="2268" w:type="dxa"/>
          </w:tcPr>
          <w:p w14:paraId="26B9D4F9"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422C096E" w14:textId="77777777" w:rsidR="001C7687" w:rsidRPr="001C7687" w:rsidRDefault="001C7687">
            <w:pPr>
              <w:suppressAutoHyphens/>
              <w:spacing w:after="0"/>
              <w:rPr>
                <w:rFonts w:cs="Arial"/>
              </w:rPr>
            </w:pPr>
            <w:r w:rsidRPr="001C7687">
              <w:rPr>
                <w:rFonts w:cs="Arial"/>
              </w:rPr>
              <w:t xml:space="preserve">Evidence of improvements in imitation over time for both groups. No evidence of a difference in imitation between groups or for a group by time interaction.   </w:t>
            </w:r>
          </w:p>
        </w:tc>
      </w:tr>
      <w:tr w:rsidR="001C7687" w:rsidRPr="001C7687" w14:paraId="4491D276"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00138058" w14:textId="77777777" w:rsidR="001C7687" w:rsidRPr="001C7687" w:rsidRDefault="001C7687">
            <w:pPr>
              <w:suppressAutoHyphens/>
              <w:spacing w:after="0"/>
              <w:rPr>
                <w:rFonts w:cs="Arial"/>
                <w:b/>
              </w:rPr>
            </w:pPr>
            <w:r w:rsidRPr="001C7687">
              <w:rPr>
                <w:rFonts w:cs="Arial"/>
                <w:b/>
              </w:rPr>
              <w:t xml:space="preserve">Rogers </w:t>
            </w:r>
          </w:p>
          <w:p w14:paraId="072F5F54" w14:textId="77777777" w:rsidR="001C7687" w:rsidRPr="001C7687" w:rsidRDefault="001C7687">
            <w:pPr>
              <w:suppressAutoHyphens/>
              <w:spacing w:after="0"/>
              <w:rPr>
                <w:rFonts w:cs="Arial"/>
              </w:rPr>
            </w:pPr>
            <w:r w:rsidRPr="001C7687">
              <w:rPr>
                <w:rFonts w:cs="Arial"/>
                <w:b/>
              </w:rPr>
              <w:t>2019a</w:t>
            </w:r>
          </w:p>
        </w:tc>
        <w:tc>
          <w:tcPr>
            <w:tcW w:w="1276" w:type="dxa"/>
            <w:vMerge w:val="restart"/>
          </w:tcPr>
          <w:p w14:paraId="3F68C533" w14:textId="77777777" w:rsidR="001C7687" w:rsidRPr="001C7687" w:rsidRDefault="001C7687">
            <w:pPr>
              <w:suppressAutoHyphens/>
              <w:spacing w:after="0"/>
              <w:rPr>
                <w:rFonts w:cs="Arial"/>
              </w:rPr>
            </w:pPr>
            <w:r w:rsidRPr="001C7687">
              <w:rPr>
                <w:rFonts w:cs="Arial"/>
              </w:rPr>
              <w:t>ESDM-P ++ (n=21)</w:t>
            </w:r>
          </w:p>
        </w:tc>
        <w:tc>
          <w:tcPr>
            <w:tcW w:w="1417" w:type="dxa"/>
            <w:vMerge w:val="restart"/>
          </w:tcPr>
          <w:p w14:paraId="3162190D" w14:textId="77777777" w:rsidR="001C7687" w:rsidRPr="001C7687" w:rsidRDefault="001C7687">
            <w:pPr>
              <w:suppressAutoHyphens/>
              <w:spacing w:after="0"/>
              <w:rPr>
                <w:rFonts w:cs="Arial"/>
              </w:rPr>
            </w:pPr>
            <w:r w:rsidRPr="001C7687">
              <w:rPr>
                <w:rFonts w:cs="Arial"/>
              </w:rPr>
              <w:t>ESDM-P</w:t>
            </w:r>
          </w:p>
          <w:p w14:paraId="1B67E217" w14:textId="77777777" w:rsidR="001C7687" w:rsidRPr="001C7687" w:rsidRDefault="001C7687">
            <w:pPr>
              <w:suppressAutoHyphens/>
              <w:spacing w:after="0"/>
              <w:rPr>
                <w:rFonts w:cs="Arial"/>
              </w:rPr>
            </w:pPr>
            <w:r w:rsidRPr="001C7687">
              <w:rPr>
                <w:rFonts w:cs="Arial"/>
              </w:rPr>
              <w:t>(n=24)</w:t>
            </w:r>
          </w:p>
        </w:tc>
        <w:tc>
          <w:tcPr>
            <w:tcW w:w="1843" w:type="dxa"/>
          </w:tcPr>
          <w:p w14:paraId="7B594213" w14:textId="77777777" w:rsidR="001C7687" w:rsidRPr="001C7687" w:rsidRDefault="001C7687">
            <w:pPr>
              <w:suppressAutoHyphens/>
              <w:spacing w:after="0"/>
              <w:rPr>
                <w:rFonts w:cs="Arial"/>
              </w:rPr>
            </w:pPr>
            <w:r w:rsidRPr="001C7687">
              <w:rPr>
                <w:rFonts w:cs="Arial"/>
              </w:rPr>
              <w:t>Mullen Scales of Early Learning (MSEL)</w:t>
            </w:r>
          </w:p>
        </w:tc>
        <w:tc>
          <w:tcPr>
            <w:tcW w:w="2268" w:type="dxa"/>
          </w:tcPr>
          <w:p w14:paraId="2A48DC2C" w14:textId="77777777" w:rsidR="001C7687" w:rsidRPr="001C7687" w:rsidRDefault="001C7687">
            <w:pPr>
              <w:suppressAutoHyphens/>
              <w:spacing w:after="0"/>
              <w:rPr>
                <w:rFonts w:cs="Arial"/>
              </w:rPr>
            </w:pPr>
            <w:r w:rsidRPr="001C7687">
              <w:rPr>
                <w:rFonts w:cs="Arial"/>
              </w:rPr>
              <w:t xml:space="preserve">Baseline; </w:t>
            </w:r>
          </w:p>
          <w:p w14:paraId="483354D5" w14:textId="77777777" w:rsidR="001C7687" w:rsidRPr="001C7687" w:rsidRDefault="001C7687">
            <w:pPr>
              <w:suppressAutoHyphens/>
              <w:spacing w:after="0"/>
              <w:rPr>
                <w:rFonts w:cs="Arial"/>
              </w:rPr>
            </w:pPr>
            <w:r w:rsidRPr="001C7687">
              <w:rPr>
                <w:rFonts w:cs="Arial"/>
              </w:rPr>
              <w:t>Post-intervention (12 weeks)</w:t>
            </w:r>
          </w:p>
        </w:tc>
        <w:tc>
          <w:tcPr>
            <w:tcW w:w="5670" w:type="dxa"/>
            <w:vMerge w:val="restart"/>
          </w:tcPr>
          <w:p w14:paraId="744A48D7" w14:textId="77777777" w:rsidR="001C7687" w:rsidRPr="001C7687" w:rsidRDefault="001C7687">
            <w:pPr>
              <w:suppressAutoHyphens/>
              <w:spacing w:after="0"/>
              <w:rPr>
                <w:rFonts w:cs="Arial"/>
              </w:rPr>
            </w:pPr>
            <w:r w:rsidRPr="001C7687">
              <w:rPr>
                <w:rFonts w:cs="Arial"/>
              </w:rPr>
              <w:t xml:space="preserve">Both groups showed improvements. </w:t>
            </w:r>
          </w:p>
          <w:p w14:paraId="60D95BA9" w14:textId="77777777" w:rsidR="001C7687" w:rsidRPr="001C7687" w:rsidRDefault="001C7687">
            <w:pPr>
              <w:suppressAutoHyphens/>
              <w:spacing w:after="0"/>
              <w:rPr>
                <w:rFonts w:cs="Arial"/>
              </w:rPr>
            </w:pPr>
            <w:r w:rsidRPr="001C7687">
              <w:rPr>
                <w:rFonts w:cs="Arial"/>
              </w:rPr>
              <w:t xml:space="preserve">No evidence of a difference between groups for both measures of child development (PATH CC and MSEL) throughout the intervention period. </w:t>
            </w:r>
          </w:p>
          <w:p w14:paraId="0D9E5078" w14:textId="77777777" w:rsidR="001C7687" w:rsidRPr="001C7687" w:rsidRDefault="001C7687">
            <w:pPr>
              <w:suppressAutoHyphens/>
              <w:spacing w:after="0"/>
              <w:rPr>
                <w:rFonts w:cs="Arial"/>
              </w:rPr>
            </w:pPr>
          </w:p>
          <w:p w14:paraId="0D81B88E" w14:textId="77777777" w:rsidR="001C7687" w:rsidRPr="001C7687" w:rsidRDefault="001C7687">
            <w:pPr>
              <w:suppressAutoHyphens/>
              <w:spacing w:after="0"/>
              <w:rPr>
                <w:rFonts w:cs="Arial"/>
              </w:rPr>
            </w:pPr>
          </w:p>
        </w:tc>
      </w:tr>
      <w:tr w:rsidR="001C7687" w:rsidRPr="001C7687" w14:paraId="398B0656"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2943DF85" w14:textId="77777777" w:rsidR="001C7687" w:rsidRPr="001C7687" w:rsidRDefault="001C7687">
            <w:pPr>
              <w:suppressAutoHyphens/>
              <w:spacing w:after="0"/>
              <w:rPr>
                <w:rFonts w:cs="Arial"/>
              </w:rPr>
            </w:pPr>
          </w:p>
        </w:tc>
        <w:tc>
          <w:tcPr>
            <w:tcW w:w="1276" w:type="dxa"/>
            <w:vMerge/>
          </w:tcPr>
          <w:p w14:paraId="2BE2C550" w14:textId="77777777" w:rsidR="001C7687" w:rsidRPr="001C7687" w:rsidRDefault="001C7687">
            <w:pPr>
              <w:suppressAutoHyphens/>
              <w:spacing w:after="0"/>
              <w:rPr>
                <w:rFonts w:cs="Arial"/>
              </w:rPr>
            </w:pPr>
          </w:p>
        </w:tc>
        <w:tc>
          <w:tcPr>
            <w:tcW w:w="1417" w:type="dxa"/>
            <w:vMerge/>
          </w:tcPr>
          <w:p w14:paraId="35B8594B" w14:textId="77777777" w:rsidR="001C7687" w:rsidRPr="001C7687" w:rsidRDefault="001C7687">
            <w:pPr>
              <w:suppressAutoHyphens/>
              <w:spacing w:after="0"/>
              <w:rPr>
                <w:rFonts w:cs="Arial"/>
              </w:rPr>
            </w:pPr>
          </w:p>
        </w:tc>
        <w:tc>
          <w:tcPr>
            <w:tcW w:w="1843" w:type="dxa"/>
          </w:tcPr>
          <w:p w14:paraId="7C4653CE" w14:textId="77777777" w:rsidR="001C7687" w:rsidRPr="001C7687" w:rsidRDefault="001C7687">
            <w:pPr>
              <w:suppressAutoHyphens/>
              <w:spacing w:after="0"/>
              <w:rPr>
                <w:rFonts w:cs="Arial"/>
              </w:rPr>
            </w:pPr>
            <w:r w:rsidRPr="001C7687">
              <w:rPr>
                <w:rFonts w:cs="Arial"/>
              </w:rPr>
              <w:t>PATH Curriculum Checklist (PATH CC)</w:t>
            </w:r>
          </w:p>
        </w:tc>
        <w:tc>
          <w:tcPr>
            <w:tcW w:w="2268" w:type="dxa"/>
          </w:tcPr>
          <w:p w14:paraId="310A0391" w14:textId="77777777" w:rsidR="001C7687" w:rsidRPr="001C7687" w:rsidRDefault="001C7687">
            <w:pPr>
              <w:suppressAutoHyphens/>
              <w:spacing w:after="0"/>
              <w:rPr>
                <w:rFonts w:cs="Arial"/>
              </w:rPr>
            </w:pPr>
            <w:r w:rsidRPr="001C7687">
              <w:rPr>
                <w:rFonts w:cs="Arial"/>
              </w:rPr>
              <w:t xml:space="preserve">As above </w:t>
            </w:r>
          </w:p>
        </w:tc>
        <w:tc>
          <w:tcPr>
            <w:tcW w:w="5670" w:type="dxa"/>
            <w:vMerge/>
          </w:tcPr>
          <w:p w14:paraId="6837A392" w14:textId="77777777" w:rsidR="001C7687" w:rsidRPr="001C7687" w:rsidRDefault="001C7687">
            <w:pPr>
              <w:suppressAutoHyphens/>
              <w:spacing w:after="0"/>
              <w:rPr>
                <w:rFonts w:cs="Arial"/>
              </w:rPr>
            </w:pPr>
          </w:p>
        </w:tc>
      </w:tr>
      <w:tr w:rsidR="001C7687" w:rsidRPr="001C7687" w14:paraId="2BCCC9BD"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257ED31B" w14:textId="77777777" w:rsidR="001C7687" w:rsidRPr="001C7687" w:rsidRDefault="001C7687">
            <w:pPr>
              <w:suppressAutoHyphens/>
              <w:spacing w:after="0"/>
              <w:rPr>
                <w:rFonts w:cs="Arial"/>
              </w:rPr>
            </w:pPr>
          </w:p>
        </w:tc>
        <w:tc>
          <w:tcPr>
            <w:tcW w:w="1276" w:type="dxa"/>
            <w:vMerge/>
          </w:tcPr>
          <w:p w14:paraId="0D757FB0" w14:textId="77777777" w:rsidR="001C7687" w:rsidRPr="001C7687" w:rsidRDefault="001C7687">
            <w:pPr>
              <w:suppressAutoHyphens/>
              <w:spacing w:after="0"/>
              <w:rPr>
                <w:rFonts w:cs="Arial"/>
              </w:rPr>
            </w:pPr>
          </w:p>
        </w:tc>
        <w:tc>
          <w:tcPr>
            <w:tcW w:w="1417" w:type="dxa"/>
            <w:vMerge/>
          </w:tcPr>
          <w:p w14:paraId="6FB04459" w14:textId="77777777" w:rsidR="001C7687" w:rsidRPr="001C7687" w:rsidRDefault="001C7687">
            <w:pPr>
              <w:suppressAutoHyphens/>
              <w:spacing w:after="0"/>
              <w:rPr>
                <w:rFonts w:cs="Arial"/>
              </w:rPr>
            </w:pPr>
          </w:p>
        </w:tc>
        <w:tc>
          <w:tcPr>
            <w:tcW w:w="1843" w:type="dxa"/>
          </w:tcPr>
          <w:p w14:paraId="583AFA20" w14:textId="77777777" w:rsidR="001C7687" w:rsidRPr="001C7687" w:rsidRDefault="001C7687">
            <w:pPr>
              <w:suppressAutoHyphens/>
              <w:spacing w:after="0"/>
              <w:rPr>
                <w:rFonts w:cs="Arial"/>
              </w:rPr>
            </w:pPr>
            <w:r w:rsidRPr="001C7687">
              <w:rPr>
                <w:rFonts w:cs="Arial"/>
              </w:rPr>
              <w:t>Vineland Adaptive Behaviour Scale (VABS-II)</w:t>
            </w:r>
          </w:p>
        </w:tc>
        <w:tc>
          <w:tcPr>
            <w:tcW w:w="2268" w:type="dxa"/>
          </w:tcPr>
          <w:p w14:paraId="699A77C3"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65F16162" w14:textId="77777777" w:rsidR="001C7687" w:rsidRPr="001C7687" w:rsidRDefault="001C7687">
            <w:pPr>
              <w:suppressAutoHyphens/>
              <w:spacing w:after="0"/>
              <w:rPr>
                <w:rFonts w:cs="Arial"/>
              </w:rPr>
            </w:pPr>
            <w:r w:rsidRPr="001C7687">
              <w:rPr>
                <w:rFonts w:cs="Arial"/>
              </w:rPr>
              <w:t>No evidence of a difference in adaptive behaviour between groups throughout the intervention period.</w:t>
            </w:r>
          </w:p>
          <w:p w14:paraId="7831DBDE" w14:textId="77777777" w:rsidR="001C7687" w:rsidRPr="001C7687" w:rsidRDefault="001C7687">
            <w:pPr>
              <w:suppressAutoHyphens/>
              <w:spacing w:after="0"/>
              <w:rPr>
                <w:rFonts w:cs="Arial"/>
              </w:rPr>
            </w:pPr>
          </w:p>
        </w:tc>
      </w:tr>
      <w:tr w:rsidR="001C7687" w:rsidRPr="001C7687" w14:paraId="1C92FDCD"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6A641553" w14:textId="77777777" w:rsidR="001C7687" w:rsidRPr="001C7687" w:rsidRDefault="001C7687">
            <w:pPr>
              <w:suppressAutoHyphens/>
              <w:spacing w:after="0"/>
              <w:rPr>
                <w:rFonts w:cs="Arial"/>
              </w:rPr>
            </w:pPr>
            <w:r w:rsidRPr="001C7687">
              <w:rPr>
                <w:rFonts w:cs="Arial"/>
                <w:b/>
              </w:rPr>
              <w:t>iBASIS - Video Interaction for Promoting Positive Parenting program</w:t>
            </w:r>
          </w:p>
        </w:tc>
      </w:tr>
      <w:tr w:rsidR="001C7687" w:rsidRPr="001C7687" w14:paraId="3420A9B4"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4E1F637C" w14:textId="77777777" w:rsidR="001C7687" w:rsidRPr="001C7687" w:rsidRDefault="001C7687">
            <w:pPr>
              <w:suppressAutoHyphens/>
              <w:spacing w:after="0"/>
              <w:rPr>
                <w:rFonts w:cs="Arial"/>
                <w:b/>
              </w:rPr>
            </w:pPr>
            <w:r w:rsidRPr="001C7687">
              <w:rPr>
                <w:rFonts w:cs="Arial"/>
                <w:b/>
              </w:rPr>
              <w:t xml:space="preserve">Whitehouse </w:t>
            </w:r>
          </w:p>
          <w:p w14:paraId="253866DD" w14:textId="77777777" w:rsidR="001C7687" w:rsidRPr="001C7687" w:rsidRDefault="001C7687">
            <w:pPr>
              <w:suppressAutoHyphens/>
              <w:spacing w:after="0"/>
              <w:rPr>
                <w:rFonts w:cs="Arial"/>
              </w:rPr>
            </w:pPr>
            <w:r w:rsidRPr="001C7687">
              <w:rPr>
                <w:rFonts w:cs="Arial"/>
                <w:b/>
              </w:rPr>
              <w:t>2021</w:t>
            </w:r>
          </w:p>
        </w:tc>
        <w:tc>
          <w:tcPr>
            <w:tcW w:w="1276" w:type="dxa"/>
            <w:vMerge w:val="restart"/>
          </w:tcPr>
          <w:p w14:paraId="7FCEE574" w14:textId="77777777" w:rsidR="001C7687" w:rsidRPr="001C7687" w:rsidRDefault="001C7687">
            <w:pPr>
              <w:suppressAutoHyphens/>
              <w:spacing w:after="0"/>
              <w:rPr>
                <w:rFonts w:cs="Arial"/>
              </w:rPr>
            </w:pPr>
            <w:r w:rsidRPr="001C7687">
              <w:rPr>
                <w:rFonts w:cs="Arial"/>
              </w:rPr>
              <w:t>iBASIS-VIPP (n=44)</w:t>
            </w:r>
          </w:p>
        </w:tc>
        <w:tc>
          <w:tcPr>
            <w:tcW w:w="1417" w:type="dxa"/>
            <w:vMerge w:val="restart"/>
          </w:tcPr>
          <w:p w14:paraId="3F4583AF" w14:textId="77777777" w:rsidR="001C7687" w:rsidRPr="001C7687" w:rsidRDefault="001C7687">
            <w:pPr>
              <w:suppressAutoHyphens/>
              <w:spacing w:after="0"/>
              <w:rPr>
                <w:rFonts w:cs="Arial"/>
              </w:rPr>
            </w:pPr>
            <w:r w:rsidRPr="001C7687">
              <w:rPr>
                <w:rFonts w:cs="Arial"/>
              </w:rPr>
              <w:t>SAU (n=45)</w:t>
            </w:r>
          </w:p>
        </w:tc>
        <w:tc>
          <w:tcPr>
            <w:tcW w:w="1843" w:type="dxa"/>
          </w:tcPr>
          <w:p w14:paraId="68D9A3AB" w14:textId="77777777" w:rsidR="001C7687" w:rsidRPr="001C7687" w:rsidRDefault="001C7687">
            <w:pPr>
              <w:suppressAutoHyphens/>
              <w:spacing w:after="0"/>
              <w:rPr>
                <w:rFonts w:cs="Arial"/>
              </w:rPr>
            </w:pPr>
            <w:r w:rsidRPr="001C7687">
              <w:rPr>
                <w:rFonts w:cs="Arial"/>
              </w:rPr>
              <w:t>MacArthur Communicative Development Inventories (MCDI)</w:t>
            </w:r>
          </w:p>
        </w:tc>
        <w:tc>
          <w:tcPr>
            <w:tcW w:w="2268" w:type="dxa"/>
          </w:tcPr>
          <w:p w14:paraId="0068C1D3" w14:textId="77777777" w:rsidR="001C7687" w:rsidRPr="001C7687" w:rsidRDefault="001C7687">
            <w:pPr>
              <w:suppressAutoHyphens/>
              <w:spacing w:after="0"/>
              <w:rPr>
                <w:rFonts w:cs="Arial"/>
              </w:rPr>
            </w:pPr>
            <w:r w:rsidRPr="001C7687">
              <w:rPr>
                <w:rFonts w:cs="Arial"/>
              </w:rPr>
              <w:t>Baseline;</w:t>
            </w:r>
          </w:p>
          <w:p w14:paraId="4DE061F1" w14:textId="77777777" w:rsidR="001C7687" w:rsidRPr="001C7687" w:rsidRDefault="001C7687">
            <w:pPr>
              <w:suppressAutoHyphens/>
              <w:spacing w:after="0"/>
              <w:rPr>
                <w:rFonts w:cs="Arial"/>
              </w:rPr>
            </w:pPr>
            <w:r w:rsidRPr="001C7687">
              <w:rPr>
                <w:rFonts w:cs="Arial"/>
              </w:rPr>
              <w:t>Post-intervention (6 months);</w:t>
            </w:r>
          </w:p>
          <w:p w14:paraId="341A2D6D" w14:textId="77777777" w:rsidR="001C7687" w:rsidRPr="001C7687" w:rsidRDefault="001C7687">
            <w:pPr>
              <w:suppressAutoHyphens/>
              <w:spacing w:after="0"/>
              <w:rPr>
                <w:rFonts w:cs="Arial"/>
              </w:rPr>
            </w:pPr>
            <w:r w:rsidRPr="001C7687">
              <w:rPr>
                <w:rFonts w:cs="Arial"/>
              </w:rPr>
              <w:t>Follow up (12 months); Follow up (24 months)</w:t>
            </w:r>
          </w:p>
        </w:tc>
        <w:tc>
          <w:tcPr>
            <w:tcW w:w="5670" w:type="dxa"/>
          </w:tcPr>
          <w:p w14:paraId="6B4D6C69" w14:textId="77777777" w:rsidR="001C7687" w:rsidRPr="001C7687" w:rsidRDefault="001C7687">
            <w:pPr>
              <w:suppressAutoHyphens/>
              <w:spacing w:after="0"/>
              <w:rPr>
                <w:rFonts w:cs="Arial"/>
              </w:rPr>
            </w:pPr>
            <w:r w:rsidRPr="001C7687">
              <w:rPr>
                <w:rFonts w:cs="Arial"/>
              </w:rPr>
              <w:t>Evidence of improvements in expressive vocabulary, receptive vocabulary, and gestures for the iBASIS-VIPP group.</w:t>
            </w:r>
          </w:p>
          <w:p w14:paraId="1444F2BB" w14:textId="77777777" w:rsidR="001C7687" w:rsidRPr="001C7687" w:rsidRDefault="001C7687">
            <w:pPr>
              <w:suppressAutoHyphens/>
              <w:spacing w:after="0"/>
              <w:rPr>
                <w:rFonts w:cs="Arial"/>
              </w:rPr>
            </w:pPr>
          </w:p>
        </w:tc>
      </w:tr>
      <w:tr w:rsidR="001C7687" w:rsidRPr="001C7687" w14:paraId="456E887A"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641B39F3" w14:textId="77777777" w:rsidR="001C7687" w:rsidRPr="001C7687" w:rsidRDefault="001C7687">
            <w:pPr>
              <w:suppressAutoHyphens/>
              <w:spacing w:after="0"/>
              <w:rPr>
                <w:rFonts w:cs="Arial"/>
              </w:rPr>
            </w:pPr>
          </w:p>
        </w:tc>
        <w:tc>
          <w:tcPr>
            <w:tcW w:w="1276" w:type="dxa"/>
            <w:vMerge/>
          </w:tcPr>
          <w:p w14:paraId="038B1E23" w14:textId="77777777" w:rsidR="001C7687" w:rsidRPr="001C7687" w:rsidRDefault="001C7687">
            <w:pPr>
              <w:suppressAutoHyphens/>
              <w:spacing w:after="0"/>
              <w:rPr>
                <w:rFonts w:cs="Arial"/>
              </w:rPr>
            </w:pPr>
          </w:p>
        </w:tc>
        <w:tc>
          <w:tcPr>
            <w:tcW w:w="1417" w:type="dxa"/>
            <w:vMerge/>
          </w:tcPr>
          <w:p w14:paraId="0B0FC5B0" w14:textId="77777777" w:rsidR="001C7687" w:rsidRPr="001C7687" w:rsidRDefault="001C7687">
            <w:pPr>
              <w:suppressAutoHyphens/>
              <w:spacing w:after="0"/>
              <w:rPr>
                <w:rFonts w:cs="Arial"/>
              </w:rPr>
            </w:pPr>
          </w:p>
        </w:tc>
        <w:tc>
          <w:tcPr>
            <w:tcW w:w="1843" w:type="dxa"/>
          </w:tcPr>
          <w:p w14:paraId="771FA16A" w14:textId="77777777" w:rsidR="001C7687" w:rsidRPr="001C7687" w:rsidRDefault="001C7687">
            <w:pPr>
              <w:suppressAutoHyphens/>
              <w:spacing w:after="0"/>
              <w:rPr>
                <w:rFonts w:cs="Arial"/>
              </w:rPr>
            </w:pPr>
            <w:r w:rsidRPr="001C7687">
              <w:rPr>
                <w:rFonts w:cs="Arial"/>
              </w:rPr>
              <w:t>Manchester Assessment of Caregiver-Infant Interaction (MACI)</w:t>
            </w:r>
          </w:p>
        </w:tc>
        <w:tc>
          <w:tcPr>
            <w:tcW w:w="2268" w:type="dxa"/>
          </w:tcPr>
          <w:p w14:paraId="13804D5B" w14:textId="77777777" w:rsidR="001C7687" w:rsidRPr="001C7687" w:rsidRDefault="001C7687">
            <w:pPr>
              <w:suppressAutoHyphens/>
              <w:spacing w:after="0"/>
              <w:rPr>
                <w:rFonts w:cs="Arial"/>
              </w:rPr>
            </w:pPr>
            <w:r w:rsidRPr="001C7687">
              <w:rPr>
                <w:rFonts w:cs="Arial"/>
              </w:rPr>
              <w:t>As above</w:t>
            </w:r>
          </w:p>
        </w:tc>
        <w:tc>
          <w:tcPr>
            <w:tcW w:w="5670" w:type="dxa"/>
          </w:tcPr>
          <w:p w14:paraId="3C245A79" w14:textId="77777777" w:rsidR="001C7687" w:rsidRPr="001C7687" w:rsidRDefault="001C7687">
            <w:pPr>
              <w:suppressAutoHyphens/>
              <w:spacing w:after="0"/>
              <w:rPr>
                <w:rFonts w:cs="Arial"/>
              </w:rPr>
            </w:pPr>
            <w:r w:rsidRPr="001C7687">
              <w:rPr>
                <w:rFonts w:cs="Arial"/>
              </w:rPr>
              <w:t>Evidence of increased caregiver sensitive responsiveness at the 24-month follow up for the iBASIS-VIPP group.</w:t>
            </w:r>
          </w:p>
          <w:p w14:paraId="59AFB98F" w14:textId="77777777" w:rsidR="001C7687" w:rsidRPr="001C7687" w:rsidRDefault="001C7687">
            <w:pPr>
              <w:suppressAutoHyphens/>
              <w:spacing w:after="0"/>
              <w:rPr>
                <w:rFonts w:cs="Arial"/>
              </w:rPr>
            </w:pPr>
            <w:r w:rsidRPr="001C7687">
              <w:rPr>
                <w:rFonts w:cs="Arial"/>
              </w:rPr>
              <w:t>No evidence of a difference between groups for caregiver non-directiveness, infant attentiveness and infant positive affect over time.</w:t>
            </w:r>
          </w:p>
        </w:tc>
      </w:tr>
      <w:tr w:rsidR="001C7687" w:rsidRPr="001C7687" w14:paraId="02A7CEED"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3C768EE1" w14:textId="77777777" w:rsidR="001C7687" w:rsidRPr="001C7687" w:rsidRDefault="001C7687">
            <w:pPr>
              <w:suppressAutoHyphens/>
              <w:spacing w:after="0"/>
              <w:rPr>
                <w:rFonts w:cs="Arial"/>
              </w:rPr>
            </w:pPr>
          </w:p>
        </w:tc>
        <w:tc>
          <w:tcPr>
            <w:tcW w:w="1276" w:type="dxa"/>
            <w:vMerge/>
          </w:tcPr>
          <w:p w14:paraId="2B54306C" w14:textId="77777777" w:rsidR="001C7687" w:rsidRPr="001C7687" w:rsidRDefault="001C7687">
            <w:pPr>
              <w:suppressAutoHyphens/>
              <w:spacing w:after="0"/>
              <w:rPr>
                <w:rFonts w:cs="Arial"/>
              </w:rPr>
            </w:pPr>
          </w:p>
        </w:tc>
        <w:tc>
          <w:tcPr>
            <w:tcW w:w="1417" w:type="dxa"/>
            <w:vMerge/>
          </w:tcPr>
          <w:p w14:paraId="57D25B2D" w14:textId="77777777" w:rsidR="001C7687" w:rsidRPr="001C7687" w:rsidRDefault="001C7687">
            <w:pPr>
              <w:suppressAutoHyphens/>
              <w:spacing w:after="0"/>
              <w:rPr>
                <w:rFonts w:cs="Arial"/>
              </w:rPr>
            </w:pPr>
          </w:p>
        </w:tc>
        <w:tc>
          <w:tcPr>
            <w:tcW w:w="1843" w:type="dxa"/>
          </w:tcPr>
          <w:p w14:paraId="3C00B32D" w14:textId="77777777" w:rsidR="001C7687" w:rsidRPr="001C7687" w:rsidRDefault="001C7687">
            <w:pPr>
              <w:suppressAutoHyphens/>
              <w:spacing w:after="0"/>
              <w:rPr>
                <w:rFonts w:cs="Arial"/>
              </w:rPr>
            </w:pPr>
            <w:r w:rsidRPr="001C7687">
              <w:rPr>
                <w:rFonts w:cs="Arial"/>
              </w:rPr>
              <w:t>Mullen Scales of Early Learning (MSEL),</w:t>
            </w:r>
          </w:p>
        </w:tc>
        <w:tc>
          <w:tcPr>
            <w:tcW w:w="2268" w:type="dxa"/>
          </w:tcPr>
          <w:p w14:paraId="01E6996C" w14:textId="77777777" w:rsidR="001C7687" w:rsidRPr="001C7687" w:rsidRDefault="001C7687">
            <w:pPr>
              <w:suppressAutoHyphens/>
              <w:spacing w:after="0"/>
              <w:rPr>
                <w:rFonts w:cs="Arial"/>
              </w:rPr>
            </w:pPr>
            <w:r w:rsidRPr="001C7687">
              <w:rPr>
                <w:rFonts w:cs="Arial"/>
              </w:rPr>
              <w:t>As above</w:t>
            </w:r>
          </w:p>
        </w:tc>
        <w:tc>
          <w:tcPr>
            <w:tcW w:w="5670" w:type="dxa"/>
          </w:tcPr>
          <w:p w14:paraId="06987012" w14:textId="77777777" w:rsidR="001C7687" w:rsidRPr="001C7687" w:rsidRDefault="001C7687">
            <w:pPr>
              <w:suppressAutoHyphens/>
              <w:spacing w:after="0"/>
              <w:rPr>
                <w:rFonts w:cs="Arial"/>
              </w:rPr>
            </w:pPr>
            <w:r w:rsidRPr="001C7687">
              <w:rPr>
                <w:rFonts w:cs="Arial"/>
              </w:rPr>
              <w:t>No evidence of a difference between groups for receptive language, expressive language, and visual reception over time.</w:t>
            </w:r>
          </w:p>
          <w:p w14:paraId="21101FFC" w14:textId="77777777" w:rsidR="001C7687" w:rsidRPr="001C7687" w:rsidRDefault="001C7687">
            <w:pPr>
              <w:suppressAutoHyphens/>
              <w:spacing w:after="0"/>
              <w:rPr>
                <w:rFonts w:cs="Arial"/>
              </w:rPr>
            </w:pPr>
          </w:p>
        </w:tc>
      </w:tr>
      <w:tr w:rsidR="001C7687" w:rsidRPr="001C7687" w14:paraId="02B9E846"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7ABA17C3" w14:textId="77777777" w:rsidR="001C7687" w:rsidRPr="001C7687" w:rsidRDefault="001C7687">
            <w:pPr>
              <w:suppressAutoHyphens/>
              <w:spacing w:after="0"/>
              <w:rPr>
                <w:rFonts w:cs="Arial"/>
              </w:rPr>
            </w:pPr>
          </w:p>
        </w:tc>
        <w:tc>
          <w:tcPr>
            <w:tcW w:w="1276" w:type="dxa"/>
            <w:vMerge/>
          </w:tcPr>
          <w:p w14:paraId="502E807D" w14:textId="77777777" w:rsidR="001C7687" w:rsidRPr="001C7687" w:rsidRDefault="001C7687">
            <w:pPr>
              <w:suppressAutoHyphens/>
              <w:spacing w:after="0"/>
              <w:rPr>
                <w:rFonts w:cs="Arial"/>
              </w:rPr>
            </w:pPr>
          </w:p>
        </w:tc>
        <w:tc>
          <w:tcPr>
            <w:tcW w:w="1417" w:type="dxa"/>
            <w:vMerge/>
          </w:tcPr>
          <w:p w14:paraId="2304145A" w14:textId="77777777" w:rsidR="001C7687" w:rsidRPr="001C7687" w:rsidRDefault="001C7687">
            <w:pPr>
              <w:suppressAutoHyphens/>
              <w:spacing w:after="0"/>
              <w:rPr>
                <w:rFonts w:cs="Arial"/>
              </w:rPr>
            </w:pPr>
          </w:p>
        </w:tc>
        <w:tc>
          <w:tcPr>
            <w:tcW w:w="1843" w:type="dxa"/>
          </w:tcPr>
          <w:p w14:paraId="6E8D8B79" w14:textId="77777777" w:rsidR="001C7687" w:rsidRPr="001C7687" w:rsidRDefault="001C7687">
            <w:pPr>
              <w:suppressAutoHyphens/>
              <w:spacing w:after="0"/>
              <w:rPr>
                <w:rFonts w:cs="Arial"/>
              </w:rPr>
            </w:pPr>
            <w:r w:rsidRPr="001C7687">
              <w:rPr>
                <w:rFonts w:cs="Arial"/>
              </w:rPr>
              <w:t>Vineland Adaptive Behaviour Scale (VABS-II)</w:t>
            </w:r>
          </w:p>
        </w:tc>
        <w:tc>
          <w:tcPr>
            <w:tcW w:w="2268" w:type="dxa"/>
          </w:tcPr>
          <w:p w14:paraId="472C8570"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1207E37F" w14:textId="77777777" w:rsidR="001C7687" w:rsidRPr="001C7687" w:rsidRDefault="001C7687">
            <w:pPr>
              <w:suppressAutoHyphens/>
              <w:spacing w:after="0"/>
              <w:rPr>
                <w:rFonts w:cs="Arial"/>
              </w:rPr>
            </w:pPr>
            <w:r w:rsidRPr="001C7687">
              <w:rPr>
                <w:rFonts w:cs="Arial"/>
              </w:rPr>
              <w:t>No evidence of a difference between groups for adaptive behaviour over time.</w:t>
            </w:r>
          </w:p>
          <w:p w14:paraId="53AF2F64" w14:textId="77777777" w:rsidR="001C7687" w:rsidRPr="001C7687" w:rsidRDefault="001C7687">
            <w:pPr>
              <w:suppressAutoHyphens/>
              <w:spacing w:after="0"/>
              <w:rPr>
                <w:rFonts w:cs="Arial"/>
              </w:rPr>
            </w:pPr>
          </w:p>
        </w:tc>
      </w:tr>
      <w:tr w:rsidR="001C7687" w:rsidRPr="001C7687" w14:paraId="5DB967F3" w14:textId="77777777">
        <w:trPr>
          <w:cnfStyle w:val="000000010000" w:firstRow="0" w:lastRow="0" w:firstColumn="0" w:lastColumn="0" w:oddVBand="0" w:evenVBand="0" w:oddHBand="0" w:evenHBand="1" w:firstRowFirstColumn="0" w:firstRowLastColumn="0" w:lastRowFirstColumn="0" w:lastRowLastColumn="0"/>
          <w:trHeight w:val="340"/>
        </w:trPr>
        <w:tc>
          <w:tcPr>
            <w:tcW w:w="13892" w:type="dxa"/>
            <w:gridSpan w:val="6"/>
            <w:shd w:val="clear" w:color="auto" w:fill="DAE2E6"/>
          </w:tcPr>
          <w:p w14:paraId="311069D9" w14:textId="77777777" w:rsidR="001C7687" w:rsidRPr="001C7687" w:rsidRDefault="001C7687">
            <w:pPr>
              <w:suppressAutoHyphens/>
              <w:spacing w:after="0"/>
              <w:rPr>
                <w:rFonts w:cs="Arial"/>
              </w:rPr>
            </w:pPr>
            <w:r w:rsidRPr="001C7687">
              <w:rPr>
                <w:rFonts w:cs="Arial"/>
                <w:b/>
              </w:rPr>
              <w:t>Internet-delivered Parent-Child Interaction Therapy (iPCIT)</w:t>
            </w:r>
          </w:p>
        </w:tc>
      </w:tr>
      <w:tr w:rsidR="001C7687" w:rsidRPr="001C7687" w14:paraId="2342721F"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val="restart"/>
          </w:tcPr>
          <w:p w14:paraId="2CD5B603" w14:textId="77777777" w:rsidR="001C7687" w:rsidRPr="001C7687" w:rsidRDefault="001C7687">
            <w:pPr>
              <w:suppressAutoHyphens/>
              <w:spacing w:after="0"/>
              <w:rPr>
                <w:rFonts w:cs="Arial"/>
                <w:b/>
              </w:rPr>
            </w:pPr>
            <w:r w:rsidRPr="001C7687">
              <w:rPr>
                <w:rFonts w:cs="Arial"/>
                <w:b/>
              </w:rPr>
              <w:t xml:space="preserve">Bagner </w:t>
            </w:r>
          </w:p>
          <w:p w14:paraId="1DB457AD" w14:textId="77777777" w:rsidR="001C7687" w:rsidRPr="001C7687" w:rsidRDefault="001C7687">
            <w:pPr>
              <w:suppressAutoHyphens/>
              <w:spacing w:after="0"/>
              <w:rPr>
                <w:rFonts w:cs="Arial"/>
              </w:rPr>
            </w:pPr>
            <w:r w:rsidRPr="001C7687">
              <w:rPr>
                <w:rFonts w:cs="Arial"/>
                <w:b/>
              </w:rPr>
              <w:t>2023</w:t>
            </w:r>
          </w:p>
        </w:tc>
        <w:tc>
          <w:tcPr>
            <w:tcW w:w="1276" w:type="dxa"/>
            <w:vMerge w:val="restart"/>
          </w:tcPr>
          <w:p w14:paraId="2A943F5F" w14:textId="77777777" w:rsidR="001C7687" w:rsidRPr="001C7687" w:rsidRDefault="001C7687">
            <w:pPr>
              <w:suppressAutoHyphens/>
              <w:spacing w:after="0"/>
              <w:rPr>
                <w:rFonts w:cs="Arial"/>
              </w:rPr>
            </w:pPr>
            <w:r w:rsidRPr="001C7687">
              <w:rPr>
                <w:rFonts w:cs="Arial"/>
              </w:rPr>
              <w:t xml:space="preserve">IPCIT </w:t>
            </w:r>
          </w:p>
          <w:p w14:paraId="144FE9D8" w14:textId="77777777" w:rsidR="001C7687" w:rsidRPr="001C7687" w:rsidRDefault="001C7687">
            <w:pPr>
              <w:suppressAutoHyphens/>
              <w:spacing w:after="0"/>
              <w:rPr>
                <w:rFonts w:cs="Arial"/>
              </w:rPr>
            </w:pPr>
            <w:r w:rsidRPr="001C7687">
              <w:rPr>
                <w:rFonts w:cs="Arial"/>
              </w:rPr>
              <w:t>(n=75)</w:t>
            </w:r>
          </w:p>
        </w:tc>
        <w:tc>
          <w:tcPr>
            <w:tcW w:w="1417" w:type="dxa"/>
            <w:vMerge w:val="restart"/>
          </w:tcPr>
          <w:p w14:paraId="58CABE23" w14:textId="77777777" w:rsidR="001C7687" w:rsidRPr="001C7687" w:rsidRDefault="001C7687">
            <w:pPr>
              <w:suppressAutoHyphens/>
              <w:spacing w:after="0"/>
              <w:rPr>
                <w:rFonts w:cs="Arial"/>
              </w:rPr>
            </w:pPr>
            <w:r w:rsidRPr="001C7687">
              <w:rPr>
                <w:rFonts w:cs="Arial"/>
              </w:rPr>
              <w:t>SAU</w:t>
            </w:r>
          </w:p>
          <w:p w14:paraId="74ED272B" w14:textId="77777777" w:rsidR="001C7687" w:rsidRPr="001C7687" w:rsidRDefault="001C7687">
            <w:pPr>
              <w:suppressAutoHyphens/>
              <w:spacing w:after="0"/>
              <w:rPr>
                <w:rFonts w:cs="Arial"/>
              </w:rPr>
            </w:pPr>
            <w:r w:rsidRPr="001C7687">
              <w:rPr>
                <w:rFonts w:cs="Arial"/>
              </w:rPr>
              <w:t>(n=75)</w:t>
            </w:r>
          </w:p>
        </w:tc>
        <w:tc>
          <w:tcPr>
            <w:tcW w:w="1843" w:type="dxa"/>
          </w:tcPr>
          <w:p w14:paraId="49049063" w14:textId="77777777" w:rsidR="001C7687" w:rsidRPr="001C7687" w:rsidRDefault="001C7687">
            <w:pPr>
              <w:suppressAutoHyphens/>
              <w:spacing w:after="0"/>
              <w:rPr>
                <w:rFonts w:cs="Arial"/>
              </w:rPr>
            </w:pPr>
            <w:r w:rsidRPr="001C7687">
              <w:rPr>
                <w:rFonts w:cs="Arial"/>
              </w:rPr>
              <w:t>Child Behaviour Checklist (CBCL)</w:t>
            </w:r>
          </w:p>
        </w:tc>
        <w:tc>
          <w:tcPr>
            <w:tcW w:w="2268" w:type="dxa"/>
          </w:tcPr>
          <w:p w14:paraId="4F23F1DE" w14:textId="77777777" w:rsidR="001C7687" w:rsidRPr="001C7687" w:rsidRDefault="001C7687">
            <w:pPr>
              <w:suppressAutoHyphens/>
              <w:spacing w:after="0"/>
              <w:rPr>
                <w:rFonts w:cs="Arial"/>
              </w:rPr>
            </w:pPr>
            <w:r w:rsidRPr="001C7687">
              <w:rPr>
                <w:rFonts w:cs="Arial"/>
              </w:rPr>
              <w:t xml:space="preserve">Baseline; </w:t>
            </w:r>
          </w:p>
          <w:p w14:paraId="3102AB90" w14:textId="77777777" w:rsidR="001C7687" w:rsidRPr="001C7687" w:rsidRDefault="001C7687">
            <w:pPr>
              <w:suppressAutoHyphens/>
              <w:spacing w:after="0"/>
              <w:rPr>
                <w:rFonts w:cs="Arial"/>
              </w:rPr>
            </w:pPr>
            <w:r w:rsidRPr="001C7687">
              <w:rPr>
                <w:rFonts w:cs="Arial"/>
              </w:rPr>
              <w:t xml:space="preserve">Mid-intervention; </w:t>
            </w:r>
          </w:p>
          <w:p w14:paraId="4E7C8BF4" w14:textId="77777777" w:rsidR="001C7687" w:rsidRPr="001C7687" w:rsidRDefault="001C7687">
            <w:pPr>
              <w:suppressAutoHyphens/>
              <w:spacing w:after="0"/>
              <w:rPr>
                <w:rFonts w:cs="Arial"/>
              </w:rPr>
            </w:pPr>
            <w:r w:rsidRPr="001C7687">
              <w:rPr>
                <w:rFonts w:cs="Arial"/>
              </w:rPr>
              <w:t>Post-intervention; Follow up (6 month); Follow up (12 month)</w:t>
            </w:r>
          </w:p>
        </w:tc>
        <w:tc>
          <w:tcPr>
            <w:tcW w:w="5670" w:type="dxa"/>
          </w:tcPr>
          <w:p w14:paraId="1B11E4E9" w14:textId="77777777" w:rsidR="001C7687" w:rsidRPr="001C7687" w:rsidRDefault="001C7687">
            <w:pPr>
              <w:suppressAutoHyphens/>
              <w:spacing w:after="0"/>
              <w:rPr>
                <w:rFonts w:cs="Arial"/>
              </w:rPr>
            </w:pPr>
            <w:r w:rsidRPr="001C7687">
              <w:rPr>
                <w:rFonts w:cs="Arial"/>
              </w:rPr>
              <w:t xml:space="preserve">All groups of children showed decreased child externalising problems over time. </w:t>
            </w:r>
          </w:p>
          <w:p w14:paraId="18878D3F" w14:textId="77777777" w:rsidR="001C7687" w:rsidRPr="001C7687" w:rsidRDefault="001C7687">
            <w:pPr>
              <w:suppressAutoHyphens/>
              <w:spacing w:after="0"/>
              <w:rPr>
                <w:rFonts w:cs="Arial"/>
              </w:rPr>
            </w:pPr>
            <w:r w:rsidRPr="001C7687">
              <w:rPr>
                <w:rFonts w:cs="Arial"/>
              </w:rPr>
              <w:t>Evidence of a greater number of children who demonstrated clinically important change at post-intervention and 6-month follow up for the iPCIT group. No evidence of effects was found at</w:t>
            </w:r>
            <w:r w:rsidRPr="001C7687" w:rsidDel="00FE7FE5">
              <w:rPr>
                <w:rFonts w:cs="Arial"/>
              </w:rPr>
              <w:t xml:space="preserve"> </w:t>
            </w:r>
            <w:r w:rsidRPr="001C7687">
              <w:rPr>
                <w:rFonts w:cs="Arial"/>
              </w:rPr>
              <w:t xml:space="preserve">the 12-month follow up. </w:t>
            </w:r>
          </w:p>
        </w:tc>
      </w:tr>
      <w:tr w:rsidR="001C7687" w:rsidRPr="001C7687" w14:paraId="2E6799EA"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4720C6A2" w14:textId="77777777" w:rsidR="001C7687" w:rsidRPr="001C7687" w:rsidRDefault="001C7687">
            <w:pPr>
              <w:suppressAutoHyphens/>
              <w:spacing w:after="0"/>
              <w:rPr>
                <w:rFonts w:cs="Arial"/>
              </w:rPr>
            </w:pPr>
          </w:p>
        </w:tc>
        <w:tc>
          <w:tcPr>
            <w:tcW w:w="1276" w:type="dxa"/>
            <w:vMerge/>
          </w:tcPr>
          <w:p w14:paraId="4F71179B" w14:textId="77777777" w:rsidR="001C7687" w:rsidRPr="001C7687" w:rsidRDefault="001C7687">
            <w:pPr>
              <w:suppressAutoHyphens/>
              <w:spacing w:after="0"/>
              <w:rPr>
                <w:rFonts w:cs="Arial"/>
              </w:rPr>
            </w:pPr>
          </w:p>
        </w:tc>
        <w:tc>
          <w:tcPr>
            <w:tcW w:w="1417" w:type="dxa"/>
            <w:vMerge/>
          </w:tcPr>
          <w:p w14:paraId="40A37E95" w14:textId="77777777" w:rsidR="001C7687" w:rsidRPr="001C7687" w:rsidRDefault="001C7687">
            <w:pPr>
              <w:suppressAutoHyphens/>
              <w:spacing w:after="0"/>
              <w:rPr>
                <w:rFonts w:cs="Arial"/>
              </w:rPr>
            </w:pPr>
          </w:p>
        </w:tc>
        <w:tc>
          <w:tcPr>
            <w:tcW w:w="1843" w:type="dxa"/>
          </w:tcPr>
          <w:p w14:paraId="5B3BFBD6" w14:textId="77777777" w:rsidR="001C7687" w:rsidRPr="001C7687" w:rsidRDefault="001C7687">
            <w:pPr>
              <w:suppressAutoHyphens/>
              <w:spacing w:after="0"/>
              <w:rPr>
                <w:rFonts w:cs="Arial"/>
              </w:rPr>
            </w:pPr>
            <w:r w:rsidRPr="001C7687">
              <w:rPr>
                <w:rFonts w:cs="Arial"/>
              </w:rPr>
              <w:t>Dyadic Parent-Child Interaction Coding System (DPICS-4)</w:t>
            </w:r>
          </w:p>
        </w:tc>
        <w:tc>
          <w:tcPr>
            <w:tcW w:w="2268" w:type="dxa"/>
          </w:tcPr>
          <w:p w14:paraId="27391530"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53EEA11C" w14:textId="77777777" w:rsidR="001C7687" w:rsidRPr="001C7687" w:rsidRDefault="001C7687">
            <w:pPr>
              <w:suppressAutoHyphens/>
              <w:spacing w:after="0"/>
              <w:rPr>
                <w:rFonts w:cs="Arial"/>
              </w:rPr>
            </w:pPr>
            <w:r w:rsidRPr="001C7687">
              <w:rPr>
                <w:rFonts w:cs="Arial"/>
              </w:rPr>
              <w:t>Evidence of a greater rate of child compliance for the iPCIT group over time.</w:t>
            </w:r>
          </w:p>
          <w:p w14:paraId="04A7A4BD" w14:textId="77777777" w:rsidR="001C7687" w:rsidRPr="001C7687" w:rsidRDefault="001C7687">
            <w:pPr>
              <w:suppressAutoHyphens/>
              <w:spacing w:after="0"/>
              <w:rPr>
                <w:rFonts w:cs="Arial"/>
              </w:rPr>
            </w:pPr>
            <w:r w:rsidRPr="001C7687">
              <w:rPr>
                <w:rFonts w:cs="Arial"/>
              </w:rPr>
              <w:t xml:space="preserve"> </w:t>
            </w:r>
          </w:p>
        </w:tc>
      </w:tr>
      <w:tr w:rsidR="001C7687" w:rsidRPr="001C7687" w14:paraId="26422BAF"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578862C6" w14:textId="77777777" w:rsidR="001C7687" w:rsidRPr="001C7687" w:rsidRDefault="001C7687">
            <w:pPr>
              <w:suppressAutoHyphens/>
              <w:spacing w:after="0"/>
              <w:rPr>
                <w:rFonts w:cs="Arial"/>
              </w:rPr>
            </w:pPr>
            <w:r w:rsidRPr="001C7687">
              <w:rPr>
                <w:rFonts w:cs="Arial"/>
                <w:b/>
              </w:rPr>
              <w:t>Joint Attention Mediated Learning (JAML)</w:t>
            </w:r>
          </w:p>
        </w:tc>
      </w:tr>
      <w:tr w:rsidR="001C7687" w:rsidRPr="001C7687" w14:paraId="6A575ABC"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tcPr>
          <w:p w14:paraId="5392A5AD" w14:textId="77777777" w:rsidR="001C7687" w:rsidRPr="001C7687" w:rsidRDefault="001C7687">
            <w:pPr>
              <w:suppressAutoHyphens/>
              <w:spacing w:after="0"/>
              <w:rPr>
                <w:rFonts w:cs="Arial"/>
                <w:b/>
              </w:rPr>
            </w:pPr>
            <w:r w:rsidRPr="001C7687">
              <w:rPr>
                <w:rFonts w:cs="Arial"/>
                <w:b/>
              </w:rPr>
              <w:t xml:space="preserve">Schertz </w:t>
            </w:r>
          </w:p>
          <w:p w14:paraId="3BEAB42A" w14:textId="77777777" w:rsidR="001C7687" w:rsidRPr="001C7687" w:rsidRDefault="001C7687">
            <w:pPr>
              <w:suppressAutoHyphens/>
              <w:spacing w:after="0"/>
              <w:rPr>
                <w:rFonts w:cs="Arial"/>
              </w:rPr>
            </w:pPr>
            <w:r w:rsidRPr="001C7687">
              <w:rPr>
                <w:rFonts w:cs="Arial"/>
                <w:b/>
              </w:rPr>
              <w:t>2018</w:t>
            </w:r>
          </w:p>
        </w:tc>
        <w:tc>
          <w:tcPr>
            <w:tcW w:w="1276" w:type="dxa"/>
          </w:tcPr>
          <w:p w14:paraId="360E92B0" w14:textId="77777777" w:rsidR="001C7687" w:rsidRPr="001C7687" w:rsidRDefault="001C7687">
            <w:pPr>
              <w:suppressAutoHyphens/>
              <w:spacing w:after="0"/>
              <w:rPr>
                <w:rFonts w:cs="Arial"/>
              </w:rPr>
            </w:pPr>
            <w:r w:rsidRPr="001C7687">
              <w:rPr>
                <w:rFonts w:cs="Arial"/>
              </w:rPr>
              <w:t xml:space="preserve">JAML </w:t>
            </w:r>
          </w:p>
          <w:p w14:paraId="681E4533" w14:textId="77777777" w:rsidR="001C7687" w:rsidRPr="001C7687" w:rsidRDefault="001C7687">
            <w:pPr>
              <w:suppressAutoHyphens/>
              <w:spacing w:after="0"/>
              <w:rPr>
                <w:rFonts w:cs="Arial"/>
              </w:rPr>
            </w:pPr>
            <w:r w:rsidRPr="001C7687">
              <w:rPr>
                <w:rFonts w:cs="Arial"/>
              </w:rPr>
              <w:t>(n=73)</w:t>
            </w:r>
          </w:p>
        </w:tc>
        <w:tc>
          <w:tcPr>
            <w:tcW w:w="1417" w:type="dxa"/>
          </w:tcPr>
          <w:p w14:paraId="6C519881" w14:textId="77777777" w:rsidR="001C7687" w:rsidRPr="001C7687" w:rsidRDefault="001C7687">
            <w:pPr>
              <w:suppressAutoHyphens/>
              <w:spacing w:after="0"/>
              <w:rPr>
                <w:rFonts w:cs="Arial"/>
              </w:rPr>
            </w:pPr>
            <w:r w:rsidRPr="001C7687">
              <w:rPr>
                <w:rFonts w:cs="Arial"/>
              </w:rPr>
              <w:t>CS (n=71)</w:t>
            </w:r>
          </w:p>
        </w:tc>
        <w:tc>
          <w:tcPr>
            <w:tcW w:w="1843" w:type="dxa"/>
          </w:tcPr>
          <w:p w14:paraId="11548B0C" w14:textId="77777777" w:rsidR="001C7687" w:rsidRPr="001C7687" w:rsidRDefault="001C7687">
            <w:pPr>
              <w:suppressAutoHyphens/>
              <w:spacing w:after="0"/>
              <w:rPr>
                <w:rFonts w:cs="Arial"/>
              </w:rPr>
            </w:pPr>
            <w:r w:rsidRPr="001C7687">
              <w:rPr>
                <w:rFonts w:cs="Arial"/>
              </w:rPr>
              <w:t>Precursors of Joint Attention Measure (PJAM)</w:t>
            </w:r>
          </w:p>
        </w:tc>
        <w:tc>
          <w:tcPr>
            <w:tcW w:w="2268" w:type="dxa"/>
          </w:tcPr>
          <w:p w14:paraId="7366FA56" w14:textId="77777777" w:rsidR="001C7687" w:rsidRPr="001C7687" w:rsidRDefault="001C7687">
            <w:pPr>
              <w:suppressAutoHyphens/>
              <w:spacing w:after="0"/>
              <w:rPr>
                <w:rFonts w:cs="Arial"/>
              </w:rPr>
            </w:pPr>
            <w:r w:rsidRPr="001C7687">
              <w:rPr>
                <w:rFonts w:cs="Arial"/>
              </w:rPr>
              <w:t xml:space="preserve">Baseline; </w:t>
            </w:r>
          </w:p>
          <w:p w14:paraId="509EB12C" w14:textId="77777777" w:rsidR="001C7687" w:rsidRPr="001C7687" w:rsidRDefault="001C7687">
            <w:pPr>
              <w:suppressAutoHyphens/>
              <w:spacing w:after="0"/>
              <w:rPr>
                <w:rFonts w:cs="Arial"/>
              </w:rPr>
            </w:pPr>
            <w:r w:rsidRPr="001C7687">
              <w:rPr>
                <w:rFonts w:cs="Arial"/>
              </w:rPr>
              <w:t xml:space="preserve">Post-intervention; </w:t>
            </w:r>
          </w:p>
          <w:p w14:paraId="72FFCF74" w14:textId="77777777" w:rsidR="001C7687" w:rsidRPr="001C7687" w:rsidRDefault="001C7687">
            <w:pPr>
              <w:suppressAutoHyphens/>
              <w:spacing w:after="0"/>
              <w:rPr>
                <w:rFonts w:cs="Arial"/>
              </w:rPr>
            </w:pPr>
            <w:r w:rsidRPr="001C7687">
              <w:rPr>
                <w:rFonts w:cs="Arial"/>
              </w:rPr>
              <w:t>Follow up</w:t>
            </w:r>
          </w:p>
        </w:tc>
        <w:tc>
          <w:tcPr>
            <w:tcW w:w="5670" w:type="dxa"/>
          </w:tcPr>
          <w:p w14:paraId="5AC6999D" w14:textId="77777777" w:rsidR="001C7687" w:rsidRPr="001C7687" w:rsidRDefault="001C7687">
            <w:pPr>
              <w:suppressAutoHyphens/>
              <w:spacing w:after="0"/>
              <w:rPr>
                <w:rFonts w:cs="Arial"/>
              </w:rPr>
            </w:pPr>
            <w:r w:rsidRPr="001C7687">
              <w:rPr>
                <w:rFonts w:cs="Arial"/>
              </w:rPr>
              <w:t>Evidence of increased behaviours such as focusing on faces, turn taking, and responding to joint attention for the JAML group over time.</w:t>
            </w:r>
          </w:p>
          <w:p w14:paraId="0FFFFB46" w14:textId="77777777" w:rsidR="001C7687" w:rsidRPr="001C7687" w:rsidRDefault="001C7687">
            <w:pPr>
              <w:suppressAutoHyphens/>
              <w:spacing w:after="0"/>
              <w:rPr>
                <w:rFonts w:cs="Arial"/>
              </w:rPr>
            </w:pPr>
            <w:r w:rsidRPr="001C7687">
              <w:rPr>
                <w:rFonts w:cs="Arial"/>
              </w:rPr>
              <w:t xml:space="preserve">No evidence of a difference between groups for initiation of joint attention over time. </w:t>
            </w:r>
          </w:p>
        </w:tc>
      </w:tr>
      <w:tr w:rsidR="001C7687" w:rsidRPr="001C7687" w14:paraId="335A9793"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3440C1E1" w14:textId="77777777" w:rsidR="001C7687" w:rsidRPr="001C7687" w:rsidRDefault="001C7687">
            <w:pPr>
              <w:suppressAutoHyphens/>
              <w:spacing w:after="0"/>
              <w:rPr>
                <w:rFonts w:cs="Arial"/>
              </w:rPr>
            </w:pPr>
            <w:r w:rsidRPr="001C7687">
              <w:rPr>
                <w:rFonts w:cs="Arial"/>
                <w:b/>
              </w:rPr>
              <w:t>Joint Attention, Symbolic Play, Engagement, and Regulation (JASPER)</w:t>
            </w:r>
          </w:p>
        </w:tc>
      </w:tr>
      <w:tr w:rsidR="001C7687" w:rsidRPr="001C7687" w14:paraId="2008EE30"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3575BD24" w14:textId="77777777" w:rsidR="001C7687" w:rsidRPr="001C7687" w:rsidRDefault="001C7687">
            <w:pPr>
              <w:suppressAutoHyphens/>
              <w:spacing w:after="0"/>
              <w:rPr>
                <w:rFonts w:cs="Arial"/>
                <w:b/>
              </w:rPr>
            </w:pPr>
            <w:r w:rsidRPr="001C7687">
              <w:rPr>
                <w:rFonts w:cs="Arial"/>
                <w:b/>
              </w:rPr>
              <w:t xml:space="preserve">Gulsrud </w:t>
            </w:r>
          </w:p>
          <w:p w14:paraId="00E5E6A6" w14:textId="77777777" w:rsidR="001C7687" w:rsidRPr="001C7687" w:rsidRDefault="001C7687">
            <w:pPr>
              <w:suppressAutoHyphens/>
              <w:spacing w:after="0"/>
              <w:rPr>
                <w:rFonts w:cs="Arial"/>
              </w:rPr>
            </w:pPr>
            <w:r w:rsidRPr="001C7687">
              <w:rPr>
                <w:rFonts w:cs="Arial"/>
                <w:b/>
              </w:rPr>
              <w:t>2024</w:t>
            </w:r>
          </w:p>
        </w:tc>
        <w:tc>
          <w:tcPr>
            <w:tcW w:w="1276" w:type="dxa"/>
            <w:vMerge w:val="restart"/>
          </w:tcPr>
          <w:p w14:paraId="0ECE163F" w14:textId="77777777" w:rsidR="001C7687" w:rsidRPr="001C7687" w:rsidRDefault="001C7687">
            <w:pPr>
              <w:suppressAutoHyphens/>
              <w:spacing w:after="0"/>
              <w:rPr>
                <w:rFonts w:cs="Arial"/>
              </w:rPr>
            </w:pPr>
            <w:r w:rsidRPr="001C7687">
              <w:rPr>
                <w:rFonts w:cs="Arial"/>
              </w:rPr>
              <w:t xml:space="preserve">JASPER </w:t>
            </w:r>
          </w:p>
          <w:p w14:paraId="13381B40" w14:textId="77777777" w:rsidR="001C7687" w:rsidRPr="001C7687" w:rsidRDefault="001C7687">
            <w:pPr>
              <w:suppressAutoHyphens/>
              <w:spacing w:after="0"/>
              <w:rPr>
                <w:rFonts w:cs="Arial"/>
              </w:rPr>
            </w:pPr>
            <w:r w:rsidRPr="001C7687">
              <w:rPr>
                <w:rFonts w:cs="Arial"/>
              </w:rPr>
              <w:t>(n=40)</w:t>
            </w:r>
          </w:p>
        </w:tc>
        <w:tc>
          <w:tcPr>
            <w:tcW w:w="1417" w:type="dxa"/>
            <w:vMerge w:val="restart"/>
          </w:tcPr>
          <w:p w14:paraId="6A7A133E" w14:textId="77777777" w:rsidR="001C7687" w:rsidRPr="001C7687" w:rsidRDefault="001C7687">
            <w:pPr>
              <w:suppressAutoHyphens/>
              <w:spacing w:after="0"/>
              <w:rPr>
                <w:rFonts w:cs="Arial"/>
              </w:rPr>
            </w:pPr>
            <w:r w:rsidRPr="001C7687">
              <w:rPr>
                <w:rFonts w:cs="Arial"/>
              </w:rPr>
              <w:t xml:space="preserve">PP </w:t>
            </w:r>
          </w:p>
          <w:p w14:paraId="6841216D" w14:textId="77777777" w:rsidR="001C7687" w:rsidRPr="001C7687" w:rsidRDefault="001C7687">
            <w:pPr>
              <w:suppressAutoHyphens/>
              <w:spacing w:after="0"/>
              <w:rPr>
                <w:rFonts w:cs="Arial"/>
              </w:rPr>
            </w:pPr>
            <w:r w:rsidRPr="001C7687">
              <w:rPr>
                <w:rFonts w:cs="Arial"/>
              </w:rPr>
              <w:t>(n=40)</w:t>
            </w:r>
          </w:p>
        </w:tc>
        <w:tc>
          <w:tcPr>
            <w:tcW w:w="1843" w:type="dxa"/>
          </w:tcPr>
          <w:p w14:paraId="25AC4A69" w14:textId="77777777" w:rsidR="001C7687" w:rsidRPr="001C7687" w:rsidRDefault="001C7687">
            <w:pPr>
              <w:suppressAutoHyphens/>
              <w:spacing w:after="0"/>
              <w:rPr>
                <w:rFonts w:cs="Arial"/>
              </w:rPr>
            </w:pPr>
            <w:r w:rsidRPr="001C7687">
              <w:rPr>
                <w:rFonts w:cs="Arial"/>
              </w:rPr>
              <w:t>Caregiver-Child Play Interaction (CCX)</w:t>
            </w:r>
          </w:p>
        </w:tc>
        <w:tc>
          <w:tcPr>
            <w:tcW w:w="2268" w:type="dxa"/>
          </w:tcPr>
          <w:p w14:paraId="5DAF62A1" w14:textId="77777777" w:rsidR="001C7687" w:rsidRPr="001C7687" w:rsidRDefault="001C7687">
            <w:pPr>
              <w:suppressAutoHyphens/>
              <w:spacing w:after="0"/>
              <w:rPr>
                <w:rFonts w:cs="Arial"/>
              </w:rPr>
            </w:pPr>
            <w:r w:rsidRPr="001C7687">
              <w:rPr>
                <w:rFonts w:cs="Arial"/>
              </w:rPr>
              <w:t xml:space="preserve">Baseline; </w:t>
            </w:r>
          </w:p>
          <w:p w14:paraId="2C679514" w14:textId="77777777" w:rsidR="001C7687" w:rsidRPr="001C7687" w:rsidRDefault="001C7687">
            <w:pPr>
              <w:suppressAutoHyphens/>
              <w:spacing w:after="0"/>
              <w:rPr>
                <w:rFonts w:cs="Arial"/>
              </w:rPr>
            </w:pPr>
            <w:r w:rsidRPr="001C7687">
              <w:rPr>
                <w:rFonts w:cs="Arial"/>
              </w:rPr>
              <w:t xml:space="preserve">Post-intervention (8 weeks); </w:t>
            </w:r>
          </w:p>
          <w:p w14:paraId="1CCEEAE6" w14:textId="77777777" w:rsidR="001C7687" w:rsidRPr="001C7687" w:rsidRDefault="001C7687">
            <w:pPr>
              <w:suppressAutoHyphens/>
              <w:spacing w:after="0"/>
              <w:rPr>
                <w:rFonts w:cs="Arial"/>
              </w:rPr>
            </w:pPr>
            <w:r w:rsidRPr="001C7687">
              <w:rPr>
                <w:rFonts w:cs="Arial"/>
              </w:rPr>
              <w:t>Follow up (2 months)</w:t>
            </w:r>
          </w:p>
          <w:p w14:paraId="491629BC" w14:textId="77777777" w:rsidR="001C7687" w:rsidRPr="001C7687" w:rsidRDefault="001C7687">
            <w:pPr>
              <w:suppressAutoHyphens/>
              <w:spacing w:after="0"/>
              <w:rPr>
                <w:rFonts w:cs="Arial"/>
              </w:rPr>
            </w:pPr>
          </w:p>
        </w:tc>
        <w:tc>
          <w:tcPr>
            <w:tcW w:w="5670" w:type="dxa"/>
          </w:tcPr>
          <w:p w14:paraId="724BE344" w14:textId="77777777" w:rsidR="001C7687" w:rsidRPr="001C7687" w:rsidRDefault="001C7687">
            <w:pPr>
              <w:suppressAutoHyphens/>
              <w:spacing w:after="0"/>
              <w:rPr>
                <w:rFonts w:cs="Arial"/>
              </w:rPr>
            </w:pPr>
            <w:r w:rsidRPr="001C7687">
              <w:rPr>
                <w:rFonts w:cs="Arial"/>
              </w:rPr>
              <w:t xml:space="preserve">Both groups showed improvements in child initiated joint engagement throughout the intervention. </w:t>
            </w:r>
          </w:p>
          <w:p w14:paraId="645A9CF7" w14:textId="77777777" w:rsidR="001C7687" w:rsidRPr="001C7687" w:rsidRDefault="001C7687">
            <w:pPr>
              <w:suppressAutoHyphens/>
              <w:spacing w:after="0"/>
              <w:rPr>
                <w:rFonts w:cs="Arial"/>
              </w:rPr>
            </w:pPr>
            <w:r w:rsidRPr="001C7687">
              <w:rPr>
                <w:rFonts w:cs="Arial"/>
              </w:rPr>
              <w:t xml:space="preserve">Evidence of a group by time interaction with the JASPER group showing improvements in child initiated joint engagement from baseline to post-intervention. Differences in child initiated joint engagement diminished by follow up.   </w:t>
            </w:r>
          </w:p>
          <w:p w14:paraId="034493EA" w14:textId="77777777" w:rsidR="001C7687" w:rsidRPr="001C7687" w:rsidRDefault="001C7687">
            <w:pPr>
              <w:suppressAutoHyphens/>
              <w:spacing w:after="0"/>
              <w:rPr>
                <w:rFonts w:cs="Arial"/>
              </w:rPr>
            </w:pPr>
            <w:r w:rsidRPr="001C7687">
              <w:rPr>
                <w:rFonts w:cs="Arial"/>
              </w:rPr>
              <w:t xml:space="preserve">Both groups showed improvements in child initiated joint attention throughout the intervention.  </w:t>
            </w:r>
          </w:p>
          <w:p w14:paraId="78EB25DC" w14:textId="77777777" w:rsidR="001C7687" w:rsidRPr="001C7687" w:rsidRDefault="001C7687">
            <w:pPr>
              <w:suppressAutoHyphens/>
              <w:spacing w:after="0"/>
              <w:rPr>
                <w:rFonts w:cs="Arial"/>
              </w:rPr>
            </w:pPr>
            <w:r w:rsidRPr="001C7687">
              <w:rPr>
                <w:rFonts w:cs="Arial"/>
              </w:rPr>
              <w:t>No evidence of a difference for ‘requesting skills’ at post-intervention in either group, but evidence of a difference at follow up for both groups.</w:t>
            </w:r>
          </w:p>
          <w:p w14:paraId="70186F6B" w14:textId="77777777" w:rsidR="001C7687" w:rsidRPr="001C7687" w:rsidRDefault="001C7687">
            <w:pPr>
              <w:suppressAutoHyphens/>
              <w:spacing w:after="0"/>
              <w:rPr>
                <w:rFonts w:cs="Arial"/>
              </w:rPr>
            </w:pPr>
            <w:r w:rsidRPr="001C7687">
              <w:rPr>
                <w:rFonts w:cs="Arial"/>
              </w:rPr>
              <w:t xml:space="preserve">Both groups showed improvements in highest play level observed and in play diversity over time. </w:t>
            </w:r>
          </w:p>
          <w:p w14:paraId="74774E6F" w14:textId="77777777" w:rsidR="001C7687" w:rsidRPr="001C7687" w:rsidRDefault="001C7687">
            <w:pPr>
              <w:suppressAutoHyphens/>
              <w:spacing w:after="0"/>
              <w:rPr>
                <w:rFonts w:cs="Arial"/>
              </w:rPr>
            </w:pPr>
            <w:r w:rsidRPr="001C7687">
              <w:rPr>
                <w:rFonts w:cs="Arial"/>
              </w:rPr>
              <w:t>No evidence of a difference between groups for play level and diversity over time. Evidence of increased progress in play level at follow-up for the JASPER group.</w:t>
            </w:r>
          </w:p>
        </w:tc>
      </w:tr>
      <w:tr w:rsidR="001C7687" w:rsidRPr="001C7687" w14:paraId="178F30D7"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11A676A4" w14:textId="77777777" w:rsidR="001C7687" w:rsidRPr="001C7687" w:rsidRDefault="001C7687">
            <w:pPr>
              <w:suppressAutoHyphens/>
              <w:spacing w:after="0"/>
              <w:rPr>
                <w:rFonts w:cs="Arial"/>
              </w:rPr>
            </w:pPr>
          </w:p>
        </w:tc>
        <w:tc>
          <w:tcPr>
            <w:tcW w:w="1276" w:type="dxa"/>
            <w:vMerge/>
          </w:tcPr>
          <w:p w14:paraId="3A2224D4" w14:textId="77777777" w:rsidR="001C7687" w:rsidRPr="001C7687" w:rsidRDefault="001C7687">
            <w:pPr>
              <w:suppressAutoHyphens/>
              <w:spacing w:after="0"/>
              <w:rPr>
                <w:rFonts w:cs="Arial"/>
              </w:rPr>
            </w:pPr>
          </w:p>
        </w:tc>
        <w:tc>
          <w:tcPr>
            <w:tcW w:w="1417" w:type="dxa"/>
            <w:vMerge/>
          </w:tcPr>
          <w:p w14:paraId="4AEBBC25" w14:textId="77777777" w:rsidR="001C7687" w:rsidRPr="001C7687" w:rsidRDefault="001C7687">
            <w:pPr>
              <w:suppressAutoHyphens/>
              <w:spacing w:after="0"/>
              <w:rPr>
                <w:rFonts w:cs="Arial"/>
              </w:rPr>
            </w:pPr>
          </w:p>
        </w:tc>
        <w:tc>
          <w:tcPr>
            <w:tcW w:w="1843" w:type="dxa"/>
          </w:tcPr>
          <w:p w14:paraId="509DBD31" w14:textId="77777777" w:rsidR="001C7687" w:rsidRPr="001C7687" w:rsidRDefault="001C7687">
            <w:pPr>
              <w:suppressAutoHyphens/>
              <w:spacing w:after="0"/>
              <w:rPr>
                <w:rFonts w:cs="Arial"/>
              </w:rPr>
            </w:pPr>
            <w:r w:rsidRPr="001C7687">
              <w:rPr>
                <w:rFonts w:cs="Arial"/>
              </w:rPr>
              <w:t>Early Social Communication Scale (ESCS)</w:t>
            </w:r>
          </w:p>
        </w:tc>
        <w:tc>
          <w:tcPr>
            <w:tcW w:w="2268" w:type="dxa"/>
          </w:tcPr>
          <w:p w14:paraId="4E6FF444" w14:textId="77777777" w:rsidR="001C7687" w:rsidRPr="001C7687" w:rsidRDefault="001C7687">
            <w:pPr>
              <w:suppressAutoHyphens/>
              <w:spacing w:after="0"/>
              <w:rPr>
                <w:rFonts w:cs="Arial"/>
              </w:rPr>
            </w:pPr>
            <w:r w:rsidRPr="001C7687">
              <w:rPr>
                <w:rFonts w:cs="Arial"/>
              </w:rPr>
              <w:t>As above</w:t>
            </w:r>
          </w:p>
          <w:p w14:paraId="37FAAB05" w14:textId="77777777" w:rsidR="001C7687" w:rsidRPr="001C7687" w:rsidRDefault="001C7687">
            <w:pPr>
              <w:suppressAutoHyphens/>
              <w:spacing w:after="0"/>
              <w:rPr>
                <w:rFonts w:cs="Arial"/>
              </w:rPr>
            </w:pPr>
          </w:p>
        </w:tc>
        <w:tc>
          <w:tcPr>
            <w:tcW w:w="5670" w:type="dxa"/>
          </w:tcPr>
          <w:p w14:paraId="267FC240" w14:textId="77777777" w:rsidR="001C7687" w:rsidRPr="001C7687" w:rsidRDefault="001C7687">
            <w:pPr>
              <w:suppressAutoHyphens/>
              <w:spacing w:after="0"/>
              <w:rPr>
                <w:rFonts w:cs="Arial"/>
              </w:rPr>
            </w:pPr>
            <w:r w:rsidRPr="001C7687">
              <w:rPr>
                <w:rFonts w:cs="Arial"/>
              </w:rPr>
              <w:t xml:space="preserve">Evidence of group by time improvements in child initiated joint attention for the Standard Baby classroom group. </w:t>
            </w:r>
          </w:p>
          <w:p w14:paraId="0E4BC627" w14:textId="77777777" w:rsidR="001C7687" w:rsidRPr="001C7687" w:rsidRDefault="001C7687">
            <w:pPr>
              <w:suppressAutoHyphens/>
              <w:spacing w:after="0"/>
              <w:rPr>
                <w:rFonts w:cs="Arial"/>
              </w:rPr>
            </w:pPr>
            <w:r w:rsidRPr="001C7687">
              <w:rPr>
                <w:rFonts w:cs="Arial"/>
              </w:rPr>
              <w:t xml:space="preserve">Both groups improved in requesting skills from baseline to exit and from baseline to follow up. </w:t>
            </w:r>
          </w:p>
          <w:p w14:paraId="0BFD82CA" w14:textId="77777777" w:rsidR="001C7687" w:rsidRPr="001C7687" w:rsidRDefault="001C7687">
            <w:pPr>
              <w:suppressAutoHyphens/>
              <w:spacing w:after="0"/>
              <w:rPr>
                <w:rFonts w:cs="Arial"/>
              </w:rPr>
            </w:pPr>
            <w:r w:rsidRPr="001C7687">
              <w:rPr>
                <w:rFonts w:cs="Arial"/>
              </w:rPr>
              <w:t>No evidence of a difference between groups for requesting skills over time.</w:t>
            </w:r>
          </w:p>
        </w:tc>
      </w:tr>
      <w:tr w:rsidR="001C7687" w:rsidRPr="001C7687" w14:paraId="3D823943"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6B515715" w14:textId="77777777" w:rsidR="001C7687" w:rsidRPr="001C7687" w:rsidRDefault="001C7687">
            <w:pPr>
              <w:suppressAutoHyphens/>
              <w:spacing w:after="0"/>
              <w:rPr>
                <w:rFonts w:cs="Arial"/>
              </w:rPr>
            </w:pPr>
          </w:p>
        </w:tc>
        <w:tc>
          <w:tcPr>
            <w:tcW w:w="1276" w:type="dxa"/>
            <w:vMerge/>
          </w:tcPr>
          <w:p w14:paraId="2A86BC90" w14:textId="77777777" w:rsidR="001C7687" w:rsidRPr="001C7687" w:rsidRDefault="001C7687">
            <w:pPr>
              <w:suppressAutoHyphens/>
              <w:spacing w:after="0"/>
              <w:rPr>
                <w:rFonts w:cs="Arial"/>
              </w:rPr>
            </w:pPr>
          </w:p>
        </w:tc>
        <w:tc>
          <w:tcPr>
            <w:tcW w:w="1417" w:type="dxa"/>
            <w:vMerge/>
          </w:tcPr>
          <w:p w14:paraId="0DFCA46D" w14:textId="77777777" w:rsidR="001C7687" w:rsidRPr="001C7687" w:rsidRDefault="001C7687">
            <w:pPr>
              <w:suppressAutoHyphens/>
              <w:spacing w:after="0"/>
              <w:rPr>
                <w:rFonts w:cs="Arial"/>
              </w:rPr>
            </w:pPr>
          </w:p>
        </w:tc>
        <w:tc>
          <w:tcPr>
            <w:tcW w:w="1843" w:type="dxa"/>
          </w:tcPr>
          <w:p w14:paraId="303CA158" w14:textId="77777777" w:rsidR="001C7687" w:rsidRPr="001C7687" w:rsidRDefault="001C7687">
            <w:pPr>
              <w:suppressAutoHyphens/>
              <w:spacing w:after="0"/>
              <w:rPr>
                <w:rFonts w:cs="Arial"/>
              </w:rPr>
            </w:pPr>
            <w:r w:rsidRPr="001C7687">
              <w:rPr>
                <w:rFonts w:cs="Arial"/>
              </w:rPr>
              <w:t>Mullen Scales of Early Learning (MSEL)</w:t>
            </w:r>
          </w:p>
        </w:tc>
        <w:tc>
          <w:tcPr>
            <w:tcW w:w="2268" w:type="dxa"/>
          </w:tcPr>
          <w:p w14:paraId="21068C34" w14:textId="77777777" w:rsidR="001C7687" w:rsidRPr="001C7687" w:rsidRDefault="001C7687">
            <w:pPr>
              <w:suppressAutoHyphens/>
              <w:spacing w:after="0"/>
              <w:rPr>
                <w:rFonts w:cs="Arial"/>
              </w:rPr>
            </w:pPr>
            <w:r w:rsidRPr="001C7687">
              <w:rPr>
                <w:rFonts w:cs="Arial"/>
              </w:rPr>
              <w:t xml:space="preserve">Baseline; </w:t>
            </w:r>
          </w:p>
          <w:p w14:paraId="133D7B90" w14:textId="77777777" w:rsidR="001C7687" w:rsidRPr="001C7687" w:rsidRDefault="001C7687">
            <w:pPr>
              <w:suppressAutoHyphens/>
              <w:spacing w:after="0"/>
              <w:rPr>
                <w:rFonts w:cs="Arial"/>
              </w:rPr>
            </w:pPr>
            <w:r w:rsidRPr="001C7687">
              <w:rPr>
                <w:rFonts w:cs="Arial"/>
              </w:rPr>
              <w:t>Post-intervention (8 weeks)</w:t>
            </w:r>
          </w:p>
        </w:tc>
        <w:tc>
          <w:tcPr>
            <w:tcW w:w="5670" w:type="dxa"/>
          </w:tcPr>
          <w:p w14:paraId="38BA0088" w14:textId="77777777" w:rsidR="001C7687" w:rsidRPr="001C7687" w:rsidRDefault="001C7687">
            <w:pPr>
              <w:suppressAutoHyphens/>
              <w:spacing w:after="0"/>
              <w:rPr>
                <w:rFonts w:cs="Arial"/>
              </w:rPr>
            </w:pPr>
            <w:r w:rsidRPr="001C7687">
              <w:rPr>
                <w:rFonts w:cs="Arial"/>
              </w:rPr>
              <w:t xml:space="preserve">Both groups showed improvements in child development throughout the intervention. </w:t>
            </w:r>
          </w:p>
          <w:p w14:paraId="52B3243E" w14:textId="77777777" w:rsidR="001C7687" w:rsidRPr="001C7687" w:rsidRDefault="001C7687">
            <w:pPr>
              <w:suppressAutoHyphens/>
              <w:spacing w:after="0"/>
              <w:rPr>
                <w:rFonts w:cs="Arial"/>
              </w:rPr>
            </w:pPr>
            <w:r w:rsidRPr="001C7687">
              <w:rPr>
                <w:rFonts w:cs="Arial"/>
              </w:rPr>
              <w:t xml:space="preserve">No evidence of a difference between groups for child development. </w:t>
            </w:r>
          </w:p>
        </w:tc>
      </w:tr>
      <w:tr w:rsidR="001C7687" w:rsidRPr="001C7687" w14:paraId="7B2CDC0D"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tcPr>
          <w:p w14:paraId="47DB97E8" w14:textId="77777777" w:rsidR="001C7687" w:rsidRPr="001C7687" w:rsidRDefault="001C7687">
            <w:pPr>
              <w:suppressAutoHyphens/>
              <w:spacing w:after="0"/>
              <w:rPr>
                <w:rFonts w:cs="Arial"/>
                <w:b/>
              </w:rPr>
            </w:pPr>
            <w:r w:rsidRPr="001C7687">
              <w:rPr>
                <w:rFonts w:cs="Arial"/>
                <w:b/>
              </w:rPr>
              <w:t xml:space="preserve">Harrop </w:t>
            </w:r>
          </w:p>
          <w:p w14:paraId="4E5F6D95" w14:textId="77777777" w:rsidR="001C7687" w:rsidRPr="001C7687" w:rsidRDefault="001C7687">
            <w:pPr>
              <w:suppressAutoHyphens/>
              <w:spacing w:after="0"/>
              <w:rPr>
                <w:rFonts w:cs="Arial"/>
                <w:b/>
              </w:rPr>
            </w:pPr>
            <w:r w:rsidRPr="001C7687">
              <w:rPr>
                <w:rFonts w:cs="Arial"/>
                <w:b/>
              </w:rPr>
              <w:t>2017</w:t>
            </w:r>
          </w:p>
        </w:tc>
        <w:tc>
          <w:tcPr>
            <w:tcW w:w="1276" w:type="dxa"/>
          </w:tcPr>
          <w:p w14:paraId="3DFBBFDA" w14:textId="77777777" w:rsidR="001C7687" w:rsidRPr="001C7687" w:rsidRDefault="001C7687">
            <w:pPr>
              <w:suppressAutoHyphens/>
              <w:spacing w:after="0"/>
              <w:rPr>
                <w:rFonts w:cs="Arial"/>
              </w:rPr>
            </w:pPr>
            <w:r w:rsidRPr="001C7687">
              <w:rPr>
                <w:rFonts w:cs="Arial"/>
              </w:rPr>
              <w:t>JASPER (n=43)</w:t>
            </w:r>
          </w:p>
        </w:tc>
        <w:tc>
          <w:tcPr>
            <w:tcW w:w="1417" w:type="dxa"/>
          </w:tcPr>
          <w:p w14:paraId="7DFBD60C" w14:textId="77777777" w:rsidR="001C7687" w:rsidRPr="001C7687" w:rsidRDefault="001C7687">
            <w:pPr>
              <w:suppressAutoHyphens/>
              <w:spacing w:after="0"/>
              <w:rPr>
                <w:rFonts w:cs="Arial"/>
              </w:rPr>
            </w:pPr>
            <w:r w:rsidRPr="001C7687">
              <w:rPr>
                <w:rFonts w:cs="Arial"/>
              </w:rPr>
              <w:t xml:space="preserve">PEI </w:t>
            </w:r>
          </w:p>
          <w:p w14:paraId="414F91FB" w14:textId="77777777" w:rsidR="001C7687" w:rsidRPr="001C7687" w:rsidRDefault="001C7687">
            <w:pPr>
              <w:suppressAutoHyphens/>
              <w:spacing w:after="0"/>
              <w:rPr>
                <w:rFonts w:cs="Arial"/>
              </w:rPr>
            </w:pPr>
            <w:r w:rsidRPr="001C7687">
              <w:rPr>
                <w:rFonts w:cs="Arial"/>
              </w:rPr>
              <w:t>(n=43)</w:t>
            </w:r>
          </w:p>
        </w:tc>
        <w:tc>
          <w:tcPr>
            <w:tcW w:w="1843" w:type="dxa"/>
          </w:tcPr>
          <w:p w14:paraId="24A01B2F" w14:textId="77777777" w:rsidR="001C7687" w:rsidRPr="001C7687" w:rsidRDefault="001C7687">
            <w:pPr>
              <w:suppressAutoHyphens/>
              <w:spacing w:after="0"/>
              <w:rPr>
                <w:rFonts w:cs="Arial"/>
              </w:rPr>
            </w:pPr>
            <w:r w:rsidRPr="001C7687">
              <w:rPr>
                <w:rFonts w:cs="Arial"/>
              </w:rPr>
              <w:t>Caregiver-Child Play Interaction (CCX)</w:t>
            </w:r>
          </w:p>
        </w:tc>
        <w:tc>
          <w:tcPr>
            <w:tcW w:w="2268" w:type="dxa"/>
          </w:tcPr>
          <w:p w14:paraId="2D3F9B1D" w14:textId="77777777" w:rsidR="001C7687" w:rsidRPr="001C7687" w:rsidRDefault="001C7687">
            <w:pPr>
              <w:suppressAutoHyphens/>
              <w:spacing w:after="0"/>
              <w:rPr>
                <w:rFonts w:cs="Arial"/>
              </w:rPr>
            </w:pPr>
            <w:r w:rsidRPr="001C7687">
              <w:rPr>
                <w:rFonts w:cs="Arial"/>
              </w:rPr>
              <w:t>Baseline; post-intervention (10 weeks); follow up (6 months)</w:t>
            </w:r>
          </w:p>
        </w:tc>
        <w:tc>
          <w:tcPr>
            <w:tcW w:w="5670" w:type="dxa"/>
          </w:tcPr>
          <w:p w14:paraId="7C2E747C" w14:textId="77777777" w:rsidR="001C7687" w:rsidRPr="001C7687" w:rsidRDefault="001C7687">
            <w:pPr>
              <w:suppressAutoHyphens/>
              <w:spacing w:after="0"/>
              <w:rPr>
                <w:rFonts w:cs="Arial"/>
              </w:rPr>
            </w:pPr>
            <w:r w:rsidRPr="001C7687">
              <w:rPr>
                <w:rFonts w:cs="Arial"/>
              </w:rPr>
              <w:t>No evidence of a difference between groups for restricted and repetitive behaviours over time.</w:t>
            </w:r>
          </w:p>
          <w:p w14:paraId="1D37A7CB" w14:textId="77777777" w:rsidR="001C7687" w:rsidRPr="001C7687" w:rsidRDefault="001C7687">
            <w:pPr>
              <w:suppressAutoHyphens/>
              <w:spacing w:after="0"/>
              <w:rPr>
                <w:rFonts w:cs="Arial"/>
              </w:rPr>
            </w:pPr>
            <w:r w:rsidRPr="001C7687">
              <w:rPr>
                <w:rFonts w:cs="Arial"/>
              </w:rPr>
              <w:t xml:space="preserve">At 6 months follow up, both groups showed significantly increased rates of RRBs immediately from post-intervention. </w:t>
            </w:r>
          </w:p>
        </w:tc>
      </w:tr>
      <w:tr w:rsidR="001C7687" w:rsidRPr="001C7687" w14:paraId="53331B75"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0302DF9A" w14:textId="77777777" w:rsidR="001C7687" w:rsidRPr="001C7687" w:rsidRDefault="001C7687">
            <w:pPr>
              <w:suppressAutoHyphens/>
              <w:spacing w:after="0"/>
              <w:rPr>
                <w:rFonts w:cs="Arial"/>
                <w:b/>
              </w:rPr>
            </w:pPr>
            <w:r w:rsidRPr="001C7687">
              <w:rPr>
                <w:rFonts w:cs="Arial"/>
                <w:b/>
              </w:rPr>
              <w:t xml:space="preserve">Kasari </w:t>
            </w:r>
          </w:p>
          <w:p w14:paraId="2048DA9C" w14:textId="77777777" w:rsidR="001C7687" w:rsidRPr="001C7687" w:rsidRDefault="001C7687">
            <w:pPr>
              <w:suppressAutoHyphens/>
              <w:spacing w:after="0"/>
              <w:rPr>
                <w:rFonts w:cs="Arial"/>
                <w:b/>
              </w:rPr>
            </w:pPr>
            <w:r w:rsidRPr="001C7687">
              <w:rPr>
                <w:rFonts w:cs="Arial"/>
                <w:b/>
              </w:rPr>
              <w:t>2015</w:t>
            </w:r>
          </w:p>
        </w:tc>
        <w:tc>
          <w:tcPr>
            <w:tcW w:w="1276" w:type="dxa"/>
            <w:vMerge w:val="restart"/>
          </w:tcPr>
          <w:p w14:paraId="25F746FA" w14:textId="77777777" w:rsidR="001C7687" w:rsidRPr="001C7687" w:rsidRDefault="001C7687">
            <w:pPr>
              <w:suppressAutoHyphens/>
              <w:spacing w:after="0"/>
              <w:rPr>
                <w:rFonts w:cs="Arial"/>
              </w:rPr>
            </w:pPr>
            <w:r w:rsidRPr="001C7687">
              <w:rPr>
                <w:rFonts w:cs="Arial"/>
              </w:rPr>
              <w:t>JASPER (n=43)</w:t>
            </w:r>
          </w:p>
        </w:tc>
        <w:tc>
          <w:tcPr>
            <w:tcW w:w="1417" w:type="dxa"/>
            <w:vMerge w:val="restart"/>
          </w:tcPr>
          <w:p w14:paraId="1A6AA70F" w14:textId="77777777" w:rsidR="001C7687" w:rsidRPr="001C7687" w:rsidRDefault="001C7687">
            <w:pPr>
              <w:suppressAutoHyphens/>
              <w:spacing w:after="0"/>
              <w:rPr>
                <w:rFonts w:cs="Arial"/>
              </w:rPr>
            </w:pPr>
            <w:r w:rsidRPr="001C7687">
              <w:rPr>
                <w:rFonts w:cs="Arial"/>
              </w:rPr>
              <w:t xml:space="preserve">PEI </w:t>
            </w:r>
          </w:p>
          <w:p w14:paraId="0897B3CF" w14:textId="77777777" w:rsidR="001C7687" w:rsidRPr="001C7687" w:rsidRDefault="001C7687">
            <w:pPr>
              <w:suppressAutoHyphens/>
              <w:spacing w:after="0"/>
              <w:rPr>
                <w:rFonts w:cs="Arial"/>
              </w:rPr>
            </w:pPr>
            <w:r w:rsidRPr="001C7687">
              <w:rPr>
                <w:rFonts w:cs="Arial"/>
              </w:rPr>
              <w:t>(n=43)</w:t>
            </w:r>
          </w:p>
        </w:tc>
        <w:tc>
          <w:tcPr>
            <w:tcW w:w="1843" w:type="dxa"/>
          </w:tcPr>
          <w:p w14:paraId="3ED9B902" w14:textId="77777777" w:rsidR="001C7687" w:rsidRPr="001C7687" w:rsidRDefault="001C7687">
            <w:pPr>
              <w:suppressAutoHyphens/>
              <w:spacing w:after="0"/>
              <w:rPr>
                <w:rFonts w:cs="Arial"/>
              </w:rPr>
            </w:pPr>
            <w:r w:rsidRPr="001C7687">
              <w:rPr>
                <w:rFonts w:cs="Arial"/>
              </w:rPr>
              <w:t>Reynell Developmental Language Scales (RDLS)</w:t>
            </w:r>
          </w:p>
        </w:tc>
        <w:tc>
          <w:tcPr>
            <w:tcW w:w="2268" w:type="dxa"/>
          </w:tcPr>
          <w:p w14:paraId="419B4D08" w14:textId="77777777" w:rsidR="001C7687" w:rsidRPr="001C7687" w:rsidRDefault="001C7687">
            <w:pPr>
              <w:suppressAutoHyphens/>
              <w:spacing w:after="0"/>
              <w:rPr>
                <w:rFonts w:cs="Arial"/>
              </w:rPr>
            </w:pPr>
            <w:r w:rsidRPr="001C7687">
              <w:rPr>
                <w:rFonts w:cs="Arial"/>
              </w:rPr>
              <w:t xml:space="preserve">Baseline; </w:t>
            </w:r>
          </w:p>
          <w:p w14:paraId="7DE6F46F" w14:textId="77777777" w:rsidR="001C7687" w:rsidRPr="001C7687" w:rsidRDefault="001C7687">
            <w:pPr>
              <w:suppressAutoHyphens/>
              <w:spacing w:after="0"/>
              <w:rPr>
                <w:rFonts w:cs="Arial"/>
              </w:rPr>
            </w:pPr>
            <w:r w:rsidRPr="001C7687">
              <w:rPr>
                <w:rFonts w:cs="Arial"/>
              </w:rPr>
              <w:t xml:space="preserve">Post-intervention (10 weeks); </w:t>
            </w:r>
          </w:p>
          <w:p w14:paraId="203C3FEF" w14:textId="77777777" w:rsidR="001C7687" w:rsidRPr="001C7687" w:rsidRDefault="001C7687">
            <w:pPr>
              <w:suppressAutoHyphens/>
              <w:spacing w:after="0"/>
              <w:rPr>
                <w:rFonts w:cs="Arial"/>
              </w:rPr>
            </w:pPr>
            <w:r w:rsidRPr="001C7687">
              <w:rPr>
                <w:rFonts w:cs="Arial"/>
              </w:rPr>
              <w:t>Follow up (6 months)</w:t>
            </w:r>
          </w:p>
        </w:tc>
        <w:tc>
          <w:tcPr>
            <w:tcW w:w="5670" w:type="dxa"/>
          </w:tcPr>
          <w:p w14:paraId="426D862C" w14:textId="77777777" w:rsidR="001C7687" w:rsidRPr="001C7687" w:rsidRDefault="001C7687">
            <w:pPr>
              <w:suppressAutoHyphens/>
              <w:spacing w:after="0"/>
              <w:rPr>
                <w:rFonts w:cs="Arial"/>
              </w:rPr>
            </w:pPr>
            <w:r w:rsidRPr="001C7687">
              <w:rPr>
                <w:rFonts w:cs="Arial"/>
              </w:rPr>
              <w:t xml:space="preserve">Both groups showed improvements in language. </w:t>
            </w:r>
          </w:p>
          <w:p w14:paraId="7EC1115C" w14:textId="77777777" w:rsidR="001C7687" w:rsidRPr="001C7687" w:rsidRDefault="001C7687">
            <w:pPr>
              <w:suppressAutoHyphens/>
              <w:spacing w:after="0"/>
              <w:rPr>
                <w:rFonts w:cs="Arial"/>
              </w:rPr>
            </w:pPr>
            <w:r w:rsidRPr="001C7687">
              <w:rPr>
                <w:rFonts w:cs="Arial"/>
              </w:rPr>
              <w:t>No evidence of a difference between groups for language over time.</w:t>
            </w:r>
          </w:p>
          <w:p w14:paraId="4FC3EC49" w14:textId="77777777" w:rsidR="001C7687" w:rsidRPr="001C7687" w:rsidRDefault="001C7687">
            <w:pPr>
              <w:suppressAutoHyphens/>
              <w:spacing w:after="0"/>
              <w:rPr>
                <w:rFonts w:cs="Arial"/>
              </w:rPr>
            </w:pPr>
          </w:p>
          <w:p w14:paraId="2A4C7BB8" w14:textId="77777777" w:rsidR="001C7687" w:rsidRPr="001C7687" w:rsidRDefault="001C7687">
            <w:pPr>
              <w:suppressAutoHyphens/>
              <w:spacing w:after="0"/>
              <w:rPr>
                <w:rFonts w:cs="Arial"/>
              </w:rPr>
            </w:pPr>
          </w:p>
        </w:tc>
      </w:tr>
      <w:tr w:rsidR="001C7687" w:rsidRPr="001C7687" w14:paraId="02462CB2"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6AB13AA2" w14:textId="77777777" w:rsidR="001C7687" w:rsidRPr="001C7687" w:rsidRDefault="001C7687">
            <w:pPr>
              <w:suppressAutoHyphens/>
              <w:spacing w:after="0"/>
              <w:rPr>
                <w:rFonts w:cs="Arial"/>
              </w:rPr>
            </w:pPr>
          </w:p>
        </w:tc>
        <w:tc>
          <w:tcPr>
            <w:tcW w:w="1276" w:type="dxa"/>
            <w:vMerge/>
          </w:tcPr>
          <w:p w14:paraId="2C233E9B" w14:textId="77777777" w:rsidR="001C7687" w:rsidRPr="001C7687" w:rsidRDefault="001C7687">
            <w:pPr>
              <w:suppressAutoHyphens/>
              <w:spacing w:after="0"/>
              <w:rPr>
                <w:rFonts w:cs="Arial"/>
              </w:rPr>
            </w:pPr>
          </w:p>
        </w:tc>
        <w:tc>
          <w:tcPr>
            <w:tcW w:w="1417" w:type="dxa"/>
            <w:vMerge/>
          </w:tcPr>
          <w:p w14:paraId="5F258D69" w14:textId="77777777" w:rsidR="001C7687" w:rsidRPr="001C7687" w:rsidRDefault="001C7687">
            <w:pPr>
              <w:suppressAutoHyphens/>
              <w:spacing w:after="0"/>
              <w:rPr>
                <w:rFonts w:cs="Arial"/>
              </w:rPr>
            </w:pPr>
          </w:p>
        </w:tc>
        <w:tc>
          <w:tcPr>
            <w:tcW w:w="1843" w:type="dxa"/>
          </w:tcPr>
          <w:p w14:paraId="3EAECB76" w14:textId="77777777" w:rsidR="001C7687" w:rsidRPr="001C7687" w:rsidRDefault="001C7687">
            <w:pPr>
              <w:suppressAutoHyphens/>
              <w:spacing w:after="0"/>
              <w:rPr>
                <w:rFonts w:cs="Arial"/>
              </w:rPr>
            </w:pPr>
            <w:r w:rsidRPr="001C7687">
              <w:rPr>
                <w:rFonts w:cs="Arial"/>
              </w:rPr>
              <w:t>Videoed Behaviour Coding (VBC)</w:t>
            </w:r>
          </w:p>
        </w:tc>
        <w:tc>
          <w:tcPr>
            <w:tcW w:w="2268" w:type="dxa"/>
          </w:tcPr>
          <w:p w14:paraId="52C0514C" w14:textId="77777777" w:rsidR="001C7687" w:rsidRPr="001C7687" w:rsidRDefault="001C7687">
            <w:pPr>
              <w:spacing w:after="0"/>
              <w:rPr>
                <w:rFonts w:cs="Arial"/>
              </w:rPr>
            </w:pPr>
            <w:r w:rsidRPr="001C7687">
              <w:rPr>
                <w:rFonts w:cs="Arial"/>
              </w:rPr>
              <w:t>As above</w:t>
            </w:r>
          </w:p>
        </w:tc>
        <w:tc>
          <w:tcPr>
            <w:tcW w:w="5670" w:type="dxa"/>
          </w:tcPr>
          <w:p w14:paraId="36FBABDF" w14:textId="77777777" w:rsidR="001C7687" w:rsidRPr="001C7687" w:rsidRDefault="001C7687">
            <w:pPr>
              <w:suppressAutoHyphens/>
              <w:spacing w:after="0"/>
              <w:rPr>
                <w:rFonts w:cs="Arial"/>
              </w:rPr>
            </w:pPr>
            <w:r w:rsidRPr="001C7687">
              <w:rPr>
                <w:rFonts w:cs="Arial"/>
              </w:rPr>
              <w:t xml:space="preserve">Evidence of increased joint engagement with caregivers and with teachers in the classroom at post-intervention and follow up for the JASPER group. </w:t>
            </w:r>
          </w:p>
          <w:p w14:paraId="6FFD6CFD" w14:textId="77777777" w:rsidR="001C7687" w:rsidRPr="001C7687" w:rsidRDefault="001C7687">
            <w:pPr>
              <w:suppressAutoHyphens/>
              <w:spacing w:after="0"/>
              <w:rPr>
                <w:rFonts w:cs="Arial"/>
              </w:rPr>
            </w:pPr>
            <w:r w:rsidRPr="001C7687">
              <w:rPr>
                <w:rFonts w:cs="Arial"/>
              </w:rPr>
              <w:t>No evidence of a difference between groups for joint attention over time.</w:t>
            </w:r>
          </w:p>
          <w:p w14:paraId="684B2416" w14:textId="77777777" w:rsidR="001C7687" w:rsidRPr="001C7687" w:rsidRDefault="001C7687">
            <w:pPr>
              <w:suppressAutoHyphens/>
              <w:spacing w:after="0"/>
              <w:rPr>
                <w:rFonts w:cs="Arial"/>
              </w:rPr>
            </w:pPr>
            <w:r w:rsidRPr="001C7687">
              <w:rPr>
                <w:rFonts w:cs="Arial"/>
              </w:rPr>
              <w:t xml:space="preserve">Evidence of increased overall play and functional-play diversity at post-intervention for the JASPER group. </w:t>
            </w:r>
          </w:p>
          <w:p w14:paraId="25B45BB3" w14:textId="77777777" w:rsidR="001C7687" w:rsidRPr="001C7687" w:rsidRDefault="001C7687">
            <w:pPr>
              <w:suppressAutoHyphens/>
              <w:spacing w:after="0"/>
              <w:rPr>
                <w:rFonts w:cs="Arial"/>
              </w:rPr>
            </w:pPr>
            <w:r w:rsidRPr="001C7687">
              <w:rPr>
                <w:rFonts w:cs="Arial"/>
              </w:rPr>
              <w:t xml:space="preserve">No evidence of a difference between groups for overall play and functional-play diversity at follow-up. </w:t>
            </w:r>
          </w:p>
          <w:p w14:paraId="132EB799" w14:textId="77777777" w:rsidR="001C7687" w:rsidRPr="001C7687" w:rsidRDefault="001C7687">
            <w:pPr>
              <w:suppressAutoHyphens/>
              <w:spacing w:after="0"/>
              <w:rPr>
                <w:rFonts w:cs="Arial"/>
              </w:rPr>
            </w:pPr>
            <w:r w:rsidRPr="001C7687">
              <w:rPr>
                <w:rFonts w:cs="Arial"/>
              </w:rPr>
              <w:t>No evidence of a difference between groups for symbolic play over time.</w:t>
            </w:r>
          </w:p>
        </w:tc>
      </w:tr>
      <w:tr w:rsidR="001C7687" w:rsidRPr="001C7687" w14:paraId="02112198"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592D6069" w14:textId="77777777" w:rsidR="001C7687" w:rsidRPr="001C7687" w:rsidRDefault="001C7687">
            <w:pPr>
              <w:suppressAutoHyphens/>
              <w:spacing w:after="0"/>
              <w:rPr>
                <w:rFonts w:cs="Arial"/>
                <w:b/>
              </w:rPr>
            </w:pPr>
            <w:r w:rsidRPr="001C7687">
              <w:rPr>
                <w:rFonts w:cs="Arial"/>
                <w:b/>
              </w:rPr>
              <w:t>Panganiban</w:t>
            </w:r>
          </w:p>
          <w:p w14:paraId="3CD87B62" w14:textId="77777777" w:rsidR="001C7687" w:rsidRPr="001C7687" w:rsidRDefault="001C7687">
            <w:pPr>
              <w:suppressAutoHyphens/>
              <w:spacing w:after="0"/>
              <w:rPr>
                <w:rFonts w:cs="Arial"/>
              </w:rPr>
            </w:pPr>
            <w:r w:rsidRPr="001C7687">
              <w:rPr>
                <w:rFonts w:cs="Arial"/>
                <w:b/>
              </w:rPr>
              <w:t>2022</w:t>
            </w:r>
          </w:p>
        </w:tc>
        <w:tc>
          <w:tcPr>
            <w:tcW w:w="1276" w:type="dxa"/>
            <w:vMerge w:val="restart"/>
          </w:tcPr>
          <w:p w14:paraId="580223E9" w14:textId="77777777" w:rsidR="001C7687" w:rsidRPr="001C7687" w:rsidRDefault="001C7687">
            <w:pPr>
              <w:suppressAutoHyphens/>
              <w:spacing w:after="0"/>
              <w:rPr>
                <w:rFonts w:cs="Arial"/>
              </w:rPr>
            </w:pPr>
            <w:r w:rsidRPr="001C7687">
              <w:rPr>
                <w:rFonts w:cs="Arial"/>
              </w:rPr>
              <w:t xml:space="preserve">JASPER </w:t>
            </w:r>
          </w:p>
          <w:p w14:paraId="65287C28" w14:textId="77777777" w:rsidR="001C7687" w:rsidRPr="001C7687" w:rsidRDefault="001C7687">
            <w:pPr>
              <w:suppressAutoHyphens/>
              <w:spacing w:after="0"/>
              <w:rPr>
                <w:rFonts w:cs="Arial"/>
              </w:rPr>
            </w:pPr>
            <w:r w:rsidRPr="001C7687">
              <w:rPr>
                <w:rFonts w:cs="Arial"/>
              </w:rPr>
              <w:t>(n=33 students)</w:t>
            </w:r>
          </w:p>
        </w:tc>
        <w:tc>
          <w:tcPr>
            <w:tcW w:w="1417" w:type="dxa"/>
            <w:vMerge w:val="restart"/>
          </w:tcPr>
          <w:p w14:paraId="5D2FF48E" w14:textId="77777777" w:rsidR="001C7687" w:rsidRPr="001C7687" w:rsidRDefault="001C7687">
            <w:pPr>
              <w:suppressAutoHyphens/>
              <w:spacing w:after="0"/>
              <w:rPr>
                <w:rFonts w:cs="Arial"/>
              </w:rPr>
            </w:pPr>
            <w:r w:rsidRPr="001C7687">
              <w:rPr>
                <w:rFonts w:cs="Arial"/>
              </w:rPr>
              <w:t xml:space="preserve">SAU </w:t>
            </w:r>
          </w:p>
          <w:p w14:paraId="13C5C641" w14:textId="77777777" w:rsidR="001C7687" w:rsidRPr="001C7687" w:rsidRDefault="001C7687">
            <w:pPr>
              <w:suppressAutoHyphens/>
              <w:spacing w:after="0"/>
              <w:rPr>
                <w:rFonts w:cs="Arial"/>
              </w:rPr>
            </w:pPr>
            <w:r w:rsidRPr="001C7687">
              <w:rPr>
                <w:rFonts w:cs="Arial"/>
              </w:rPr>
              <w:t>(n=21 students)</w:t>
            </w:r>
          </w:p>
        </w:tc>
        <w:tc>
          <w:tcPr>
            <w:tcW w:w="1843" w:type="dxa"/>
          </w:tcPr>
          <w:p w14:paraId="255356D9" w14:textId="77777777" w:rsidR="001C7687" w:rsidRPr="001C7687" w:rsidRDefault="001C7687">
            <w:pPr>
              <w:suppressAutoHyphens/>
              <w:spacing w:after="0"/>
              <w:rPr>
                <w:rFonts w:cs="Arial"/>
              </w:rPr>
            </w:pPr>
            <w:r w:rsidRPr="001C7687">
              <w:rPr>
                <w:rFonts w:cs="Arial"/>
              </w:rPr>
              <w:t>Early Social Communication Scale (ESCS)</w:t>
            </w:r>
          </w:p>
        </w:tc>
        <w:tc>
          <w:tcPr>
            <w:tcW w:w="2268" w:type="dxa"/>
          </w:tcPr>
          <w:p w14:paraId="09379542" w14:textId="77777777" w:rsidR="001C7687" w:rsidRPr="001C7687" w:rsidRDefault="001C7687">
            <w:pPr>
              <w:suppressAutoHyphens/>
              <w:spacing w:after="0"/>
              <w:rPr>
                <w:rFonts w:cs="Arial"/>
              </w:rPr>
            </w:pPr>
            <w:r w:rsidRPr="001C7687">
              <w:rPr>
                <w:rFonts w:cs="Arial"/>
              </w:rPr>
              <w:t xml:space="preserve">Baseline; </w:t>
            </w:r>
          </w:p>
          <w:p w14:paraId="3465B0F6" w14:textId="77777777" w:rsidR="001C7687" w:rsidRPr="001C7687" w:rsidRDefault="001C7687">
            <w:pPr>
              <w:suppressAutoHyphens/>
              <w:spacing w:after="0"/>
              <w:rPr>
                <w:rFonts w:cs="Arial"/>
              </w:rPr>
            </w:pPr>
            <w:r w:rsidRPr="001C7687">
              <w:rPr>
                <w:rFonts w:cs="Arial"/>
              </w:rPr>
              <w:t>Post-intervention</w:t>
            </w:r>
          </w:p>
        </w:tc>
        <w:tc>
          <w:tcPr>
            <w:tcW w:w="5670" w:type="dxa"/>
          </w:tcPr>
          <w:p w14:paraId="3C4298BF" w14:textId="77777777" w:rsidR="001C7687" w:rsidRPr="001C7687" w:rsidRDefault="001C7687">
            <w:pPr>
              <w:suppressAutoHyphens/>
              <w:spacing w:after="0"/>
              <w:rPr>
                <w:rFonts w:cs="Arial"/>
              </w:rPr>
            </w:pPr>
            <w:r w:rsidRPr="001C7687">
              <w:rPr>
                <w:rFonts w:cs="Arial"/>
              </w:rPr>
              <w:t>Both groups made gains in joint attention and requests over time.  No evidence of a difference between groups for joint attention and requests over time.</w:t>
            </w:r>
          </w:p>
          <w:p w14:paraId="61EAA6E2" w14:textId="77777777" w:rsidR="001C7687" w:rsidRPr="001C7687" w:rsidRDefault="001C7687">
            <w:pPr>
              <w:suppressAutoHyphens/>
              <w:spacing w:after="0"/>
              <w:rPr>
                <w:rFonts w:cs="Arial"/>
              </w:rPr>
            </w:pPr>
          </w:p>
        </w:tc>
      </w:tr>
      <w:tr w:rsidR="001C7687" w:rsidRPr="001C7687" w14:paraId="481550AB"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66427080" w14:textId="77777777" w:rsidR="001C7687" w:rsidRPr="001C7687" w:rsidRDefault="001C7687">
            <w:pPr>
              <w:suppressAutoHyphens/>
              <w:spacing w:after="0"/>
              <w:rPr>
                <w:rFonts w:cs="Arial"/>
              </w:rPr>
            </w:pPr>
          </w:p>
        </w:tc>
        <w:tc>
          <w:tcPr>
            <w:tcW w:w="1276" w:type="dxa"/>
            <w:vMerge/>
          </w:tcPr>
          <w:p w14:paraId="1DE2C5C2" w14:textId="77777777" w:rsidR="001C7687" w:rsidRPr="001C7687" w:rsidRDefault="001C7687">
            <w:pPr>
              <w:suppressAutoHyphens/>
              <w:spacing w:after="0"/>
              <w:rPr>
                <w:rFonts w:cs="Arial"/>
              </w:rPr>
            </w:pPr>
          </w:p>
        </w:tc>
        <w:tc>
          <w:tcPr>
            <w:tcW w:w="1417" w:type="dxa"/>
            <w:vMerge/>
          </w:tcPr>
          <w:p w14:paraId="1FC95322" w14:textId="77777777" w:rsidR="001C7687" w:rsidRPr="001C7687" w:rsidRDefault="001C7687">
            <w:pPr>
              <w:suppressAutoHyphens/>
              <w:spacing w:after="0"/>
              <w:rPr>
                <w:rFonts w:cs="Arial"/>
              </w:rPr>
            </w:pPr>
          </w:p>
        </w:tc>
        <w:tc>
          <w:tcPr>
            <w:tcW w:w="1843" w:type="dxa"/>
          </w:tcPr>
          <w:p w14:paraId="098706E9" w14:textId="77777777" w:rsidR="001C7687" w:rsidRPr="001C7687" w:rsidRDefault="001C7687">
            <w:pPr>
              <w:suppressAutoHyphens/>
              <w:spacing w:after="0"/>
              <w:rPr>
                <w:rFonts w:cs="Arial"/>
              </w:rPr>
            </w:pPr>
            <w:r w:rsidRPr="001C7687">
              <w:rPr>
                <w:rFonts w:cs="Arial"/>
              </w:rPr>
              <w:t>Mullen Scales of Early Learning (MSEL)</w:t>
            </w:r>
          </w:p>
        </w:tc>
        <w:tc>
          <w:tcPr>
            <w:tcW w:w="2268" w:type="dxa"/>
          </w:tcPr>
          <w:p w14:paraId="1C20DE08" w14:textId="77777777" w:rsidR="001C7687" w:rsidRPr="001C7687" w:rsidRDefault="001C7687">
            <w:pPr>
              <w:suppressAutoHyphens/>
              <w:spacing w:after="0"/>
              <w:rPr>
                <w:rFonts w:cs="Arial"/>
              </w:rPr>
            </w:pPr>
            <w:r w:rsidRPr="001C7687">
              <w:rPr>
                <w:rFonts w:cs="Arial"/>
              </w:rPr>
              <w:t>As above</w:t>
            </w:r>
          </w:p>
        </w:tc>
        <w:tc>
          <w:tcPr>
            <w:tcW w:w="5670" w:type="dxa"/>
          </w:tcPr>
          <w:p w14:paraId="33F29407" w14:textId="77777777" w:rsidR="001C7687" w:rsidRPr="001C7687" w:rsidRDefault="001C7687">
            <w:pPr>
              <w:suppressAutoHyphens/>
              <w:spacing w:after="0"/>
              <w:rPr>
                <w:rFonts w:cs="Arial"/>
              </w:rPr>
            </w:pPr>
            <w:r w:rsidRPr="001C7687">
              <w:rPr>
                <w:rFonts w:cs="Arial"/>
              </w:rPr>
              <w:t>Both groups made gains in expressive language and receptive language over time, although no differences between groups over time was found.</w:t>
            </w:r>
          </w:p>
          <w:p w14:paraId="7C259014" w14:textId="77777777" w:rsidR="001C7687" w:rsidRPr="001C7687" w:rsidRDefault="001C7687">
            <w:pPr>
              <w:suppressAutoHyphens/>
              <w:spacing w:after="0"/>
              <w:rPr>
                <w:rFonts w:cs="Arial"/>
              </w:rPr>
            </w:pPr>
          </w:p>
        </w:tc>
      </w:tr>
      <w:tr w:rsidR="001C7687" w:rsidRPr="001C7687" w14:paraId="312D0837" w14:textId="77777777">
        <w:trPr>
          <w:cnfStyle w:val="000000010000" w:firstRow="0" w:lastRow="0" w:firstColumn="0" w:lastColumn="0" w:oddVBand="0" w:evenVBand="0" w:oddHBand="0" w:evenHBand="1" w:firstRowFirstColumn="0" w:firstRowLastColumn="0" w:lastRowFirstColumn="0" w:lastRowLastColumn="0"/>
          <w:trHeight w:val="340"/>
        </w:trPr>
        <w:tc>
          <w:tcPr>
            <w:tcW w:w="13892" w:type="dxa"/>
            <w:gridSpan w:val="6"/>
            <w:shd w:val="clear" w:color="auto" w:fill="DAE2E6"/>
          </w:tcPr>
          <w:p w14:paraId="74C47E45" w14:textId="77777777" w:rsidR="001C7687" w:rsidRPr="001C7687" w:rsidRDefault="001C7687">
            <w:pPr>
              <w:suppressAutoHyphens/>
              <w:spacing w:after="0"/>
              <w:rPr>
                <w:rFonts w:cs="Arial"/>
              </w:rPr>
            </w:pPr>
            <w:r w:rsidRPr="001C7687">
              <w:rPr>
                <w:rFonts w:cs="Arial"/>
                <w:b/>
              </w:rPr>
              <w:t>Naturalistic Developmental Behavioral Intervention (NDBI)</w:t>
            </w:r>
          </w:p>
        </w:tc>
      </w:tr>
      <w:tr w:rsidR="001C7687" w:rsidRPr="001C7687" w14:paraId="1DD6A07E"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val="restart"/>
          </w:tcPr>
          <w:p w14:paraId="27A0F615" w14:textId="77777777" w:rsidR="001C7687" w:rsidRPr="001C7687" w:rsidRDefault="001C7687">
            <w:pPr>
              <w:suppressAutoHyphens/>
              <w:spacing w:after="0"/>
              <w:rPr>
                <w:rFonts w:cs="Arial"/>
                <w:b/>
              </w:rPr>
            </w:pPr>
            <w:r w:rsidRPr="001C7687">
              <w:rPr>
                <w:rFonts w:cs="Arial"/>
                <w:b/>
              </w:rPr>
              <w:t xml:space="preserve">Klein </w:t>
            </w:r>
          </w:p>
          <w:p w14:paraId="650D3DC5" w14:textId="77777777" w:rsidR="001C7687" w:rsidRPr="001C7687" w:rsidRDefault="001C7687">
            <w:pPr>
              <w:suppressAutoHyphens/>
              <w:spacing w:after="0"/>
              <w:rPr>
                <w:rFonts w:cs="Arial"/>
              </w:rPr>
            </w:pPr>
            <w:r w:rsidRPr="001C7687">
              <w:rPr>
                <w:rFonts w:cs="Arial"/>
                <w:b/>
              </w:rPr>
              <w:t>2021</w:t>
            </w:r>
          </w:p>
        </w:tc>
        <w:tc>
          <w:tcPr>
            <w:tcW w:w="1276" w:type="dxa"/>
            <w:vMerge w:val="restart"/>
          </w:tcPr>
          <w:p w14:paraId="4807ACF8" w14:textId="77777777" w:rsidR="001C7687" w:rsidRPr="001C7687" w:rsidRDefault="001C7687">
            <w:pPr>
              <w:suppressAutoHyphens/>
              <w:spacing w:after="0"/>
              <w:rPr>
                <w:rFonts w:cs="Arial"/>
              </w:rPr>
            </w:pPr>
            <w:r w:rsidRPr="001C7687">
              <w:rPr>
                <w:rFonts w:cs="Arial"/>
              </w:rPr>
              <w:t xml:space="preserve">NDBI + VF </w:t>
            </w:r>
          </w:p>
          <w:p w14:paraId="69839057" w14:textId="77777777" w:rsidR="001C7687" w:rsidRPr="001C7687" w:rsidRDefault="001C7687">
            <w:pPr>
              <w:suppressAutoHyphens/>
              <w:spacing w:after="0"/>
              <w:rPr>
                <w:rFonts w:cs="Arial"/>
              </w:rPr>
            </w:pPr>
            <w:r w:rsidRPr="001C7687">
              <w:rPr>
                <w:rFonts w:cs="Arial"/>
              </w:rPr>
              <w:t>(n=8)</w:t>
            </w:r>
          </w:p>
        </w:tc>
        <w:tc>
          <w:tcPr>
            <w:tcW w:w="1417" w:type="dxa"/>
            <w:vMerge w:val="restart"/>
          </w:tcPr>
          <w:p w14:paraId="7745492C" w14:textId="77777777" w:rsidR="001C7687" w:rsidRPr="001C7687" w:rsidRDefault="001C7687">
            <w:pPr>
              <w:suppressAutoHyphens/>
              <w:spacing w:after="0"/>
              <w:rPr>
                <w:rFonts w:cs="Arial"/>
              </w:rPr>
            </w:pPr>
            <w:r w:rsidRPr="001C7687">
              <w:rPr>
                <w:rFonts w:cs="Arial"/>
              </w:rPr>
              <w:t>NDBI</w:t>
            </w:r>
          </w:p>
          <w:p w14:paraId="38150895" w14:textId="77777777" w:rsidR="001C7687" w:rsidRPr="001C7687" w:rsidRDefault="001C7687">
            <w:pPr>
              <w:suppressAutoHyphens/>
              <w:spacing w:after="0"/>
              <w:rPr>
                <w:rFonts w:cs="Arial"/>
              </w:rPr>
            </w:pPr>
            <w:r w:rsidRPr="001C7687">
              <w:rPr>
                <w:rFonts w:cs="Arial"/>
              </w:rPr>
              <w:t xml:space="preserve"> (n=7)</w:t>
            </w:r>
          </w:p>
        </w:tc>
        <w:tc>
          <w:tcPr>
            <w:tcW w:w="1843" w:type="dxa"/>
          </w:tcPr>
          <w:p w14:paraId="19F70FAD" w14:textId="77777777" w:rsidR="001C7687" w:rsidRPr="001C7687" w:rsidRDefault="001C7687">
            <w:pPr>
              <w:suppressAutoHyphens/>
              <w:spacing w:after="0"/>
              <w:rPr>
                <w:rFonts w:cs="Arial"/>
              </w:rPr>
            </w:pPr>
            <w:r w:rsidRPr="001C7687">
              <w:rPr>
                <w:rFonts w:cs="Arial"/>
              </w:rPr>
              <w:t>Brief Observation of Social Communication Change (BOSCC)</w:t>
            </w:r>
          </w:p>
        </w:tc>
        <w:tc>
          <w:tcPr>
            <w:tcW w:w="2268" w:type="dxa"/>
          </w:tcPr>
          <w:p w14:paraId="362127A1" w14:textId="77777777" w:rsidR="001C7687" w:rsidRPr="001C7687" w:rsidRDefault="001C7687">
            <w:pPr>
              <w:suppressAutoHyphens/>
              <w:spacing w:after="0"/>
              <w:rPr>
                <w:rFonts w:cs="Arial"/>
              </w:rPr>
            </w:pPr>
            <w:r w:rsidRPr="001C7687">
              <w:rPr>
                <w:rFonts w:cs="Arial"/>
              </w:rPr>
              <w:t>Baseline;</w:t>
            </w:r>
          </w:p>
          <w:p w14:paraId="30FA25C7" w14:textId="77777777" w:rsidR="001C7687" w:rsidRPr="001C7687" w:rsidRDefault="001C7687">
            <w:pPr>
              <w:suppressAutoHyphens/>
              <w:spacing w:after="0"/>
              <w:rPr>
                <w:rFonts w:cs="Arial"/>
              </w:rPr>
            </w:pPr>
            <w:r w:rsidRPr="001C7687">
              <w:rPr>
                <w:rFonts w:cs="Arial"/>
              </w:rPr>
              <w:t>Post-intervention (6 months)</w:t>
            </w:r>
          </w:p>
        </w:tc>
        <w:tc>
          <w:tcPr>
            <w:tcW w:w="5670" w:type="dxa"/>
          </w:tcPr>
          <w:p w14:paraId="0788186A" w14:textId="77777777" w:rsidR="001C7687" w:rsidRPr="001C7687" w:rsidRDefault="001C7687">
            <w:pPr>
              <w:suppressAutoHyphens/>
              <w:spacing w:after="0"/>
              <w:rPr>
                <w:rFonts w:cs="Arial"/>
              </w:rPr>
            </w:pPr>
            <w:r w:rsidRPr="001C7687">
              <w:rPr>
                <w:rFonts w:cs="Arial"/>
              </w:rPr>
              <w:t xml:space="preserve">Both groups showed improvements in autism symptom severity over time. </w:t>
            </w:r>
          </w:p>
          <w:p w14:paraId="0B1D5B2D" w14:textId="77777777" w:rsidR="001C7687" w:rsidRPr="001C7687" w:rsidRDefault="001C7687">
            <w:pPr>
              <w:suppressAutoHyphens/>
              <w:spacing w:after="0"/>
              <w:rPr>
                <w:rFonts w:cs="Arial"/>
              </w:rPr>
            </w:pPr>
            <w:r w:rsidRPr="001C7687">
              <w:rPr>
                <w:rFonts w:cs="Arial"/>
              </w:rPr>
              <w:t>No evidence of a difference between groups for autism symptom severity throughout the intervention period.</w:t>
            </w:r>
          </w:p>
          <w:p w14:paraId="003F7776" w14:textId="77777777" w:rsidR="001C7687" w:rsidRPr="001C7687" w:rsidRDefault="001C7687">
            <w:pPr>
              <w:suppressAutoHyphens/>
              <w:spacing w:after="0"/>
              <w:rPr>
                <w:rFonts w:cs="Arial"/>
              </w:rPr>
            </w:pPr>
          </w:p>
        </w:tc>
      </w:tr>
      <w:tr w:rsidR="001C7687" w:rsidRPr="001C7687" w14:paraId="74781A35" w14:textId="77777777">
        <w:trPr>
          <w:cnfStyle w:val="000000010000" w:firstRow="0" w:lastRow="0" w:firstColumn="0" w:lastColumn="0" w:oddVBand="0" w:evenVBand="0" w:oddHBand="0" w:evenHBand="1" w:firstRowFirstColumn="0" w:firstRowLastColumn="0" w:lastRowFirstColumn="0" w:lastRowLastColumn="0"/>
          <w:trHeight w:val="831"/>
        </w:trPr>
        <w:tc>
          <w:tcPr>
            <w:tcW w:w="1418" w:type="dxa"/>
            <w:vMerge/>
          </w:tcPr>
          <w:p w14:paraId="4DD7C536" w14:textId="77777777" w:rsidR="001C7687" w:rsidRPr="001C7687" w:rsidRDefault="001C7687">
            <w:pPr>
              <w:suppressAutoHyphens/>
              <w:spacing w:after="0"/>
              <w:rPr>
                <w:rFonts w:cs="Arial"/>
              </w:rPr>
            </w:pPr>
          </w:p>
        </w:tc>
        <w:tc>
          <w:tcPr>
            <w:tcW w:w="1276" w:type="dxa"/>
            <w:vMerge/>
          </w:tcPr>
          <w:p w14:paraId="69B57CC2" w14:textId="77777777" w:rsidR="001C7687" w:rsidRPr="001C7687" w:rsidRDefault="001C7687">
            <w:pPr>
              <w:suppressAutoHyphens/>
              <w:spacing w:after="0"/>
              <w:rPr>
                <w:rFonts w:cs="Arial"/>
              </w:rPr>
            </w:pPr>
          </w:p>
        </w:tc>
        <w:tc>
          <w:tcPr>
            <w:tcW w:w="1417" w:type="dxa"/>
            <w:vMerge/>
          </w:tcPr>
          <w:p w14:paraId="72801E00" w14:textId="77777777" w:rsidR="001C7687" w:rsidRPr="001C7687" w:rsidRDefault="001C7687">
            <w:pPr>
              <w:suppressAutoHyphens/>
              <w:spacing w:after="0"/>
              <w:rPr>
                <w:rFonts w:cs="Arial"/>
              </w:rPr>
            </w:pPr>
          </w:p>
        </w:tc>
        <w:tc>
          <w:tcPr>
            <w:tcW w:w="1843" w:type="dxa"/>
          </w:tcPr>
          <w:p w14:paraId="380BEC0C" w14:textId="77777777" w:rsidR="001C7687" w:rsidRPr="001C7687" w:rsidRDefault="001C7687">
            <w:pPr>
              <w:suppressAutoHyphens/>
              <w:spacing w:after="0"/>
              <w:rPr>
                <w:rFonts w:cs="Arial"/>
              </w:rPr>
            </w:pPr>
            <w:r w:rsidRPr="001C7687">
              <w:rPr>
                <w:rFonts w:cs="Arial"/>
              </w:rPr>
              <w:t>Mullen Scales of Early Learning (MSEL)</w:t>
            </w:r>
          </w:p>
        </w:tc>
        <w:tc>
          <w:tcPr>
            <w:tcW w:w="2268" w:type="dxa"/>
          </w:tcPr>
          <w:p w14:paraId="3C6B608D" w14:textId="77777777" w:rsidR="001C7687" w:rsidRPr="001C7687" w:rsidRDefault="001C7687">
            <w:pPr>
              <w:suppressAutoHyphens/>
              <w:spacing w:after="0"/>
              <w:rPr>
                <w:rFonts w:cs="Arial"/>
              </w:rPr>
            </w:pPr>
            <w:r w:rsidRPr="001C7687">
              <w:rPr>
                <w:rFonts w:cs="Arial"/>
              </w:rPr>
              <w:t>As above</w:t>
            </w:r>
          </w:p>
        </w:tc>
        <w:tc>
          <w:tcPr>
            <w:tcW w:w="5670" w:type="dxa"/>
          </w:tcPr>
          <w:p w14:paraId="7E63D30A" w14:textId="77777777" w:rsidR="001C7687" w:rsidRPr="001C7687" w:rsidRDefault="001C7687">
            <w:pPr>
              <w:suppressAutoHyphens/>
              <w:spacing w:after="0"/>
              <w:rPr>
                <w:rFonts w:cs="Arial"/>
              </w:rPr>
            </w:pPr>
            <w:r w:rsidRPr="001C7687">
              <w:rPr>
                <w:rFonts w:cs="Arial"/>
              </w:rPr>
              <w:t xml:space="preserve">Both groups showed improvements in child development over time. </w:t>
            </w:r>
          </w:p>
          <w:p w14:paraId="56A43452" w14:textId="77777777" w:rsidR="001C7687" w:rsidRPr="001C7687" w:rsidRDefault="001C7687">
            <w:pPr>
              <w:spacing w:after="0"/>
              <w:rPr>
                <w:rFonts w:cs="Arial"/>
              </w:rPr>
            </w:pPr>
            <w:r w:rsidRPr="001C7687">
              <w:rPr>
                <w:rFonts w:cs="Arial"/>
              </w:rPr>
              <w:t>No evidence of a difference between groups for child development throughout the intervention period.</w:t>
            </w:r>
          </w:p>
        </w:tc>
      </w:tr>
      <w:tr w:rsidR="001C7687" w:rsidRPr="001C7687" w14:paraId="33EF068A"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3E925D16" w14:textId="77777777" w:rsidR="001C7687" w:rsidRPr="001C7687" w:rsidRDefault="001C7687">
            <w:pPr>
              <w:suppressAutoHyphens/>
              <w:spacing w:after="0"/>
              <w:rPr>
                <w:rFonts w:cs="Arial"/>
              </w:rPr>
            </w:pPr>
          </w:p>
        </w:tc>
        <w:tc>
          <w:tcPr>
            <w:tcW w:w="1276" w:type="dxa"/>
            <w:vMerge/>
          </w:tcPr>
          <w:p w14:paraId="1009FC2C" w14:textId="77777777" w:rsidR="001C7687" w:rsidRPr="001C7687" w:rsidRDefault="001C7687">
            <w:pPr>
              <w:suppressAutoHyphens/>
              <w:spacing w:after="0"/>
              <w:rPr>
                <w:rFonts w:cs="Arial"/>
              </w:rPr>
            </w:pPr>
          </w:p>
        </w:tc>
        <w:tc>
          <w:tcPr>
            <w:tcW w:w="1417" w:type="dxa"/>
            <w:vMerge/>
          </w:tcPr>
          <w:p w14:paraId="6A1BDC07" w14:textId="77777777" w:rsidR="001C7687" w:rsidRPr="001C7687" w:rsidRDefault="001C7687">
            <w:pPr>
              <w:suppressAutoHyphens/>
              <w:spacing w:after="0"/>
              <w:rPr>
                <w:rFonts w:cs="Arial"/>
              </w:rPr>
            </w:pPr>
          </w:p>
        </w:tc>
        <w:tc>
          <w:tcPr>
            <w:tcW w:w="1843" w:type="dxa"/>
          </w:tcPr>
          <w:p w14:paraId="49D4F3A6" w14:textId="77777777" w:rsidR="001C7687" w:rsidRPr="001C7687" w:rsidRDefault="001C7687">
            <w:pPr>
              <w:suppressAutoHyphens/>
              <w:spacing w:after="0"/>
              <w:rPr>
                <w:rFonts w:cs="Arial"/>
              </w:rPr>
            </w:pPr>
            <w:r w:rsidRPr="001C7687">
              <w:rPr>
                <w:rFonts w:cs="Arial"/>
              </w:rPr>
              <w:t>Vineland Adaptive Behaviour Scale (VABS)</w:t>
            </w:r>
          </w:p>
        </w:tc>
        <w:tc>
          <w:tcPr>
            <w:tcW w:w="2268" w:type="dxa"/>
          </w:tcPr>
          <w:p w14:paraId="099411DB" w14:textId="77777777" w:rsidR="001C7687" w:rsidRPr="001C7687" w:rsidRDefault="001C7687">
            <w:pPr>
              <w:suppressAutoHyphens/>
              <w:spacing w:after="0"/>
              <w:rPr>
                <w:rFonts w:cs="Arial"/>
              </w:rPr>
            </w:pPr>
            <w:r w:rsidRPr="001C7687">
              <w:rPr>
                <w:rFonts w:cs="Arial"/>
              </w:rPr>
              <w:t>As above</w:t>
            </w:r>
          </w:p>
        </w:tc>
        <w:tc>
          <w:tcPr>
            <w:tcW w:w="5670" w:type="dxa"/>
          </w:tcPr>
          <w:p w14:paraId="107DBD47" w14:textId="77777777" w:rsidR="001C7687" w:rsidRPr="001C7687" w:rsidRDefault="001C7687">
            <w:pPr>
              <w:suppressAutoHyphens/>
              <w:spacing w:after="0"/>
              <w:rPr>
                <w:rFonts w:cs="Arial"/>
              </w:rPr>
            </w:pPr>
            <w:r w:rsidRPr="001C7687">
              <w:rPr>
                <w:rFonts w:cs="Arial"/>
              </w:rPr>
              <w:t xml:space="preserve">Both groups showed improvements in adaptive behaviour over time. </w:t>
            </w:r>
          </w:p>
          <w:p w14:paraId="42D3018B" w14:textId="77777777" w:rsidR="001C7687" w:rsidRPr="001C7687" w:rsidRDefault="001C7687">
            <w:pPr>
              <w:suppressAutoHyphens/>
              <w:spacing w:after="0"/>
              <w:rPr>
                <w:rFonts w:cs="Arial"/>
              </w:rPr>
            </w:pPr>
            <w:r w:rsidRPr="001C7687">
              <w:rPr>
                <w:rFonts w:cs="Arial"/>
              </w:rPr>
              <w:t>No evidence of a difference between groups for adaptive behaviour throughout the intervention period.</w:t>
            </w:r>
          </w:p>
        </w:tc>
      </w:tr>
      <w:tr w:rsidR="001C7687" w:rsidRPr="001C7687" w14:paraId="29727866" w14:textId="77777777">
        <w:trPr>
          <w:cnfStyle w:val="000000010000" w:firstRow="0" w:lastRow="0" w:firstColumn="0" w:lastColumn="0" w:oddVBand="0" w:evenVBand="0" w:oddHBand="0" w:evenHBand="1" w:firstRowFirstColumn="0" w:firstRowLastColumn="0" w:lastRowFirstColumn="0" w:lastRowLastColumn="0"/>
          <w:trHeight w:val="340"/>
        </w:trPr>
        <w:tc>
          <w:tcPr>
            <w:tcW w:w="13892" w:type="dxa"/>
            <w:gridSpan w:val="6"/>
            <w:shd w:val="clear" w:color="auto" w:fill="DAE2E6"/>
          </w:tcPr>
          <w:p w14:paraId="73DABC30" w14:textId="77777777" w:rsidR="001C7687" w:rsidRPr="001C7687" w:rsidRDefault="001C7687">
            <w:pPr>
              <w:suppressAutoHyphens/>
              <w:spacing w:after="0"/>
              <w:rPr>
                <w:rFonts w:cs="Arial"/>
              </w:rPr>
            </w:pPr>
            <w:r w:rsidRPr="001C7687">
              <w:rPr>
                <w:rFonts w:cs="Arial"/>
                <w:b/>
              </w:rPr>
              <w:t>Preschool Autism Communication Trial Therapy (PACT)</w:t>
            </w:r>
          </w:p>
        </w:tc>
      </w:tr>
      <w:tr w:rsidR="001C7687" w:rsidRPr="001C7687" w14:paraId="7966750F"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val="restart"/>
          </w:tcPr>
          <w:p w14:paraId="27819761" w14:textId="77777777" w:rsidR="001C7687" w:rsidRPr="001C7687" w:rsidRDefault="001C7687">
            <w:pPr>
              <w:suppressAutoHyphens/>
              <w:spacing w:after="0"/>
              <w:rPr>
                <w:rFonts w:cs="Arial"/>
                <w:b/>
              </w:rPr>
            </w:pPr>
            <w:r w:rsidRPr="001C7687">
              <w:rPr>
                <w:rFonts w:cs="Arial"/>
                <w:b/>
              </w:rPr>
              <w:t xml:space="preserve">Pickles </w:t>
            </w:r>
          </w:p>
          <w:p w14:paraId="3199322A" w14:textId="77777777" w:rsidR="001C7687" w:rsidRPr="001C7687" w:rsidRDefault="001C7687">
            <w:pPr>
              <w:suppressAutoHyphens/>
              <w:spacing w:after="0"/>
              <w:rPr>
                <w:rFonts w:cs="Arial"/>
              </w:rPr>
            </w:pPr>
            <w:r w:rsidRPr="001C7687">
              <w:rPr>
                <w:rFonts w:cs="Arial"/>
                <w:b/>
              </w:rPr>
              <w:t>2016</w:t>
            </w:r>
          </w:p>
        </w:tc>
        <w:tc>
          <w:tcPr>
            <w:tcW w:w="1276" w:type="dxa"/>
            <w:vMerge w:val="restart"/>
          </w:tcPr>
          <w:p w14:paraId="5D264B80" w14:textId="77777777" w:rsidR="001C7687" w:rsidRPr="001C7687" w:rsidRDefault="001C7687">
            <w:pPr>
              <w:suppressAutoHyphens/>
              <w:spacing w:after="0"/>
              <w:rPr>
                <w:rFonts w:cs="Arial"/>
              </w:rPr>
            </w:pPr>
            <w:r w:rsidRPr="001C7687">
              <w:rPr>
                <w:rFonts w:cs="Arial"/>
              </w:rPr>
              <w:t xml:space="preserve">PACT </w:t>
            </w:r>
          </w:p>
          <w:p w14:paraId="212B49F7" w14:textId="77777777" w:rsidR="001C7687" w:rsidRPr="001C7687" w:rsidRDefault="001C7687">
            <w:pPr>
              <w:suppressAutoHyphens/>
              <w:spacing w:after="0"/>
              <w:rPr>
                <w:rFonts w:cs="Arial"/>
              </w:rPr>
            </w:pPr>
            <w:r w:rsidRPr="001C7687">
              <w:rPr>
                <w:rFonts w:cs="Arial"/>
              </w:rPr>
              <w:t>(n=77)</w:t>
            </w:r>
          </w:p>
        </w:tc>
        <w:tc>
          <w:tcPr>
            <w:tcW w:w="1417" w:type="dxa"/>
            <w:vMerge w:val="restart"/>
          </w:tcPr>
          <w:p w14:paraId="14C141C1" w14:textId="77777777" w:rsidR="001C7687" w:rsidRPr="001C7687" w:rsidRDefault="001C7687">
            <w:pPr>
              <w:suppressAutoHyphens/>
              <w:spacing w:after="0"/>
              <w:rPr>
                <w:rFonts w:cs="Arial"/>
              </w:rPr>
            </w:pPr>
            <w:r w:rsidRPr="001C7687">
              <w:rPr>
                <w:rFonts w:cs="Arial"/>
              </w:rPr>
              <w:t xml:space="preserve">TAU </w:t>
            </w:r>
          </w:p>
          <w:p w14:paraId="5504455B" w14:textId="77777777" w:rsidR="001C7687" w:rsidRPr="001C7687" w:rsidRDefault="001C7687">
            <w:pPr>
              <w:suppressAutoHyphens/>
              <w:spacing w:after="0"/>
              <w:rPr>
                <w:rFonts w:cs="Arial"/>
              </w:rPr>
            </w:pPr>
            <w:r w:rsidRPr="001C7687">
              <w:rPr>
                <w:rFonts w:cs="Arial"/>
              </w:rPr>
              <w:t>(n=75)</w:t>
            </w:r>
          </w:p>
        </w:tc>
        <w:tc>
          <w:tcPr>
            <w:tcW w:w="1843" w:type="dxa"/>
          </w:tcPr>
          <w:p w14:paraId="1FE58F66" w14:textId="77777777" w:rsidR="001C7687" w:rsidRPr="001C7687" w:rsidRDefault="001C7687">
            <w:pPr>
              <w:suppressAutoHyphens/>
              <w:spacing w:after="0"/>
              <w:rPr>
                <w:rFonts w:cs="Arial"/>
              </w:rPr>
            </w:pPr>
            <w:r w:rsidRPr="001C7687">
              <w:rPr>
                <w:rFonts w:cs="Arial"/>
              </w:rPr>
              <w:t>Clinical Evaluation of Language Fundamentals (CELF-4)</w:t>
            </w:r>
          </w:p>
        </w:tc>
        <w:tc>
          <w:tcPr>
            <w:tcW w:w="2268" w:type="dxa"/>
          </w:tcPr>
          <w:p w14:paraId="44BAFFA4" w14:textId="77777777" w:rsidR="001C7687" w:rsidRPr="001C7687" w:rsidRDefault="001C7687">
            <w:pPr>
              <w:suppressAutoHyphens/>
              <w:spacing w:after="0"/>
              <w:rPr>
                <w:rFonts w:cs="Arial"/>
              </w:rPr>
            </w:pPr>
            <w:r w:rsidRPr="001C7687">
              <w:rPr>
                <w:rFonts w:cs="Arial"/>
              </w:rPr>
              <w:t xml:space="preserve">Baseline; </w:t>
            </w:r>
          </w:p>
          <w:p w14:paraId="54EE0A46" w14:textId="77777777" w:rsidR="001C7687" w:rsidRPr="001C7687" w:rsidRDefault="001C7687">
            <w:pPr>
              <w:suppressAutoHyphens/>
              <w:spacing w:after="0"/>
              <w:rPr>
                <w:rFonts w:cs="Arial"/>
              </w:rPr>
            </w:pPr>
            <w:r w:rsidRPr="001C7687">
              <w:rPr>
                <w:rFonts w:cs="Arial"/>
              </w:rPr>
              <w:t xml:space="preserve">Post-intervention; </w:t>
            </w:r>
          </w:p>
          <w:p w14:paraId="4B0CF526" w14:textId="77777777" w:rsidR="001C7687" w:rsidRPr="001C7687" w:rsidRDefault="001C7687">
            <w:pPr>
              <w:suppressAutoHyphens/>
              <w:spacing w:after="0"/>
              <w:rPr>
                <w:rFonts w:cs="Arial"/>
              </w:rPr>
            </w:pPr>
            <w:r w:rsidRPr="001C7687">
              <w:rPr>
                <w:rFonts w:cs="Arial"/>
              </w:rPr>
              <w:t>Follow up (6 years)</w:t>
            </w:r>
          </w:p>
        </w:tc>
        <w:tc>
          <w:tcPr>
            <w:tcW w:w="5670" w:type="dxa"/>
            <w:vMerge w:val="restart"/>
          </w:tcPr>
          <w:p w14:paraId="4B2584DA" w14:textId="77777777" w:rsidR="001C7687" w:rsidRPr="001C7687" w:rsidRDefault="001C7687">
            <w:pPr>
              <w:suppressAutoHyphens/>
              <w:spacing w:after="0"/>
              <w:rPr>
                <w:rFonts w:cs="Arial"/>
              </w:rPr>
            </w:pPr>
            <w:r w:rsidRPr="001C7687">
              <w:rPr>
                <w:rFonts w:cs="Arial"/>
              </w:rPr>
              <w:t>No evidence of a difference between groups for the two language outcomes throughout the intervention period.</w:t>
            </w:r>
          </w:p>
        </w:tc>
      </w:tr>
      <w:tr w:rsidR="001C7687" w:rsidRPr="001C7687" w14:paraId="22595821"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6AA5C6CB" w14:textId="77777777" w:rsidR="001C7687" w:rsidRPr="001C7687" w:rsidRDefault="001C7687">
            <w:pPr>
              <w:suppressAutoHyphens/>
              <w:spacing w:after="0"/>
              <w:rPr>
                <w:rFonts w:cs="Arial"/>
              </w:rPr>
            </w:pPr>
          </w:p>
        </w:tc>
        <w:tc>
          <w:tcPr>
            <w:tcW w:w="1276" w:type="dxa"/>
            <w:vMerge/>
          </w:tcPr>
          <w:p w14:paraId="74C84DCF" w14:textId="77777777" w:rsidR="001C7687" w:rsidRPr="001C7687" w:rsidRDefault="001C7687">
            <w:pPr>
              <w:suppressAutoHyphens/>
              <w:spacing w:after="0"/>
              <w:rPr>
                <w:rFonts w:cs="Arial"/>
              </w:rPr>
            </w:pPr>
          </w:p>
        </w:tc>
        <w:tc>
          <w:tcPr>
            <w:tcW w:w="1417" w:type="dxa"/>
            <w:vMerge/>
          </w:tcPr>
          <w:p w14:paraId="435DE5E6" w14:textId="77777777" w:rsidR="001C7687" w:rsidRPr="001C7687" w:rsidRDefault="001C7687">
            <w:pPr>
              <w:suppressAutoHyphens/>
              <w:spacing w:after="0"/>
              <w:rPr>
                <w:rFonts w:cs="Arial"/>
              </w:rPr>
            </w:pPr>
          </w:p>
        </w:tc>
        <w:tc>
          <w:tcPr>
            <w:tcW w:w="1843" w:type="dxa"/>
          </w:tcPr>
          <w:p w14:paraId="04499162" w14:textId="77777777" w:rsidR="001C7687" w:rsidRPr="001C7687" w:rsidRDefault="001C7687">
            <w:pPr>
              <w:suppressAutoHyphens/>
              <w:spacing w:after="0"/>
              <w:rPr>
                <w:rFonts w:cs="Arial"/>
              </w:rPr>
            </w:pPr>
            <w:r w:rsidRPr="001C7687">
              <w:rPr>
                <w:rFonts w:cs="Arial"/>
              </w:rPr>
              <w:t>Receptive One-word Picture Vocabulary Test (ROWPVT-4)</w:t>
            </w:r>
          </w:p>
        </w:tc>
        <w:tc>
          <w:tcPr>
            <w:tcW w:w="2268" w:type="dxa"/>
          </w:tcPr>
          <w:p w14:paraId="155B1480" w14:textId="77777777" w:rsidR="001C7687" w:rsidRPr="001C7687" w:rsidRDefault="001C7687">
            <w:pPr>
              <w:suppressAutoHyphens/>
              <w:spacing w:after="0"/>
              <w:rPr>
                <w:rFonts w:cs="Arial"/>
              </w:rPr>
            </w:pPr>
            <w:r w:rsidRPr="001C7687">
              <w:rPr>
                <w:rFonts w:cs="Arial"/>
              </w:rPr>
              <w:t>As above</w:t>
            </w:r>
          </w:p>
        </w:tc>
        <w:tc>
          <w:tcPr>
            <w:tcW w:w="5670" w:type="dxa"/>
            <w:vMerge/>
          </w:tcPr>
          <w:p w14:paraId="622E394E" w14:textId="77777777" w:rsidR="001C7687" w:rsidRPr="001C7687" w:rsidRDefault="001C7687">
            <w:pPr>
              <w:suppressAutoHyphens/>
              <w:spacing w:after="0"/>
              <w:rPr>
                <w:rFonts w:cs="Arial"/>
              </w:rPr>
            </w:pPr>
          </w:p>
        </w:tc>
      </w:tr>
      <w:tr w:rsidR="001C7687" w:rsidRPr="001C7687" w14:paraId="24A52E7E"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5896A7F4" w14:textId="77777777" w:rsidR="001C7687" w:rsidRPr="001C7687" w:rsidRDefault="001C7687">
            <w:pPr>
              <w:suppressAutoHyphens/>
              <w:spacing w:after="0"/>
              <w:rPr>
                <w:rFonts w:cs="Arial"/>
              </w:rPr>
            </w:pPr>
          </w:p>
        </w:tc>
        <w:tc>
          <w:tcPr>
            <w:tcW w:w="1276" w:type="dxa"/>
            <w:vMerge/>
          </w:tcPr>
          <w:p w14:paraId="26B61DCC" w14:textId="77777777" w:rsidR="001C7687" w:rsidRPr="001C7687" w:rsidRDefault="001C7687">
            <w:pPr>
              <w:suppressAutoHyphens/>
              <w:spacing w:after="0"/>
              <w:rPr>
                <w:rFonts w:cs="Arial"/>
              </w:rPr>
            </w:pPr>
          </w:p>
        </w:tc>
        <w:tc>
          <w:tcPr>
            <w:tcW w:w="1417" w:type="dxa"/>
            <w:vMerge/>
          </w:tcPr>
          <w:p w14:paraId="33A1F300" w14:textId="77777777" w:rsidR="001C7687" w:rsidRPr="001C7687" w:rsidRDefault="001C7687">
            <w:pPr>
              <w:suppressAutoHyphens/>
              <w:spacing w:after="0"/>
              <w:rPr>
                <w:rFonts w:cs="Arial"/>
              </w:rPr>
            </w:pPr>
          </w:p>
        </w:tc>
        <w:tc>
          <w:tcPr>
            <w:tcW w:w="1843" w:type="dxa"/>
          </w:tcPr>
          <w:p w14:paraId="66F4234F" w14:textId="77777777" w:rsidR="001C7687" w:rsidRPr="001C7687" w:rsidRDefault="001C7687">
            <w:pPr>
              <w:suppressAutoHyphens/>
              <w:spacing w:after="0"/>
              <w:rPr>
                <w:rFonts w:cs="Arial"/>
              </w:rPr>
            </w:pPr>
            <w:r w:rsidRPr="001C7687">
              <w:rPr>
                <w:rFonts w:cs="Arial"/>
              </w:rPr>
              <w:t>Repetitive Behaviour Questionnaire (RBQ)</w:t>
            </w:r>
          </w:p>
        </w:tc>
        <w:tc>
          <w:tcPr>
            <w:tcW w:w="2268" w:type="dxa"/>
          </w:tcPr>
          <w:p w14:paraId="3EFB8583" w14:textId="77777777" w:rsidR="001C7687" w:rsidRPr="001C7687" w:rsidRDefault="001C7687">
            <w:pPr>
              <w:suppressAutoHyphens/>
              <w:spacing w:after="0"/>
              <w:rPr>
                <w:rFonts w:cs="Arial"/>
              </w:rPr>
            </w:pPr>
            <w:r w:rsidRPr="001C7687">
              <w:rPr>
                <w:rFonts w:cs="Arial"/>
              </w:rPr>
              <w:t>Follow up (6 years)</w:t>
            </w:r>
          </w:p>
        </w:tc>
        <w:tc>
          <w:tcPr>
            <w:tcW w:w="5670" w:type="dxa"/>
          </w:tcPr>
          <w:p w14:paraId="523DB713" w14:textId="77777777" w:rsidR="001C7687" w:rsidRPr="001C7687" w:rsidRDefault="001C7687">
            <w:pPr>
              <w:suppressAutoHyphens/>
              <w:spacing w:after="0"/>
              <w:rPr>
                <w:rFonts w:cs="Arial"/>
              </w:rPr>
            </w:pPr>
            <w:r w:rsidRPr="001C7687">
              <w:rPr>
                <w:rFonts w:cs="Arial"/>
              </w:rPr>
              <w:t>Evidence of reduced restricted and repetitive behaviour over time for the PACT group.</w:t>
            </w:r>
          </w:p>
        </w:tc>
      </w:tr>
      <w:tr w:rsidR="001C7687" w:rsidRPr="001C7687" w14:paraId="1B46173B"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6FF56266" w14:textId="77777777" w:rsidR="001C7687" w:rsidRPr="001C7687" w:rsidRDefault="001C7687">
            <w:pPr>
              <w:suppressAutoHyphens/>
              <w:spacing w:after="0"/>
              <w:rPr>
                <w:rFonts w:cs="Arial"/>
              </w:rPr>
            </w:pPr>
          </w:p>
        </w:tc>
        <w:tc>
          <w:tcPr>
            <w:tcW w:w="1276" w:type="dxa"/>
            <w:vMerge/>
          </w:tcPr>
          <w:p w14:paraId="33CCDFF6" w14:textId="77777777" w:rsidR="001C7687" w:rsidRPr="001C7687" w:rsidRDefault="001C7687">
            <w:pPr>
              <w:suppressAutoHyphens/>
              <w:spacing w:after="0"/>
              <w:rPr>
                <w:rFonts w:cs="Arial"/>
              </w:rPr>
            </w:pPr>
          </w:p>
        </w:tc>
        <w:tc>
          <w:tcPr>
            <w:tcW w:w="1417" w:type="dxa"/>
            <w:vMerge/>
          </w:tcPr>
          <w:p w14:paraId="55B8B26A" w14:textId="77777777" w:rsidR="001C7687" w:rsidRPr="001C7687" w:rsidRDefault="001C7687">
            <w:pPr>
              <w:suppressAutoHyphens/>
              <w:spacing w:after="0"/>
              <w:rPr>
                <w:rFonts w:cs="Arial"/>
              </w:rPr>
            </w:pPr>
          </w:p>
        </w:tc>
        <w:tc>
          <w:tcPr>
            <w:tcW w:w="1843" w:type="dxa"/>
          </w:tcPr>
          <w:p w14:paraId="29A16261" w14:textId="77777777" w:rsidR="001C7687" w:rsidRPr="001C7687" w:rsidRDefault="001C7687">
            <w:pPr>
              <w:suppressAutoHyphens/>
              <w:spacing w:after="0"/>
              <w:rPr>
                <w:rFonts w:cs="Arial"/>
              </w:rPr>
            </w:pPr>
            <w:r w:rsidRPr="001C7687">
              <w:rPr>
                <w:rFonts w:cs="Arial"/>
              </w:rPr>
              <w:t>Dyadic Communication Measure for Autism (DCMA)</w:t>
            </w:r>
          </w:p>
        </w:tc>
        <w:tc>
          <w:tcPr>
            <w:tcW w:w="2268" w:type="dxa"/>
          </w:tcPr>
          <w:p w14:paraId="2F47DCDC" w14:textId="77777777" w:rsidR="001C7687" w:rsidRPr="001C7687" w:rsidRDefault="001C7687">
            <w:pPr>
              <w:suppressAutoHyphens/>
              <w:spacing w:after="0"/>
              <w:rPr>
                <w:rFonts w:cs="Arial"/>
              </w:rPr>
            </w:pPr>
            <w:r w:rsidRPr="001C7687">
              <w:rPr>
                <w:rFonts w:cs="Arial"/>
              </w:rPr>
              <w:t xml:space="preserve">Baseline; </w:t>
            </w:r>
          </w:p>
          <w:p w14:paraId="72F0B18B" w14:textId="77777777" w:rsidR="001C7687" w:rsidRPr="001C7687" w:rsidRDefault="001C7687">
            <w:pPr>
              <w:suppressAutoHyphens/>
              <w:spacing w:after="0"/>
              <w:rPr>
                <w:rFonts w:cs="Arial"/>
              </w:rPr>
            </w:pPr>
            <w:r w:rsidRPr="001C7687">
              <w:rPr>
                <w:rFonts w:cs="Arial"/>
              </w:rPr>
              <w:t xml:space="preserve">Post-intervention; </w:t>
            </w:r>
          </w:p>
          <w:p w14:paraId="16D82898" w14:textId="77777777" w:rsidR="001C7687" w:rsidRPr="001C7687" w:rsidRDefault="001C7687">
            <w:pPr>
              <w:suppressAutoHyphens/>
              <w:spacing w:after="0"/>
              <w:rPr>
                <w:rFonts w:cs="Arial"/>
              </w:rPr>
            </w:pPr>
            <w:r w:rsidRPr="001C7687">
              <w:rPr>
                <w:rFonts w:cs="Arial"/>
              </w:rPr>
              <w:t>Follow up (6 years)</w:t>
            </w:r>
          </w:p>
        </w:tc>
        <w:tc>
          <w:tcPr>
            <w:tcW w:w="5670" w:type="dxa"/>
          </w:tcPr>
          <w:p w14:paraId="7D9A15DF" w14:textId="77777777" w:rsidR="001C7687" w:rsidRPr="001C7687" w:rsidRDefault="001C7687">
            <w:pPr>
              <w:suppressAutoHyphens/>
              <w:spacing w:after="0"/>
              <w:rPr>
                <w:rFonts w:cs="Arial"/>
              </w:rPr>
            </w:pPr>
            <w:r w:rsidRPr="001C7687">
              <w:rPr>
                <w:rFonts w:cs="Arial"/>
              </w:rPr>
              <w:t>Evidence of improvements in initiations and parent synchrony over time for the PACT group.</w:t>
            </w:r>
          </w:p>
        </w:tc>
      </w:tr>
      <w:tr w:rsidR="001C7687" w:rsidRPr="001C7687" w14:paraId="3C40C2D1"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6AF5F8A4" w14:textId="77777777" w:rsidR="001C7687" w:rsidRPr="001C7687" w:rsidRDefault="001C7687">
            <w:pPr>
              <w:suppressAutoHyphens/>
              <w:spacing w:after="0"/>
              <w:rPr>
                <w:rFonts w:cs="Arial"/>
              </w:rPr>
            </w:pPr>
          </w:p>
        </w:tc>
        <w:tc>
          <w:tcPr>
            <w:tcW w:w="1276" w:type="dxa"/>
            <w:vMerge/>
          </w:tcPr>
          <w:p w14:paraId="79508CFB" w14:textId="77777777" w:rsidR="001C7687" w:rsidRPr="001C7687" w:rsidRDefault="001C7687">
            <w:pPr>
              <w:suppressAutoHyphens/>
              <w:spacing w:after="0"/>
              <w:rPr>
                <w:rFonts w:cs="Arial"/>
              </w:rPr>
            </w:pPr>
          </w:p>
        </w:tc>
        <w:tc>
          <w:tcPr>
            <w:tcW w:w="1417" w:type="dxa"/>
            <w:vMerge/>
          </w:tcPr>
          <w:p w14:paraId="223D7E7C" w14:textId="77777777" w:rsidR="001C7687" w:rsidRPr="001C7687" w:rsidRDefault="001C7687">
            <w:pPr>
              <w:suppressAutoHyphens/>
              <w:spacing w:after="0"/>
              <w:rPr>
                <w:rFonts w:cs="Arial"/>
              </w:rPr>
            </w:pPr>
          </w:p>
        </w:tc>
        <w:tc>
          <w:tcPr>
            <w:tcW w:w="1843" w:type="dxa"/>
          </w:tcPr>
          <w:p w14:paraId="2C2A13EB" w14:textId="77777777" w:rsidR="001C7687" w:rsidRPr="001C7687" w:rsidRDefault="001C7687">
            <w:pPr>
              <w:suppressAutoHyphens/>
              <w:spacing w:after="0"/>
              <w:rPr>
                <w:rFonts w:cs="Arial"/>
              </w:rPr>
            </w:pPr>
            <w:r w:rsidRPr="001C7687">
              <w:rPr>
                <w:rFonts w:cs="Arial"/>
              </w:rPr>
              <w:t>Strengths and Difficulties Questionnaire (SDQ)</w:t>
            </w:r>
          </w:p>
        </w:tc>
        <w:tc>
          <w:tcPr>
            <w:tcW w:w="2268" w:type="dxa"/>
          </w:tcPr>
          <w:p w14:paraId="654AF30A" w14:textId="77777777" w:rsidR="001C7687" w:rsidRPr="001C7687" w:rsidRDefault="001C7687">
            <w:pPr>
              <w:suppressAutoHyphens/>
              <w:spacing w:after="0"/>
              <w:rPr>
                <w:rFonts w:cs="Arial"/>
              </w:rPr>
            </w:pPr>
            <w:r w:rsidRPr="001C7687">
              <w:rPr>
                <w:rFonts w:cs="Arial"/>
              </w:rPr>
              <w:t>Follow up (6 years)</w:t>
            </w:r>
          </w:p>
        </w:tc>
        <w:tc>
          <w:tcPr>
            <w:tcW w:w="5670" w:type="dxa"/>
          </w:tcPr>
          <w:p w14:paraId="075AAA37" w14:textId="77777777" w:rsidR="001C7687" w:rsidRPr="001C7687" w:rsidRDefault="001C7687">
            <w:pPr>
              <w:suppressAutoHyphens/>
              <w:spacing w:after="0"/>
              <w:rPr>
                <w:rFonts w:cs="Arial"/>
              </w:rPr>
            </w:pPr>
            <w:r w:rsidRPr="001C7687">
              <w:rPr>
                <w:rFonts w:cs="Arial"/>
              </w:rPr>
              <w:t xml:space="preserve">Evidence of reduced autism symptom severity over time for the PACT group. </w:t>
            </w:r>
          </w:p>
        </w:tc>
      </w:tr>
      <w:tr w:rsidR="001C7687" w:rsidRPr="001C7687" w14:paraId="121B3B29"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1B7EA6AB" w14:textId="77777777" w:rsidR="001C7687" w:rsidRPr="001C7687" w:rsidRDefault="001C7687">
            <w:pPr>
              <w:suppressAutoHyphens/>
              <w:spacing w:after="0"/>
              <w:rPr>
                <w:rFonts w:cs="Arial"/>
              </w:rPr>
            </w:pPr>
          </w:p>
        </w:tc>
        <w:tc>
          <w:tcPr>
            <w:tcW w:w="1276" w:type="dxa"/>
            <w:vMerge/>
          </w:tcPr>
          <w:p w14:paraId="64CCA052" w14:textId="77777777" w:rsidR="001C7687" w:rsidRPr="001C7687" w:rsidRDefault="001C7687">
            <w:pPr>
              <w:suppressAutoHyphens/>
              <w:spacing w:after="0"/>
              <w:rPr>
                <w:rFonts w:cs="Arial"/>
              </w:rPr>
            </w:pPr>
          </w:p>
        </w:tc>
        <w:tc>
          <w:tcPr>
            <w:tcW w:w="1417" w:type="dxa"/>
            <w:vMerge/>
          </w:tcPr>
          <w:p w14:paraId="192F5E75" w14:textId="77777777" w:rsidR="001C7687" w:rsidRPr="001C7687" w:rsidRDefault="001C7687">
            <w:pPr>
              <w:suppressAutoHyphens/>
              <w:spacing w:after="0"/>
              <w:rPr>
                <w:rFonts w:cs="Arial"/>
              </w:rPr>
            </w:pPr>
          </w:p>
        </w:tc>
        <w:tc>
          <w:tcPr>
            <w:tcW w:w="1843" w:type="dxa"/>
          </w:tcPr>
          <w:p w14:paraId="49475ADC" w14:textId="77777777" w:rsidR="001C7687" w:rsidRPr="001C7687" w:rsidRDefault="001C7687">
            <w:pPr>
              <w:suppressAutoHyphens/>
              <w:spacing w:after="0"/>
              <w:rPr>
                <w:rFonts w:cs="Arial"/>
              </w:rPr>
            </w:pPr>
            <w:r w:rsidRPr="001C7687">
              <w:rPr>
                <w:rFonts w:cs="Arial"/>
              </w:rPr>
              <w:t>Vineland Adaptive Behaviour Scale (VABS)</w:t>
            </w:r>
          </w:p>
        </w:tc>
        <w:tc>
          <w:tcPr>
            <w:tcW w:w="2268" w:type="dxa"/>
          </w:tcPr>
          <w:p w14:paraId="51759824" w14:textId="77777777" w:rsidR="001C7687" w:rsidRPr="001C7687" w:rsidRDefault="001C7687">
            <w:pPr>
              <w:suppressAutoHyphens/>
              <w:spacing w:after="0"/>
              <w:rPr>
                <w:rFonts w:cs="Arial"/>
              </w:rPr>
            </w:pPr>
            <w:r w:rsidRPr="001C7687">
              <w:rPr>
                <w:rFonts w:cs="Arial"/>
              </w:rPr>
              <w:t xml:space="preserve">Baseline; </w:t>
            </w:r>
          </w:p>
          <w:p w14:paraId="275A7E56" w14:textId="77777777" w:rsidR="001C7687" w:rsidRPr="001C7687" w:rsidRDefault="001C7687">
            <w:pPr>
              <w:suppressAutoHyphens/>
              <w:spacing w:after="0"/>
              <w:rPr>
                <w:rFonts w:cs="Arial"/>
              </w:rPr>
            </w:pPr>
            <w:r w:rsidRPr="001C7687">
              <w:rPr>
                <w:rFonts w:cs="Arial"/>
              </w:rPr>
              <w:t xml:space="preserve">Post-intervention; </w:t>
            </w:r>
          </w:p>
          <w:p w14:paraId="55AD7A3D" w14:textId="77777777" w:rsidR="001C7687" w:rsidRPr="001C7687" w:rsidRDefault="001C7687">
            <w:pPr>
              <w:suppressAutoHyphens/>
              <w:spacing w:after="0"/>
              <w:rPr>
                <w:rFonts w:cs="Arial"/>
              </w:rPr>
            </w:pPr>
            <w:r w:rsidRPr="001C7687">
              <w:rPr>
                <w:rFonts w:cs="Arial"/>
              </w:rPr>
              <w:t>Follow up (6 years)</w:t>
            </w:r>
          </w:p>
        </w:tc>
        <w:tc>
          <w:tcPr>
            <w:tcW w:w="5670" w:type="dxa"/>
          </w:tcPr>
          <w:p w14:paraId="7B375D8F" w14:textId="77777777" w:rsidR="001C7687" w:rsidRPr="001C7687" w:rsidRDefault="001C7687">
            <w:pPr>
              <w:suppressAutoHyphens/>
              <w:spacing w:after="0"/>
              <w:rPr>
                <w:rFonts w:cs="Arial"/>
              </w:rPr>
            </w:pPr>
            <w:r w:rsidRPr="001C7687">
              <w:rPr>
                <w:rFonts w:cs="Arial"/>
              </w:rPr>
              <w:t>Evidence of improvements in teacher-rated adaptive behaviour over time for the PACT group.</w:t>
            </w:r>
          </w:p>
          <w:p w14:paraId="52BED15D" w14:textId="77777777" w:rsidR="001C7687" w:rsidRDefault="001C7687" w:rsidP="000660C3">
            <w:pPr>
              <w:suppressAutoHyphens/>
              <w:spacing w:after="0"/>
              <w:rPr>
                <w:rFonts w:cs="Arial"/>
              </w:rPr>
            </w:pPr>
            <w:r w:rsidRPr="001C7687">
              <w:rPr>
                <w:rFonts w:cs="Arial"/>
              </w:rPr>
              <w:t>No evidence of a difference between groups for parent-rated adaptive behaviour throughout the intervention period.</w:t>
            </w:r>
          </w:p>
          <w:p w14:paraId="160D2A44" w14:textId="77777777" w:rsidR="001C7687" w:rsidRPr="001C7687" w:rsidRDefault="001C7687">
            <w:pPr>
              <w:suppressAutoHyphens/>
              <w:spacing w:after="0"/>
              <w:rPr>
                <w:rFonts w:cs="Arial"/>
              </w:rPr>
            </w:pPr>
          </w:p>
        </w:tc>
      </w:tr>
      <w:tr w:rsidR="001C7687" w:rsidRPr="001C7687" w14:paraId="17AB4E61"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39B9602C" w14:textId="77777777" w:rsidR="001C7687" w:rsidRPr="001C7687" w:rsidRDefault="001C7687">
            <w:pPr>
              <w:suppressAutoHyphens/>
              <w:spacing w:after="0"/>
              <w:rPr>
                <w:rFonts w:cs="Arial"/>
              </w:rPr>
            </w:pPr>
            <w:r w:rsidRPr="001C7687">
              <w:rPr>
                <w:rFonts w:cs="Arial"/>
                <w:b/>
              </w:rPr>
              <w:t>Pathways</w:t>
            </w:r>
          </w:p>
        </w:tc>
      </w:tr>
      <w:tr w:rsidR="001C7687" w:rsidRPr="001C7687" w14:paraId="0FA1251A"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tcPr>
          <w:p w14:paraId="21EAA346" w14:textId="77777777" w:rsidR="001C7687" w:rsidRPr="001C7687" w:rsidRDefault="001C7687">
            <w:pPr>
              <w:suppressAutoHyphens/>
              <w:spacing w:after="0"/>
              <w:rPr>
                <w:rFonts w:cs="Arial"/>
                <w:b/>
              </w:rPr>
            </w:pPr>
            <w:r w:rsidRPr="001C7687">
              <w:rPr>
                <w:rFonts w:cs="Arial"/>
                <w:b/>
              </w:rPr>
              <w:t xml:space="preserve">Rollins </w:t>
            </w:r>
          </w:p>
          <w:p w14:paraId="41868B92" w14:textId="77777777" w:rsidR="001C7687" w:rsidRPr="001C7687" w:rsidRDefault="001C7687">
            <w:pPr>
              <w:suppressAutoHyphens/>
              <w:spacing w:after="0"/>
              <w:rPr>
                <w:rFonts w:cs="Arial"/>
              </w:rPr>
            </w:pPr>
            <w:r w:rsidRPr="001C7687">
              <w:rPr>
                <w:rFonts w:cs="Arial"/>
                <w:b/>
              </w:rPr>
              <w:t>2023</w:t>
            </w:r>
          </w:p>
        </w:tc>
        <w:tc>
          <w:tcPr>
            <w:tcW w:w="1276" w:type="dxa"/>
          </w:tcPr>
          <w:p w14:paraId="61A54364" w14:textId="77777777" w:rsidR="001C7687" w:rsidRPr="001C7687" w:rsidRDefault="001C7687">
            <w:pPr>
              <w:suppressAutoHyphens/>
              <w:spacing w:after="0"/>
              <w:rPr>
                <w:rFonts w:cs="Arial"/>
              </w:rPr>
            </w:pPr>
            <w:r w:rsidRPr="001C7687">
              <w:rPr>
                <w:rFonts w:cs="Arial"/>
              </w:rPr>
              <w:t xml:space="preserve">Pathways </w:t>
            </w:r>
          </w:p>
          <w:p w14:paraId="1C174DFD" w14:textId="77777777" w:rsidR="001C7687" w:rsidRPr="001C7687" w:rsidRDefault="001C7687">
            <w:pPr>
              <w:suppressAutoHyphens/>
              <w:spacing w:after="0"/>
              <w:rPr>
                <w:rFonts w:cs="Arial"/>
              </w:rPr>
            </w:pPr>
            <w:r w:rsidRPr="001C7687">
              <w:rPr>
                <w:rFonts w:cs="Arial"/>
              </w:rPr>
              <w:t>(n=35)</w:t>
            </w:r>
          </w:p>
        </w:tc>
        <w:tc>
          <w:tcPr>
            <w:tcW w:w="1417" w:type="dxa"/>
          </w:tcPr>
          <w:p w14:paraId="4517A3A6" w14:textId="77777777" w:rsidR="001C7687" w:rsidRPr="001C7687" w:rsidRDefault="001C7687">
            <w:pPr>
              <w:suppressAutoHyphens/>
              <w:spacing w:after="0"/>
              <w:rPr>
                <w:rFonts w:cs="Arial"/>
              </w:rPr>
            </w:pPr>
            <w:r w:rsidRPr="001C7687">
              <w:rPr>
                <w:rFonts w:cs="Arial"/>
              </w:rPr>
              <w:t xml:space="preserve">SAU </w:t>
            </w:r>
          </w:p>
          <w:p w14:paraId="36EDEEBF" w14:textId="77777777" w:rsidR="001C7687" w:rsidRPr="001C7687" w:rsidRDefault="001C7687">
            <w:pPr>
              <w:suppressAutoHyphens/>
              <w:spacing w:after="0"/>
              <w:rPr>
                <w:rFonts w:cs="Arial"/>
              </w:rPr>
            </w:pPr>
            <w:r w:rsidRPr="001C7687">
              <w:rPr>
                <w:rFonts w:cs="Arial"/>
              </w:rPr>
              <w:t>(n=32)</w:t>
            </w:r>
          </w:p>
        </w:tc>
        <w:tc>
          <w:tcPr>
            <w:tcW w:w="1843" w:type="dxa"/>
          </w:tcPr>
          <w:p w14:paraId="60ECEE40" w14:textId="77777777" w:rsidR="001C7687" w:rsidRPr="001C7687" w:rsidRDefault="001C7687">
            <w:pPr>
              <w:suppressAutoHyphens/>
              <w:spacing w:after="0"/>
              <w:rPr>
                <w:rFonts w:cs="Arial"/>
              </w:rPr>
            </w:pPr>
            <w:r w:rsidRPr="001C7687">
              <w:rPr>
                <w:rFonts w:cs="Arial"/>
              </w:rPr>
              <w:t>Communication and Symbolic Behaviour Scales (CSBS)</w:t>
            </w:r>
          </w:p>
        </w:tc>
        <w:tc>
          <w:tcPr>
            <w:tcW w:w="2268" w:type="dxa"/>
          </w:tcPr>
          <w:p w14:paraId="7C7CF76C" w14:textId="77777777" w:rsidR="001C7687" w:rsidRPr="001C7687" w:rsidRDefault="001C7687">
            <w:pPr>
              <w:suppressAutoHyphens/>
              <w:spacing w:after="0"/>
              <w:rPr>
                <w:rFonts w:cs="Arial"/>
              </w:rPr>
            </w:pPr>
            <w:r w:rsidRPr="001C7687">
              <w:rPr>
                <w:rFonts w:cs="Arial"/>
              </w:rPr>
              <w:t>Baseline; post-intervention</w:t>
            </w:r>
          </w:p>
        </w:tc>
        <w:tc>
          <w:tcPr>
            <w:tcW w:w="5670" w:type="dxa"/>
          </w:tcPr>
          <w:p w14:paraId="612CD2D5" w14:textId="77777777" w:rsidR="001C7687" w:rsidRPr="001C7687" w:rsidRDefault="001C7687">
            <w:pPr>
              <w:suppressAutoHyphens/>
              <w:spacing w:after="0"/>
              <w:rPr>
                <w:rFonts w:cs="Arial"/>
              </w:rPr>
            </w:pPr>
            <w:r w:rsidRPr="001C7687">
              <w:rPr>
                <w:rFonts w:cs="Arial"/>
              </w:rPr>
              <w:t xml:space="preserve">No evidence of a difference between groups for social communication throughout the intervention period, after adjusting for baseline symbolic behaviour. </w:t>
            </w:r>
          </w:p>
        </w:tc>
      </w:tr>
      <w:tr w:rsidR="001C7687" w:rsidRPr="001C7687" w14:paraId="6CC80592"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val="restart"/>
          </w:tcPr>
          <w:p w14:paraId="34190341" w14:textId="77777777" w:rsidR="001C7687" w:rsidRPr="001C7687" w:rsidRDefault="001C7687">
            <w:pPr>
              <w:suppressAutoHyphens/>
              <w:spacing w:after="0"/>
              <w:rPr>
                <w:rFonts w:cs="Arial"/>
                <w:b/>
              </w:rPr>
            </w:pPr>
            <w:r w:rsidRPr="001C7687">
              <w:rPr>
                <w:rFonts w:cs="Arial"/>
                <w:b/>
              </w:rPr>
              <w:t xml:space="preserve">Rollins </w:t>
            </w:r>
          </w:p>
          <w:p w14:paraId="3E9E9FEB" w14:textId="77777777" w:rsidR="001C7687" w:rsidRPr="001C7687" w:rsidRDefault="001C7687">
            <w:pPr>
              <w:suppressAutoHyphens/>
              <w:spacing w:after="0"/>
              <w:rPr>
                <w:rFonts w:cs="Arial"/>
                <w:b/>
              </w:rPr>
            </w:pPr>
            <w:r w:rsidRPr="001C7687">
              <w:rPr>
                <w:rFonts w:cs="Arial"/>
                <w:b/>
              </w:rPr>
              <w:t>2021</w:t>
            </w:r>
          </w:p>
        </w:tc>
        <w:tc>
          <w:tcPr>
            <w:tcW w:w="1276" w:type="dxa"/>
            <w:vMerge w:val="restart"/>
          </w:tcPr>
          <w:p w14:paraId="6669C2E6" w14:textId="77777777" w:rsidR="001C7687" w:rsidRPr="001C7687" w:rsidRDefault="001C7687">
            <w:pPr>
              <w:suppressAutoHyphens/>
              <w:spacing w:after="0"/>
              <w:rPr>
                <w:rFonts w:cs="Arial"/>
              </w:rPr>
            </w:pPr>
            <w:r w:rsidRPr="001C7687">
              <w:rPr>
                <w:rFonts w:cs="Arial"/>
              </w:rPr>
              <w:t xml:space="preserve">Pathways </w:t>
            </w:r>
          </w:p>
          <w:p w14:paraId="0266EB2B" w14:textId="77777777" w:rsidR="001C7687" w:rsidRPr="001C7687" w:rsidRDefault="001C7687">
            <w:pPr>
              <w:suppressAutoHyphens/>
              <w:spacing w:after="0"/>
              <w:rPr>
                <w:rFonts w:cs="Arial"/>
              </w:rPr>
            </w:pPr>
            <w:r w:rsidRPr="001C7687">
              <w:rPr>
                <w:rFonts w:cs="Arial"/>
              </w:rPr>
              <w:t>(n=39)</w:t>
            </w:r>
          </w:p>
        </w:tc>
        <w:tc>
          <w:tcPr>
            <w:tcW w:w="1417" w:type="dxa"/>
          </w:tcPr>
          <w:p w14:paraId="41587C88" w14:textId="77777777" w:rsidR="001C7687" w:rsidRPr="001C7687" w:rsidRDefault="001C7687">
            <w:pPr>
              <w:suppressAutoHyphens/>
              <w:spacing w:after="0"/>
              <w:rPr>
                <w:rFonts w:cs="Arial"/>
              </w:rPr>
            </w:pPr>
            <w:r w:rsidRPr="001C7687">
              <w:rPr>
                <w:rFonts w:cs="Arial"/>
              </w:rPr>
              <w:t>SAU</w:t>
            </w:r>
          </w:p>
          <w:p w14:paraId="7AAE31D1" w14:textId="77777777" w:rsidR="001C7687" w:rsidRPr="001C7687" w:rsidRDefault="001C7687">
            <w:pPr>
              <w:suppressAutoHyphens/>
              <w:spacing w:after="0"/>
              <w:rPr>
                <w:rFonts w:cs="Arial"/>
              </w:rPr>
            </w:pPr>
            <w:r w:rsidRPr="001C7687">
              <w:rPr>
                <w:rFonts w:cs="Arial"/>
              </w:rPr>
              <w:t>(n=27)</w:t>
            </w:r>
          </w:p>
        </w:tc>
        <w:tc>
          <w:tcPr>
            <w:tcW w:w="1843" w:type="dxa"/>
          </w:tcPr>
          <w:p w14:paraId="07BA098D" w14:textId="77777777" w:rsidR="001C7687" w:rsidRPr="001C7687" w:rsidRDefault="001C7687">
            <w:pPr>
              <w:suppressAutoHyphens/>
              <w:spacing w:after="0"/>
              <w:rPr>
                <w:rFonts w:cs="Arial"/>
              </w:rPr>
            </w:pPr>
            <w:r w:rsidRPr="001C7687">
              <w:rPr>
                <w:rFonts w:cs="Arial"/>
              </w:rPr>
              <w:t>Vineland Adaptive Behaviour Scale (VABS-II)</w:t>
            </w:r>
          </w:p>
        </w:tc>
        <w:tc>
          <w:tcPr>
            <w:tcW w:w="2268" w:type="dxa"/>
          </w:tcPr>
          <w:p w14:paraId="070D2BFC" w14:textId="77777777" w:rsidR="001C7687" w:rsidRPr="001C7687" w:rsidRDefault="001C7687">
            <w:pPr>
              <w:suppressAutoHyphens/>
              <w:spacing w:after="0"/>
              <w:rPr>
                <w:rFonts w:cs="Arial"/>
              </w:rPr>
            </w:pPr>
            <w:r w:rsidRPr="001C7687">
              <w:rPr>
                <w:rFonts w:cs="Arial"/>
              </w:rPr>
              <w:t>Baseline; post-intervention (12 weeks)</w:t>
            </w:r>
          </w:p>
        </w:tc>
        <w:tc>
          <w:tcPr>
            <w:tcW w:w="5670" w:type="dxa"/>
          </w:tcPr>
          <w:p w14:paraId="1F5D1A25" w14:textId="77777777" w:rsidR="001C7687" w:rsidRPr="001C7687" w:rsidRDefault="001C7687">
            <w:pPr>
              <w:suppressAutoHyphens/>
              <w:spacing w:after="0"/>
              <w:rPr>
                <w:rFonts w:cs="Arial"/>
              </w:rPr>
            </w:pPr>
            <w:r w:rsidRPr="001C7687">
              <w:rPr>
                <w:rFonts w:cs="Arial"/>
              </w:rPr>
              <w:t>Evidence of improvements in the social domain of adaptive behaviour measures over time for the Pathways group.</w:t>
            </w:r>
          </w:p>
          <w:p w14:paraId="51C0CEBD" w14:textId="77777777" w:rsidR="001C7687" w:rsidRPr="001C7687" w:rsidRDefault="001C7687">
            <w:pPr>
              <w:suppressAutoHyphens/>
              <w:spacing w:after="0"/>
              <w:rPr>
                <w:rFonts w:cs="Arial"/>
              </w:rPr>
            </w:pPr>
          </w:p>
        </w:tc>
      </w:tr>
      <w:tr w:rsidR="001C7687" w:rsidRPr="001C7687" w14:paraId="1206F998"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508A94DE" w14:textId="77777777" w:rsidR="001C7687" w:rsidRPr="001C7687" w:rsidRDefault="001C7687">
            <w:pPr>
              <w:suppressAutoHyphens/>
              <w:spacing w:after="0"/>
              <w:rPr>
                <w:rFonts w:cs="Arial"/>
              </w:rPr>
            </w:pPr>
          </w:p>
        </w:tc>
        <w:tc>
          <w:tcPr>
            <w:tcW w:w="1276" w:type="dxa"/>
            <w:vMerge/>
          </w:tcPr>
          <w:p w14:paraId="6F7DF8F7" w14:textId="77777777" w:rsidR="001C7687" w:rsidRPr="001C7687" w:rsidRDefault="001C7687">
            <w:pPr>
              <w:suppressAutoHyphens/>
              <w:spacing w:after="0"/>
              <w:rPr>
                <w:rFonts w:cs="Arial"/>
              </w:rPr>
            </w:pPr>
          </w:p>
        </w:tc>
        <w:tc>
          <w:tcPr>
            <w:tcW w:w="1417" w:type="dxa"/>
            <w:vMerge w:val="restart"/>
          </w:tcPr>
          <w:p w14:paraId="4EC50049" w14:textId="77777777" w:rsidR="001C7687" w:rsidRPr="001C7687" w:rsidRDefault="001C7687">
            <w:pPr>
              <w:suppressAutoHyphens/>
              <w:spacing w:after="0"/>
              <w:rPr>
                <w:rFonts w:cs="Arial"/>
              </w:rPr>
            </w:pPr>
          </w:p>
          <w:p w14:paraId="76A8C137" w14:textId="77777777" w:rsidR="001C7687" w:rsidRPr="001C7687" w:rsidRDefault="001C7687">
            <w:pPr>
              <w:suppressAutoHyphens/>
              <w:spacing w:after="0"/>
              <w:rPr>
                <w:rFonts w:cs="Arial"/>
              </w:rPr>
            </w:pPr>
          </w:p>
        </w:tc>
        <w:tc>
          <w:tcPr>
            <w:tcW w:w="1843" w:type="dxa"/>
          </w:tcPr>
          <w:p w14:paraId="43094CDF" w14:textId="77777777" w:rsidR="001C7687" w:rsidRPr="001C7687" w:rsidRDefault="001C7687">
            <w:pPr>
              <w:suppressAutoHyphens/>
              <w:spacing w:after="0"/>
              <w:rPr>
                <w:rFonts w:cs="Arial"/>
              </w:rPr>
            </w:pPr>
            <w:r w:rsidRPr="001C7687">
              <w:rPr>
                <w:rFonts w:cs="Arial"/>
              </w:rPr>
              <w:t>Videoed Behavioural Coding (VBC) – social eye gaze</w:t>
            </w:r>
          </w:p>
        </w:tc>
        <w:tc>
          <w:tcPr>
            <w:tcW w:w="2268" w:type="dxa"/>
          </w:tcPr>
          <w:p w14:paraId="56D6E472" w14:textId="77777777" w:rsidR="001C7687" w:rsidRPr="001C7687" w:rsidRDefault="001C7687">
            <w:pPr>
              <w:suppressAutoHyphens/>
              <w:spacing w:after="0"/>
              <w:rPr>
                <w:rFonts w:cs="Arial"/>
              </w:rPr>
            </w:pPr>
            <w:r w:rsidRPr="001C7687">
              <w:rPr>
                <w:rFonts w:cs="Arial"/>
              </w:rPr>
              <w:t>As above</w:t>
            </w:r>
          </w:p>
        </w:tc>
        <w:tc>
          <w:tcPr>
            <w:tcW w:w="5670" w:type="dxa"/>
          </w:tcPr>
          <w:p w14:paraId="0D06D6AA" w14:textId="77777777" w:rsidR="001C7687" w:rsidRPr="001C7687" w:rsidRDefault="001C7687">
            <w:pPr>
              <w:suppressAutoHyphens/>
              <w:spacing w:after="0"/>
              <w:rPr>
                <w:rFonts w:cs="Arial"/>
              </w:rPr>
            </w:pPr>
            <w:r w:rsidRPr="001C7687">
              <w:rPr>
                <w:rFonts w:cs="Arial"/>
              </w:rPr>
              <w:t xml:space="preserve">Evidence of improvements in social eye gaze over time for the Pathways group, after adjusting for baseline MSEL. </w:t>
            </w:r>
          </w:p>
          <w:p w14:paraId="5A65E4CA" w14:textId="77777777" w:rsidR="001C7687" w:rsidRPr="001C7687" w:rsidRDefault="001C7687">
            <w:pPr>
              <w:suppressAutoHyphens/>
              <w:spacing w:after="0"/>
              <w:rPr>
                <w:rFonts w:cs="Arial"/>
              </w:rPr>
            </w:pPr>
          </w:p>
        </w:tc>
      </w:tr>
      <w:tr w:rsidR="001C7687" w:rsidRPr="001C7687" w14:paraId="2345228C"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30A1F863" w14:textId="77777777" w:rsidR="001C7687" w:rsidRPr="001C7687" w:rsidRDefault="001C7687">
            <w:pPr>
              <w:suppressAutoHyphens/>
              <w:spacing w:after="0"/>
              <w:rPr>
                <w:rFonts w:cs="Arial"/>
              </w:rPr>
            </w:pPr>
          </w:p>
        </w:tc>
        <w:tc>
          <w:tcPr>
            <w:tcW w:w="1276" w:type="dxa"/>
            <w:vMerge/>
          </w:tcPr>
          <w:p w14:paraId="50C2C255" w14:textId="77777777" w:rsidR="001C7687" w:rsidRPr="001C7687" w:rsidRDefault="001C7687">
            <w:pPr>
              <w:suppressAutoHyphens/>
              <w:spacing w:after="0"/>
              <w:rPr>
                <w:rFonts w:cs="Arial"/>
              </w:rPr>
            </w:pPr>
          </w:p>
        </w:tc>
        <w:tc>
          <w:tcPr>
            <w:tcW w:w="1417" w:type="dxa"/>
            <w:vMerge/>
          </w:tcPr>
          <w:p w14:paraId="5AA624F2" w14:textId="77777777" w:rsidR="001C7687" w:rsidRPr="001C7687" w:rsidRDefault="001C7687">
            <w:pPr>
              <w:suppressAutoHyphens/>
              <w:spacing w:after="0"/>
              <w:rPr>
                <w:rFonts w:cs="Arial"/>
              </w:rPr>
            </w:pPr>
          </w:p>
        </w:tc>
        <w:tc>
          <w:tcPr>
            <w:tcW w:w="1843" w:type="dxa"/>
          </w:tcPr>
          <w:p w14:paraId="32E45199" w14:textId="77777777" w:rsidR="001C7687" w:rsidRPr="001C7687" w:rsidRDefault="001C7687">
            <w:pPr>
              <w:suppressAutoHyphens/>
              <w:spacing w:after="0"/>
              <w:rPr>
                <w:rFonts w:cs="Arial"/>
              </w:rPr>
            </w:pPr>
            <w:r w:rsidRPr="001C7687">
              <w:rPr>
                <w:rFonts w:cs="Arial"/>
              </w:rPr>
              <w:t>Videoed Behaviour Coding (VBC) – social communication</w:t>
            </w:r>
          </w:p>
        </w:tc>
        <w:tc>
          <w:tcPr>
            <w:tcW w:w="2268" w:type="dxa"/>
          </w:tcPr>
          <w:p w14:paraId="7C1B33D1" w14:textId="77777777" w:rsidR="001C7687" w:rsidRPr="001C7687" w:rsidRDefault="001C7687">
            <w:pPr>
              <w:suppressAutoHyphens/>
              <w:spacing w:after="0"/>
              <w:rPr>
                <w:rFonts w:cs="Arial"/>
              </w:rPr>
            </w:pPr>
            <w:r w:rsidRPr="001C7687">
              <w:rPr>
                <w:rFonts w:cs="Arial"/>
              </w:rPr>
              <w:t>As above</w:t>
            </w:r>
          </w:p>
        </w:tc>
        <w:tc>
          <w:tcPr>
            <w:tcW w:w="5670" w:type="dxa"/>
          </w:tcPr>
          <w:p w14:paraId="3A9FE5F1" w14:textId="77777777" w:rsidR="001C7687" w:rsidRPr="001C7687" w:rsidRDefault="001C7687">
            <w:pPr>
              <w:suppressAutoHyphens/>
              <w:spacing w:after="0"/>
              <w:rPr>
                <w:rFonts w:cs="Arial"/>
              </w:rPr>
            </w:pPr>
            <w:r w:rsidRPr="001C7687">
              <w:rPr>
                <w:rFonts w:cs="Arial"/>
              </w:rPr>
              <w:t>No evidence of a difference between groups for social communication throughout the intervention period.</w:t>
            </w:r>
          </w:p>
        </w:tc>
      </w:tr>
      <w:tr w:rsidR="001C7687" w:rsidRPr="001C7687" w14:paraId="22E14BA2"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2E4B2017" w14:textId="77777777" w:rsidR="001C7687" w:rsidRPr="001C7687" w:rsidRDefault="001C7687">
            <w:pPr>
              <w:suppressAutoHyphens/>
              <w:spacing w:after="0"/>
              <w:rPr>
                <w:rFonts w:cs="Arial"/>
                <w:b/>
              </w:rPr>
            </w:pPr>
            <w:r w:rsidRPr="001C7687">
              <w:rPr>
                <w:rFonts w:cs="Arial"/>
                <w:b/>
              </w:rPr>
              <w:t xml:space="preserve">Rollins </w:t>
            </w:r>
          </w:p>
          <w:p w14:paraId="131AD3EC" w14:textId="77777777" w:rsidR="001C7687" w:rsidRPr="001C7687" w:rsidRDefault="001C7687">
            <w:pPr>
              <w:suppressAutoHyphens/>
              <w:spacing w:after="0"/>
              <w:rPr>
                <w:rFonts w:cs="Arial"/>
              </w:rPr>
            </w:pPr>
            <w:r w:rsidRPr="001C7687">
              <w:rPr>
                <w:rFonts w:cs="Arial"/>
                <w:b/>
              </w:rPr>
              <w:t>2021</w:t>
            </w:r>
          </w:p>
        </w:tc>
        <w:tc>
          <w:tcPr>
            <w:tcW w:w="1276" w:type="dxa"/>
            <w:vMerge w:val="restart"/>
          </w:tcPr>
          <w:p w14:paraId="0740B5BE" w14:textId="77777777" w:rsidR="001C7687" w:rsidRPr="001C7687" w:rsidRDefault="001C7687">
            <w:pPr>
              <w:suppressAutoHyphens/>
              <w:spacing w:after="0"/>
              <w:rPr>
                <w:rFonts w:cs="Arial"/>
              </w:rPr>
            </w:pPr>
            <w:r w:rsidRPr="001C7687">
              <w:rPr>
                <w:rFonts w:cs="Arial"/>
              </w:rPr>
              <w:t>Pathways</w:t>
            </w:r>
          </w:p>
          <w:p w14:paraId="5888E58E" w14:textId="77777777" w:rsidR="001C7687" w:rsidRPr="001C7687" w:rsidRDefault="001C7687">
            <w:pPr>
              <w:suppressAutoHyphens/>
              <w:spacing w:after="0"/>
              <w:rPr>
                <w:rFonts w:cs="Arial"/>
              </w:rPr>
            </w:pPr>
            <w:r w:rsidRPr="001C7687">
              <w:rPr>
                <w:rFonts w:cs="Arial"/>
              </w:rPr>
              <w:t>(n=39)</w:t>
            </w:r>
          </w:p>
        </w:tc>
        <w:tc>
          <w:tcPr>
            <w:tcW w:w="1417" w:type="dxa"/>
            <w:vMerge w:val="restart"/>
          </w:tcPr>
          <w:p w14:paraId="16DB66E2" w14:textId="77777777" w:rsidR="001C7687" w:rsidRPr="001C7687" w:rsidRDefault="001C7687">
            <w:pPr>
              <w:suppressAutoHyphens/>
              <w:spacing w:after="0"/>
              <w:rPr>
                <w:rFonts w:cs="Arial"/>
              </w:rPr>
            </w:pPr>
            <w:r w:rsidRPr="001C7687">
              <w:rPr>
                <w:rFonts w:cs="Arial"/>
              </w:rPr>
              <w:t>Communication (n=26)</w:t>
            </w:r>
          </w:p>
          <w:p w14:paraId="7A06ADF6" w14:textId="77777777" w:rsidR="001C7687" w:rsidRPr="001C7687" w:rsidRDefault="001C7687">
            <w:pPr>
              <w:suppressAutoHyphens/>
              <w:spacing w:after="0"/>
              <w:rPr>
                <w:rFonts w:cs="Arial"/>
              </w:rPr>
            </w:pPr>
          </w:p>
          <w:p w14:paraId="6D4CA99B" w14:textId="77777777" w:rsidR="001C7687" w:rsidRPr="001C7687" w:rsidRDefault="001C7687">
            <w:pPr>
              <w:suppressAutoHyphens/>
              <w:spacing w:after="0"/>
              <w:rPr>
                <w:rFonts w:cs="Arial"/>
              </w:rPr>
            </w:pPr>
          </w:p>
        </w:tc>
        <w:tc>
          <w:tcPr>
            <w:tcW w:w="1843" w:type="dxa"/>
          </w:tcPr>
          <w:p w14:paraId="31138716" w14:textId="77777777" w:rsidR="001C7687" w:rsidRPr="001C7687" w:rsidRDefault="001C7687">
            <w:pPr>
              <w:suppressAutoHyphens/>
              <w:spacing w:after="0"/>
              <w:rPr>
                <w:rFonts w:cs="Arial"/>
              </w:rPr>
            </w:pPr>
            <w:r w:rsidRPr="001C7687">
              <w:rPr>
                <w:rFonts w:cs="Arial"/>
              </w:rPr>
              <w:t>Vineland Adaptive Behaviour Scale (VABS-II)</w:t>
            </w:r>
          </w:p>
        </w:tc>
        <w:tc>
          <w:tcPr>
            <w:tcW w:w="2268" w:type="dxa"/>
          </w:tcPr>
          <w:p w14:paraId="5532207F" w14:textId="77777777" w:rsidR="001C7687" w:rsidRPr="001C7687" w:rsidRDefault="001C7687">
            <w:pPr>
              <w:suppressAutoHyphens/>
              <w:spacing w:after="0"/>
              <w:rPr>
                <w:rFonts w:cs="Arial"/>
              </w:rPr>
            </w:pPr>
            <w:r w:rsidRPr="001C7687">
              <w:rPr>
                <w:rFonts w:cs="Arial"/>
              </w:rPr>
              <w:t>As above</w:t>
            </w:r>
          </w:p>
        </w:tc>
        <w:tc>
          <w:tcPr>
            <w:tcW w:w="5670" w:type="dxa"/>
          </w:tcPr>
          <w:p w14:paraId="7F15893E" w14:textId="77777777" w:rsidR="001C7687" w:rsidRPr="001C7687" w:rsidRDefault="001C7687">
            <w:pPr>
              <w:suppressAutoHyphens/>
              <w:spacing w:after="0"/>
              <w:rPr>
                <w:rFonts w:cs="Arial"/>
              </w:rPr>
            </w:pPr>
            <w:r w:rsidRPr="001C7687">
              <w:rPr>
                <w:rFonts w:cs="Arial"/>
              </w:rPr>
              <w:t>Evidence of improvements in the social domain of adaptive behaviour measures over time for the Pathways group.</w:t>
            </w:r>
          </w:p>
          <w:p w14:paraId="783EF8F2" w14:textId="77777777" w:rsidR="001C7687" w:rsidRPr="001C7687" w:rsidRDefault="001C7687">
            <w:pPr>
              <w:suppressAutoHyphens/>
              <w:spacing w:after="0"/>
              <w:rPr>
                <w:rFonts w:cs="Arial"/>
              </w:rPr>
            </w:pPr>
          </w:p>
        </w:tc>
      </w:tr>
      <w:tr w:rsidR="001C7687" w:rsidRPr="001C7687" w14:paraId="45983120"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381F5919" w14:textId="77777777" w:rsidR="001C7687" w:rsidRPr="001C7687" w:rsidRDefault="001C7687">
            <w:pPr>
              <w:suppressAutoHyphens/>
              <w:spacing w:after="0"/>
              <w:rPr>
                <w:rFonts w:cs="Arial"/>
              </w:rPr>
            </w:pPr>
          </w:p>
        </w:tc>
        <w:tc>
          <w:tcPr>
            <w:tcW w:w="1276" w:type="dxa"/>
            <w:vMerge/>
          </w:tcPr>
          <w:p w14:paraId="25A9E65B" w14:textId="77777777" w:rsidR="001C7687" w:rsidRPr="001C7687" w:rsidRDefault="001C7687">
            <w:pPr>
              <w:suppressAutoHyphens/>
              <w:spacing w:after="0"/>
              <w:rPr>
                <w:rFonts w:cs="Arial"/>
              </w:rPr>
            </w:pPr>
          </w:p>
        </w:tc>
        <w:tc>
          <w:tcPr>
            <w:tcW w:w="1417" w:type="dxa"/>
            <w:vMerge/>
          </w:tcPr>
          <w:p w14:paraId="01F6F579" w14:textId="77777777" w:rsidR="001C7687" w:rsidRPr="001C7687" w:rsidRDefault="001C7687">
            <w:pPr>
              <w:suppressAutoHyphens/>
              <w:spacing w:after="0"/>
              <w:rPr>
                <w:rFonts w:cs="Arial"/>
              </w:rPr>
            </w:pPr>
          </w:p>
        </w:tc>
        <w:tc>
          <w:tcPr>
            <w:tcW w:w="1843" w:type="dxa"/>
          </w:tcPr>
          <w:p w14:paraId="7A33D036" w14:textId="77777777" w:rsidR="001C7687" w:rsidRPr="001C7687" w:rsidRDefault="001C7687">
            <w:pPr>
              <w:suppressAutoHyphens/>
              <w:spacing w:after="0"/>
              <w:rPr>
                <w:rFonts w:cs="Arial"/>
              </w:rPr>
            </w:pPr>
            <w:r w:rsidRPr="001C7687">
              <w:rPr>
                <w:rFonts w:cs="Arial"/>
              </w:rPr>
              <w:t>Videoed Behaviour Coding (VBC) – social eye gaze</w:t>
            </w:r>
          </w:p>
        </w:tc>
        <w:tc>
          <w:tcPr>
            <w:tcW w:w="2268" w:type="dxa"/>
          </w:tcPr>
          <w:p w14:paraId="30C79CBC" w14:textId="77777777" w:rsidR="001C7687" w:rsidRPr="001C7687" w:rsidRDefault="001C7687">
            <w:pPr>
              <w:suppressAutoHyphens/>
              <w:spacing w:after="0"/>
              <w:rPr>
                <w:rFonts w:cs="Arial"/>
              </w:rPr>
            </w:pPr>
            <w:r w:rsidRPr="001C7687">
              <w:rPr>
                <w:rFonts w:cs="Arial"/>
              </w:rPr>
              <w:t>As above</w:t>
            </w:r>
          </w:p>
        </w:tc>
        <w:tc>
          <w:tcPr>
            <w:tcW w:w="5670" w:type="dxa"/>
          </w:tcPr>
          <w:p w14:paraId="74D49F1A" w14:textId="77777777" w:rsidR="001C7687" w:rsidRPr="001C7687" w:rsidRDefault="001C7687">
            <w:pPr>
              <w:suppressAutoHyphens/>
              <w:spacing w:after="0"/>
              <w:rPr>
                <w:rFonts w:cs="Arial"/>
              </w:rPr>
            </w:pPr>
            <w:r w:rsidRPr="001C7687">
              <w:rPr>
                <w:rFonts w:cs="Arial"/>
              </w:rPr>
              <w:t xml:space="preserve">Evidence of improvements in social eye gaze over time for the Pathways group, after adjusting for baseline MSEL. </w:t>
            </w:r>
          </w:p>
          <w:p w14:paraId="1BE89B3D" w14:textId="77777777" w:rsidR="001C7687" w:rsidRPr="001C7687" w:rsidRDefault="001C7687">
            <w:pPr>
              <w:suppressAutoHyphens/>
              <w:spacing w:after="0"/>
              <w:rPr>
                <w:rFonts w:cs="Arial"/>
              </w:rPr>
            </w:pPr>
            <w:r w:rsidRPr="001C7687">
              <w:rPr>
                <w:rFonts w:cs="Arial"/>
              </w:rPr>
              <w:t xml:space="preserve"> </w:t>
            </w:r>
          </w:p>
        </w:tc>
      </w:tr>
      <w:tr w:rsidR="001C7687" w:rsidRPr="001C7687" w14:paraId="030B0E62"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7AA17AC7" w14:textId="77777777" w:rsidR="001C7687" w:rsidRPr="001C7687" w:rsidRDefault="001C7687">
            <w:pPr>
              <w:suppressAutoHyphens/>
              <w:spacing w:after="0"/>
              <w:rPr>
                <w:rFonts w:cs="Arial"/>
              </w:rPr>
            </w:pPr>
          </w:p>
        </w:tc>
        <w:tc>
          <w:tcPr>
            <w:tcW w:w="1276" w:type="dxa"/>
            <w:vMerge/>
          </w:tcPr>
          <w:p w14:paraId="1FF0228D" w14:textId="77777777" w:rsidR="001C7687" w:rsidRPr="001C7687" w:rsidRDefault="001C7687">
            <w:pPr>
              <w:suppressAutoHyphens/>
              <w:spacing w:after="0"/>
              <w:rPr>
                <w:rFonts w:cs="Arial"/>
              </w:rPr>
            </w:pPr>
          </w:p>
        </w:tc>
        <w:tc>
          <w:tcPr>
            <w:tcW w:w="1417" w:type="dxa"/>
            <w:vMerge/>
          </w:tcPr>
          <w:p w14:paraId="5A6A313F" w14:textId="77777777" w:rsidR="001C7687" w:rsidRPr="001C7687" w:rsidRDefault="001C7687">
            <w:pPr>
              <w:suppressAutoHyphens/>
              <w:spacing w:after="0"/>
              <w:rPr>
                <w:rFonts w:cs="Arial"/>
              </w:rPr>
            </w:pPr>
          </w:p>
        </w:tc>
        <w:tc>
          <w:tcPr>
            <w:tcW w:w="1843" w:type="dxa"/>
          </w:tcPr>
          <w:p w14:paraId="36F0164E" w14:textId="77777777" w:rsidR="001C7687" w:rsidRPr="001C7687" w:rsidRDefault="001C7687">
            <w:pPr>
              <w:suppressAutoHyphens/>
              <w:spacing w:after="0"/>
              <w:rPr>
                <w:rFonts w:cs="Arial"/>
              </w:rPr>
            </w:pPr>
            <w:r w:rsidRPr="001C7687">
              <w:rPr>
                <w:rFonts w:cs="Arial"/>
              </w:rPr>
              <w:t xml:space="preserve">Videoed Behaviour Coding (VBC) – social communication </w:t>
            </w:r>
          </w:p>
        </w:tc>
        <w:tc>
          <w:tcPr>
            <w:tcW w:w="2268" w:type="dxa"/>
          </w:tcPr>
          <w:p w14:paraId="33946EB3" w14:textId="77777777" w:rsidR="001C7687" w:rsidRPr="001C7687" w:rsidRDefault="001C7687">
            <w:pPr>
              <w:suppressAutoHyphens/>
              <w:spacing w:after="0"/>
              <w:rPr>
                <w:rFonts w:cs="Arial"/>
              </w:rPr>
            </w:pPr>
            <w:r w:rsidRPr="001C7687">
              <w:rPr>
                <w:rFonts w:cs="Arial"/>
              </w:rPr>
              <w:t>As above</w:t>
            </w:r>
          </w:p>
        </w:tc>
        <w:tc>
          <w:tcPr>
            <w:tcW w:w="5670" w:type="dxa"/>
          </w:tcPr>
          <w:p w14:paraId="6067A3FD" w14:textId="77777777" w:rsidR="001C7687" w:rsidRPr="001C7687" w:rsidRDefault="001C7687">
            <w:pPr>
              <w:suppressAutoHyphens/>
              <w:spacing w:after="0"/>
              <w:rPr>
                <w:rFonts w:cs="Arial"/>
              </w:rPr>
            </w:pPr>
            <w:r w:rsidRPr="001C7687">
              <w:rPr>
                <w:rFonts w:cs="Arial"/>
              </w:rPr>
              <w:t>No evidence of a difference between groups for social communication throughout the intervention period.</w:t>
            </w:r>
          </w:p>
        </w:tc>
      </w:tr>
      <w:tr w:rsidR="001C7687" w:rsidRPr="001C7687" w14:paraId="2CAB9E29"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tcPr>
          <w:p w14:paraId="5A33878A" w14:textId="77777777" w:rsidR="001C7687" w:rsidRPr="001C7687" w:rsidRDefault="001C7687">
            <w:pPr>
              <w:suppressAutoHyphens/>
              <w:spacing w:after="0"/>
              <w:rPr>
                <w:rFonts w:cs="Arial"/>
                <w:b/>
              </w:rPr>
            </w:pPr>
            <w:r w:rsidRPr="001C7687">
              <w:rPr>
                <w:rFonts w:cs="Arial"/>
                <w:b/>
              </w:rPr>
              <w:t xml:space="preserve">Buzhardt </w:t>
            </w:r>
          </w:p>
          <w:p w14:paraId="05E38CFC" w14:textId="77777777" w:rsidR="001C7687" w:rsidRPr="001C7687" w:rsidRDefault="001C7687">
            <w:pPr>
              <w:suppressAutoHyphens/>
              <w:spacing w:after="0"/>
              <w:rPr>
                <w:rFonts w:cs="Arial"/>
                <w:b/>
              </w:rPr>
            </w:pPr>
            <w:r w:rsidRPr="001C7687">
              <w:rPr>
                <w:rFonts w:cs="Arial"/>
                <w:b/>
              </w:rPr>
              <w:t>2018</w:t>
            </w:r>
          </w:p>
        </w:tc>
        <w:tc>
          <w:tcPr>
            <w:tcW w:w="1276" w:type="dxa"/>
          </w:tcPr>
          <w:p w14:paraId="05A44D7B" w14:textId="77777777" w:rsidR="001C7687" w:rsidRPr="001C7687" w:rsidRDefault="001C7687">
            <w:pPr>
              <w:suppressAutoHyphens/>
              <w:spacing w:after="0"/>
              <w:rPr>
                <w:rFonts w:cs="Arial"/>
              </w:rPr>
            </w:pPr>
            <w:r w:rsidRPr="001C7687">
              <w:rPr>
                <w:rFonts w:cs="Arial"/>
              </w:rPr>
              <w:t>PC TALK+MOD (n=66)</w:t>
            </w:r>
          </w:p>
        </w:tc>
        <w:tc>
          <w:tcPr>
            <w:tcW w:w="1417" w:type="dxa"/>
          </w:tcPr>
          <w:p w14:paraId="0B3D286D" w14:textId="77777777" w:rsidR="001C7687" w:rsidRPr="001C7687" w:rsidRDefault="001C7687">
            <w:pPr>
              <w:suppressAutoHyphens/>
              <w:spacing w:after="0"/>
              <w:rPr>
                <w:rFonts w:cs="Arial"/>
              </w:rPr>
            </w:pPr>
            <w:r w:rsidRPr="001C7687">
              <w:rPr>
                <w:rFonts w:cs="Arial"/>
              </w:rPr>
              <w:t>PC TALK (n=80)</w:t>
            </w:r>
          </w:p>
        </w:tc>
        <w:tc>
          <w:tcPr>
            <w:tcW w:w="1843" w:type="dxa"/>
          </w:tcPr>
          <w:p w14:paraId="44448EAD" w14:textId="77777777" w:rsidR="001C7687" w:rsidRPr="001C7687" w:rsidRDefault="001C7687">
            <w:pPr>
              <w:suppressAutoHyphens/>
              <w:spacing w:after="0"/>
              <w:rPr>
                <w:rFonts w:cs="Arial"/>
              </w:rPr>
            </w:pPr>
            <w:r w:rsidRPr="001C7687">
              <w:rPr>
                <w:rFonts w:cs="Arial"/>
              </w:rPr>
              <w:t>Early Childhood Index (ECI)</w:t>
            </w:r>
          </w:p>
        </w:tc>
        <w:tc>
          <w:tcPr>
            <w:tcW w:w="2268" w:type="dxa"/>
          </w:tcPr>
          <w:p w14:paraId="15225BB7" w14:textId="77777777" w:rsidR="001C7687" w:rsidRPr="001C7687" w:rsidRDefault="001C7687">
            <w:pPr>
              <w:suppressAutoHyphens/>
              <w:spacing w:after="0"/>
              <w:rPr>
                <w:rFonts w:cs="Arial"/>
              </w:rPr>
            </w:pPr>
            <w:r w:rsidRPr="001C7687">
              <w:rPr>
                <w:rFonts w:cs="Arial"/>
              </w:rPr>
              <w:t>Baseline; mid-intervention (monthly); post-intervention (12 months)</w:t>
            </w:r>
          </w:p>
        </w:tc>
        <w:tc>
          <w:tcPr>
            <w:tcW w:w="5670" w:type="dxa"/>
          </w:tcPr>
          <w:p w14:paraId="62253F4A" w14:textId="77777777" w:rsidR="001C7687" w:rsidRPr="001C7687" w:rsidRDefault="001C7687">
            <w:pPr>
              <w:suppressAutoHyphens/>
              <w:spacing w:after="0"/>
              <w:rPr>
                <w:rFonts w:cs="Arial"/>
              </w:rPr>
            </w:pPr>
            <w:r w:rsidRPr="001C7687">
              <w:rPr>
                <w:rFonts w:cs="Arial"/>
              </w:rPr>
              <w:t xml:space="preserve">Both groups showed improvements in expressive communication over time. </w:t>
            </w:r>
          </w:p>
          <w:p w14:paraId="49F9E27C" w14:textId="77777777" w:rsidR="001C7687" w:rsidRPr="001C7687" w:rsidRDefault="001C7687">
            <w:pPr>
              <w:suppressAutoHyphens/>
              <w:spacing w:after="0"/>
              <w:rPr>
                <w:rFonts w:cs="Arial"/>
              </w:rPr>
            </w:pPr>
            <w:r w:rsidRPr="001C7687">
              <w:rPr>
                <w:rFonts w:cs="Arial"/>
              </w:rPr>
              <w:t>No evidence of a difference between groups for expressive communication throughout the intervention period.</w:t>
            </w:r>
          </w:p>
          <w:p w14:paraId="12727868" w14:textId="77777777" w:rsidR="001C7687" w:rsidRPr="001C7687" w:rsidRDefault="001C7687">
            <w:pPr>
              <w:suppressAutoHyphens/>
              <w:spacing w:after="0"/>
              <w:rPr>
                <w:rFonts w:cs="Arial"/>
              </w:rPr>
            </w:pPr>
            <w:r w:rsidRPr="001C7687">
              <w:rPr>
                <w:rFonts w:cs="Arial"/>
              </w:rPr>
              <w:t>Evidence of greater growth in expressive communication over time for the MOD group.</w:t>
            </w:r>
          </w:p>
          <w:p w14:paraId="4C81DA97" w14:textId="77777777" w:rsidR="001C7687" w:rsidRPr="001C7687" w:rsidRDefault="001C7687">
            <w:pPr>
              <w:suppressAutoHyphens/>
              <w:spacing w:after="0"/>
              <w:rPr>
                <w:rFonts w:cs="Arial"/>
              </w:rPr>
            </w:pPr>
          </w:p>
        </w:tc>
      </w:tr>
      <w:tr w:rsidR="001C7687" w:rsidRPr="001C7687" w14:paraId="68904FD7" w14:textId="77777777">
        <w:trPr>
          <w:cnfStyle w:val="000000010000" w:firstRow="0" w:lastRow="0" w:firstColumn="0" w:lastColumn="0" w:oddVBand="0" w:evenVBand="0" w:oddHBand="0" w:evenHBand="1" w:firstRowFirstColumn="0" w:firstRowLastColumn="0" w:lastRowFirstColumn="0" w:lastRowLastColumn="0"/>
          <w:trHeight w:val="340"/>
        </w:trPr>
        <w:tc>
          <w:tcPr>
            <w:tcW w:w="13892" w:type="dxa"/>
            <w:gridSpan w:val="6"/>
            <w:shd w:val="clear" w:color="auto" w:fill="DAE2E6"/>
          </w:tcPr>
          <w:p w14:paraId="4EDF536D" w14:textId="77777777" w:rsidR="001C7687" w:rsidRPr="001C7687" w:rsidRDefault="001C7687">
            <w:pPr>
              <w:suppressAutoHyphens/>
              <w:spacing w:after="0"/>
              <w:rPr>
                <w:rFonts w:cs="Arial"/>
              </w:rPr>
            </w:pPr>
            <w:r w:rsidRPr="001C7687">
              <w:rPr>
                <w:rFonts w:cs="Arial"/>
                <w:b/>
              </w:rPr>
              <w:t>Play and Language for Autistic Youngsters (PLAY)</w:t>
            </w:r>
          </w:p>
        </w:tc>
      </w:tr>
      <w:tr w:rsidR="001C7687" w:rsidRPr="001C7687" w14:paraId="3E0BED50"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val="restart"/>
          </w:tcPr>
          <w:p w14:paraId="0353E3BE" w14:textId="77777777" w:rsidR="001C7687" w:rsidRPr="001C7687" w:rsidRDefault="001C7687">
            <w:pPr>
              <w:suppressAutoHyphens/>
              <w:spacing w:after="0"/>
              <w:rPr>
                <w:rFonts w:cs="Arial"/>
                <w:b/>
              </w:rPr>
            </w:pPr>
            <w:r w:rsidRPr="001C7687">
              <w:rPr>
                <w:rFonts w:cs="Arial"/>
                <w:b/>
              </w:rPr>
              <w:t xml:space="preserve">Solomon </w:t>
            </w:r>
          </w:p>
          <w:p w14:paraId="4454B46F" w14:textId="77777777" w:rsidR="001C7687" w:rsidRPr="001C7687" w:rsidRDefault="001C7687">
            <w:pPr>
              <w:suppressAutoHyphens/>
              <w:spacing w:after="0"/>
              <w:rPr>
                <w:rFonts w:cs="Arial"/>
              </w:rPr>
            </w:pPr>
            <w:r w:rsidRPr="001C7687">
              <w:rPr>
                <w:rFonts w:cs="Arial"/>
                <w:b/>
              </w:rPr>
              <w:t>2014</w:t>
            </w:r>
          </w:p>
        </w:tc>
        <w:tc>
          <w:tcPr>
            <w:tcW w:w="1276" w:type="dxa"/>
            <w:vMerge w:val="restart"/>
          </w:tcPr>
          <w:p w14:paraId="009AD9F3" w14:textId="77777777" w:rsidR="001C7687" w:rsidRPr="001C7687" w:rsidRDefault="001C7687">
            <w:pPr>
              <w:suppressAutoHyphens/>
              <w:spacing w:after="0"/>
              <w:rPr>
                <w:rFonts w:cs="Arial"/>
              </w:rPr>
            </w:pPr>
            <w:r w:rsidRPr="001C7687">
              <w:rPr>
                <w:rFonts w:cs="Arial"/>
              </w:rPr>
              <w:t xml:space="preserve">PLAY </w:t>
            </w:r>
          </w:p>
          <w:p w14:paraId="4FA7FEAB" w14:textId="77777777" w:rsidR="001C7687" w:rsidRPr="001C7687" w:rsidRDefault="001C7687">
            <w:pPr>
              <w:suppressAutoHyphens/>
              <w:spacing w:after="0"/>
              <w:rPr>
                <w:rFonts w:cs="Arial"/>
              </w:rPr>
            </w:pPr>
            <w:r w:rsidRPr="001C7687">
              <w:rPr>
                <w:rFonts w:cs="Arial"/>
              </w:rPr>
              <w:t>(n=64)</w:t>
            </w:r>
          </w:p>
        </w:tc>
        <w:tc>
          <w:tcPr>
            <w:tcW w:w="1417" w:type="dxa"/>
            <w:vMerge w:val="restart"/>
          </w:tcPr>
          <w:p w14:paraId="7AE1B338" w14:textId="77777777" w:rsidR="001C7687" w:rsidRPr="001C7687" w:rsidRDefault="001C7687">
            <w:pPr>
              <w:suppressAutoHyphens/>
              <w:spacing w:after="0"/>
              <w:rPr>
                <w:rFonts w:cs="Arial"/>
              </w:rPr>
            </w:pPr>
            <w:r w:rsidRPr="001C7687">
              <w:rPr>
                <w:rFonts w:cs="Arial"/>
              </w:rPr>
              <w:t xml:space="preserve">SAU </w:t>
            </w:r>
          </w:p>
          <w:p w14:paraId="3FA5737D" w14:textId="77777777" w:rsidR="001C7687" w:rsidRPr="001C7687" w:rsidRDefault="001C7687">
            <w:pPr>
              <w:suppressAutoHyphens/>
              <w:spacing w:after="0"/>
              <w:rPr>
                <w:rFonts w:cs="Arial"/>
              </w:rPr>
            </w:pPr>
            <w:r w:rsidRPr="001C7687">
              <w:rPr>
                <w:rFonts w:cs="Arial"/>
              </w:rPr>
              <w:t>(n=64)</w:t>
            </w:r>
          </w:p>
        </w:tc>
        <w:tc>
          <w:tcPr>
            <w:tcW w:w="1843" w:type="dxa"/>
          </w:tcPr>
          <w:p w14:paraId="494C5DE6" w14:textId="77777777" w:rsidR="001C7687" w:rsidRPr="001C7687" w:rsidRDefault="001C7687">
            <w:pPr>
              <w:suppressAutoHyphens/>
              <w:spacing w:after="0"/>
              <w:rPr>
                <w:rFonts w:cs="Arial"/>
              </w:rPr>
            </w:pPr>
            <w:r w:rsidRPr="001C7687">
              <w:rPr>
                <w:rFonts w:cs="Arial"/>
              </w:rPr>
              <w:t>Child Behavior Rating Scale (CBRS)</w:t>
            </w:r>
          </w:p>
        </w:tc>
        <w:tc>
          <w:tcPr>
            <w:tcW w:w="2268" w:type="dxa"/>
          </w:tcPr>
          <w:p w14:paraId="11BB1214" w14:textId="77777777" w:rsidR="001C7687" w:rsidRPr="001C7687" w:rsidRDefault="001C7687">
            <w:pPr>
              <w:suppressAutoHyphens/>
              <w:spacing w:after="0"/>
              <w:rPr>
                <w:rFonts w:cs="Arial"/>
              </w:rPr>
            </w:pPr>
            <w:r w:rsidRPr="001C7687">
              <w:rPr>
                <w:rFonts w:cs="Arial"/>
              </w:rPr>
              <w:t>Baseline; post-intervention (12 months)</w:t>
            </w:r>
          </w:p>
        </w:tc>
        <w:tc>
          <w:tcPr>
            <w:tcW w:w="5670" w:type="dxa"/>
          </w:tcPr>
          <w:p w14:paraId="50B154B8" w14:textId="77777777" w:rsidR="001C7687" w:rsidRPr="001C7687" w:rsidRDefault="001C7687">
            <w:pPr>
              <w:suppressAutoHyphens/>
              <w:spacing w:after="0"/>
              <w:rPr>
                <w:rFonts w:cs="Arial"/>
              </w:rPr>
            </w:pPr>
            <w:r w:rsidRPr="001C7687">
              <w:rPr>
                <w:rFonts w:cs="Arial"/>
              </w:rPr>
              <w:t>Evidence of improved child attention and initiation over time for the PLAY group.</w:t>
            </w:r>
          </w:p>
        </w:tc>
      </w:tr>
      <w:tr w:rsidR="001C7687" w:rsidRPr="001C7687" w14:paraId="22C43CF4"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6A9BE110" w14:textId="77777777" w:rsidR="001C7687" w:rsidRPr="001C7687" w:rsidRDefault="001C7687">
            <w:pPr>
              <w:suppressAutoHyphens/>
              <w:spacing w:after="0"/>
              <w:rPr>
                <w:rFonts w:cs="Arial"/>
              </w:rPr>
            </w:pPr>
          </w:p>
        </w:tc>
        <w:tc>
          <w:tcPr>
            <w:tcW w:w="1276" w:type="dxa"/>
            <w:vMerge/>
          </w:tcPr>
          <w:p w14:paraId="79161C31" w14:textId="77777777" w:rsidR="001C7687" w:rsidRPr="001C7687" w:rsidRDefault="001C7687">
            <w:pPr>
              <w:suppressAutoHyphens/>
              <w:spacing w:after="0"/>
              <w:rPr>
                <w:rFonts w:cs="Arial"/>
              </w:rPr>
            </w:pPr>
          </w:p>
        </w:tc>
        <w:tc>
          <w:tcPr>
            <w:tcW w:w="1417" w:type="dxa"/>
            <w:vMerge/>
          </w:tcPr>
          <w:p w14:paraId="60448DE4" w14:textId="77777777" w:rsidR="001C7687" w:rsidRPr="001C7687" w:rsidRDefault="001C7687">
            <w:pPr>
              <w:suppressAutoHyphens/>
              <w:spacing w:after="0"/>
              <w:rPr>
                <w:rFonts w:cs="Arial"/>
              </w:rPr>
            </w:pPr>
          </w:p>
        </w:tc>
        <w:tc>
          <w:tcPr>
            <w:tcW w:w="1843" w:type="dxa"/>
          </w:tcPr>
          <w:p w14:paraId="41045B0A" w14:textId="77777777" w:rsidR="001C7687" w:rsidRPr="001C7687" w:rsidRDefault="001C7687">
            <w:pPr>
              <w:suppressAutoHyphens/>
              <w:spacing w:after="0"/>
              <w:rPr>
                <w:rFonts w:cs="Arial"/>
              </w:rPr>
            </w:pPr>
            <w:r w:rsidRPr="001C7687">
              <w:rPr>
                <w:rFonts w:cs="Arial"/>
              </w:rPr>
              <w:t>Functional Emotional Assessment Scale (FEAS)</w:t>
            </w:r>
          </w:p>
        </w:tc>
        <w:tc>
          <w:tcPr>
            <w:tcW w:w="2268" w:type="dxa"/>
          </w:tcPr>
          <w:p w14:paraId="5F256818" w14:textId="77777777" w:rsidR="001C7687" w:rsidRPr="001C7687" w:rsidRDefault="001C7687">
            <w:pPr>
              <w:suppressAutoHyphens/>
              <w:spacing w:after="0"/>
              <w:rPr>
                <w:rFonts w:cs="Arial"/>
              </w:rPr>
            </w:pPr>
            <w:r w:rsidRPr="001C7687">
              <w:rPr>
                <w:rFonts w:cs="Arial"/>
              </w:rPr>
              <w:t>As above</w:t>
            </w:r>
          </w:p>
        </w:tc>
        <w:tc>
          <w:tcPr>
            <w:tcW w:w="5670" w:type="dxa"/>
          </w:tcPr>
          <w:p w14:paraId="39175C47" w14:textId="77777777" w:rsidR="001C7687" w:rsidRPr="001C7687" w:rsidRDefault="001C7687">
            <w:pPr>
              <w:suppressAutoHyphens/>
              <w:spacing w:after="0"/>
              <w:rPr>
                <w:rFonts w:cs="Arial"/>
              </w:rPr>
            </w:pPr>
            <w:r w:rsidRPr="001C7687">
              <w:rPr>
                <w:rFonts w:cs="Arial"/>
              </w:rPr>
              <w:t>Evidence of improved socioemotional behaviour over time for the PLAY group.</w:t>
            </w:r>
          </w:p>
          <w:p w14:paraId="503BD76C" w14:textId="77777777" w:rsidR="001C7687" w:rsidRPr="001C7687" w:rsidRDefault="001C7687">
            <w:pPr>
              <w:suppressAutoHyphens/>
              <w:spacing w:after="0"/>
              <w:rPr>
                <w:rFonts w:cs="Arial"/>
              </w:rPr>
            </w:pPr>
          </w:p>
        </w:tc>
      </w:tr>
      <w:tr w:rsidR="001C7687" w:rsidRPr="001C7687" w14:paraId="39EA8141"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5D6313A3" w14:textId="77777777" w:rsidR="001C7687" w:rsidRPr="001C7687" w:rsidRDefault="001C7687">
            <w:pPr>
              <w:suppressAutoHyphens/>
              <w:spacing w:after="0"/>
              <w:rPr>
                <w:rFonts w:cs="Arial"/>
              </w:rPr>
            </w:pPr>
          </w:p>
        </w:tc>
        <w:tc>
          <w:tcPr>
            <w:tcW w:w="1276" w:type="dxa"/>
            <w:vMerge/>
          </w:tcPr>
          <w:p w14:paraId="3CF53A7E" w14:textId="77777777" w:rsidR="001C7687" w:rsidRPr="001C7687" w:rsidRDefault="001C7687">
            <w:pPr>
              <w:suppressAutoHyphens/>
              <w:spacing w:after="0"/>
              <w:rPr>
                <w:rFonts w:cs="Arial"/>
              </w:rPr>
            </w:pPr>
          </w:p>
        </w:tc>
        <w:tc>
          <w:tcPr>
            <w:tcW w:w="1417" w:type="dxa"/>
            <w:vMerge/>
          </w:tcPr>
          <w:p w14:paraId="26D1CB4B" w14:textId="77777777" w:rsidR="001C7687" w:rsidRPr="001C7687" w:rsidRDefault="001C7687">
            <w:pPr>
              <w:suppressAutoHyphens/>
              <w:spacing w:after="0"/>
              <w:rPr>
                <w:rFonts w:cs="Arial"/>
              </w:rPr>
            </w:pPr>
          </w:p>
        </w:tc>
        <w:tc>
          <w:tcPr>
            <w:tcW w:w="1843" w:type="dxa"/>
          </w:tcPr>
          <w:p w14:paraId="5970B5B7" w14:textId="77777777" w:rsidR="001C7687" w:rsidRPr="001C7687" w:rsidRDefault="001C7687">
            <w:pPr>
              <w:suppressAutoHyphens/>
              <w:spacing w:after="0"/>
              <w:rPr>
                <w:rFonts w:cs="Arial"/>
              </w:rPr>
            </w:pPr>
            <w:r w:rsidRPr="001C7687">
              <w:rPr>
                <w:rFonts w:cs="Arial"/>
              </w:rPr>
              <w:t>Maternal Behavior Rating Scale (MBRS)</w:t>
            </w:r>
          </w:p>
        </w:tc>
        <w:tc>
          <w:tcPr>
            <w:tcW w:w="2268" w:type="dxa"/>
          </w:tcPr>
          <w:p w14:paraId="53F81388" w14:textId="77777777" w:rsidR="001C7687" w:rsidRPr="001C7687" w:rsidRDefault="001C7687">
            <w:pPr>
              <w:suppressAutoHyphens/>
              <w:spacing w:after="0"/>
              <w:rPr>
                <w:rFonts w:cs="Arial"/>
              </w:rPr>
            </w:pPr>
            <w:r w:rsidRPr="001C7687">
              <w:rPr>
                <w:rFonts w:cs="Arial"/>
              </w:rPr>
              <w:t>As above</w:t>
            </w:r>
          </w:p>
        </w:tc>
        <w:tc>
          <w:tcPr>
            <w:tcW w:w="5670" w:type="dxa"/>
          </w:tcPr>
          <w:p w14:paraId="6F123161" w14:textId="77777777" w:rsidR="001C7687" w:rsidRPr="001C7687" w:rsidRDefault="001C7687">
            <w:pPr>
              <w:suppressAutoHyphens/>
              <w:spacing w:after="0"/>
              <w:rPr>
                <w:rFonts w:cs="Arial"/>
              </w:rPr>
            </w:pPr>
            <w:r w:rsidRPr="001C7687">
              <w:rPr>
                <w:rFonts w:cs="Arial"/>
              </w:rPr>
              <w:t>Evidence of improved parent-child interaction over time for the PLAY group.</w:t>
            </w:r>
          </w:p>
          <w:p w14:paraId="27FD4270" w14:textId="77777777" w:rsidR="001C7687" w:rsidRPr="001C7687" w:rsidRDefault="001C7687">
            <w:pPr>
              <w:suppressAutoHyphens/>
              <w:spacing w:after="0"/>
              <w:rPr>
                <w:rFonts w:cs="Arial"/>
              </w:rPr>
            </w:pPr>
          </w:p>
        </w:tc>
      </w:tr>
      <w:tr w:rsidR="001C7687" w:rsidRPr="001C7687" w14:paraId="6F37EDB2"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746D67C9" w14:textId="77777777" w:rsidR="001C7687" w:rsidRPr="001C7687" w:rsidRDefault="001C7687">
            <w:pPr>
              <w:suppressAutoHyphens/>
              <w:spacing w:after="0"/>
              <w:rPr>
                <w:rFonts w:cs="Arial"/>
              </w:rPr>
            </w:pPr>
          </w:p>
        </w:tc>
        <w:tc>
          <w:tcPr>
            <w:tcW w:w="1276" w:type="dxa"/>
            <w:vMerge/>
          </w:tcPr>
          <w:p w14:paraId="24338DAC" w14:textId="77777777" w:rsidR="001C7687" w:rsidRPr="001C7687" w:rsidRDefault="001C7687">
            <w:pPr>
              <w:suppressAutoHyphens/>
              <w:spacing w:after="0"/>
              <w:rPr>
                <w:rFonts w:cs="Arial"/>
              </w:rPr>
            </w:pPr>
          </w:p>
        </w:tc>
        <w:tc>
          <w:tcPr>
            <w:tcW w:w="1417" w:type="dxa"/>
            <w:vMerge/>
          </w:tcPr>
          <w:p w14:paraId="68CEB881" w14:textId="77777777" w:rsidR="001C7687" w:rsidRPr="001C7687" w:rsidRDefault="001C7687">
            <w:pPr>
              <w:suppressAutoHyphens/>
              <w:spacing w:after="0"/>
              <w:rPr>
                <w:rFonts w:cs="Arial"/>
              </w:rPr>
            </w:pPr>
          </w:p>
        </w:tc>
        <w:tc>
          <w:tcPr>
            <w:tcW w:w="1843" w:type="dxa"/>
          </w:tcPr>
          <w:p w14:paraId="5D890F78" w14:textId="77777777" w:rsidR="001C7687" w:rsidRPr="001C7687" w:rsidRDefault="001C7687">
            <w:pPr>
              <w:suppressAutoHyphens/>
              <w:spacing w:after="0"/>
              <w:rPr>
                <w:rFonts w:cs="Arial"/>
              </w:rPr>
            </w:pPr>
            <w:r w:rsidRPr="001C7687">
              <w:rPr>
                <w:rFonts w:cs="Arial"/>
              </w:rPr>
              <w:t>MacArthur Communicative Development Inventories (MCDI)</w:t>
            </w:r>
          </w:p>
        </w:tc>
        <w:tc>
          <w:tcPr>
            <w:tcW w:w="2268" w:type="dxa"/>
          </w:tcPr>
          <w:p w14:paraId="6E2349EE" w14:textId="77777777" w:rsidR="001C7687" w:rsidRPr="001C7687" w:rsidRDefault="001C7687">
            <w:pPr>
              <w:suppressAutoHyphens/>
              <w:spacing w:after="0"/>
              <w:rPr>
                <w:rFonts w:cs="Arial"/>
              </w:rPr>
            </w:pPr>
            <w:r w:rsidRPr="001C7687">
              <w:rPr>
                <w:rFonts w:cs="Arial"/>
              </w:rPr>
              <w:t>As above</w:t>
            </w:r>
          </w:p>
        </w:tc>
        <w:tc>
          <w:tcPr>
            <w:tcW w:w="5670" w:type="dxa"/>
          </w:tcPr>
          <w:p w14:paraId="5AD81969" w14:textId="77777777" w:rsidR="001C7687" w:rsidRPr="001C7687" w:rsidRDefault="001C7687">
            <w:pPr>
              <w:suppressAutoHyphens/>
              <w:spacing w:after="0"/>
              <w:rPr>
                <w:rFonts w:cs="Arial"/>
              </w:rPr>
            </w:pPr>
            <w:r w:rsidRPr="001C7687">
              <w:rPr>
                <w:rFonts w:cs="Arial"/>
              </w:rPr>
              <w:t xml:space="preserve">Both groups showed improvements in communication outcomes over time, except for vocabulary. </w:t>
            </w:r>
          </w:p>
          <w:p w14:paraId="2F53A4D7" w14:textId="77777777" w:rsidR="001C7687" w:rsidRPr="001C7687" w:rsidRDefault="001C7687">
            <w:pPr>
              <w:suppressAutoHyphens/>
              <w:spacing w:after="0"/>
              <w:rPr>
                <w:rFonts w:cs="Arial"/>
              </w:rPr>
            </w:pPr>
            <w:r w:rsidRPr="001C7687">
              <w:rPr>
                <w:rFonts w:cs="Arial"/>
              </w:rPr>
              <w:t>No evidence of a difference between groups for communication outcomes throughout the intervention period.</w:t>
            </w:r>
          </w:p>
          <w:p w14:paraId="36E7A1D3" w14:textId="77777777" w:rsidR="001C7687" w:rsidRPr="001C7687" w:rsidRDefault="001C7687">
            <w:pPr>
              <w:suppressAutoHyphens/>
              <w:spacing w:after="0"/>
              <w:rPr>
                <w:rFonts w:cs="Arial"/>
              </w:rPr>
            </w:pPr>
            <w:r w:rsidRPr="001C7687">
              <w:rPr>
                <w:rFonts w:cs="Arial"/>
              </w:rPr>
              <w:t xml:space="preserve"> </w:t>
            </w:r>
          </w:p>
        </w:tc>
      </w:tr>
      <w:tr w:rsidR="001C7687" w:rsidRPr="001C7687" w14:paraId="2CEAF2BE" w14:textId="77777777">
        <w:trPr>
          <w:cnfStyle w:val="000000100000" w:firstRow="0" w:lastRow="0" w:firstColumn="0" w:lastColumn="0" w:oddVBand="0" w:evenVBand="0" w:oddHBand="1" w:evenHBand="0" w:firstRowFirstColumn="0" w:firstRowLastColumn="0" w:lastRowFirstColumn="0" w:lastRowLastColumn="0"/>
          <w:trHeight w:val="658"/>
        </w:trPr>
        <w:tc>
          <w:tcPr>
            <w:tcW w:w="1418" w:type="dxa"/>
            <w:vMerge/>
          </w:tcPr>
          <w:p w14:paraId="4FA6C1E5" w14:textId="77777777" w:rsidR="001C7687" w:rsidRPr="001C7687" w:rsidRDefault="001C7687">
            <w:pPr>
              <w:suppressAutoHyphens/>
              <w:spacing w:after="0"/>
              <w:rPr>
                <w:rFonts w:cs="Arial"/>
              </w:rPr>
            </w:pPr>
          </w:p>
        </w:tc>
        <w:tc>
          <w:tcPr>
            <w:tcW w:w="1276" w:type="dxa"/>
            <w:vMerge/>
          </w:tcPr>
          <w:p w14:paraId="4B694E2D" w14:textId="77777777" w:rsidR="001C7687" w:rsidRPr="001C7687" w:rsidRDefault="001C7687">
            <w:pPr>
              <w:suppressAutoHyphens/>
              <w:spacing w:after="0"/>
              <w:rPr>
                <w:rFonts w:cs="Arial"/>
              </w:rPr>
            </w:pPr>
          </w:p>
        </w:tc>
        <w:tc>
          <w:tcPr>
            <w:tcW w:w="1417" w:type="dxa"/>
            <w:vMerge/>
          </w:tcPr>
          <w:p w14:paraId="21E8E1FA" w14:textId="77777777" w:rsidR="001C7687" w:rsidRPr="001C7687" w:rsidRDefault="001C7687">
            <w:pPr>
              <w:suppressAutoHyphens/>
              <w:spacing w:after="0"/>
              <w:rPr>
                <w:rFonts w:cs="Arial"/>
              </w:rPr>
            </w:pPr>
          </w:p>
        </w:tc>
        <w:tc>
          <w:tcPr>
            <w:tcW w:w="1843" w:type="dxa"/>
          </w:tcPr>
          <w:p w14:paraId="7E31EE30" w14:textId="77777777" w:rsidR="001C7687" w:rsidRPr="001C7687" w:rsidRDefault="001C7687">
            <w:pPr>
              <w:suppressAutoHyphens/>
              <w:spacing w:after="0"/>
              <w:rPr>
                <w:rFonts w:cs="Arial"/>
              </w:rPr>
            </w:pPr>
            <w:r w:rsidRPr="001C7687">
              <w:rPr>
                <w:rFonts w:cs="Arial"/>
              </w:rPr>
              <w:t>Mullen Scales of Early Learning (MSEL)</w:t>
            </w:r>
          </w:p>
        </w:tc>
        <w:tc>
          <w:tcPr>
            <w:tcW w:w="2268" w:type="dxa"/>
          </w:tcPr>
          <w:p w14:paraId="5C8B9462" w14:textId="77777777" w:rsidR="001C7687" w:rsidRPr="001C7687" w:rsidRDefault="001C7687">
            <w:pPr>
              <w:suppressAutoHyphens/>
              <w:spacing w:after="0"/>
              <w:rPr>
                <w:rFonts w:cs="Arial"/>
              </w:rPr>
            </w:pPr>
            <w:r w:rsidRPr="001C7687">
              <w:rPr>
                <w:rFonts w:cs="Arial"/>
              </w:rPr>
              <w:t>As above</w:t>
            </w:r>
          </w:p>
        </w:tc>
        <w:tc>
          <w:tcPr>
            <w:tcW w:w="5670" w:type="dxa"/>
          </w:tcPr>
          <w:p w14:paraId="71C8517C" w14:textId="77777777" w:rsidR="001C7687" w:rsidRPr="001C7687" w:rsidRDefault="001C7687">
            <w:pPr>
              <w:spacing w:after="0"/>
              <w:rPr>
                <w:rFonts w:cs="Arial"/>
              </w:rPr>
            </w:pPr>
            <w:r w:rsidRPr="001C7687">
              <w:rPr>
                <w:rFonts w:cs="Arial"/>
              </w:rPr>
              <w:t>No evidence of a difference between groups for child development throughout the intervention period</w:t>
            </w:r>
          </w:p>
        </w:tc>
      </w:tr>
      <w:tr w:rsidR="001C7687" w:rsidRPr="001C7687" w14:paraId="34F4A7CC"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4C6F1DB1" w14:textId="77777777" w:rsidR="001C7687" w:rsidRPr="001C7687" w:rsidRDefault="001C7687">
            <w:pPr>
              <w:suppressAutoHyphens/>
              <w:spacing w:after="0"/>
              <w:rPr>
                <w:rFonts w:cs="Arial"/>
              </w:rPr>
            </w:pPr>
          </w:p>
        </w:tc>
        <w:tc>
          <w:tcPr>
            <w:tcW w:w="1276" w:type="dxa"/>
            <w:vMerge/>
          </w:tcPr>
          <w:p w14:paraId="5DD2F1C1" w14:textId="77777777" w:rsidR="001C7687" w:rsidRPr="001C7687" w:rsidRDefault="001C7687">
            <w:pPr>
              <w:suppressAutoHyphens/>
              <w:spacing w:after="0"/>
              <w:rPr>
                <w:rFonts w:cs="Arial"/>
              </w:rPr>
            </w:pPr>
          </w:p>
        </w:tc>
        <w:tc>
          <w:tcPr>
            <w:tcW w:w="1417" w:type="dxa"/>
            <w:vMerge/>
          </w:tcPr>
          <w:p w14:paraId="00916CE2" w14:textId="77777777" w:rsidR="001C7687" w:rsidRPr="001C7687" w:rsidRDefault="001C7687">
            <w:pPr>
              <w:suppressAutoHyphens/>
              <w:spacing w:after="0"/>
              <w:rPr>
                <w:rFonts w:cs="Arial"/>
              </w:rPr>
            </w:pPr>
          </w:p>
        </w:tc>
        <w:tc>
          <w:tcPr>
            <w:tcW w:w="1843" w:type="dxa"/>
          </w:tcPr>
          <w:p w14:paraId="660ABF90" w14:textId="77777777" w:rsidR="001C7687" w:rsidRPr="001C7687" w:rsidRDefault="001C7687">
            <w:pPr>
              <w:suppressAutoHyphens/>
              <w:spacing w:after="0"/>
              <w:rPr>
                <w:rFonts w:cs="Arial"/>
              </w:rPr>
            </w:pPr>
            <w:r w:rsidRPr="001C7687">
              <w:rPr>
                <w:rFonts w:cs="Arial"/>
              </w:rPr>
              <w:t>Social Communication Questionnaire (SCQ)</w:t>
            </w:r>
          </w:p>
        </w:tc>
        <w:tc>
          <w:tcPr>
            <w:tcW w:w="2268" w:type="dxa"/>
          </w:tcPr>
          <w:p w14:paraId="4563F09F" w14:textId="77777777" w:rsidR="001C7687" w:rsidRPr="001C7687" w:rsidRDefault="001C7687">
            <w:pPr>
              <w:suppressAutoHyphens/>
              <w:spacing w:after="0"/>
              <w:rPr>
                <w:rFonts w:cs="Arial"/>
              </w:rPr>
            </w:pPr>
            <w:r w:rsidRPr="001C7687">
              <w:rPr>
                <w:rFonts w:cs="Arial"/>
              </w:rPr>
              <w:t>As above</w:t>
            </w:r>
          </w:p>
        </w:tc>
        <w:tc>
          <w:tcPr>
            <w:tcW w:w="5670" w:type="dxa"/>
          </w:tcPr>
          <w:p w14:paraId="2612EBFD" w14:textId="77777777" w:rsidR="001C7687" w:rsidRPr="001C7687" w:rsidRDefault="001C7687">
            <w:pPr>
              <w:spacing w:after="0"/>
              <w:rPr>
                <w:rFonts w:cs="Arial"/>
              </w:rPr>
            </w:pPr>
            <w:r w:rsidRPr="001C7687">
              <w:rPr>
                <w:rFonts w:cs="Arial"/>
              </w:rPr>
              <w:t xml:space="preserve">Both groups improved in parent-reported autism symptom severity over time. </w:t>
            </w:r>
          </w:p>
          <w:p w14:paraId="3EF415C9" w14:textId="77777777" w:rsidR="001C7687" w:rsidRPr="001C7687" w:rsidRDefault="001C7687">
            <w:pPr>
              <w:spacing w:after="0"/>
              <w:rPr>
                <w:rFonts w:cs="Arial"/>
              </w:rPr>
            </w:pPr>
            <w:r w:rsidRPr="001C7687">
              <w:rPr>
                <w:rFonts w:cs="Arial"/>
              </w:rPr>
              <w:t xml:space="preserve">No evidence of a difference between groups for parent-reported autism symptoms severity throughout the intervention period. </w:t>
            </w:r>
          </w:p>
        </w:tc>
      </w:tr>
      <w:tr w:rsidR="001C7687" w:rsidRPr="001C7687" w14:paraId="35C5B646"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28D6068A" w14:textId="77777777" w:rsidR="001C7687" w:rsidRPr="001C7687" w:rsidRDefault="001C7687">
            <w:pPr>
              <w:suppressAutoHyphens/>
              <w:spacing w:after="0"/>
              <w:rPr>
                <w:rFonts w:cs="Arial"/>
                <w:b/>
              </w:rPr>
            </w:pPr>
            <w:r w:rsidRPr="001C7687">
              <w:rPr>
                <w:rFonts w:cs="Arial"/>
                <w:b/>
              </w:rPr>
              <w:t>Pivotal Response Intervention for Social Motivation (PRISM)</w:t>
            </w:r>
          </w:p>
        </w:tc>
      </w:tr>
      <w:tr w:rsidR="001C7687" w:rsidRPr="001C7687" w14:paraId="1BADD930" w14:textId="77777777">
        <w:trPr>
          <w:cnfStyle w:val="000000010000" w:firstRow="0" w:lastRow="0" w:firstColumn="0" w:lastColumn="0" w:oddVBand="0" w:evenVBand="0" w:oddHBand="0" w:evenHBand="1" w:firstRowFirstColumn="0" w:firstRowLastColumn="0" w:lastRowFirstColumn="0" w:lastRowLastColumn="0"/>
          <w:trHeight w:val="1075"/>
        </w:trPr>
        <w:tc>
          <w:tcPr>
            <w:tcW w:w="1418" w:type="dxa"/>
          </w:tcPr>
          <w:p w14:paraId="7CEE629C" w14:textId="77777777" w:rsidR="001C7687" w:rsidRPr="001C7687" w:rsidRDefault="001C7687">
            <w:pPr>
              <w:suppressAutoHyphens/>
              <w:spacing w:after="0"/>
              <w:rPr>
                <w:rFonts w:cs="Arial"/>
                <w:b/>
              </w:rPr>
            </w:pPr>
            <w:r w:rsidRPr="001C7687">
              <w:rPr>
                <w:rFonts w:cs="Arial"/>
                <w:b/>
              </w:rPr>
              <w:t xml:space="preserve">Barrett </w:t>
            </w:r>
          </w:p>
          <w:p w14:paraId="6049E9F0" w14:textId="77777777" w:rsidR="001C7687" w:rsidRPr="001C7687" w:rsidRDefault="001C7687">
            <w:pPr>
              <w:suppressAutoHyphens/>
              <w:spacing w:after="0"/>
              <w:rPr>
                <w:rFonts w:cs="Arial"/>
              </w:rPr>
            </w:pPr>
            <w:r w:rsidRPr="001C7687">
              <w:rPr>
                <w:rFonts w:cs="Arial"/>
                <w:b/>
              </w:rPr>
              <w:t>2020</w:t>
            </w:r>
          </w:p>
        </w:tc>
        <w:tc>
          <w:tcPr>
            <w:tcW w:w="1276" w:type="dxa"/>
          </w:tcPr>
          <w:p w14:paraId="0EA0925A" w14:textId="77777777" w:rsidR="001C7687" w:rsidRPr="001C7687" w:rsidRDefault="001C7687">
            <w:pPr>
              <w:suppressAutoHyphens/>
              <w:spacing w:after="0"/>
              <w:rPr>
                <w:rFonts w:cs="Arial"/>
              </w:rPr>
            </w:pPr>
            <w:r w:rsidRPr="001C7687">
              <w:rPr>
                <w:rFonts w:cs="Arial"/>
              </w:rPr>
              <w:t>PRISM (n=12)</w:t>
            </w:r>
          </w:p>
        </w:tc>
        <w:tc>
          <w:tcPr>
            <w:tcW w:w="1417" w:type="dxa"/>
          </w:tcPr>
          <w:p w14:paraId="411B4B54" w14:textId="77777777" w:rsidR="001C7687" w:rsidRPr="001C7687" w:rsidRDefault="001C7687">
            <w:pPr>
              <w:suppressAutoHyphens/>
              <w:spacing w:after="0"/>
              <w:rPr>
                <w:rFonts w:cs="Arial"/>
              </w:rPr>
            </w:pPr>
            <w:r w:rsidRPr="001C7687">
              <w:rPr>
                <w:rFonts w:cs="Arial"/>
              </w:rPr>
              <w:t>TAU (n=9)</w:t>
            </w:r>
          </w:p>
        </w:tc>
        <w:tc>
          <w:tcPr>
            <w:tcW w:w="1843" w:type="dxa"/>
          </w:tcPr>
          <w:p w14:paraId="4F25BE0A" w14:textId="77777777" w:rsidR="001C7687" w:rsidRPr="001C7687" w:rsidRDefault="001C7687">
            <w:pPr>
              <w:suppressAutoHyphens/>
              <w:spacing w:after="0"/>
              <w:rPr>
                <w:rFonts w:cs="Arial"/>
              </w:rPr>
            </w:pPr>
            <w:r w:rsidRPr="001C7687">
              <w:rPr>
                <w:rFonts w:cs="Arial"/>
              </w:rPr>
              <w:t>Videoed Behaviour Coding (VBC)</w:t>
            </w:r>
          </w:p>
        </w:tc>
        <w:tc>
          <w:tcPr>
            <w:tcW w:w="2268" w:type="dxa"/>
          </w:tcPr>
          <w:p w14:paraId="75F86E61" w14:textId="77777777" w:rsidR="001C7687" w:rsidRPr="001C7687" w:rsidRDefault="001C7687">
            <w:pPr>
              <w:suppressAutoHyphens/>
              <w:spacing w:after="0"/>
              <w:rPr>
                <w:rFonts w:cs="Arial"/>
              </w:rPr>
            </w:pPr>
            <w:r w:rsidRPr="001C7687">
              <w:rPr>
                <w:rFonts w:cs="Arial"/>
              </w:rPr>
              <w:t>Baseline; post intervention (6 months)</w:t>
            </w:r>
          </w:p>
        </w:tc>
        <w:tc>
          <w:tcPr>
            <w:tcW w:w="5670" w:type="dxa"/>
          </w:tcPr>
          <w:p w14:paraId="56AF7CE4" w14:textId="77777777" w:rsidR="001C7687" w:rsidRPr="001C7687" w:rsidRDefault="001C7687">
            <w:pPr>
              <w:suppressAutoHyphens/>
              <w:spacing w:after="0"/>
              <w:rPr>
                <w:rFonts w:cs="Arial"/>
              </w:rPr>
            </w:pPr>
            <w:r w:rsidRPr="001C7687">
              <w:rPr>
                <w:rFonts w:cs="Arial"/>
              </w:rPr>
              <w:t xml:space="preserve">Evidence of improvements in social responsiveness and length of word utterance at post-intervention for the PRISM group. </w:t>
            </w:r>
          </w:p>
          <w:p w14:paraId="25572832" w14:textId="77777777" w:rsidR="001C7687" w:rsidRPr="001C7687" w:rsidRDefault="001C7687">
            <w:pPr>
              <w:spacing w:after="0"/>
              <w:rPr>
                <w:rFonts w:cs="Arial"/>
              </w:rPr>
            </w:pPr>
            <w:r w:rsidRPr="001C7687">
              <w:rPr>
                <w:rFonts w:cs="Arial"/>
              </w:rPr>
              <w:t>No evidence of a difference between groups for total words and diversity of words spoken over time.</w:t>
            </w:r>
          </w:p>
        </w:tc>
      </w:tr>
      <w:tr w:rsidR="001C7687" w:rsidRPr="001C7687" w14:paraId="6271869B"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7771C3CD" w14:textId="77777777" w:rsidR="001C7687" w:rsidRPr="001C7687" w:rsidRDefault="001C7687">
            <w:pPr>
              <w:suppressAutoHyphens/>
              <w:spacing w:after="0"/>
              <w:rPr>
                <w:rFonts w:cs="Arial"/>
                <w:b/>
              </w:rPr>
            </w:pPr>
            <w:r w:rsidRPr="001C7687">
              <w:rPr>
                <w:rFonts w:cs="Arial"/>
                <w:b/>
              </w:rPr>
              <w:t xml:space="preserve">Reciprocal Imitation Training (RIT) </w:t>
            </w:r>
          </w:p>
        </w:tc>
      </w:tr>
      <w:tr w:rsidR="001C7687" w:rsidRPr="001C7687" w14:paraId="7C32A8E5"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tcPr>
          <w:p w14:paraId="3845E12B" w14:textId="77777777" w:rsidR="001C7687" w:rsidRPr="001C7687" w:rsidRDefault="001C7687">
            <w:pPr>
              <w:suppressAutoHyphens/>
              <w:spacing w:after="0"/>
              <w:rPr>
                <w:rFonts w:cs="Arial"/>
                <w:b/>
              </w:rPr>
            </w:pPr>
            <w:r w:rsidRPr="001C7687">
              <w:rPr>
                <w:rFonts w:cs="Arial"/>
                <w:b/>
              </w:rPr>
              <w:t xml:space="preserve">Wainer </w:t>
            </w:r>
          </w:p>
          <w:p w14:paraId="6BDC07EF" w14:textId="77777777" w:rsidR="001C7687" w:rsidRPr="001C7687" w:rsidRDefault="001C7687">
            <w:pPr>
              <w:suppressAutoHyphens/>
              <w:spacing w:after="0"/>
              <w:rPr>
                <w:rFonts w:cs="Arial"/>
              </w:rPr>
            </w:pPr>
            <w:r w:rsidRPr="001C7687">
              <w:rPr>
                <w:rFonts w:cs="Arial"/>
                <w:b/>
              </w:rPr>
              <w:t>2021</w:t>
            </w:r>
          </w:p>
        </w:tc>
        <w:tc>
          <w:tcPr>
            <w:tcW w:w="1276" w:type="dxa"/>
          </w:tcPr>
          <w:p w14:paraId="73294971" w14:textId="77777777" w:rsidR="001C7687" w:rsidRPr="001C7687" w:rsidRDefault="001C7687">
            <w:pPr>
              <w:suppressAutoHyphens/>
              <w:spacing w:after="0"/>
              <w:rPr>
                <w:rFonts w:cs="Arial"/>
              </w:rPr>
            </w:pPr>
            <w:r w:rsidRPr="001C7687">
              <w:rPr>
                <w:rFonts w:cs="Arial"/>
              </w:rPr>
              <w:t>RIT (n=10)</w:t>
            </w:r>
          </w:p>
        </w:tc>
        <w:tc>
          <w:tcPr>
            <w:tcW w:w="1417" w:type="dxa"/>
          </w:tcPr>
          <w:p w14:paraId="11F36A5E" w14:textId="77777777" w:rsidR="001C7687" w:rsidRPr="001C7687" w:rsidRDefault="001C7687">
            <w:pPr>
              <w:suppressAutoHyphens/>
              <w:spacing w:after="0"/>
              <w:rPr>
                <w:rFonts w:cs="Arial"/>
              </w:rPr>
            </w:pPr>
            <w:r w:rsidRPr="001C7687">
              <w:rPr>
                <w:rFonts w:cs="Arial"/>
              </w:rPr>
              <w:t>TAU (n=10)</w:t>
            </w:r>
          </w:p>
        </w:tc>
        <w:tc>
          <w:tcPr>
            <w:tcW w:w="1843" w:type="dxa"/>
          </w:tcPr>
          <w:p w14:paraId="4244446E" w14:textId="77777777" w:rsidR="001C7687" w:rsidRPr="001C7687" w:rsidRDefault="001C7687">
            <w:pPr>
              <w:suppressAutoHyphens/>
              <w:spacing w:after="0"/>
              <w:rPr>
                <w:rFonts w:cs="Arial"/>
              </w:rPr>
            </w:pPr>
            <w:r w:rsidRPr="001C7687">
              <w:rPr>
                <w:rFonts w:cs="Arial"/>
              </w:rPr>
              <w:t>Social Communication Checklist (SCC)</w:t>
            </w:r>
          </w:p>
        </w:tc>
        <w:tc>
          <w:tcPr>
            <w:tcW w:w="2268" w:type="dxa"/>
          </w:tcPr>
          <w:p w14:paraId="50021736" w14:textId="77777777" w:rsidR="001C7687" w:rsidRPr="001C7687" w:rsidRDefault="001C7687">
            <w:pPr>
              <w:suppressAutoHyphens/>
              <w:spacing w:after="0"/>
              <w:rPr>
                <w:rFonts w:cs="Arial"/>
              </w:rPr>
            </w:pPr>
            <w:r w:rsidRPr="001C7687">
              <w:rPr>
                <w:rFonts w:cs="Arial"/>
              </w:rPr>
              <w:t>Baseline; post-intervention</w:t>
            </w:r>
          </w:p>
        </w:tc>
        <w:tc>
          <w:tcPr>
            <w:tcW w:w="5670" w:type="dxa"/>
          </w:tcPr>
          <w:p w14:paraId="7B4157FE" w14:textId="77777777" w:rsidR="001C7687" w:rsidRPr="001C7687" w:rsidRDefault="001C7687">
            <w:pPr>
              <w:spacing w:after="0"/>
              <w:rPr>
                <w:rFonts w:cs="Arial"/>
              </w:rPr>
            </w:pPr>
            <w:r w:rsidRPr="001C7687">
              <w:rPr>
                <w:rFonts w:cs="Arial"/>
              </w:rPr>
              <w:t>Evidence of increased social communication at post-intervention for the RIT group.</w:t>
            </w:r>
          </w:p>
          <w:p w14:paraId="14D9A243" w14:textId="77777777" w:rsidR="001C7687" w:rsidRPr="001C7687" w:rsidRDefault="001C7687">
            <w:pPr>
              <w:suppressAutoHyphens/>
              <w:spacing w:after="0"/>
              <w:rPr>
                <w:rFonts w:cs="Arial"/>
              </w:rPr>
            </w:pPr>
          </w:p>
        </w:tc>
      </w:tr>
      <w:tr w:rsidR="001C7687" w:rsidRPr="001C7687" w14:paraId="44485C0B"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3E86611D" w14:textId="77777777" w:rsidR="001C7687" w:rsidRPr="001C7687" w:rsidRDefault="001C7687">
            <w:pPr>
              <w:suppressAutoHyphens/>
              <w:spacing w:after="0"/>
              <w:rPr>
                <w:rFonts w:cs="Arial"/>
              </w:rPr>
            </w:pPr>
            <w:r w:rsidRPr="001C7687">
              <w:rPr>
                <w:rFonts w:cs="Arial"/>
                <w:b/>
              </w:rPr>
              <w:t>Social Communication, Emotional Regulation, and Transactional Support (SCERTS)</w:t>
            </w:r>
          </w:p>
        </w:tc>
      </w:tr>
      <w:tr w:rsidR="001C7687" w:rsidRPr="001C7687" w14:paraId="3B4647E8"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26FFE8EA" w14:textId="77777777" w:rsidR="001C7687" w:rsidRPr="001C7687" w:rsidRDefault="001C7687">
            <w:pPr>
              <w:suppressAutoHyphens/>
              <w:spacing w:after="0"/>
              <w:rPr>
                <w:rFonts w:cs="Arial"/>
                <w:b/>
              </w:rPr>
            </w:pPr>
            <w:r w:rsidRPr="001C7687">
              <w:rPr>
                <w:rFonts w:cs="Arial"/>
                <w:b/>
              </w:rPr>
              <w:t xml:space="preserve">Morgan </w:t>
            </w:r>
          </w:p>
          <w:p w14:paraId="42972775" w14:textId="77777777" w:rsidR="001C7687" w:rsidRPr="001C7687" w:rsidRDefault="001C7687">
            <w:pPr>
              <w:suppressAutoHyphens/>
              <w:spacing w:after="0"/>
              <w:rPr>
                <w:rFonts w:cs="Arial"/>
              </w:rPr>
            </w:pPr>
            <w:r w:rsidRPr="001C7687">
              <w:rPr>
                <w:rFonts w:cs="Arial"/>
                <w:b/>
              </w:rPr>
              <w:t>2018</w:t>
            </w:r>
          </w:p>
        </w:tc>
        <w:tc>
          <w:tcPr>
            <w:tcW w:w="1276" w:type="dxa"/>
            <w:vMerge w:val="restart"/>
          </w:tcPr>
          <w:p w14:paraId="3BD19429" w14:textId="77777777" w:rsidR="001C7687" w:rsidRPr="001C7687" w:rsidRDefault="001C7687">
            <w:pPr>
              <w:suppressAutoHyphens/>
              <w:spacing w:after="0"/>
              <w:rPr>
                <w:rFonts w:cs="Arial"/>
              </w:rPr>
            </w:pPr>
            <w:r w:rsidRPr="001C7687">
              <w:rPr>
                <w:rFonts w:cs="Arial"/>
              </w:rPr>
              <w:t>SCERTS</w:t>
            </w:r>
          </w:p>
          <w:p w14:paraId="722DCEDF" w14:textId="77777777" w:rsidR="001C7687" w:rsidRPr="001C7687" w:rsidRDefault="001C7687">
            <w:pPr>
              <w:suppressAutoHyphens/>
              <w:spacing w:after="0"/>
              <w:rPr>
                <w:rFonts w:cs="Arial"/>
              </w:rPr>
            </w:pPr>
            <w:r w:rsidRPr="001C7687">
              <w:rPr>
                <w:rFonts w:cs="Arial"/>
              </w:rPr>
              <w:t>(n=118)</w:t>
            </w:r>
          </w:p>
        </w:tc>
        <w:tc>
          <w:tcPr>
            <w:tcW w:w="1417" w:type="dxa"/>
            <w:vMerge w:val="restart"/>
          </w:tcPr>
          <w:p w14:paraId="62662304" w14:textId="77777777" w:rsidR="001C7687" w:rsidRPr="001C7687" w:rsidRDefault="001C7687">
            <w:pPr>
              <w:suppressAutoHyphens/>
              <w:spacing w:after="0"/>
              <w:rPr>
                <w:rFonts w:cs="Arial"/>
              </w:rPr>
            </w:pPr>
            <w:r w:rsidRPr="001C7687">
              <w:rPr>
                <w:rFonts w:cs="Arial"/>
              </w:rPr>
              <w:t xml:space="preserve">ATM </w:t>
            </w:r>
          </w:p>
          <w:p w14:paraId="035A40C6" w14:textId="77777777" w:rsidR="001C7687" w:rsidRPr="001C7687" w:rsidRDefault="001C7687">
            <w:pPr>
              <w:suppressAutoHyphens/>
              <w:spacing w:after="0"/>
              <w:rPr>
                <w:rFonts w:cs="Arial"/>
              </w:rPr>
            </w:pPr>
            <w:r w:rsidRPr="001C7687">
              <w:rPr>
                <w:rFonts w:cs="Arial"/>
              </w:rPr>
              <w:t>(n=79)</w:t>
            </w:r>
          </w:p>
        </w:tc>
        <w:tc>
          <w:tcPr>
            <w:tcW w:w="1843" w:type="dxa"/>
          </w:tcPr>
          <w:p w14:paraId="3873AA1F" w14:textId="77777777" w:rsidR="001C7687" w:rsidRPr="001C7687" w:rsidRDefault="001C7687">
            <w:pPr>
              <w:suppressAutoHyphens/>
              <w:spacing w:after="0"/>
              <w:rPr>
                <w:rFonts w:cs="Arial"/>
              </w:rPr>
            </w:pPr>
            <w:r w:rsidRPr="001C7687">
              <w:rPr>
                <w:rFonts w:cs="Arial"/>
              </w:rPr>
              <w:t>Expressive One-word Picture Vocabulary Test (EOWPVT)</w:t>
            </w:r>
          </w:p>
        </w:tc>
        <w:tc>
          <w:tcPr>
            <w:tcW w:w="2268" w:type="dxa"/>
          </w:tcPr>
          <w:p w14:paraId="485237F6" w14:textId="77777777" w:rsidR="001C7687" w:rsidRPr="001C7687" w:rsidRDefault="001C7687">
            <w:pPr>
              <w:suppressAutoHyphens/>
              <w:spacing w:after="0"/>
              <w:rPr>
                <w:rFonts w:cs="Arial"/>
              </w:rPr>
            </w:pPr>
            <w:r w:rsidRPr="001C7687">
              <w:rPr>
                <w:rFonts w:cs="Arial"/>
              </w:rPr>
              <w:t xml:space="preserve">Baseline; </w:t>
            </w:r>
          </w:p>
          <w:p w14:paraId="1539A3E6" w14:textId="77777777" w:rsidR="001C7687" w:rsidRPr="001C7687" w:rsidRDefault="001C7687">
            <w:pPr>
              <w:suppressAutoHyphens/>
              <w:spacing w:after="0"/>
              <w:rPr>
                <w:rFonts w:cs="Arial"/>
              </w:rPr>
            </w:pPr>
            <w:r w:rsidRPr="001C7687">
              <w:rPr>
                <w:rFonts w:cs="Arial"/>
              </w:rPr>
              <w:t>Post-intervention (8 months)</w:t>
            </w:r>
          </w:p>
        </w:tc>
        <w:tc>
          <w:tcPr>
            <w:tcW w:w="5670" w:type="dxa"/>
          </w:tcPr>
          <w:p w14:paraId="5F5165A0" w14:textId="77777777" w:rsidR="001C7687" w:rsidRPr="001C7687" w:rsidRDefault="001C7687">
            <w:pPr>
              <w:suppressAutoHyphens/>
              <w:spacing w:after="0"/>
              <w:rPr>
                <w:rFonts w:cs="Arial"/>
              </w:rPr>
            </w:pPr>
            <w:r w:rsidRPr="001C7687">
              <w:rPr>
                <w:rFonts w:cs="Arial"/>
              </w:rPr>
              <w:t>No evidence of a difference between groups for expressive language at the end of the intervention period.</w:t>
            </w:r>
          </w:p>
          <w:p w14:paraId="50B4985F" w14:textId="77777777" w:rsidR="001C7687" w:rsidRPr="001C7687" w:rsidRDefault="001C7687">
            <w:pPr>
              <w:suppressAutoHyphens/>
              <w:spacing w:after="0"/>
              <w:rPr>
                <w:rFonts w:cs="Arial"/>
              </w:rPr>
            </w:pPr>
          </w:p>
        </w:tc>
      </w:tr>
      <w:tr w:rsidR="001C7687" w:rsidRPr="001C7687" w14:paraId="7B72C869"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12416F7E" w14:textId="77777777" w:rsidR="001C7687" w:rsidRPr="001C7687" w:rsidRDefault="001C7687">
            <w:pPr>
              <w:suppressAutoHyphens/>
              <w:spacing w:after="0"/>
              <w:rPr>
                <w:rFonts w:cs="Arial"/>
              </w:rPr>
            </w:pPr>
          </w:p>
        </w:tc>
        <w:tc>
          <w:tcPr>
            <w:tcW w:w="1276" w:type="dxa"/>
            <w:vMerge/>
          </w:tcPr>
          <w:p w14:paraId="735EF0F0" w14:textId="77777777" w:rsidR="001C7687" w:rsidRPr="001C7687" w:rsidRDefault="001C7687">
            <w:pPr>
              <w:suppressAutoHyphens/>
              <w:spacing w:after="0"/>
              <w:rPr>
                <w:rFonts w:cs="Arial"/>
              </w:rPr>
            </w:pPr>
          </w:p>
        </w:tc>
        <w:tc>
          <w:tcPr>
            <w:tcW w:w="1417" w:type="dxa"/>
            <w:vMerge/>
          </w:tcPr>
          <w:p w14:paraId="1C4E21EC" w14:textId="77777777" w:rsidR="001C7687" w:rsidRPr="001C7687" w:rsidRDefault="001C7687">
            <w:pPr>
              <w:suppressAutoHyphens/>
              <w:spacing w:after="0"/>
              <w:rPr>
                <w:rFonts w:cs="Arial"/>
              </w:rPr>
            </w:pPr>
          </w:p>
        </w:tc>
        <w:tc>
          <w:tcPr>
            <w:tcW w:w="1843" w:type="dxa"/>
          </w:tcPr>
          <w:p w14:paraId="7C782270" w14:textId="77777777" w:rsidR="001C7687" w:rsidRPr="001C7687" w:rsidRDefault="001C7687">
            <w:pPr>
              <w:suppressAutoHyphens/>
              <w:spacing w:after="0"/>
              <w:rPr>
                <w:rFonts w:cs="Arial"/>
              </w:rPr>
            </w:pPr>
            <w:r w:rsidRPr="001C7687">
              <w:rPr>
                <w:rFonts w:cs="Arial"/>
              </w:rPr>
              <w:t>Peabody Picture Vocabulary Test (PPVT)</w:t>
            </w:r>
          </w:p>
        </w:tc>
        <w:tc>
          <w:tcPr>
            <w:tcW w:w="2268" w:type="dxa"/>
          </w:tcPr>
          <w:p w14:paraId="27CE1C5F" w14:textId="77777777" w:rsidR="001C7687" w:rsidRPr="001C7687" w:rsidRDefault="001C7687">
            <w:pPr>
              <w:suppressAutoHyphens/>
              <w:spacing w:after="0"/>
              <w:rPr>
                <w:rFonts w:cs="Arial"/>
              </w:rPr>
            </w:pPr>
            <w:r w:rsidRPr="001C7687">
              <w:rPr>
                <w:rFonts w:cs="Arial"/>
              </w:rPr>
              <w:t>As above</w:t>
            </w:r>
          </w:p>
        </w:tc>
        <w:tc>
          <w:tcPr>
            <w:tcW w:w="5670" w:type="dxa"/>
          </w:tcPr>
          <w:p w14:paraId="292341C1" w14:textId="77777777" w:rsidR="001C7687" w:rsidRPr="001C7687" w:rsidRDefault="001C7687">
            <w:pPr>
              <w:suppressAutoHyphens/>
              <w:spacing w:after="0"/>
              <w:rPr>
                <w:rFonts w:cs="Arial"/>
              </w:rPr>
            </w:pPr>
            <w:r w:rsidRPr="001C7687">
              <w:rPr>
                <w:rFonts w:cs="Arial"/>
              </w:rPr>
              <w:t>No evidence of a difference between groups for receptive language at the end of the intervention period.</w:t>
            </w:r>
          </w:p>
          <w:p w14:paraId="489E4967" w14:textId="77777777" w:rsidR="001C7687" w:rsidRPr="001C7687" w:rsidRDefault="001C7687">
            <w:pPr>
              <w:suppressAutoHyphens/>
              <w:spacing w:after="0"/>
              <w:rPr>
                <w:rFonts w:cs="Arial"/>
              </w:rPr>
            </w:pPr>
          </w:p>
        </w:tc>
      </w:tr>
      <w:tr w:rsidR="001C7687" w:rsidRPr="001C7687" w14:paraId="7E506A9B"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7D7F55BB" w14:textId="77777777" w:rsidR="001C7687" w:rsidRPr="001C7687" w:rsidRDefault="001C7687">
            <w:pPr>
              <w:suppressAutoHyphens/>
              <w:spacing w:after="0"/>
              <w:rPr>
                <w:rFonts w:cs="Arial"/>
              </w:rPr>
            </w:pPr>
          </w:p>
        </w:tc>
        <w:tc>
          <w:tcPr>
            <w:tcW w:w="1276" w:type="dxa"/>
            <w:vMerge/>
          </w:tcPr>
          <w:p w14:paraId="1908F53A" w14:textId="77777777" w:rsidR="001C7687" w:rsidRPr="001C7687" w:rsidRDefault="001C7687">
            <w:pPr>
              <w:suppressAutoHyphens/>
              <w:spacing w:after="0"/>
              <w:rPr>
                <w:rFonts w:cs="Arial"/>
              </w:rPr>
            </w:pPr>
          </w:p>
        </w:tc>
        <w:tc>
          <w:tcPr>
            <w:tcW w:w="1417" w:type="dxa"/>
            <w:vMerge/>
          </w:tcPr>
          <w:p w14:paraId="07B46327" w14:textId="77777777" w:rsidR="001C7687" w:rsidRPr="001C7687" w:rsidRDefault="001C7687">
            <w:pPr>
              <w:suppressAutoHyphens/>
              <w:spacing w:after="0"/>
              <w:rPr>
                <w:rFonts w:cs="Arial"/>
              </w:rPr>
            </w:pPr>
          </w:p>
        </w:tc>
        <w:tc>
          <w:tcPr>
            <w:tcW w:w="1843" w:type="dxa"/>
          </w:tcPr>
          <w:p w14:paraId="2E4C81AC" w14:textId="77777777" w:rsidR="001C7687" w:rsidRPr="001C7687" w:rsidRDefault="001C7687">
            <w:pPr>
              <w:suppressAutoHyphens/>
              <w:spacing w:after="0"/>
              <w:rPr>
                <w:rFonts w:cs="Arial"/>
              </w:rPr>
            </w:pPr>
            <w:r w:rsidRPr="001C7687">
              <w:rPr>
                <w:rFonts w:cs="Arial"/>
              </w:rPr>
              <w:t>Social Responsiveness Scale (SRS)</w:t>
            </w:r>
          </w:p>
        </w:tc>
        <w:tc>
          <w:tcPr>
            <w:tcW w:w="2268" w:type="dxa"/>
          </w:tcPr>
          <w:p w14:paraId="4817674B" w14:textId="77777777" w:rsidR="001C7687" w:rsidRPr="001C7687" w:rsidRDefault="001C7687">
            <w:pPr>
              <w:suppressAutoHyphens/>
              <w:spacing w:after="0"/>
              <w:rPr>
                <w:rFonts w:cs="Arial"/>
              </w:rPr>
            </w:pPr>
            <w:r w:rsidRPr="001C7687">
              <w:rPr>
                <w:rFonts w:cs="Arial"/>
              </w:rPr>
              <w:t>As above</w:t>
            </w:r>
          </w:p>
        </w:tc>
        <w:tc>
          <w:tcPr>
            <w:tcW w:w="5670" w:type="dxa"/>
          </w:tcPr>
          <w:p w14:paraId="44E290D9" w14:textId="77777777" w:rsidR="001C7687" w:rsidRPr="001C7687" w:rsidRDefault="001C7687">
            <w:pPr>
              <w:spacing w:after="0"/>
              <w:rPr>
                <w:rFonts w:cs="Arial"/>
              </w:rPr>
            </w:pPr>
            <w:r w:rsidRPr="001C7687">
              <w:rPr>
                <w:rFonts w:cs="Arial"/>
              </w:rPr>
              <w:t>Evidence of increased teacher-reported social communication skills at the end of the intervention period for the SCERTS group.</w:t>
            </w:r>
          </w:p>
          <w:p w14:paraId="42DB9E30" w14:textId="77777777" w:rsidR="001C7687" w:rsidRPr="001C7687" w:rsidRDefault="001C7687">
            <w:pPr>
              <w:suppressAutoHyphens/>
              <w:spacing w:after="0"/>
              <w:rPr>
                <w:rFonts w:cs="Arial"/>
              </w:rPr>
            </w:pPr>
          </w:p>
        </w:tc>
      </w:tr>
      <w:tr w:rsidR="001C7687" w:rsidRPr="001C7687" w14:paraId="0AB4E081"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6E16ADF9" w14:textId="77777777" w:rsidR="001C7687" w:rsidRPr="001C7687" w:rsidRDefault="001C7687">
            <w:pPr>
              <w:suppressAutoHyphens/>
              <w:spacing w:after="0"/>
              <w:rPr>
                <w:rFonts w:cs="Arial"/>
              </w:rPr>
            </w:pPr>
          </w:p>
        </w:tc>
        <w:tc>
          <w:tcPr>
            <w:tcW w:w="1276" w:type="dxa"/>
            <w:vMerge/>
          </w:tcPr>
          <w:p w14:paraId="771D186C" w14:textId="77777777" w:rsidR="001C7687" w:rsidRPr="001C7687" w:rsidRDefault="001C7687">
            <w:pPr>
              <w:suppressAutoHyphens/>
              <w:spacing w:after="0"/>
              <w:rPr>
                <w:rFonts w:cs="Arial"/>
              </w:rPr>
            </w:pPr>
          </w:p>
        </w:tc>
        <w:tc>
          <w:tcPr>
            <w:tcW w:w="1417" w:type="dxa"/>
            <w:vMerge/>
          </w:tcPr>
          <w:p w14:paraId="323EE7E3" w14:textId="77777777" w:rsidR="001C7687" w:rsidRPr="001C7687" w:rsidRDefault="001C7687">
            <w:pPr>
              <w:suppressAutoHyphens/>
              <w:spacing w:after="0"/>
              <w:rPr>
                <w:rFonts w:cs="Arial"/>
              </w:rPr>
            </w:pPr>
          </w:p>
        </w:tc>
        <w:tc>
          <w:tcPr>
            <w:tcW w:w="1843" w:type="dxa"/>
          </w:tcPr>
          <w:p w14:paraId="3252C4A9" w14:textId="77777777" w:rsidR="001C7687" w:rsidRPr="001C7687" w:rsidRDefault="001C7687">
            <w:pPr>
              <w:suppressAutoHyphens/>
              <w:spacing w:after="0"/>
              <w:rPr>
                <w:rFonts w:cs="Arial"/>
              </w:rPr>
            </w:pPr>
            <w:r w:rsidRPr="001C7687">
              <w:rPr>
                <w:rFonts w:cs="Arial"/>
              </w:rPr>
              <w:t>Social Skills Rating System (SSRS)</w:t>
            </w:r>
          </w:p>
        </w:tc>
        <w:tc>
          <w:tcPr>
            <w:tcW w:w="2268" w:type="dxa"/>
          </w:tcPr>
          <w:p w14:paraId="2C4F4F07" w14:textId="77777777" w:rsidR="001C7687" w:rsidRPr="001C7687" w:rsidRDefault="001C7687">
            <w:pPr>
              <w:suppressAutoHyphens/>
              <w:spacing w:after="0"/>
              <w:rPr>
                <w:rFonts w:cs="Arial"/>
              </w:rPr>
            </w:pPr>
            <w:r w:rsidRPr="001C7687">
              <w:rPr>
                <w:rFonts w:cs="Arial"/>
              </w:rPr>
              <w:t>As above</w:t>
            </w:r>
          </w:p>
        </w:tc>
        <w:tc>
          <w:tcPr>
            <w:tcW w:w="5670" w:type="dxa"/>
          </w:tcPr>
          <w:p w14:paraId="79978BE4" w14:textId="77777777" w:rsidR="001C7687" w:rsidRPr="001C7687" w:rsidRDefault="001C7687">
            <w:pPr>
              <w:spacing w:after="0"/>
              <w:rPr>
                <w:rFonts w:cs="Arial"/>
              </w:rPr>
            </w:pPr>
            <w:r w:rsidRPr="001C7687">
              <w:rPr>
                <w:rFonts w:cs="Arial"/>
              </w:rPr>
              <w:t>Evidence of increased social skills at the end of the intervention period for the SCERTS group.</w:t>
            </w:r>
          </w:p>
          <w:p w14:paraId="45DEAD8D" w14:textId="77777777" w:rsidR="001C7687" w:rsidRPr="001C7687" w:rsidRDefault="001C7687">
            <w:pPr>
              <w:spacing w:after="0"/>
              <w:rPr>
                <w:rFonts w:cs="Arial"/>
              </w:rPr>
            </w:pPr>
            <w:r w:rsidRPr="001C7687">
              <w:rPr>
                <w:rFonts w:cs="Arial"/>
              </w:rPr>
              <w:t>Evidence of decreased problem behaviour at the end of the intervention period for the SCERTS group.</w:t>
            </w:r>
          </w:p>
        </w:tc>
      </w:tr>
      <w:tr w:rsidR="001C7687" w:rsidRPr="001C7687" w14:paraId="24115F06"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58156604" w14:textId="77777777" w:rsidR="001C7687" w:rsidRPr="001C7687" w:rsidRDefault="001C7687">
            <w:pPr>
              <w:suppressAutoHyphens/>
              <w:spacing w:after="0"/>
              <w:rPr>
                <w:rFonts w:cs="Arial"/>
              </w:rPr>
            </w:pPr>
          </w:p>
        </w:tc>
        <w:tc>
          <w:tcPr>
            <w:tcW w:w="1276" w:type="dxa"/>
            <w:vMerge/>
          </w:tcPr>
          <w:p w14:paraId="47F78749" w14:textId="77777777" w:rsidR="001C7687" w:rsidRPr="001C7687" w:rsidRDefault="001C7687">
            <w:pPr>
              <w:suppressAutoHyphens/>
              <w:spacing w:after="0"/>
              <w:rPr>
                <w:rFonts w:cs="Arial"/>
              </w:rPr>
            </w:pPr>
          </w:p>
        </w:tc>
        <w:tc>
          <w:tcPr>
            <w:tcW w:w="1417" w:type="dxa"/>
            <w:vMerge/>
          </w:tcPr>
          <w:p w14:paraId="7E0DE192" w14:textId="77777777" w:rsidR="001C7687" w:rsidRPr="001C7687" w:rsidRDefault="001C7687">
            <w:pPr>
              <w:suppressAutoHyphens/>
              <w:spacing w:after="0"/>
              <w:rPr>
                <w:rFonts w:cs="Arial"/>
              </w:rPr>
            </w:pPr>
          </w:p>
        </w:tc>
        <w:tc>
          <w:tcPr>
            <w:tcW w:w="1843" w:type="dxa"/>
          </w:tcPr>
          <w:p w14:paraId="75938703" w14:textId="77777777" w:rsidR="001C7687" w:rsidRPr="001C7687" w:rsidRDefault="001C7687">
            <w:pPr>
              <w:suppressAutoHyphens/>
              <w:spacing w:after="0"/>
              <w:rPr>
                <w:rFonts w:cs="Arial"/>
              </w:rPr>
            </w:pPr>
            <w:r w:rsidRPr="001C7687">
              <w:rPr>
                <w:rFonts w:cs="Arial"/>
              </w:rPr>
              <w:t>Vineland Adaptive Behaviour Scale (VABS-II)</w:t>
            </w:r>
          </w:p>
        </w:tc>
        <w:tc>
          <w:tcPr>
            <w:tcW w:w="2268" w:type="dxa"/>
          </w:tcPr>
          <w:p w14:paraId="37AF6A5D" w14:textId="77777777" w:rsidR="001C7687" w:rsidRPr="001C7687" w:rsidRDefault="001C7687">
            <w:pPr>
              <w:suppressAutoHyphens/>
              <w:spacing w:after="0"/>
              <w:rPr>
                <w:rFonts w:cs="Arial"/>
              </w:rPr>
            </w:pPr>
            <w:r w:rsidRPr="001C7687">
              <w:rPr>
                <w:rFonts w:cs="Arial"/>
              </w:rPr>
              <w:t>As above</w:t>
            </w:r>
          </w:p>
        </w:tc>
        <w:tc>
          <w:tcPr>
            <w:tcW w:w="5670" w:type="dxa"/>
          </w:tcPr>
          <w:p w14:paraId="5F903764" w14:textId="77777777" w:rsidR="001C7687" w:rsidRPr="001C7687" w:rsidRDefault="001C7687">
            <w:pPr>
              <w:spacing w:after="0"/>
              <w:rPr>
                <w:rFonts w:cs="Arial"/>
              </w:rPr>
            </w:pPr>
            <w:r w:rsidRPr="001C7687">
              <w:rPr>
                <w:rFonts w:cs="Arial"/>
              </w:rPr>
              <w:t>Evidence of increased communication skills at the end of the intervention period for the SCERTS group.</w:t>
            </w:r>
          </w:p>
          <w:p w14:paraId="3AA9EDB7" w14:textId="77777777" w:rsidR="001C7687" w:rsidRPr="001C7687" w:rsidRDefault="001C7687">
            <w:pPr>
              <w:suppressAutoHyphens/>
              <w:spacing w:after="0"/>
              <w:rPr>
                <w:rFonts w:cs="Arial"/>
              </w:rPr>
            </w:pPr>
            <w:r w:rsidRPr="001C7687">
              <w:rPr>
                <w:rFonts w:cs="Arial"/>
              </w:rPr>
              <w:t>No evidence of a difference between groups for daily living and socialisation skills at the end of the intervention period.</w:t>
            </w:r>
          </w:p>
        </w:tc>
      </w:tr>
      <w:tr w:rsidR="001C7687" w:rsidRPr="001C7687" w14:paraId="58029F48"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val="restart"/>
          </w:tcPr>
          <w:p w14:paraId="49771EFA" w14:textId="77777777" w:rsidR="001C7687" w:rsidRPr="001C7687" w:rsidRDefault="001C7687">
            <w:pPr>
              <w:suppressAutoHyphens/>
              <w:spacing w:after="0"/>
              <w:rPr>
                <w:rFonts w:cs="Arial"/>
                <w:b/>
              </w:rPr>
            </w:pPr>
            <w:r w:rsidRPr="001C7687">
              <w:rPr>
                <w:rFonts w:cs="Arial"/>
                <w:b/>
              </w:rPr>
              <w:t xml:space="preserve">Guthrie </w:t>
            </w:r>
          </w:p>
          <w:p w14:paraId="79EC46B1" w14:textId="77777777" w:rsidR="001C7687" w:rsidRPr="001C7687" w:rsidRDefault="001C7687">
            <w:pPr>
              <w:suppressAutoHyphens/>
              <w:spacing w:after="0"/>
              <w:rPr>
                <w:rFonts w:cs="Arial"/>
              </w:rPr>
            </w:pPr>
            <w:r w:rsidRPr="001C7687">
              <w:rPr>
                <w:rFonts w:cs="Arial"/>
                <w:b/>
              </w:rPr>
              <w:t>2023</w:t>
            </w:r>
          </w:p>
          <w:p w14:paraId="7860E763" w14:textId="77777777" w:rsidR="001C7687" w:rsidRPr="001C7687" w:rsidRDefault="001C7687">
            <w:pPr>
              <w:suppressAutoHyphens/>
              <w:spacing w:after="0"/>
              <w:rPr>
                <w:rFonts w:cs="Arial"/>
                <w:b/>
              </w:rPr>
            </w:pPr>
          </w:p>
        </w:tc>
        <w:tc>
          <w:tcPr>
            <w:tcW w:w="1276" w:type="dxa"/>
            <w:vMerge w:val="restart"/>
          </w:tcPr>
          <w:p w14:paraId="3899C12B" w14:textId="77777777" w:rsidR="001C7687" w:rsidRPr="001C7687" w:rsidRDefault="001C7687">
            <w:pPr>
              <w:suppressAutoHyphens/>
              <w:spacing w:after="0"/>
              <w:rPr>
                <w:rFonts w:cs="Arial"/>
              </w:rPr>
            </w:pPr>
            <w:r w:rsidRPr="001C7687">
              <w:rPr>
                <w:rFonts w:cs="Arial"/>
              </w:rPr>
              <w:t>SCERTS- Individual (n=42)</w:t>
            </w:r>
          </w:p>
        </w:tc>
        <w:tc>
          <w:tcPr>
            <w:tcW w:w="1417" w:type="dxa"/>
            <w:vMerge w:val="restart"/>
          </w:tcPr>
          <w:p w14:paraId="7D94605D" w14:textId="77777777" w:rsidR="001C7687" w:rsidRPr="001C7687" w:rsidRDefault="001C7687">
            <w:pPr>
              <w:suppressAutoHyphens/>
              <w:spacing w:after="0"/>
              <w:rPr>
                <w:rFonts w:cs="Arial"/>
              </w:rPr>
            </w:pPr>
            <w:r w:rsidRPr="001C7687">
              <w:rPr>
                <w:rFonts w:cs="Arial"/>
              </w:rPr>
              <w:t>SCERTS-Group (n=40)</w:t>
            </w:r>
          </w:p>
        </w:tc>
        <w:tc>
          <w:tcPr>
            <w:tcW w:w="1843" w:type="dxa"/>
          </w:tcPr>
          <w:p w14:paraId="4041D682" w14:textId="77777777" w:rsidR="001C7687" w:rsidRPr="001C7687" w:rsidRDefault="001C7687">
            <w:pPr>
              <w:suppressAutoHyphens/>
              <w:spacing w:after="0"/>
              <w:rPr>
                <w:rFonts w:cs="Arial"/>
              </w:rPr>
            </w:pPr>
            <w:r w:rsidRPr="001C7687">
              <w:rPr>
                <w:rFonts w:cs="Arial"/>
              </w:rPr>
              <w:t>Communication and Symbolic Behaviour Scales (CSBS)</w:t>
            </w:r>
          </w:p>
        </w:tc>
        <w:tc>
          <w:tcPr>
            <w:tcW w:w="2268" w:type="dxa"/>
          </w:tcPr>
          <w:p w14:paraId="38CF0355" w14:textId="77777777" w:rsidR="001C7687" w:rsidRPr="001C7687" w:rsidRDefault="001C7687">
            <w:pPr>
              <w:suppressAutoHyphens/>
              <w:spacing w:after="0"/>
              <w:rPr>
                <w:rFonts w:cs="Arial"/>
              </w:rPr>
            </w:pPr>
            <w:r w:rsidRPr="001C7687">
              <w:rPr>
                <w:rFonts w:cs="Arial"/>
              </w:rPr>
              <w:t>Baseline,</w:t>
            </w:r>
          </w:p>
          <w:p w14:paraId="78BFA001" w14:textId="77777777" w:rsidR="001C7687" w:rsidRPr="001C7687" w:rsidRDefault="001C7687">
            <w:pPr>
              <w:suppressAutoHyphens/>
              <w:spacing w:after="0"/>
              <w:rPr>
                <w:rFonts w:cs="Arial"/>
              </w:rPr>
            </w:pPr>
            <w:r w:rsidRPr="001C7687">
              <w:rPr>
                <w:rFonts w:cs="Arial"/>
              </w:rPr>
              <w:t xml:space="preserve">Post-intervention 1 (9 months), </w:t>
            </w:r>
          </w:p>
          <w:p w14:paraId="6A6A352E" w14:textId="77777777" w:rsidR="001C7687" w:rsidRPr="001C7687" w:rsidRDefault="001C7687">
            <w:pPr>
              <w:suppressAutoHyphens/>
              <w:spacing w:after="0"/>
              <w:rPr>
                <w:rFonts w:cs="Arial"/>
              </w:rPr>
            </w:pPr>
            <w:r w:rsidRPr="001C7687">
              <w:rPr>
                <w:rFonts w:cs="Arial"/>
              </w:rPr>
              <w:t>Post-intervention 2 (18 months)</w:t>
            </w:r>
          </w:p>
        </w:tc>
        <w:tc>
          <w:tcPr>
            <w:tcW w:w="5670" w:type="dxa"/>
          </w:tcPr>
          <w:p w14:paraId="0787186E" w14:textId="77777777" w:rsidR="001C7687" w:rsidRPr="001C7687" w:rsidRDefault="001C7687">
            <w:pPr>
              <w:suppressAutoHyphens/>
              <w:spacing w:after="0"/>
              <w:rPr>
                <w:rFonts w:cs="Arial"/>
              </w:rPr>
            </w:pPr>
            <w:r w:rsidRPr="001C7687">
              <w:rPr>
                <w:rFonts w:cs="Arial"/>
              </w:rPr>
              <w:t xml:space="preserve">Evidence of improvement in social communication skills over time for the SCERTS-Individual group. </w:t>
            </w:r>
          </w:p>
          <w:p w14:paraId="64C0EAF5" w14:textId="77777777" w:rsidR="001C7687" w:rsidRPr="001C7687" w:rsidRDefault="001C7687">
            <w:pPr>
              <w:suppressAutoHyphens/>
              <w:spacing w:after="0"/>
              <w:rPr>
                <w:rFonts w:cs="Arial"/>
              </w:rPr>
            </w:pPr>
            <w:r w:rsidRPr="001C7687">
              <w:rPr>
                <w:rFonts w:cs="Arial"/>
              </w:rPr>
              <w:t>No evidence of a difference between groups for speech and symbolic composite measures.</w:t>
            </w:r>
          </w:p>
        </w:tc>
      </w:tr>
      <w:tr w:rsidR="001C7687" w:rsidRPr="001C7687" w14:paraId="3D4AA39D"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77A564AB" w14:textId="77777777" w:rsidR="001C7687" w:rsidRPr="001C7687" w:rsidRDefault="001C7687">
            <w:pPr>
              <w:suppressAutoHyphens/>
              <w:spacing w:after="0"/>
              <w:rPr>
                <w:rFonts w:cs="Arial"/>
              </w:rPr>
            </w:pPr>
          </w:p>
        </w:tc>
        <w:tc>
          <w:tcPr>
            <w:tcW w:w="1276" w:type="dxa"/>
            <w:vMerge/>
          </w:tcPr>
          <w:p w14:paraId="1F13FA52" w14:textId="77777777" w:rsidR="001C7687" w:rsidRPr="001C7687" w:rsidRDefault="001C7687">
            <w:pPr>
              <w:suppressAutoHyphens/>
              <w:spacing w:after="0"/>
              <w:rPr>
                <w:rFonts w:cs="Arial"/>
              </w:rPr>
            </w:pPr>
          </w:p>
        </w:tc>
        <w:tc>
          <w:tcPr>
            <w:tcW w:w="1417" w:type="dxa"/>
            <w:vMerge/>
          </w:tcPr>
          <w:p w14:paraId="5C76DB8D" w14:textId="77777777" w:rsidR="001C7687" w:rsidRPr="001C7687" w:rsidRDefault="001C7687">
            <w:pPr>
              <w:suppressAutoHyphens/>
              <w:spacing w:after="0"/>
              <w:rPr>
                <w:rFonts w:cs="Arial"/>
              </w:rPr>
            </w:pPr>
          </w:p>
        </w:tc>
        <w:tc>
          <w:tcPr>
            <w:tcW w:w="1843" w:type="dxa"/>
          </w:tcPr>
          <w:p w14:paraId="56D1A02A" w14:textId="77777777" w:rsidR="001C7687" w:rsidRPr="001C7687" w:rsidRDefault="001C7687">
            <w:pPr>
              <w:suppressAutoHyphens/>
              <w:spacing w:after="0"/>
              <w:rPr>
                <w:rFonts w:cs="Arial"/>
              </w:rPr>
            </w:pPr>
            <w:r w:rsidRPr="001C7687">
              <w:rPr>
                <w:rFonts w:cs="Arial"/>
              </w:rPr>
              <w:t>Mullen Scales of Early Learning (MSEL)</w:t>
            </w:r>
          </w:p>
        </w:tc>
        <w:tc>
          <w:tcPr>
            <w:tcW w:w="2268" w:type="dxa"/>
          </w:tcPr>
          <w:p w14:paraId="42FA5355" w14:textId="77777777" w:rsidR="001C7687" w:rsidRPr="001C7687" w:rsidRDefault="001C7687">
            <w:pPr>
              <w:suppressAutoHyphens/>
              <w:spacing w:after="0"/>
              <w:rPr>
                <w:rFonts w:cs="Arial"/>
              </w:rPr>
            </w:pPr>
            <w:r w:rsidRPr="001C7687">
              <w:rPr>
                <w:rFonts w:cs="Arial"/>
              </w:rPr>
              <w:t>As above</w:t>
            </w:r>
          </w:p>
        </w:tc>
        <w:tc>
          <w:tcPr>
            <w:tcW w:w="5670" w:type="dxa"/>
          </w:tcPr>
          <w:p w14:paraId="185BC92F" w14:textId="77777777" w:rsidR="001C7687" w:rsidRPr="001C7687" w:rsidRDefault="001C7687">
            <w:pPr>
              <w:suppressAutoHyphens/>
              <w:spacing w:after="0"/>
              <w:rPr>
                <w:rFonts w:cs="Arial"/>
              </w:rPr>
            </w:pPr>
            <w:r w:rsidRPr="001C7687">
              <w:rPr>
                <w:rFonts w:cs="Arial"/>
              </w:rPr>
              <w:t>Evidence of improvements in receptive language for children who received the SCERTS-Individual intervention over time.</w:t>
            </w:r>
          </w:p>
          <w:p w14:paraId="1441D9BB" w14:textId="77777777" w:rsidR="001C7687" w:rsidRPr="001C7687" w:rsidRDefault="001C7687">
            <w:pPr>
              <w:suppressAutoHyphens/>
              <w:spacing w:after="0"/>
              <w:rPr>
                <w:rFonts w:cs="Arial"/>
              </w:rPr>
            </w:pPr>
            <w:r w:rsidRPr="001C7687">
              <w:rPr>
                <w:rFonts w:cs="Arial"/>
              </w:rPr>
              <w:t>No evidence of a difference between groups for visual reception or expressive language.</w:t>
            </w:r>
          </w:p>
        </w:tc>
      </w:tr>
      <w:tr w:rsidR="001C7687" w:rsidRPr="001C7687" w14:paraId="0A49F553"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73739F37" w14:textId="77777777" w:rsidR="001C7687" w:rsidRPr="001C7687" w:rsidRDefault="001C7687">
            <w:pPr>
              <w:suppressAutoHyphens/>
              <w:spacing w:after="0"/>
              <w:rPr>
                <w:rFonts w:cs="Arial"/>
              </w:rPr>
            </w:pPr>
          </w:p>
        </w:tc>
        <w:tc>
          <w:tcPr>
            <w:tcW w:w="1276" w:type="dxa"/>
            <w:vMerge/>
          </w:tcPr>
          <w:p w14:paraId="35AFF160" w14:textId="77777777" w:rsidR="001C7687" w:rsidRPr="001C7687" w:rsidRDefault="001C7687">
            <w:pPr>
              <w:suppressAutoHyphens/>
              <w:spacing w:after="0"/>
              <w:rPr>
                <w:rFonts w:cs="Arial"/>
              </w:rPr>
            </w:pPr>
          </w:p>
        </w:tc>
        <w:tc>
          <w:tcPr>
            <w:tcW w:w="1417" w:type="dxa"/>
            <w:vMerge/>
          </w:tcPr>
          <w:p w14:paraId="39CBB509" w14:textId="77777777" w:rsidR="001C7687" w:rsidRPr="001C7687" w:rsidRDefault="001C7687">
            <w:pPr>
              <w:suppressAutoHyphens/>
              <w:spacing w:after="0"/>
              <w:rPr>
                <w:rFonts w:cs="Arial"/>
              </w:rPr>
            </w:pPr>
          </w:p>
        </w:tc>
        <w:tc>
          <w:tcPr>
            <w:tcW w:w="1843" w:type="dxa"/>
          </w:tcPr>
          <w:p w14:paraId="56ECE6D8" w14:textId="77777777" w:rsidR="001C7687" w:rsidRPr="001C7687" w:rsidRDefault="001C7687">
            <w:pPr>
              <w:suppressAutoHyphens/>
              <w:spacing w:after="0"/>
              <w:rPr>
                <w:rFonts w:cs="Arial"/>
              </w:rPr>
            </w:pPr>
            <w:r w:rsidRPr="001C7687">
              <w:rPr>
                <w:rFonts w:cs="Arial"/>
              </w:rPr>
              <w:t>Vineland Adaptive Behaviour Scale (VABS-II)</w:t>
            </w:r>
          </w:p>
        </w:tc>
        <w:tc>
          <w:tcPr>
            <w:tcW w:w="2268" w:type="dxa"/>
          </w:tcPr>
          <w:p w14:paraId="5960DEBC" w14:textId="77777777" w:rsidR="001C7687" w:rsidRPr="001C7687" w:rsidRDefault="001C7687">
            <w:pPr>
              <w:suppressAutoHyphens/>
              <w:spacing w:after="0"/>
              <w:rPr>
                <w:rFonts w:cs="Arial"/>
              </w:rPr>
            </w:pPr>
            <w:r w:rsidRPr="001C7687">
              <w:rPr>
                <w:rFonts w:cs="Arial"/>
              </w:rPr>
              <w:t>As above</w:t>
            </w:r>
          </w:p>
        </w:tc>
        <w:tc>
          <w:tcPr>
            <w:tcW w:w="5670" w:type="dxa"/>
          </w:tcPr>
          <w:p w14:paraId="744DAC35" w14:textId="77777777" w:rsidR="001C7687" w:rsidRPr="001C7687" w:rsidRDefault="001C7687">
            <w:pPr>
              <w:suppressAutoHyphens/>
              <w:spacing w:after="0"/>
              <w:rPr>
                <w:rFonts w:cs="Arial"/>
              </w:rPr>
            </w:pPr>
            <w:r w:rsidRPr="001C7687">
              <w:rPr>
                <w:rFonts w:cs="Arial"/>
              </w:rPr>
              <w:t xml:space="preserve">Evidence of improvements in receptive, expressive language and daily living skills for the SCERTS- Individual group over time.   </w:t>
            </w:r>
          </w:p>
          <w:p w14:paraId="62D46C41" w14:textId="77777777" w:rsidR="001C7687" w:rsidRPr="001C7687" w:rsidRDefault="001C7687">
            <w:pPr>
              <w:suppressAutoHyphens/>
              <w:spacing w:after="0"/>
              <w:rPr>
                <w:rFonts w:cs="Arial"/>
              </w:rPr>
            </w:pPr>
            <w:r w:rsidRPr="001C7687">
              <w:rPr>
                <w:rFonts w:cs="Arial"/>
              </w:rPr>
              <w:t>No evidence of a difference between groups for socialisation or fine and gross motor skills throughout the intervention period.</w:t>
            </w:r>
          </w:p>
        </w:tc>
      </w:tr>
      <w:tr w:rsidR="001C7687" w:rsidRPr="001C7687" w14:paraId="582B4831"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Pr>
          <w:p w14:paraId="5255205B" w14:textId="77777777" w:rsidR="001C7687" w:rsidRPr="001C7687" w:rsidRDefault="001C7687">
            <w:pPr>
              <w:suppressAutoHyphens/>
              <w:spacing w:after="0"/>
              <w:rPr>
                <w:rFonts w:cs="Arial"/>
                <w:b/>
              </w:rPr>
            </w:pPr>
            <w:r w:rsidRPr="001C7687">
              <w:rPr>
                <w:rFonts w:cs="Arial"/>
                <w:b/>
              </w:rPr>
              <w:t xml:space="preserve">Wetherby </w:t>
            </w:r>
          </w:p>
          <w:p w14:paraId="26C72D89" w14:textId="77777777" w:rsidR="001C7687" w:rsidRPr="001C7687" w:rsidRDefault="001C7687">
            <w:pPr>
              <w:suppressAutoHyphens/>
              <w:spacing w:after="0"/>
              <w:rPr>
                <w:rFonts w:cs="Arial"/>
              </w:rPr>
            </w:pPr>
            <w:r w:rsidRPr="001C7687">
              <w:rPr>
                <w:rFonts w:cs="Arial"/>
                <w:b/>
              </w:rPr>
              <w:t>2014</w:t>
            </w:r>
          </w:p>
        </w:tc>
        <w:tc>
          <w:tcPr>
            <w:tcW w:w="1276" w:type="dxa"/>
            <w:vMerge w:val="restart"/>
          </w:tcPr>
          <w:p w14:paraId="422A9884" w14:textId="77777777" w:rsidR="001C7687" w:rsidRPr="001C7687" w:rsidRDefault="001C7687">
            <w:pPr>
              <w:suppressAutoHyphens/>
              <w:spacing w:after="0"/>
              <w:rPr>
                <w:rFonts w:cs="Arial"/>
              </w:rPr>
            </w:pPr>
            <w:r w:rsidRPr="001C7687">
              <w:rPr>
                <w:rFonts w:cs="Arial"/>
              </w:rPr>
              <w:t xml:space="preserve">SCERTS- Individual </w:t>
            </w:r>
          </w:p>
          <w:p w14:paraId="7729DF2F" w14:textId="77777777" w:rsidR="001C7687" w:rsidRPr="001C7687" w:rsidRDefault="001C7687">
            <w:pPr>
              <w:suppressAutoHyphens/>
              <w:spacing w:after="0"/>
              <w:rPr>
                <w:rFonts w:cs="Arial"/>
              </w:rPr>
            </w:pPr>
            <w:r w:rsidRPr="001C7687">
              <w:rPr>
                <w:rFonts w:cs="Arial"/>
              </w:rPr>
              <w:t>(n=42)</w:t>
            </w:r>
          </w:p>
        </w:tc>
        <w:tc>
          <w:tcPr>
            <w:tcW w:w="1417" w:type="dxa"/>
            <w:vMerge w:val="restart"/>
          </w:tcPr>
          <w:p w14:paraId="1C64091C" w14:textId="77777777" w:rsidR="001C7687" w:rsidRPr="001C7687" w:rsidRDefault="001C7687">
            <w:pPr>
              <w:suppressAutoHyphens/>
              <w:spacing w:after="0"/>
              <w:rPr>
                <w:rFonts w:cs="Arial"/>
              </w:rPr>
            </w:pPr>
            <w:r w:rsidRPr="001C7687">
              <w:rPr>
                <w:rFonts w:cs="Arial"/>
              </w:rPr>
              <w:t>SCERTS-Group (n=40)</w:t>
            </w:r>
          </w:p>
        </w:tc>
        <w:tc>
          <w:tcPr>
            <w:tcW w:w="1843" w:type="dxa"/>
          </w:tcPr>
          <w:p w14:paraId="44BE3463" w14:textId="77777777" w:rsidR="001C7687" w:rsidRPr="001C7687" w:rsidRDefault="001C7687">
            <w:pPr>
              <w:suppressAutoHyphens/>
              <w:spacing w:after="0"/>
              <w:rPr>
                <w:rFonts w:cs="Arial"/>
              </w:rPr>
            </w:pPr>
            <w:r w:rsidRPr="001C7687">
              <w:rPr>
                <w:rFonts w:cs="Arial"/>
              </w:rPr>
              <w:t>Communication and Symbolic Behaviour Scales (CSBS)</w:t>
            </w:r>
          </w:p>
        </w:tc>
        <w:tc>
          <w:tcPr>
            <w:tcW w:w="2268" w:type="dxa"/>
          </w:tcPr>
          <w:p w14:paraId="4FECA32A" w14:textId="77777777" w:rsidR="001C7687" w:rsidRPr="001C7687" w:rsidRDefault="001C7687">
            <w:pPr>
              <w:suppressAutoHyphens/>
              <w:spacing w:after="0"/>
              <w:rPr>
                <w:rFonts w:cs="Arial"/>
              </w:rPr>
            </w:pPr>
            <w:r w:rsidRPr="001C7687">
              <w:rPr>
                <w:rFonts w:cs="Arial"/>
              </w:rPr>
              <w:t xml:space="preserve">Baseline; </w:t>
            </w:r>
          </w:p>
          <w:p w14:paraId="443C5CFF" w14:textId="77777777" w:rsidR="001C7687" w:rsidRPr="001C7687" w:rsidRDefault="001C7687">
            <w:pPr>
              <w:suppressAutoHyphens/>
              <w:spacing w:after="0"/>
              <w:rPr>
                <w:rFonts w:cs="Arial"/>
              </w:rPr>
            </w:pPr>
            <w:r w:rsidRPr="001C7687">
              <w:rPr>
                <w:rFonts w:cs="Arial"/>
              </w:rPr>
              <w:t>Post-intervention (9 months)</w:t>
            </w:r>
          </w:p>
        </w:tc>
        <w:tc>
          <w:tcPr>
            <w:tcW w:w="5670" w:type="dxa"/>
          </w:tcPr>
          <w:p w14:paraId="5AC87B33" w14:textId="77777777" w:rsidR="001C7687" w:rsidRPr="001C7687" w:rsidRDefault="001C7687">
            <w:pPr>
              <w:suppressAutoHyphens/>
              <w:spacing w:after="0"/>
              <w:rPr>
                <w:rFonts w:cs="Arial"/>
              </w:rPr>
            </w:pPr>
            <w:r w:rsidRPr="001C7687">
              <w:rPr>
                <w:rFonts w:cs="Arial"/>
              </w:rPr>
              <w:t xml:space="preserve">Evidence of improvements in social composites over time for the SCERTS-Individual group. </w:t>
            </w:r>
          </w:p>
        </w:tc>
      </w:tr>
      <w:tr w:rsidR="001C7687" w:rsidRPr="001C7687" w14:paraId="1D66BA97"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0F7D5286" w14:textId="77777777" w:rsidR="001C7687" w:rsidRPr="001C7687" w:rsidRDefault="001C7687">
            <w:pPr>
              <w:suppressAutoHyphens/>
              <w:spacing w:after="0"/>
              <w:rPr>
                <w:rFonts w:cs="Arial"/>
              </w:rPr>
            </w:pPr>
          </w:p>
        </w:tc>
        <w:tc>
          <w:tcPr>
            <w:tcW w:w="1276" w:type="dxa"/>
            <w:vMerge/>
          </w:tcPr>
          <w:p w14:paraId="55D3A689" w14:textId="77777777" w:rsidR="001C7687" w:rsidRPr="001C7687" w:rsidRDefault="001C7687">
            <w:pPr>
              <w:suppressAutoHyphens/>
              <w:spacing w:after="0"/>
              <w:rPr>
                <w:rFonts w:cs="Arial"/>
              </w:rPr>
            </w:pPr>
          </w:p>
        </w:tc>
        <w:tc>
          <w:tcPr>
            <w:tcW w:w="1417" w:type="dxa"/>
            <w:vMerge/>
          </w:tcPr>
          <w:p w14:paraId="33A8B707" w14:textId="77777777" w:rsidR="001C7687" w:rsidRPr="001C7687" w:rsidRDefault="001C7687">
            <w:pPr>
              <w:suppressAutoHyphens/>
              <w:spacing w:after="0"/>
              <w:rPr>
                <w:rFonts w:cs="Arial"/>
              </w:rPr>
            </w:pPr>
          </w:p>
        </w:tc>
        <w:tc>
          <w:tcPr>
            <w:tcW w:w="1843" w:type="dxa"/>
          </w:tcPr>
          <w:p w14:paraId="6A82588A" w14:textId="77777777" w:rsidR="001C7687" w:rsidRPr="001C7687" w:rsidRDefault="001C7687">
            <w:pPr>
              <w:suppressAutoHyphens/>
              <w:spacing w:after="0"/>
              <w:rPr>
                <w:rFonts w:cs="Arial"/>
              </w:rPr>
            </w:pPr>
            <w:r w:rsidRPr="001C7687">
              <w:rPr>
                <w:rFonts w:cs="Arial"/>
              </w:rPr>
              <w:t>Mullen Scales of Early Learning (MSEL)</w:t>
            </w:r>
          </w:p>
        </w:tc>
        <w:tc>
          <w:tcPr>
            <w:tcW w:w="2268" w:type="dxa"/>
          </w:tcPr>
          <w:p w14:paraId="258B8D89" w14:textId="77777777" w:rsidR="001C7687" w:rsidRPr="001C7687" w:rsidRDefault="001C7687">
            <w:pPr>
              <w:suppressAutoHyphens/>
              <w:spacing w:after="0"/>
              <w:rPr>
                <w:rFonts w:cs="Arial"/>
              </w:rPr>
            </w:pPr>
            <w:r w:rsidRPr="001C7687">
              <w:rPr>
                <w:rFonts w:cs="Arial"/>
              </w:rPr>
              <w:t>As above</w:t>
            </w:r>
          </w:p>
        </w:tc>
        <w:tc>
          <w:tcPr>
            <w:tcW w:w="5670" w:type="dxa"/>
          </w:tcPr>
          <w:p w14:paraId="75C18DB8" w14:textId="77777777" w:rsidR="001C7687" w:rsidRPr="001C7687" w:rsidRDefault="001C7687">
            <w:pPr>
              <w:suppressAutoHyphens/>
              <w:spacing w:after="0"/>
              <w:rPr>
                <w:rFonts w:cs="Arial"/>
              </w:rPr>
            </w:pPr>
            <w:r w:rsidRPr="001C7687">
              <w:rPr>
                <w:rFonts w:cs="Arial"/>
              </w:rPr>
              <w:t>No evidence of a difference between groups for visual reception throughout the intervention period. Evidence of improvement in receptive language over time for the SCERTS-Individual group.</w:t>
            </w:r>
          </w:p>
        </w:tc>
      </w:tr>
      <w:tr w:rsidR="001C7687" w:rsidRPr="001C7687" w14:paraId="0EA4F567"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0910F82B" w14:textId="77777777" w:rsidR="001C7687" w:rsidRPr="001C7687" w:rsidRDefault="001C7687">
            <w:pPr>
              <w:suppressAutoHyphens/>
              <w:spacing w:after="0"/>
              <w:rPr>
                <w:rFonts w:cs="Arial"/>
              </w:rPr>
            </w:pPr>
          </w:p>
        </w:tc>
        <w:tc>
          <w:tcPr>
            <w:tcW w:w="1276" w:type="dxa"/>
            <w:vMerge/>
          </w:tcPr>
          <w:p w14:paraId="6B0D3DC5" w14:textId="77777777" w:rsidR="001C7687" w:rsidRPr="001C7687" w:rsidRDefault="001C7687">
            <w:pPr>
              <w:suppressAutoHyphens/>
              <w:spacing w:after="0"/>
              <w:rPr>
                <w:rFonts w:cs="Arial"/>
              </w:rPr>
            </w:pPr>
          </w:p>
        </w:tc>
        <w:tc>
          <w:tcPr>
            <w:tcW w:w="1417" w:type="dxa"/>
            <w:vMerge/>
          </w:tcPr>
          <w:p w14:paraId="76079896" w14:textId="77777777" w:rsidR="001C7687" w:rsidRPr="001C7687" w:rsidRDefault="001C7687">
            <w:pPr>
              <w:suppressAutoHyphens/>
              <w:spacing w:after="0"/>
              <w:rPr>
                <w:rFonts w:cs="Arial"/>
              </w:rPr>
            </w:pPr>
          </w:p>
        </w:tc>
        <w:tc>
          <w:tcPr>
            <w:tcW w:w="1843" w:type="dxa"/>
          </w:tcPr>
          <w:p w14:paraId="1C75B399" w14:textId="77777777" w:rsidR="001C7687" w:rsidRPr="001C7687" w:rsidRDefault="001C7687">
            <w:pPr>
              <w:suppressAutoHyphens/>
              <w:spacing w:after="0"/>
              <w:rPr>
                <w:rFonts w:cs="Arial"/>
              </w:rPr>
            </w:pPr>
            <w:r w:rsidRPr="001C7687">
              <w:rPr>
                <w:rFonts w:cs="Arial"/>
              </w:rPr>
              <w:t>Vineland Adaptive Behaviour Scale (VABS-II)</w:t>
            </w:r>
          </w:p>
        </w:tc>
        <w:tc>
          <w:tcPr>
            <w:tcW w:w="2268" w:type="dxa"/>
          </w:tcPr>
          <w:p w14:paraId="6A77A6DB" w14:textId="77777777" w:rsidR="001C7687" w:rsidRPr="001C7687" w:rsidRDefault="001C7687">
            <w:pPr>
              <w:suppressAutoHyphens/>
              <w:spacing w:after="0"/>
              <w:rPr>
                <w:rFonts w:cs="Arial"/>
              </w:rPr>
            </w:pPr>
            <w:r w:rsidRPr="001C7687">
              <w:rPr>
                <w:rFonts w:cs="Arial"/>
              </w:rPr>
              <w:t xml:space="preserve">As above </w:t>
            </w:r>
          </w:p>
        </w:tc>
        <w:tc>
          <w:tcPr>
            <w:tcW w:w="5670" w:type="dxa"/>
          </w:tcPr>
          <w:p w14:paraId="0B491B32" w14:textId="77777777" w:rsidR="001C7687" w:rsidRPr="001C7687" w:rsidRDefault="001C7687">
            <w:pPr>
              <w:suppressAutoHyphens/>
              <w:spacing w:after="0"/>
              <w:rPr>
                <w:rFonts w:cs="Arial"/>
              </w:rPr>
            </w:pPr>
            <w:r w:rsidRPr="001C7687">
              <w:rPr>
                <w:rFonts w:cs="Arial"/>
              </w:rPr>
              <w:t>Evidence of improvement in communication, daily living and socialisation over time for the SCERTS-Individual group. No evidence of a difference between groups for motor skills.</w:t>
            </w:r>
          </w:p>
        </w:tc>
      </w:tr>
      <w:tr w:rsidR="001C7687" w:rsidRPr="001C7687" w14:paraId="37F5160A"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696738A6" w14:textId="77777777" w:rsidR="001C7687" w:rsidRPr="001C7687" w:rsidRDefault="001C7687">
            <w:pPr>
              <w:suppressAutoHyphens/>
              <w:spacing w:after="0"/>
              <w:rPr>
                <w:rFonts w:cs="Arial"/>
              </w:rPr>
            </w:pPr>
            <w:r w:rsidRPr="001C7687">
              <w:rPr>
                <w:rFonts w:cs="Arial"/>
                <w:b/>
              </w:rPr>
              <w:t>Sleep Parent Training (SPT) cf Parent Education Program (PEP)</w:t>
            </w:r>
          </w:p>
        </w:tc>
      </w:tr>
      <w:tr w:rsidR="001C7687" w:rsidRPr="001C7687" w14:paraId="61D84F76"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tcPr>
          <w:p w14:paraId="505B6063" w14:textId="77777777" w:rsidR="001C7687" w:rsidRPr="001C7687" w:rsidRDefault="001C7687">
            <w:pPr>
              <w:suppressAutoHyphens/>
              <w:spacing w:after="0"/>
              <w:rPr>
                <w:rFonts w:cs="Arial"/>
                <w:b/>
              </w:rPr>
            </w:pPr>
            <w:r w:rsidRPr="001C7687">
              <w:rPr>
                <w:rFonts w:cs="Arial"/>
                <w:b/>
              </w:rPr>
              <w:t>Johnston</w:t>
            </w:r>
          </w:p>
          <w:p w14:paraId="5C8D9F3D" w14:textId="77777777" w:rsidR="001C7687" w:rsidRPr="001C7687" w:rsidRDefault="001C7687">
            <w:pPr>
              <w:suppressAutoHyphens/>
              <w:spacing w:after="0"/>
              <w:rPr>
                <w:rFonts w:cs="Arial"/>
              </w:rPr>
            </w:pPr>
            <w:r w:rsidRPr="001C7687">
              <w:rPr>
                <w:rFonts w:cs="Arial"/>
                <w:b/>
              </w:rPr>
              <w:t>2024</w:t>
            </w:r>
          </w:p>
        </w:tc>
        <w:tc>
          <w:tcPr>
            <w:tcW w:w="1276" w:type="dxa"/>
          </w:tcPr>
          <w:p w14:paraId="4022C8DE" w14:textId="77777777" w:rsidR="001C7687" w:rsidRPr="001C7687" w:rsidRDefault="001C7687">
            <w:pPr>
              <w:suppressAutoHyphens/>
              <w:spacing w:after="0"/>
              <w:rPr>
                <w:rFonts w:cs="Arial"/>
              </w:rPr>
            </w:pPr>
            <w:r w:rsidRPr="001C7687">
              <w:rPr>
                <w:rFonts w:cs="Arial"/>
              </w:rPr>
              <w:t xml:space="preserve">SPT </w:t>
            </w:r>
          </w:p>
          <w:p w14:paraId="1180C119" w14:textId="77777777" w:rsidR="001C7687" w:rsidRPr="001C7687" w:rsidRDefault="001C7687">
            <w:pPr>
              <w:suppressAutoHyphens/>
              <w:spacing w:after="0"/>
              <w:rPr>
                <w:rFonts w:cs="Arial"/>
              </w:rPr>
            </w:pPr>
            <w:r w:rsidRPr="001C7687">
              <w:rPr>
                <w:rFonts w:cs="Arial"/>
              </w:rPr>
              <w:t>(n=36)</w:t>
            </w:r>
          </w:p>
        </w:tc>
        <w:tc>
          <w:tcPr>
            <w:tcW w:w="1417" w:type="dxa"/>
          </w:tcPr>
          <w:p w14:paraId="137C8466" w14:textId="77777777" w:rsidR="001C7687" w:rsidRPr="001C7687" w:rsidRDefault="001C7687">
            <w:pPr>
              <w:suppressAutoHyphens/>
              <w:spacing w:after="0"/>
              <w:rPr>
                <w:rFonts w:cs="Arial"/>
              </w:rPr>
            </w:pPr>
            <w:r w:rsidRPr="001C7687">
              <w:rPr>
                <w:rFonts w:cs="Arial"/>
              </w:rPr>
              <w:t xml:space="preserve">PEP </w:t>
            </w:r>
          </w:p>
          <w:p w14:paraId="2AEFE5E4" w14:textId="77777777" w:rsidR="001C7687" w:rsidRPr="001C7687" w:rsidRDefault="001C7687">
            <w:pPr>
              <w:suppressAutoHyphens/>
              <w:spacing w:after="0"/>
              <w:rPr>
                <w:rFonts w:cs="Arial"/>
              </w:rPr>
            </w:pPr>
            <w:r w:rsidRPr="001C7687">
              <w:rPr>
                <w:rFonts w:cs="Arial"/>
              </w:rPr>
              <w:t>(n=38)</w:t>
            </w:r>
          </w:p>
        </w:tc>
        <w:tc>
          <w:tcPr>
            <w:tcW w:w="1843" w:type="dxa"/>
          </w:tcPr>
          <w:p w14:paraId="50533571" w14:textId="77777777" w:rsidR="001C7687" w:rsidRPr="001C7687" w:rsidRDefault="001C7687">
            <w:pPr>
              <w:suppressAutoHyphens/>
              <w:spacing w:after="0"/>
              <w:rPr>
                <w:rFonts w:cs="Arial"/>
              </w:rPr>
            </w:pPr>
            <w:r w:rsidRPr="001C7687">
              <w:rPr>
                <w:rFonts w:cs="Arial"/>
              </w:rPr>
              <w:t>Aberrant Behavior Checklist (ABC-I)</w:t>
            </w:r>
          </w:p>
        </w:tc>
        <w:tc>
          <w:tcPr>
            <w:tcW w:w="2268" w:type="dxa"/>
          </w:tcPr>
          <w:p w14:paraId="2336132F" w14:textId="77777777" w:rsidR="001C7687" w:rsidRPr="001C7687" w:rsidRDefault="001C7687">
            <w:pPr>
              <w:suppressAutoHyphens/>
              <w:spacing w:after="0"/>
              <w:rPr>
                <w:rFonts w:cs="Arial"/>
              </w:rPr>
            </w:pPr>
            <w:r w:rsidRPr="001C7687">
              <w:rPr>
                <w:rFonts w:cs="Arial"/>
              </w:rPr>
              <w:t xml:space="preserve">Baseline; </w:t>
            </w:r>
          </w:p>
          <w:p w14:paraId="6C8AB176" w14:textId="77777777" w:rsidR="001C7687" w:rsidRPr="001C7687" w:rsidRDefault="001C7687">
            <w:pPr>
              <w:suppressAutoHyphens/>
              <w:spacing w:after="0"/>
              <w:rPr>
                <w:rFonts w:cs="Arial"/>
              </w:rPr>
            </w:pPr>
            <w:r w:rsidRPr="001C7687">
              <w:rPr>
                <w:rFonts w:cs="Arial"/>
              </w:rPr>
              <w:t xml:space="preserve">Mid-intervention (week 5); </w:t>
            </w:r>
          </w:p>
          <w:p w14:paraId="1FC6EF55" w14:textId="77777777" w:rsidR="001C7687" w:rsidRPr="001C7687" w:rsidRDefault="001C7687">
            <w:pPr>
              <w:suppressAutoHyphens/>
              <w:spacing w:after="0"/>
              <w:rPr>
                <w:rFonts w:cs="Arial"/>
              </w:rPr>
            </w:pPr>
            <w:r w:rsidRPr="001C7687">
              <w:rPr>
                <w:rFonts w:cs="Arial"/>
              </w:rPr>
              <w:t>Post-intervention (week 10)</w:t>
            </w:r>
          </w:p>
        </w:tc>
        <w:tc>
          <w:tcPr>
            <w:tcW w:w="5670" w:type="dxa"/>
          </w:tcPr>
          <w:p w14:paraId="2DD86646" w14:textId="77777777" w:rsidR="001C7687" w:rsidRPr="001C7687" w:rsidRDefault="001C7687">
            <w:pPr>
              <w:suppressAutoHyphens/>
              <w:spacing w:after="0"/>
              <w:rPr>
                <w:rFonts w:cs="Arial"/>
              </w:rPr>
            </w:pPr>
            <w:r w:rsidRPr="001C7687">
              <w:rPr>
                <w:rFonts w:cs="Arial"/>
              </w:rPr>
              <w:t>No evidence of a difference between groups for irritability throughout the intervention period.</w:t>
            </w:r>
          </w:p>
        </w:tc>
      </w:tr>
      <w:tr w:rsidR="001C7687" w:rsidRPr="001C7687" w14:paraId="78F0A2DD" w14:textId="77777777">
        <w:trPr>
          <w:cnfStyle w:val="000000100000" w:firstRow="0" w:lastRow="0" w:firstColumn="0" w:lastColumn="0" w:oddVBand="0" w:evenVBand="0" w:oddHBand="1" w:evenHBand="0" w:firstRowFirstColumn="0" w:firstRowLastColumn="0" w:lastRowFirstColumn="0" w:lastRowLastColumn="0"/>
          <w:trHeight w:val="340"/>
        </w:trPr>
        <w:tc>
          <w:tcPr>
            <w:tcW w:w="13892" w:type="dxa"/>
            <w:gridSpan w:val="6"/>
            <w:shd w:val="clear" w:color="auto" w:fill="DAE2E6"/>
          </w:tcPr>
          <w:p w14:paraId="426D5F5F" w14:textId="77777777" w:rsidR="001C7687" w:rsidRPr="001C7687" w:rsidRDefault="001C7687">
            <w:pPr>
              <w:suppressAutoHyphens/>
              <w:spacing w:after="0"/>
              <w:rPr>
                <w:rFonts w:cs="Arial"/>
                <w:b/>
              </w:rPr>
            </w:pPr>
            <w:r w:rsidRPr="001C7687">
              <w:rPr>
                <w:rFonts w:cs="Arial"/>
                <w:b/>
              </w:rPr>
              <w:t>Teaching Early Literacy and Language (TELL) Curriculum</w:t>
            </w:r>
          </w:p>
        </w:tc>
      </w:tr>
      <w:tr w:rsidR="001C7687" w:rsidRPr="001C7687" w14:paraId="4728AC54"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val="restart"/>
            <w:tcBorders>
              <w:bottom w:val="single" w:sz="4" w:space="0" w:color="auto"/>
            </w:tcBorders>
          </w:tcPr>
          <w:p w14:paraId="42A4F2F1" w14:textId="77777777" w:rsidR="001C7687" w:rsidRPr="001C7687" w:rsidRDefault="001C7687">
            <w:pPr>
              <w:suppressAutoHyphens/>
              <w:spacing w:after="0"/>
              <w:rPr>
                <w:rFonts w:cs="Arial"/>
                <w:b/>
              </w:rPr>
            </w:pPr>
            <w:r w:rsidRPr="001C7687">
              <w:rPr>
                <w:rFonts w:cs="Arial"/>
                <w:b/>
              </w:rPr>
              <w:t xml:space="preserve">Wilcox </w:t>
            </w:r>
          </w:p>
          <w:p w14:paraId="4D08EEBA" w14:textId="77777777" w:rsidR="001C7687" w:rsidRPr="001C7687" w:rsidRDefault="001C7687">
            <w:pPr>
              <w:suppressAutoHyphens/>
              <w:spacing w:after="0"/>
              <w:rPr>
                <w:rFonts w:cs="Arial"/>
              </w:rPr>
            </w:pPr>
            <w:r w:rsidRPr="001C7687">
              <w:rPr>
                <w:rFonts w:cs="Arial"/>
                <w:b/>
              </w:rPr>
              <w:t>2020</w:t>
            </w:r>
          </w:p>
        </w:tc>
        <w:tc>
          <w:tcPr>
            <w:tcW w:w="1276" w:type="dxa"/>
            <w:vMerge w:val="restart"/>
            <w:tcBorders>
              <w:bottom w:val="single" w:sz="4" w:space="0" w:color="auto"/>
            </w:tcBorders>
          </w:tcPr>
          <w:p w14:paraId="6ABB33FA" w14:textId="77777777" w:rsidR="001C7687" w:rsidRPr="001C7687" w:rsidRDefault="001C7687">
            <w:pPr>
              <w:suppressAutoHyphens/>
              <w:spacing w:after="0"/>
              <w:rPr>
                <w:rFonts w:cs="Arial"/>
              </w:rPr>
            </w:pPr>
            <w:r w:rsidRPr="001C7687">
              <w:rPr>
                <w:rFonts w:cs="Arial"/>
              </w:rPr>
              <w:t>TELL</w:t>
            </w:r>
          </w:p>
          <w:p w14:paraId="2AC5F8EE" w14:textId="77777777" w:rsidR="001C7687" w:rsidRPr="001C7687" w:rsidRDefault="001C7687">
            <w:pPr>
              <w:suppressAutoHyphens/>
              <w:spacing w:after="0"/>
              <w:rPr>
                <w:rFonts w:cs="Arial"/>
              </w:rPr>
            </w:pPr>
            <w:r w:rsidRPr="001C7687">
              <w:rPr>
                <w:rFonts w:cs="Arial"/>
              </w:rPr>
              <w:t>(n=142)</w:t>
            </w:r>
          </w:p>
        </w:tc>
        <w:tc>
          <w:tcPr>
            <w:tcW w:w="1417" w:type="dxa"/>
            <w:vMerge w:val="restart"/>
            <w:tcBorders>
              <w:bottom w:val="single" w:sz="4" w:space="0" w:color="auto"/>
            </w:tcBorders>
          </w:tcPr>
          <w:p w14:paraId="07EB86A6" w14:textId="77777777" w:rsidR="001C7687" w:rsidRPr="001C7687" w:rsidRDefault="001C7687">
            <w:pPr>
              <w:suppressAutoHyphens/>
              <w:spacing w:after="0"/>
              <w:rPr>
                <w:rFonts w:cs="Arial"/>
              </w:rPr>
            </w:pPr>
            <w:r w:rsidRPr="001C7687">
              <w:rPr>
                <w:rFonts w:cs="Arial"/>
              </w:rPr>
              <w:t xml:space="preserve">BAU </w:t>
            </w:r>
          </w:p>
          <w:p w14:paraId="71994D04" w14:textId="77777777" w:rsidR="001C7687" w:rsidRPr="001C7687" w:rsidRDefault="001C7687">
            <w:pPr>
              <w:suppressAutoHyphens/>
              <w:spacing w:after="0"/>
              <w:rPr>
                <w:rFonts w:cs="Arial"/>
              </w:rPr>
            </w:pPr>
            <w:r w:rsidRPr="001C7687">
              <w:rPr>
                <w:rFonts w:cs="Arial"/>
              </w:rPr>
              <w:t>(n=147)</w:t>
            </w:r>
          </w:p>
        </w:tc>
        <w:tc>
          <w:tcPr>
            <w:tcW w:w="1843" w:type="dxa"/>
          </w:tcPr>
          <w:p w14:paraId="212C93EE" w14:textId="77777777" w:rsidR="001C7687" w:rsidRPr="001C7687" w:rsidRDefault="001C7687">
            <w:pPr>
              <w:suppressAutoHyphens/>
              <w:spacing w:after="0"/>
              <w:rPr>
                <w:rFonts w:cs="Arial"/>
              </w:rPr>
            </w:pPr>
            <w:r w:rsidRPr="001C7687">
              <w:rPr>
                <w:rFonts w:cs="Arial"/>
              </w:rPr>
              <w:t>Curriculum-Based Measures (CBM)</w:t>
            </w:r>
          </w:p>
        </w:tc>
        <w:tc>
          <w:tcPr>
            <w:tcW w:w="2268" w:type="dxa"/>
          </w:tcPr>
          <w:p w14:paraId="4633E681" w14:textId="77777777" w:rsidR="001C7687" w:rsidRPr="001C7687" w:rsidRDefault="001C7687">
            <w:pPr>
              <w:suppressAutoHyphens/>
              <w:spacing w:after="0"/>
              <w:rPr>
                <w:rFonts w:cs="Arial"/>
              </w:rPr>
            </w:pPr>
            <w:r w:rsidRPr="001C7687">
              <w:rPr>
                <w:rFonts w:cs="Arial"/>
              </w:rPr>
              <w:t>Baseline; mid-intervention (weekly); post-intervention (6 weeks)</w:t>
            </w:r>
          </w:p>
        </w:tc>
        <w:tc>
          <w:tcPr>
            <w:tcW w:w="5670" w:type="dxa"/>
          </w:tcPr>
          <w:p w14:paraId="501EC2EC" w14:textId="77777777" w:rsidR="001C7687" w:rsidRPr="001C7687" w:rsidRDefault="001C7687">
            <w:pPr>
              <w:suppressAutoHyphens/>
              <w:spacing w:after="0"/>
              <w:rPr>
                <w:rFonts w:eastAsia="Aptos" w:cs="Arial"/>
              </w:rPr>
            </w:pPr>
            <w:r w:rsidRPr="001C7687">
              <w:rPr>
                <w:rFonts w:eastAsia="Aptos" w:cs="Arial"/>
                <w:color w:val="242424"/>
              </w:rPr>
              <w:t>Evidence of improvements in</w:t>
            </w:r>
            <w:r w:rsidRPr="001C7687">
              <w:rPr>
                <w:rFonts w:cs="Arial"/>
              </w:rPr>
              <w:t xml:space="preserve"> expressive and receptive vocabulary,</w:t>
            </w:r>
            <w:r w:rsidRPr="001C7687">
              <w:rPr>
                <w:rFonts w:eastAsia="Aptos" w:cs="Arial"/>
                <w:color w:val="242424"/>
              </w:rPr>
              <w:t xml:space="preserve"> </w:t>
            </w:r>
            <w:r w:rsidRPr="001C7687">
              <w:rPr>
                <w:rFonts w:cs="Arial"/>
              </w:rPr>
              <w:t>oral language and early literacy skills over</w:t>
            </w:r>
            <w:r w:rsidRPr="001C7687">
              <w:rPr>
                <w:rFonts w:eastAsia="Aptos" w:cs="Arial"/>
                <w:color w:val="242424"/>
              </w:rPr>
              <w:t xml:space="preserve"> time for </w:t>
            </w:r>
            <w:r w:rsidRPr="001C7687">
              <w:rPr>
                <w:rFonts w:cs="Arial"/>
              </w:rPr>
              <w:t>the TELL group.</w:t>
            </w:r>
          </w:p>
        </w:tc>
      </w:tr>
      <w:tr w:rsidR="001C7687" w:rsidRPr="001C7687" w14:paraId="1736FA6C"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7E67EF20" w14:textId="77777777" w:rsidR="001C7687" w:rsidRPr="001C7687" w:rsidRDefault="001C7687">
            <w:pPr>
              <w:suppressAutoHyphens/>
              <w:spacing w:after="0"/>
              <w:rPr>
                <w:rFonts w:cs="Arial"/>
              </w:rPr>
            </w:pPr>
          </w:p>
        </w:tc>
        <w:tc>
          <w:tcPr>
            <w:tcW w:w="1276" w:type="dxa"/>
            <w:vMerge/>
          </w:tcPr>
          <w:p w14:paraId="744D8BF1" w14:textId="77777777" w:rsidR="001C7687" w:rsidRPr="001C7687" w:rsidRDefault="001C7687">
            <w:pPr>
              <w:suppressAutoHyphens/>
              <w:spacing w:after="0"/>
              <w:rPr>
                <w:rFonts w:cs="Arial"/>
              </w:rPr>
            </w:pPr>
          </w:p>
        </w:tc>
        <w:tc>
          <w:tcPr>
            <w:tcW w:w="1417" w:type="dxa"/>
            <w:vMerge/>
          </w:tcPr>
          <w:p w14:paraId="5DFE9D5A" w14:textId="77777777" w:rsidR="001C7687" w:rsidRPr="001C7687" w:rsidRDefault="001C7687">
            <w:pPr>
              <w:suppressAutoHyphens/>
              <w:spacing w:after="0"/>
              <w:rPr>
                <w:rFonts w:cs="Arial"/>
              </w:rPr>
            </w:pPr>
          </w:p>
        </w:tc>
        <w:tc>
          <w:tcPr>
            <w:tcW w:w="1843" w:type="dxa"/>
          </w:tcPr>
          <w:p w14:paraId="0BE768D4" w14:textId="77777777" w:rsidR="001C7687" w:rsidRPr="001C7687" w:rsidRDefault="001C7687">
            <w:pPr>
              <w:suppressAutoHyphens/>
              <w:spacing w:after="0"/>
              <w:rPr>
                <w:rFonts w:cs="Arial"/>
              </w:rPr>
            </w:pPr>
            <w:r w:rsidRPr="001C7687">
              <w:rPr>
                <w:rFonts w:cs="Arial"/>
              </w:rPr>
              <w:t>Clinical Evaluation of Language Fundamentals (CELF-P2)</w:t>
            </w:r>
          </w:p>
        </w:tc>
        <w:tc>
          <w:tcPr>
            <w:tcW w:w="2268" w:type="dxa"/>
          </w:tcPr>
          <w:p w14:paraId="47AD4C68" w14:textId="77777777" w:rsidR="001C7687" w:rsidRPr="001C7687" w:rsidRDefault="001C7687">
            <w:pPr>
              <w:suppressAutoHyphens/>
              <w:spacing w:after="0"/>
              <w:rPr>
                <w:rFonts w:cs="Arial"/>
              </w:rPr>
            </w:pPr>
            <w:r w:rsidRPr="001C7687">
              <w:rPr>
                <w:rFonts w:cs="Arial"/>
              </w:rPr>
              <w:t>Baseline; post-intervention</w:t>
            </w:r>
          </w:p>
        </w:tc>
        <w:tc>
          <w:tcPr>
            <w:tcW w:w="5670" w:type="dxa"/>
          </w:tcPr>
          <w:p w14:paraId="5E58FEE2" w14:textId="77777777" w:rsidR="001C7687" w:rsidRPr="001C7687" w:rsidRDefault="001C7687">
            <w:pPr>
              <w:suppressAutoHyphens/>
              <w:spacing w:after="0"/>
              <w:rPr>
                <w:rFonts w:cs="Arial"/>
              </w:rPr>
            </w:pPr>
            <w:r w:rsidRPr="001C7687">
              <w:rPr>
                <w:rFonts w:cs="Arial"/>
              </w:rPr>
              <w:t>No evidence of a difference between groups for oral language comprehension throughout the intervention period.</w:t>
            </w:r>
          </w:p>
        </w:tc>
      </w:tr>
      <w:tr w:rsidR="001C7687" w:rsidRPr="001C7687" w14:paraId="036FA1CB" w14:textId="77777777">
        <w:trPr>
          <w:cnfStyle w:val="000000010000" w:firstRow="0" w:lastRow="0" w:firstColumn="0" w:lastColumn="0" w:oddVBand="0" w:evenVBand="0" w:oddHBand="0" w:evenHBand="1" w:firstRowFirstColumn="0" w:firstRowLastColumn="0" w:lastRowFirstColumn="0" w:lastRowLastColumn="0"/>
          <w:trHeight w:val="340"/>
        </w:trPr>
        <w:tc>
          <w:tcPr>
            <w:tcW w:w="1418" w:type="dxa"/>
            <w:vMerge/>
          </w:tcPr>
          <w:p w14:paraId="3331BE4D" w14:textId="77777777" w:rsidR="001C7687" w:rsidRPr="001C7687" w:rsidRDefault="001C7687">
            <w:pPr>
              <w:suppressAutoHyphens/>
              <w:spacing w:after="0"/>
              <w:rPr>
                <w:rFonts w:cs="Arial"/>
              </w:rPr>
            </w:pPr>
          </w:p>
        </w:tc>
        <w:tc>
          <w:tcPr>
            <w:tcW w:w="1276" w:type="dxa"/>
            <w:vMerge/>
          </w:tcPr>
          <w:p w14:paraId="165E6B3D" w14:textId="77777777" w:rsidR="001C7687" w:rsidRPr="001C7687" w:rsidRDefault="001C7687">
            <w:pPr>
              <w:suppressAutoHyphens/>
              <w:spacing w:after="0"/>
              <w:rPr>
                <w:rFonts w:cs="Arial"/>
              </w:rPr>
            </w:pPr>
          </w:p>
        </w:tc>
        <w:tc>
          <w:tcPr>
            <w:tcW w:w="1417" w:type="dxa"/>
            <w:vMerge/>
          </w:tcPr>
          <w:p w14:paraId="3F44BFC7" w14:textId="77777777" w:rsidR="001C7687" w:rsidRPr="001C7687" w:rsidRDefault="001C7687">
            <w:pPr>
              <w:suppressAutoHyphens/>
              <w:spacing w:after="0"/>
              <w:rPr>
                <w:rFonts w:cs="Arial"/>
              </w:rPr>
            </w:pPr>
          </w:p>
        </w:tc>
        <w:tc>
          <w:tcPr>
            <w:tcW w:w="1843" w:type="dxa"/>
          </w:tcPr>
          <w:p w14:paraId="4B7E0D1C" w14:textId="77777777" w:rsidR="001C7687" w:rsidRPr="001C7687" w:rsidRDefault="001C7687">
            <w:pPr>
              <w:suppressAutoHyphens/>
              <w:spacing w:after="0"/>
              <w:rPr>
                <w:rFonts w:cs="Arial"/>
              </w:rPr>
            </w:pPr>
            <w:r w:rsidRPr="001C7687">
              <w:rPr>
                <w:rFonts w:cs="Arial"/>
              </w:rPr>
              <w:t>Phonological Awareness &amp; Literacy Screening PreK (PALS-K)</w:t>
            </w:r>
          </w:p>
        </w:tc>
        <w:tc>
          <w:tcPr>
            <w:tcW w:w="2268" w:type="dxa"/>
          </w:tcPr>
          <w:p w14:paraId="3DC9C084" w14:textId="77777777" w:rsidR="001C7687" w:rsidRPr="001C7687" w:rsidRDefault="001C7687">
            <w:pPr>
              <w:suppressAutoHyphens/>
              <w:spacing w:after="0"/>
              <w:rPr>
                <w:rFonts w:cs="Arial"/>
              </w:rPr>
            </w:pPr>
            <w:r w:rsidRPr="001C7687">
              <w:rPr>
                <w:rFonts w:cs="Arial"/>
              </w:rPr>
              <w:t>As above</w:t>
            </w:r>
          </w:p>
        </w:tc>
        <w:tc>
          <w:tcPr>
            <w:tcW w:w="5670" w:type="dxa"/>
          </w:tcPr>
          <w:p w14:paraId="7FEB5D85" w14:textId="77777777" w:rsidR="001C7687" w:rsidRPr="001C7687" w:rsidRDefault="001C7687">
            <w:pPr>
              <w:suppressAutoHyphens/>
              <w:spacing w:after="0"/>
              <w:rPr>
                <w:rFonts w:cs="Arial"/>
              </w:rPr>
            </w:pPr>
            <w:r w:rsidRPr="001C7687">
              <w:rPr>
                <w:rFonts w:cs="Arial"/>
              </w:rPr>
              <w:t>No evidence of a difference between groups for phonological awareness throughout the intervention period.</w:t>
            </w:r>
          </w:p>
        </w:tc>
      </w:tr>
      <w:tr w:rsidR="001C7687" w:rsidRPr="001C7687" w14:paraId="1E8F22C6" w14:textId="77777777">
        <w:trPr>
          <w:cnfStyle w:val="000000100000" w:firstRow="0" w:lastRow="0" w:firstColumn="0" w:lastColumn="0" w:oddVBand="0" w:evenVBand="0" w:oddHBand="1" w:evenHBand="0" w:firstRowFirstColumn="0" w:firstRowLastColumn="0" w:lastRowFirstColumn="0" w:lastRowLastColumn="0"/>
          <w:trHeight w:val="340"/>
        </w:trPr>
        <w:tc>
          <w:tcPr>
            <w:tcW w:w="1418" w:type="dxa"/>
            <w:vMerge/>
          </w:tcPr>
          <w:p w14:paraId="6C9EA091" w14:textId="77777777" w:rsidR="001C7687" w:rsidRPr="001C7687" w:rsidRDefault="001C7687">
            <w:pPr>
              <w:suppressAutoHyphens/>
              <w:spacing w:after="0"/>
              <w:rPr>
                <w:rFonts w:cs="Arial"/>
              </w:rPr>
            </w:pPr>
          </w:p>
        </w:tc>
        <w:tc>
          <w:tcPr>
            <w:tcW w:w="1276" w:type="dxa"/>
            <w:vMerge/>
          </w:tcPr>
          <w:p w14:paraId="1C82C0E1" w14:textId="77777777" w:rsidR="001C7687" w:rsidRPr="001C7687" w:rsidRDefault="001C7687">
            <w:pPr>
              <w:suppressAutoHyphens/>
              <w:spacing w:after="0"/>
              <w:rPr>
                <w:rFonts w:cs="Arial"/>
              </w:rPr>
            </w:pPr>
          </w:p>
        </w:tc>
        <w:tc>
          <w:tcPr>
            <w:tcW w:w="1417" w:type="dxa"/>
            <w:vMerge/>
          </w:tcPr>
          <w:p w14:paraId="5F2E4849" w14:textId="77777777" w:rsidR="001C7687" w:rsidRPr="001C7687" w:rsidRDefault="001C7687">
            <w:pPr>
              <w:suppressAutoHyphens/>
              <w:spacing w:after="0"/>
              <w:rPr>
                <w:rFonts w:cs="Arial"/>
              </w:rPr>
            </w:pPr>
          </w:p>
        </w:tc>
        <w:tc>
          <w:tcPr>
            <w:tcW w:w="1843" w:type="dxa"/>
            <w:tcBorders>
              <w:bottom w:val="single" w:sz="4" w:space="0" w:color="auto"/>
            </w:tcBorders>
          </w:tcPr>
          <w:p w14:paraId="0D97FC7A" w14:textId="77777777" w:rsidR="001C7687" w:rsidRPr="001C7687" w:rsidRDefault="001C7687">
            <w:pPr>
              <w:suppressAutoHyphens/>
              <w:spacing w:after="0"/>
              <w:rPr>
                <w:rFonts w:cs="Arial"/>
              </w:rPr>
            </w:pPr>
            <w:r w:rsidRPr="001C7687">
              <w:rPr>
                <w:rFonts w:cs="Arial"/>
              </w:rPr>
              <w:t>Test of Preschool Early Literacy (TOPEL)</w:t>
            </w:r>
          </w:p>
        </w:tc>
        <w:tc>
          <w:tcPr>
            <w:tcW w:w="2268" w:type="dxa"/>
            <w:tcBorders>
              <w:bottom w:val="single" w:sz="4" w:space="0" w:color="auto"/>
            </w:tcBorders>
          </w:tcPr>
          <w:p w14:paraId="1ABD93A3" w14:textId="77777777" w:rsidR="001C7687" w:rsidRPr="001C7687" w:rsidRDefault="001C7687">
            <w:pPr>
              <w:suppressAutoHyphens/>
              <w:spacing w:after="0"/>
              <w:rPr>
                <w:rFonts w:cs="Arial"/>
              </w:rPr>
            </w:pPr>
            <w:r w:rsidRPr="001C7687">
              <w:rPr>
                <w:rFonts w:cs="Arial"/>
              </w:rPr>
              <w:t>As above</w:t>
            </w:r>
          </w:p>
        </w:tc>
        <w:tc>
          <w:tcPr>
            <w:tcW w:w="5670" w:type="dxa"/>
            <w:tcBorders>
              <w:bottom w:val="single" w:sz="4" w:space="0" w:color="auto"/>
            </w:tcBorders>
          </w:tcPr>
          <w:p w14:paraId="75D59A58" w14:textId="77777777" w:rsidR="001C7687" w:rsidRPr="001C7687" w:rsidRDefault="001C7687">
            <w:pPr>
              <w:suppressAutoHyphens/>
              <w:spacing w:after="0"/>
              <w:rPr>
                <w:rFonts w:cs="Arial"/>
              </w:rPr>
            </w:pPr>
            <w:r w:rsidRPr="001C7687">
              <w:rPr>
                <w:rFonts w:cs="Arial"/>
              </w:rPr>
              <w:t>No evidence of a difference between groups for definitional vocabulary and phonological processing throughout the intervention period.</w:t>
            </w:r>
          </w:p>
        </w:tc>
      </w:tr>
    </w:tbl>
    <w:p w14:paraId="4EDFE9FA" w14:textId="77777777" w:rsidR="00BE00D9" w:rsidRDefault="00BE00D9" w:rsidP="00BE00D9">
      <w:pPr>
        <w:spacing w:after="0" w:line="276" w:lineRule="auto"/>
        <w:rPr>
          <w:rFonts w:eastAsia="MS Mincho" w:cs="Arial"/>
          <w:sz w:val="20"/>
          <w:szCs w:val="20"/>
          <w:lang w:val="en-US"/>
        </w:rPr>
      </w:pPr>
      <w:r w:rsidRPr="001B1A8F">
        <w:rPr>
          <w:rFonts w:eastAsia="MS Mincho" w:cs="Arial"/>
          <w:sz w:val="20"/>
          <w:szCs w:val="20"/>
          <w:lang w:val="en-US"/>
        </w:rPr>
        <w:t>Note: N= sample size at baseline for the group reported; cf = compared with; BAU = business as usual; CS = Community Services; SAU = services as usual; ATM = Autism Training Modules; PP = Parent program; PEI = Parent early intervention; PEP = Parent education program; all other acronyms defined in the table row.</w:t>
      </w:r>
    </w:p>
    <w:p w14:paraId="07239A61" w14:textId="77777777" w:rsidR="001B1A8F" w:rsidRDefault="001B1A8F" w:rsidP="00BE00D9">
      <w:pPr>
        <w:spacing w:after="0" w:line="276" w:lineRule="auto"/>
        <w:rPr>
          <w:rFonts w:eastAsia="MS Mincho" w:cs="Arial"/>
          <w:bCs/>
          <w:sz w:val="20"/>
          <w:szCs w:val="20"/>
          <w:lang w:val="en-US"/>
        </w:rPr>
      </w:pPr>
    </w:p>
    <w:p w14:paraId="70489C52" w14:textId="47C56B7D" w:rsidR="000E2DE9" w:rsidRPr="00E435A5" w:rsidRDefault="00E435A5" w:rsidP="00E435A5">
      <w:pPr>
        <w:pStyle w:val="Caption"/>
        <w:keepNext/>
      </w:pPr>
      <w:bookmarkStart w:id="105" w:name="_Toc177725010"/>
      <w:bookmarkStart w:id="106" w:name="_Toc177727330"/>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12</w:t>
      </w:r>
      <w:r w:rsidR="00627239" w:rsidRPr="00B5106F">
        <w:rPr>
          <w:b/>
          <w:bCs/>
          <w:noProof/>
        </w:rPr>
        <w:fldChar w:fldCharType="end"/>
      </w:r>
      <w:r w:rsidRPr="00B5106F">
        <w:rPr>
          <w:b/>
          <w:bCs/>
        </w:rPr>
        <w:t>.</w:t>
      </w:r>
      <w:r w:rsidRPr="00601761">
        <w:t xml:space="preserve"> Participation and quality of life outcomes for children</w:t>
      </w:r>
      <w:bookmarkEnd w:id="105"/>
      <w:bookmarkEnd w:id="106"/>
    </w:p>
    <w:tbl>
      <w:tblPr>
        <w:tblStyle w:val="UniofMelTable342"/>
        <w:tblpPr w:leftFromText="180" w:rightFromText="180" w:vertAnchor="text" w:tblpY="1"/>
        <w:tblOverlap w:val="never"/>
        <w:tblW w:w="5000" w:type="pct"/>
        <w:tblLook w:val="04A0" w:firstRow="1" w:lastRow="0" w:firstColumn="1" w:lastColumn="0" w:noHBand="0" w:noVBand="1"/>
      </w:tblPr>
      <w:tblGrid>
        <w:gridCol w:w="1349"/>
        <w:gridCol w:w="1361"/>
        <w:gridCol w:w="1702"/>
        <w:gridCol w:w="1658"/>
        <w:gridCol w:w="1854"/>
        <w:gridCol w:w="6034"/>
      </w:tblGrid>
      <w:tr w:rsidR="00FE5D2A" w:rsidRPr="008B4B2D" w14:paraId="22C7A9ED" w14:textId="77777777" w:rsidTr="00D1578A">
        <w:trPr>
          <w:cnfStyle w:val="100000000000" w:firstRow="1" w:lastRow="0" w:firstColumn="0" w:lastColumn="0" w:oddVBand="0" w:evenVBand="0" w:oddHBand="0" w:evenHBand="0" w:firstRowFirstColumn="0" w:firstRowLastColumn="0" w:lastRowFirstColumn="0" w:lastRowLastColumn="0"/>
          <w:trHeight w:val="340"/>
        </w:trPr>
        <w:tc>
          <w:tcPr>
            <w:tcW w:w="1353" w:type="dxa"/>
            <w:shd w:val="clear" w:color="auto" w:fill="082A75"/>
          </w:tcPr>
          <w:p w14:paraId="69513B9C" w14:textId="77777777" w:rsidR="00FE5D2A" w:rsidRPr="00D1578A" w:rsidRDefault="00FE5D2A">
            <w:pPr>
              <w:suppressAutoHyphens/>
              <w:spacing w:before="40" w:after="40" w:line="200" w:lineRule="atLeast"/>
              <w:rPr>
                <w:rFonts w:cs="Arial"/>
                <w:b/>
                <w:color w:val="FFFFFF"/>
              </w:rPr>
            </w:pPr>
            <w:r w:rsidRPr="00D1578A">
              <w:rPr>
                <w:rFonts w:cs="Arial"/>
                <w:b/>
                <w:color w:val="FFFFFF"/>
              </w:rPr>
              <w:t xml:space="preserve">Author Year </w:t>
            </w:r>
          </w:p>
        </w:tc>
        <w:tc>
          <w:tcPr>
            <w:tcW w:w="1273" w:type="dxa"/>
            <w:shd w:val="clear" w:color="auto" w:fill="082A75"/>
          </w:tcPr>
          <w:p w14:paraId="6C68B6C5" w14:textId="77777777" w:rsidR="00FE5D2A" w:rsidRPr="00D1578A" w:rsidRDefault="00FE5D2A">
            <w:pPr>
              <w:suppressAutoHyphens/>
              <w:spacing w:before="40" w:after="40" w:line="200" w:lineRule="atLeast"/>
              <w:rPr>
                <w:rFonts w:cs="Arial"/>
                <w:b/>
              </w:rPr>
            </w:pPr>
            <w:r w:rsidRPr="00D1578A">
              <w:rPr>
                <w:rFonts w:cs="Arial"/>
                <w:b/>
              </w:rPr>
              <w:t xml:space="preserve">Intervention in focus  </w:t>
            </w:r>
          </w:p>
        </w:tc>
        <w:tc>
          <w:tcPr>
            <w:tcW w:w="1705" w:type="dxa"/>
            <w:shd w:val="clear" w:color="auto" w:fill="082A75"/>
          </w:tcPr>
          <w:p w14:paraId="0838A160" w14:textId="77777777" w:rsidR="00FE5D2A" w:rsidRPr="00D1578A" w:rsidRDefault="00FE5D2A">
            <w:pPr>
              <w:suppressAutoHyphens/>
              <w:spacing w:before="40" w:after="40" w:line="200" w:lineRule="atLeast"/>
              <w:rPr>
                <w:rFonts w:cs="Arial"/>
                <w:b/>
              </w:rPr>
            </w:pPr>
            <w:r w:rsidRPr="00D1578A">
              <w:rPr>
                <w:rFonts w:cs="Arial"/>
                <w:b/>
              </w:rPr>
              <w:t xml:space="preserve">Comparison </w:t>
            </w:r>
          </w:p>
        </w:tc>
        <w:tc>
          <w:tcPr>
            <w:tcW w:w="1661" w:type="dxa"/>
            <w:shd w:val="clear" w:color="auto" w:fill="082A75"/>
          </w:tcPr>
          <w:p w14:paraId="7F939273" w14:textId="77777777" w:rsidR="00FE5D2A" w:rsidRPr="00D1578A" w:rsidRDefault="00FE5D2A">
            <w:pPr>
              <w:suppressAutoHyphens/>
              <w:spacing w:before="40" w:after="40" w:line="200" w:lineRule="atLeast"/>
              <w:rPr>
                <w:rFonts w:cs="Arial"/>
                <w:b/>
              </w:rPr>
            </w:pPr>
            <w:r w:rsidRPr="00D1578A">
              <w:rPr>
                <w:rFonts w:cs="Arial"/>
                <w:b/>
              </w:rPr>
              <w:t xml:space="preserve">Measure </w:t>
            </w:r>
          </w:p>
        </w:tc>
        <w:tc>
          <w:tcPr>
            <w:tcW w:w="1863" w:type="dxa"/>
            <w:shd w:val="clear" w:color="auto" w:fill="082A75"/>
          </w:tcPr>
          <w:p w14:paraId="5B6636EB" w14:textId="77777777" w:rsidR="00FE5D2A" w:rsidRPr="00D1578A" w:rsidRDefault="00FE5D2A">
            <w:pPr>
              <w:suppressAutoHyphens/>
              <w:spacing w:before="40" w:after="40" w:line="200" w:lineRule="atLeast"/>
              <w:rPr>
                <w:rFonts w:cs="Arial"/>
                <w:b/>
              </w:rPr>
            </w:pPr>
            <w:r w:rsidRPr="00D1578A">
              <w:rPr>
                <w:rFonts w:cs="Arial"/>
                <w:b/>
              </w:rPr>
              <w:t>Timepoints</w:t>
            </w:r>
          </w:p>
        </w:tc>
        <w:tc>
          <w:tcPr>
            <w:tcW w:w="6103" w:type="dxa"/>
            <w:shd w:val="clear" w:color="auto" w:fill="082A75"/>
          </w:tcPr>
          <w:p w14:paraId="7B55B9D9" w14:textId="77777777" w:rsidR="00FE5D2A" w:rsidRPr="00D1578A" w:rsidRDefault="00FE5D2A">
            <w:pPr>
              <w:suppressAutoHyphens/>
              <w:spacing w:before="40" w:after="40" w:line="200" w:lineRule="atLeast"/>
              <w:rPr>
                <w:rFonts w:cs="Arial"/>
                <w:b/>
              </w:rPr>
            </w:pPr>
            <w:r w:rsidRPr="00D1578A">
              <w:rPr>
                <w:rFonts w:cs="Arial"/>
                <w:b/>
              </w:rPr>
              <w:t xml:space="preserve">Summary </w:t>
            </w:r>
          </w:p>
        </w:tc>
      </w:tr>
      <w:tr w:rsidR="00FE5D2A" w:rsidRPr="008B4B2D" w14:paraId="75925472" w14:textId="77777777" w:rsidTr="00D1578A">
        <w:trPr>
          <w:cnfStyle w:val="000000100000" w:firstRow="0" w:lastRow="0" w:firstColumn="0" w:lastColumn="0" w:oddVBand="0" w:evenVBand="0" w:oddHBand="1" w:evenHBand="0" w:firstRowFirstColumn="0" w:firstRowLastColumn="0" w:lastRowFirstColumn="0" w:lastRowLastColumn="0"/>
          <w:trHeight w:val="340"/>
        </w:trPr>
        <w:tc>
          <w:tcPr>
            <w:tcW w:w="13958" w:type="dxa"/>
            <w:gridSpan w:val="6"/>
            <w:shd w:val="clear" w:color="auto" w:fill="96ADB8"/>
            <w:vAlign w:val="bottom"/>
          </w:tcPr>
          <w:p w14:paraId="60CEB8BF" w14:textId="77777777" w:rsidR="00FE5D2A" w:rsidRPr="00D1578A" w:rsidRDefault="00FE5D2A">
            <w:pPr>
              <w:suppressAutoHyphens/>
              <w:spacing w:before="40" w:after="40" w:line="200" w:lineRule="atLeast"/>
              <w:rPr>
                <w:rFonts w:cs="Arial"/>
                <w:b/>
              </w:rPr>
            </w:pPr>
            <w:r w:rsidRPr="00D1578A">
              <w:rPr>
                <w:rFonts w:cs="Arial"/>
                <w:b/>
              </w:rPr>
              <w:t xml:space="preserve">PARTICIPATION OUTCOMES </w:t>
            </w:r>
          </w:p>
        </w:tc>
      </w:tr>
      <w:tr w:rsidR="00FE5D2A" w:rsidRPr="008B4B2D" w14:paraId="6DC7EEC9" w14:textId="77777777" w:rsidTr="00D1578A">
        <w:trPr>
          <w:cnfStyle w:val="000000010000" w:firstRow="0" w:lastRow="0" w:firstColumn="0" w:lastColumn="0" w:oddVBand="0" w:evenVBand="0" w:oddHBand="0" w:evenHBand="1" w:firstRowFirstColumn="0" w:firstRowLastColumn="0" w:lastRowFirstColumn="0" w:lastRowLastColumn="0"/>
          <w:trHeight w:val="340"/>
        </w:trPr>
        <w:tc>
          <w:tcPr>
            <w:tcW w:w="13958" w:type="dxa"/>
            <w:gridSpan w:val="6"/>
            <w:shd w:val="clear" w:color="auto" w:fill="DAE2E6"/>
            <w:vAlign w:val="bottom"/>
          </w:tcPr>
          <w:p w14:paraId="09BE8A2F" w14:textId="77777777" w:rsidR="00FE5D2A" w:rsidRPr="00D1578A" w:rsidRDefault="00FE5D2A">
            <w:pPr>
              <w:suppressAutoHyphens/>
              <w:spacing w:before="40" w:after="40" w:line="200" w:lineRule="atLeast"/>
              <w:rPr>
                <w:rFonts w:cs="Arial"/>
                <w:b/>
              </w:rPr>
            </w:pPr>
            <w:r w:rsidRPr="00D1578A">
              <w:rPr>
                <w:rFonts w:cs="Arial"/>
                <w:b/>
              </w:rPr>
              <w:t>Early Achievements for Child Care Providers (EA-CP) – book sharing approach</w:t>
            </w:r>
          </w:p>
        </w:tc>
      </w:tr>
      <w:tr w:rsidR="00FE5D2A" w:rsidRPr="008B4B2D" w14:paraId="781CA060" w14:textId="77777777" w:rsidTr="00D1578A">
        <w:trPr>
          <w:cnfStyle w:val="000000100000" w:firstRow="0" w:lastRow="0" w:firstColumn="0" w:lastColumn="0" w:oddVBand="0" w:evenVBand="0" w:oddHBand="1" w:evenHBand="0" w:firstRowFirstColumn="0" w:firstRowLastColumn="0" w:lastRowFirstColumn="0" w:lastRowLastColumn="0"/>
          <w:trHeight w:val="340"/>
        </w:trPr>
        <w:tc>
          <w:tcPr>
            <w:tcW w:w="1353" w:type="dxa"/>
          </w:tcPr>
          <w:p w14:paraId="2A207A53" w14:textId="77777777" w:rsidR="00FE5D2A" w:rsidRPr="00D1578A" w:rsidRDefault="00FE5D2A">
            <w:pPr>
              <w:suppressAutoHyphens/>
              <w:spacing w:before="40" w:after="40" w:line="200" w:lineRule="atLeast"/>
              <w:rPr>
                <w:rFonts w:cs="Arial"/>
                <w:b/>
              </w:rPr>
            </w:pPr>
            <w:r w:rsidRPr="00D1578A">
              <w:rPr>
                <w:rFonts w:cs="Arial"/>
                <w:b/>
              </w:rPr>
              <w:t xml:space="preserve">Landa </w:t>
            </w:r>
          </w:p>
          <w:p w14:paraId="3B018BCF" w14:textId="77777777" w:rsidR="00FE5D2A" w:rsidRPr="00D1578A" w:rsidRDefault="00FE5D2A">
            <w:pPr>
              <w:suppressAutoHyphens/>
              <w:spacing w:before="40" w:after="40" w:line="200" w:lineRule="atLeast"/>
              <w:rPr>
                <w:rFonts w:cs="Arial"/>
              </w:rPr>
            </w:pPr>
            <w:r w:rsidRPr="00D1578A">
              <w:rPr>
                <w:rFonts w:cs="Arial"/>
                <w:b/>
              </w:rPr>
              <w:t>2024</w:t>
            </w:r>
          </w:p>
        </w:tc>
        <w:tc>
          <w:tcPr>
            <w:tcW w:w="1273" w:type="dxa"/>
          </w:tcPr>
          <w:p w14:paraId="455D4CE1" w14:textId="77777777" w:rsidR="00FE5D2A" w:rsidRPr="00D1578A" w:rsidRDefault="00FE5D2A">
            <w:pPr>
              <w:suppressAutoHyphens/>
              <w:spacing w:before="40" w:after="40" w:line="200" w:lineRule="atLeast"/>
              <w:rPr>
                <w:rFonts w:cs="Arial"/>
              </w:rPr>
            </w:pPr>
            <w:r w:rsidRPr="00D1578A">
              <w:rPr>
                <w:rFonts w:cs="Arial"/>
              </w:rPr>
              <w:t xml:space="preserve">EA-CP </w:t>
            </w:r>
          </w:p>
          <w:p w14:paraId="275B34EC" w14:textId="77777777" w:rsidR="00FE5D2A" w:rsidRPr="00D1578A" w:rsidRDefault="00FE5D2A">
            <w:pPr>
              <w:suppressAutoHyphens/>
              <w:spacing w:before="40" w:after="40" w:line="200" w:lineRule="atLeast"/>
              <w:rPr>
                <w:rFonts w:cs="Arial"/>
              </w:rPr>
            </w:pPr>
            <w:r w:rsidRPr="00D1578A">
              <w:rPr>
                <w:rFonts w:cs="Arial"/>
              </w:rPr>
              <w:t>(n=55)</w:t>
            </w:r>
          </w:p>
        </w:tc>
        <w:tc>
          <w:tcPr>
            <w:tcW w:w="1705" w:type="dxa"/>
          </w:tcPr>
          <w:p w14:paraId="710A0BC3" w14:textId="77777777" w:rsidR="00FE5D2A" w:rsidRPr="00D1578A" w:rsidRDefault="00FE5D2A">
            <w:pPr>
              <w:suppressAutoHyphens/>
              <w:spacing w:before="40" w:after="40" w:line="200" w:lineRule="atLeast"/>
              <w:rPr>
                <w:rFonts w:cs="Arial"/>
              </w:rPr>
            </w:pPr>
            <w:r w:rsidRPr="00D1578A">
              <w:rPr>
                <w:rFonts w:cs="Arial"/>
              </w:rPr>
              <w:t xml:space="preserve">BAU </w:t>
            </w:r>
          </w:p>
          <w:p w14:paraId="2972235D" w14:textId="77777777" w:rsidR="00FE5D2A" w:rsidRPr="00D1578A" w:rsidRDefault="00FE5D2A">
            <w:pPr>
              <w:suppressAutoHyphens/>
              <w:spacing w:before="40" w:after="40" w:line="200" w:lineRule="atLeast"/>
              <w:rPr>
                <w:rFonts w:cs="Arial"/>
              </w:rPr>
            </w:pPr>
            <w:r w:rsidRPr="00D1578A">
              <w:rPr>
                <w:rFonts w:cs="Arial"/>
              </w:rPr>
              <w:t>(n=60)</w:t>
            </w:r>
          </w:p>
        </w:tc>
        <w:tc>
          <w:tcPr>
            <w:tcW w:w="1661" w:type="dxa"/>
          </w:tcPr>
          <w:p w14:paraId="1AC37370" w14:textId="77777777" w:rsidR="00FE5D2A" w:rsidRPr="00D1578A" w:rsidRDefault="00FE5D2A">
            <w:pPr>
              <w:suppressAutoHyphens/>
              <w:spacing w:before="40" w:after="40" w:line="200" w:lineRule="atLeast"/>
              <w:rPr>
                <w:rFonts w:cs="Arial"/>
              </w:rPr>
            </w:pPr>
            <w:r w:rsidRPr="00D1578A">
              <w:rPr>
                <w:rFonts w:cs="Arial"/>
              </w:rPr>
              <w:t xml:space="preserve">Engagement and enjoyment of book reading and use of words </w:t>
            </w:r>
          </w:p>
        </w:tc>
        <w:tc>
          <w:tcPr>
            <w:tcW w:w="1863" w:type="dxa"/>
          </w:tcPr>
          <w:p w14:paraId="5730628F" w14:textId="77777777" w:rsidR="00FE5D2A" w:rsidRPr="00D1578A" w:rsidRDefault="00FE5D2A">
            <w:pPr>
              <w:suppressAutoHyphens/>
              <w:spacing w:before="40" w:after="40" w:line="200" w:lineRule="atLeast"/>
              <w:rPr>
                <w:rFonts w:cs="Arial"/>
              </w:rPr>
            </w:pPr>
            <w:r w:rsidRPr="00D1578A">
              <w:rPr>
                <w:rFonts w:cs="Arial"/>
              </w:rPr>
              <w:t xml:space="preserve">Baseline; </w:t>
            </w:r>
          </w:p>
          <w:p w14:paraId="7641DDBD" w14:textId="77777777" w:rsidR="00FE5D2A" w:rsidRPr="00D1578A" w:rsidRDefault="00FE5D2A">
            <w:pPr>
              <w:suppressAutoHyphens/>
              <w:spacing w:before="40" w:after="40" w:line="200" w:lineRule="atLeast"/>
              <w:rPr>
                <w:rFonts w:cs="Arial"/>
              </w:rPr>
            </w:pPr>
            <w:r w:rsidRPr="00D1578A">
              <w:rPr>
                <w:rFonts w:cs="Arial"/>
              </w:rPr>
              <w:t>Post-intervention</w:t>
            </w:r>
          </w:p>
        </w:tc>
        <w:tc>
          <w:tcPr>
            <w:tcW w:w="6103" w:type="dxa"/>
          </w:tcPr>
          <w:p w14:paraId="57E49B0A" w14:textId="77777777" w:rsidR="00FE5D2A" w:rsidRPr="00D1578A" w:rsidRDefault="00FE5D2A">
            <w:pPr>
              <w:suppressAutoHyphens/>
              <w:spacing w:before="40" w:after="40" w:line="200" w:lineRule="atLeast"/>
              <w:rPr>
                <w:rFonts w:cs="Arial"/>
              </w:rPr>
            </w:pPr>
            <w:r w:rsidRPr="00D1578A">
              <w:rPr>
                <w:rFonts w:cs="Arial"/>
              </w:rPr>
              <w:t xml:space="preserve">No evidence of a difference between groups for enjoyment and engagement during book sharing throughout the intervention period, when children with and without delay were analysed together either as same group or as two separate groups. </w:t>
            </w:r>
          </w:p>
        </w:tc>
      </w:tr>
      <w:tr w:rsidR="00FE5D2A" w:rsidRPr="008B4B2D" w14:paraId="56487CAF" w14:textId="77777777" w:rsidTr="00D1578A">
        <w:trPr>
          <w:cnfStyle w:val="000000010000" w:firstRow="0" w:lastRow="0" w:firstColumn="0" w:lastColumn="0" w:oddVBand="0" w:evenVBand="0" w:oddHBand="0" w:evenHBand="1" w:firstRowFirstColumn="0" w:firstRowLastColumn="0" w:lastRowFirstColumn="0" w:lastRowLastColumn="0"/>
          <w:trHeight w:val="340"/>
        </w:trPr>
        <w:tc>
          <w:tcPr>
            <w:tcW w:w="13958" w:type="dxa"/>
            <w:gridSpan w:val="6"/>
            <w:shd w:val="clear" w:color="auto" w:fill="DAE2E6"/>
          </w:tcPr>
          <w:p w14:paraId="7D418998" w14:textId="77777777" w:rsidR="00FE5D2A" w:rsidRPr="00D1578A" w:rsidRDefault="00FE5D2A">
            <w:pPr>
              <w:suppressAutoHyphens/>
              <w:spacing w:before="40" w:after="40" w:line="200" w:lineRule="atLeast"/>
              <w:rPr>
                <w:rFonts w:cs="Arial"/>
              </w:rPr>
            </w:pPr>
            <w:r w:rsidRPr="00D1578A">
              <w:rPr>
                <w:rFonts w:cs="Arial"/>
                <w:b/>
              </w:rPr>
              <w:t>Joint Attention, Symbolic Play, Engagement, and Regulation (JASPER)</w:t>
            </w:r>
          </w:p>
        </w:tc>
      </w:tr>
      <w:tr w:rsidR="00FE5D2A" w:rsidRPr="008B4B2D" w14:paraId="3F22EE5F" w14:textId="77777777" w:rsidTr="00D1578A">
        <w:trPr>
          <w:cnfStyle w:val="000000100000" w:firstRow="0" w:lastRow="0" w:firstColumn="0" w:lastColumn="0" w:oddVBand="0" w:evenVBand="0" w:oddHBand="1" w:evenHBand="0" w:firstRowFirstColumn="0" w:firstRowLastColumn="0" w:lastRowFirstColumn="0" w:lastRowLastColumn="0"/>
          <w:trHeight w:val="340"/>
        </w:trPr>
        <w:tc>
          <w:tcPr>
            <w:tcW w:w="1353" w:type="dxa"/>
          </w:tcPr>
          <w:p w14:paraId="35E43824" w14:textId="77777777" w:rsidR="00FE5D2A" w:rsidRPr="00D1578A" w:rsidRDefault="00FE5D2A">
            <w:pPr>
              <w:suppressAutoHyphens/>
              <w:spacing w:before="40" w:after="40" w:line="200" w:lineRule="atLeast"/>
              <w:rPr>
                <w:rFonts w:cs="Arial"/>
                <w:b/>
              </w:rPr>
            </w:pPr>
            <w:r w:rsidRPr="00D1578A">
              <w:rPr>
                <w:rFonts w:cs="Arial"/>
                <w:b/>
              </w:rPr>
              <w:t xml:space="preserve">Gulsrud </w:t>
            </w:r>
          </w:p>
          <w:p w14:paraId="0F4A8C81" w14:textId="77777777" w:rsidR="00FE5D2A" w:rsidRPr="00D1578A" w:rsidRDefault="00FE5D2A">
            <w:pPr>
              <w:suppressAutoHyphens/>
              <w:spacing w:before="40" w:after="40" w:line="200" w:lineRule="atLeast"/>
              <w:rPr>
                <w:rFonts w:cs="Arial"/>
              </w:rPr>
            </w:pPr>
            <w:r w:rsidRPr="00D1578A">
              <w:rPr>
                <w:rFonts w:cs="Arial"/>
                <w:b/>
              </w:rPr>
              <w:t>2024</w:t>
            </w:r>
          </w:p>
        </w:tc>
        <w:tc>
          <w:tcPr>
            <w:tcW w:w="1273" w:type="dxa"/>
          </w:tcPr>
          <w:p w14:paraId="39FCF905" w14:textId="77777777" w:rsidR="00FE5D2A" w:rsidRPr="00D1578A" w:rsidRDefault="00FE5D2A">
            <w:pPr>
              <w:suppressAutoHyphens/>
              <w:spacing w:before="40" w:after="40" w:line="200" w:lineRule="atLeast"/>
              <w:rPr>
                <w:rFonts w:cs="Arial"/>
              </w:rPr>
            </w:pPr>
            <w:r w:rsidRPr="00D1578A">
              <w:rPr>
                <w:rFonts w:cs="Arial"/>
              </w:rPr>
              <w:t>JASPER (n=40)</w:t>
            </w:r>
          </w:p>
        </w:tc>
        <w:tc>
          <w:tcPr>
            <w:tcW w:w="1705" w:type="dxa"/>
          </w:tcPr>
          <w:p w14:paraId="38EA0B96" w14:textId="77777777" w:rsidR="00FE5D2A" w:rsidRPr="00D1578A" w:rsidRDefault="00FE5D2A">
            <w:pPr>
              <w:suppressAutoHyphens/>
              <w:spacing w:before="40" w:after="40" w:line="200" w:lineRule="atLeast"/>
              <w:rPr>
                <w:rFonts w:cs="Arial"/>
              </w:rPr>
            </w:pPr>
            <w:r w:rsidRPr="00D1578A">
              <w:rPr>
                <w:rFonts w:cs="Arial"/>
              </w:rPr>
              <w:t xml:space="preserve">PP </w:t>
            </w:r>
          </w:p>
          <w:p w14:paraId="05CB3A02" w14:textId="77777777" w:rsidR="00FE5D2A" w:rsidRPr="00D1578A" w:rsidRDefault="00FE5D2A">
            <w:pPr>
              <w:suppressAutoHyphens/>
              <w:spacing w:before="40" w:after="40" w:line="200" w:lineRule="atLeast"/>
              <w:rPr>
                <w:rFonts w:cs="Arial"/>
              </w:rPr>
            </w:pPr>
            <w:r w:rsidRPr="00D1578A">
              <w:rPr>
                <w:rFonts w:cs="Arial"/>
              </w:rPr>
              <w:t>(n=40)</w:t>
            </w:r>
          </w:p>
        </w:tc>
        <w:tc>
          <w:tcPr>
            <w:tcW w:w="1661" w:type="dxa"/>
          </w:tcPr>
          <w:p w14:paraId="607D2143" w14:textId="77777777" w:rsidR="00FE5D2A" w:rsidRPr="00D1578A" w:rsidRDefault="00FE5D2A">
            <w:pPr>
              <w:suppressAutoHyphens/>
              <w:spacing w:before="40" w:after="40" w:line="200" w:lineRule="atLeast"/>
              <w:rPr>
                <w:rFonts w:cs="Arial"/>
              </w:rPr>
            </w:pPr>
            <w:r w:rsidRPr="00D1578A">
              <w:rPr>
                <w:rFonts w:cs="Arial"/>
              </w:rPr>
              <w:t>Structured Play Assessment (SPA)</w:t>
            </w:r>
          </w:p>
        </w:tc>
        <w:tc>
          <w:tcPr>
            <w:tcW w:w="1863" w:type="dxa"/>
          </w:tcPr>
          <w:p w14:paraId="3B71EC92" w14:textId="77777777" w:rsidR="00FE5D2A" w:rsidRPr="00D1578A" w:rsidRDefault="00FE5D2A">
            <w:pPr>
              <w:suppressAutoHyphens/>
              <w:spacing w:before="40" w:after="40" w:line="200" w:lineRule="atLeast"/>
              <w:rPr>
                <w:rFonts w:cs="Arial"/>
              </w:rPr>
            </w:pPr>
            <w:r w:rsidRPr="00D1578A">
              <w:rPr>
                <w:rFonts w:cs="Arial"/>
              </w:rPr>
              <w:t xml:space="preserve">Baseline; </w:t>
            </w:r>
          </w:p>
          <w:p w14:paraId="1C8D5FBA" w14:textId="77777777" w:rsidR="00FE5D2A" w:rsidRPr="00D1578A" w:rsidRDefault="00FE5D2A">
            <w:pPr>
              <w:suppressAutoHyphens/>
              <w:spacing w:before="40" w:after="40" w:line="200" w:lineRule="atLeast"/>
              <w:rPr>
                <w:rFonts w:cs="Arial"/>
              </w:rPr>
            </w:pPr>
            <w:r w:rsidRPr="00D1578A">
              <w:rPr>
                <w:rFonts w:cs="Arial"/>
              </w:rPr>
              <w:t xml:space="preserve">Post-intervention (8 weeks); </w:t>
            </w:r>
          </w:p>
          <w:p w14:paraId="769E2F5E" w14:textId="77777777" w:rsidR="00FE5D2A" w:rsidRPr="00D1578A" w:rsidRDefault="00FE5D2A">
            <w:pPr>
              <w:suppressAutoHyphens/>
              <w:spacing w:before="40" w:after="40" w:line="200" w:lineRule="atLeast"/>
              <w:rPr>
                <w:rFonts w:cs="Arial"/>
              </w:rPr>
            </w:pPr>
            <w:r w:rsidRPr="00D1578A">
              <w:rPr>
                <w:rFonts w:cs="Arial"/>
              </w:rPr>
              <w:t>Follow up (2 months)</w:t>
            </w:r>
          </w:p>
        </w:tc>
        <w:tc>
          <w:tcPr>
            <w:tcW w:w="6103" w:type="dxa"/>
          </w:tcPr>
          <w:p w14:paraId="2D8C3052" w14:textId="77777777" w:rsidR="00FE5D2A" w:rsidRPr="00D1578A" w:rsidRDefault="00FE5D2A">
            <w:pPr>
              <w:suppressAutoHyphens/>
              <w:spacing w:before="40" w:after="40" w:line="200" w:lineRule="atLeast"/>
              <w:rPr>
                <w:rFonts w:cs="Arial"/>
              </w:rPr>
            </w:pPr>
            <w:r w:rsidRPr="00D1578A">
              <w:rPr>
                <w:rFonts w:cs="Arial"/>
              </w:rPr>
              <w:t>Both groups improved in the highest level of play observed and in total play diversity, with no differences between groups.</w:t>
            </w:r>
          </w:p>
          <w:p w14:paraId="76268756" w14:textId="77777777" w:rsidR="00FE5D2A" w:rsidRPr="00D1578A" w:rsidRDefault="00FE5D2A">
            <w:pPr>
              <w:suppressAutoHyphens/>
              <w:spacing w:before="40" w:after="40" w:line="200" w:lineRule="atLeast"/>
              <w:rPr>
                <w:rFonts w:cs="Arial"/>
              </w:rPr>
            </w:pPr>
          </w:p>
        </w:tc>
      </w:tr>
      <w:tr w:rsidR="00FE5D2A" w:rsidRPr="008B4B2D" w14:paraId="6513847D" w14:textId="77777777" w:rsidTr="00D1578A">
        <w:trPr>
          <w:cnfStyle w:val="000000010000" w:firstRow="0" w:lastRow="0" w:firstColumn="0" w:lastColumn="0" w:oddVBand="0" w:evenVBand="0" w:oddHBand="0" w:evenHBand="1" w:firstRowFirstColumn="0" w:firstRowLastColumn="0" w:lastRowFirstColumn="0" w:lastRowLastColumn="0"/>
          <w:trHeight w:val="340"/>
        </w:trPr>
        <w:tc>
          <w:tcPr>
            <w:tcW w:w="13958" w:type="dxa"/>
            <w:gridSpan w:val="6"/>
            <w:shd w:val="clear" w:color="auto" w:fill="DAE2E6"/>
          </w:tcPr>
          <w:p w14:paraId="3A1F7D37" w14:textId="77777777" w:rsidR="00FE5D2A" w:rsidRPr="00D1578A" w:rsidRDefault="00FE5D2A">
            <w:pPr>
              <w:suppressAutoHyphens/>
              <w:spacing w:before="40" w:after="40" w:line="200" w:lineRule="atLeast"/>
              <w:rPr>
                <w:rFonts w:cs="Arial"/>
                <w:b/>
              </w:rPr>
            </w:pPr>
            <w:r w:rsidRPr="00D1578A">
              <w:rPr>
                <w:rFonts w:cs="Arial"/>
                <w:b/>
              </w:rPr>
              <w:t>Social Communication, Emotional Regulation, and Transactional Support (SCERTS)</w:t>
            </w:r>
          </w:p>
        </w:tc>
      </w:tr>
      <w:tr w:rsidR="00FE5D2A" w:rsidRPr="008B4B2D" w14:paraId="03933C6B" w14:textId="77777777" w:rsidTr="00D1578A">
        <w:trPr>
          <w:cnfStyle w:val="000000100000" w:firstRow="0" w:lastRow="0" w:firstColumn="0" w:lastColumn="0" w:oddVBand="0" w:evenVBand="0" w:oddHBand="1" w:evenHBand="0" w:firstRowFirstColumn="0" w:firstRowLastColumn="0" w:lastRowFirstColumn="0" w:lastRowLastColumn="0"/>
          <w:trHeight w:val="340"/>
        </w:trPr>
        <w:tc>
          <w:tcPr>
            <w:tcW w:w="1353" w:type="dxa"/>
          </w:tcPr>
          <w:p w14:paraId="38CEA3A0" w14:textId="77777777" w:rsidR="00FE5D2A" w:rsidRPr="00D1578A" w:rsidRDefault="00FE5D2A">
            <w:pPr>
              <w:suppressAutoHyphens/>
              <w:spacing w:before="40" w:after="40" w:line="200" w:lineRule="atLeast"/>
              <w:rPr>
                <w:rFonts w:cs="Arial"/>
                <w:b/>
              </w:rPr>
            </w:pPr>
            <w:r w:rsidRPr="00D1578A">
              <w:rPr>
                <w:rFonts w:cs="Arial"/>
                <w:b/>
              </w:rPr>
              <w:t xml:space="preserve">Morgan </w:t>
            </w:r>
          </w:p>
          <w:p w14:paraId="6A680066" w14:textId="77777777" w:rsidR="00FE5D2A" w:rsidRPr="00D1578A" w:rsidRDefault="00FE5D2A">
            <w:pPr>
              <w:suppressAutoHyphens/>
              <w:spacing w:before="40" w:after="40" w:line="200" w:lineRule="atLeast"/>
              <w:rPr>
                <w:rFonts w:cs="Arial"/>
              </w:rPr>
            </w:pPr>
            <w:r w:rsidRPr="00D1578A">
              <w:rPr>
                <w:rFonts w:cs="Arial"/>
                <w:b/>
              </w:rPr>
              <w:t>2018</w:t>
            </w:r>
          </w:p>
        </w:tc>
        <w:tc>
          <w:tcPr>
            <w:tcW w:w="1273" w:type="dxa"/>
          </w:tcPr>
          <w:p w14:paraId="32E429A3" w14:textId="77777777" w:rsidR="00FE5D2A" w:rsidRPr="00D1578A" w:rsidRDefault="00FE5D2A">
            <w:pPr>
              <w:suppressAutoHyphens/>
              <w:spacing w:before="40" w:after="40" w:line="200" w:lineRule="atLeast"/>
              <w:rPr>
                <w:rFonts w:cs="Arial"/>
              </w:rPr>
            </w:pPr>
            <w:r w:rsidRPr="00D1578A">
              <w:rPr>
                <w:rFonts w:cs="Arial"/>
              </w:rPr>
              <w:t>SCERTS (n=118)</w:t>
            </w:r>
          </w:p>
        </w:tc>
        <w:tc>
          <w:tcPr>
            <w:tcW w:w="1705" w:type="dxa"/>
          </w:tcPr>
          <w:p w14:paraId="761E3139" w14:textId="77777777" w:rsidR="00FE5D2A" w:rsidRPr="00D1578A" w:rsidRDefault="00FE5D2A">
            <w:pPr>
              <w:suppressAutoHyphens/>
              <w:spacing w:before="40" w:after="40" w:line="200" w:lineRule="atLeast"/>
              <w:rPr>
                <w:rFonts w:cs="Arial"/>
              </w:rPr>
            </w:pPr>
            <w:r w:rsidRPr="00D1578A">
              <w:rPr>
                <w:rFonts w:cs="Arial"/>
              </w:rPr>
              <w:t xml:space="preserve">ATM </w:t>
            </w:r>
          </w:p>
          <w:p w14:paraId="7F533DD5" w14:textId="77777777" w:rsidR="00FE5D2A" w:rsidRPr="00D1578A" w:rsidRDefault="00FE5D2A">
            <w:pPr>
              <w:suppressAutoHyphens/>
              <w:spacing w:before="40" w:after="40" w:line="200" w:lineRule="atLeast"/>
              <w:rPr>
                <w:rFonts w:cs="Arial"/>
              </w:rPr>
            </w:pPr>
            <w:r w:rsidRPr="00D1578A">
              <w:rPr>
                <w:rFonts w:cs="Arial"/>
              </w:rPr>
              <w:t>(n=79)</w:t>
            </w:r>
          </w:p>
        </w:tc>
        <w:tc>
          <w:tcPr>
            <w:tcW w:w="1661" w:type="dxa"/>
          </w:tcPr>
          <w:p w14:paraId="37780466" w14:textId="77777777" w:rsidR="00FE5D2A" w:rsidRPr="00D1578A" w:rsidRDefault="00FE5D2A">
            <w:pPr>
              <w:suppressAutoHyphens/>
              <w:spacing w:before="40" w:after="40" w:line="200" w:lineRule="atLeast"/>
              <w:rPr>
                <w:rFonts w:cs="Arial"/>
              </w:rPr>
            </w:pPr>
            <w:r w:rsidRPr="00D1578A">
              <w:rPr>
                <w:rFonts w:cs="Arial"/>
              </w:rPr>
              <w:t>Classroom Measure of Active Engagement (CMAE)</w:t>
            </w:r>
          </w:p>
        </w:tc>
        <w:tc>
          <w:tcPr>
            <w:tcW w:w="1863" w:type="dxa"/>
          </w:tcPr>
          <w:p w14:paraId="124D85D0" w14:textId="77777777" w:rsidR="00FE5D2A" w:rsidRPr="00D1578A" w:rsidRDefault="00FE5D2A">
            <w:pPr>
              <w:suppressAutoHyphens/>
              <w:spacing w:before="40" w:after="40" w:line="200" w:lineRule="atLeast"/>
              <w:rPr>
                <w:rFonts w:cs="Arial"/>
              </w:rPr>
            </w:pPr>
            <w:r w:rsidRPr="00D1578A">
              <w:rPr>
                <w:rFonts w:cs="Arial"/>
              </w:rPr>
              <w:t xml:space="preserve">Baseline; </w:t>
            </w:r>
          </w:p>
          <w:p w14:paraId="43133E5A" w14:textId="77777777" w:rsidR="00FE5D2A" w:rsidRPr="00D1578A" w:rsidRDefault="00FE5D2A">
            <w:pPr>
              <w:suppressAutoHyphens/>
              <w:spacing w:before="40" w:after="40" w:line="200" w:lineRule="atLeast"/>
              <w:rPr>
                <w:rFonts w:cs="Arial"/>
              </w:rPr>
            </w:pPr>
            <w:r w:rsidRPr="00D1578A">
              <w:rPr>
                <w:rFonts w:cs="Arial"/>
              </w:rPr>
              <w:t>Post-intervention (8 months)</w:t>
            </w:r>
          </w:p>
        </w:tc>
        <w:tc>
          <w:tcPr>
            <w:tcW w:w="6103" w:type="dxa"/>
          </w:tcPr>
          <w:p w14:paraId="544BC89A" w14:textId="77777777" w:rsidR="00FE5D2A" w:rsidRPr="00D1578A" w:rsidRDefault="00FE5D2A">
            <w:pPr>
              <w:suppressAutoHyphens/>
              <w:spacing w:before="40" w:after="40" w:line="200" w:lineRule="atLeast"/>
              <w:rPr>
                <w:rFonts w:cs="Arial"/>
              </w:rPr>
            </w:pPr>
            <w:r w:rsidRPr="00D1578A">
              <w:rPr>
                <w:rFonts w:cs="Arial"/>
              </w:rPr>
              <w:t xml:space="preserve">No evidence of a difference at the end of intervention on the measure of engagement by Instructional Participation composite. </w:t>
            </w:r>
          </w:p>
          <w:p w14:paraId="7A5BA7D7" w14:textId="77777777" w:rsidR="00FE5D2A" w:rsidRPr="00D1578A" w:rsidRDefault="00FE5D2A">
            <w:pPr>
              <w:suppressAutoHyphens/>
              <w:spacing w:before="40" w:after="40" w:line="200" w:lineRule="atLeast"/>
              <w:rPr>
                <w:rFonts w:cs="Arial"/>
              </w:rPr>
            </w:pPr>
            <w:r w:rsidRPr="00D1578A">
              <w:rPr>
                <w:rFonts w:cs="Arial"/>
              </w:rPr>
              <w:t xml:space="preserve">Evidence of increased Social Interaction composite at the end of treatment for the SCERTS group. </w:t>
            </w:r>
          </w:p>
          <w:p w14:paraId="2942D287" w14:textId="77777777" w:rsidR="00FE5D2A" w:rsidRPr="00D1578A" w:rsidRDefault="00FE5D2A">
            <w:pPr>
              <w:suppressAutoHyphens/>
              <w:spacing w:before="40" w:after="40" w:line="200" w:lineRule="atLeast"/>
              <w:rPr>
                <w:rFonts w:cs="Arial"/>
              </w:rPr>
            </w:pPr>
          </w:p>
        </w:tc>
      </w:tr>
      <w:tr w:rsidR="00FE5D2A" w:rsidRPr="008B4B2D" w14:paraId="7FAEA09C" w14:textId="77777777" w:rsidTr="00D1578A">
        <w:trPr>
          <w:cnfStyle w:val="000000010000" w:firstRow="0" w:lastRow="0" w:firstColumn="0" w:lastColumn="0" w:oddVBand="0" w:evenVBand="0" w:oddHBand="0" w:evenHBand="1" w:firstRowFirstColumn="0" w:firstRowLastColumn="0" w:lastRowFirstColumn="0" w:lastRowLastColumn="0"/>
          <w:trHeight w:val="340"/>
        </w:trPr>
        <w:tc>
          <w:tcPr>
            <w:tcW w:w="13958" w:type="dxa"/>
            <w:gridSpan w:val="6"/>
            <w:shd w:val="clear" w:color="auto" w:fill="96ADB8"/>
          </w:tcPr>
          <w:p w14:paraId="42819143" w14:textId="77777777" w:rsidR="00FE5D2A" w:rsidRPr="00D1578A" w:rsidRDefault="00FE5D2A">
            <w:pPr>
              <w:suppressAutoHyphens/>
              <w:spacing w:before="40" w:after="40" w:line="200" w:lineRule="atLeast"/>
              <w:rPr>
                <w:rFonts w:cs="Arial"/>
                <w:b/>
              </w:rPr>
            </w:pPr>
            <w:r w:rsidRPr="00D1578A">
              <w:rPr>
                <w:rFonts w:cs="Arial"/>
                <w:b/>
              </w:rPr>
              <w:t>QUALITY OF LIFE OUTCOMES</w:t>
            </w:r>
          </w:p>
        </w:tc>
      </w:tr>
      <w:tr w:rsidR="00FE5D2A" w:rsidRPr="008B4B2D" w14:paraId="6B0EB577" w14:textId="77777777" w:rsidTr="00D1578A">
        <w:trPr>
          <w:cnfStyle w:val="000000100000" w:firstRow="0" w:lastRow="0" w:firstColumn="0" w:lastColumn="0" w:oddVBand="0" w:evenVBand="0" w:oddHBand="1" w:evenHBand="0" w:firstRowFirstColumn="0" w:firstRowLastColumn="0" w:lastRowFirstColumn="0" w:lastRowLastColumn="0"/>
          <w:trHeight w:val="340"/>
        </w:trPr>
        <w:tc>
          <w:tcPr>
            <w:tcW w:w="13958" w:type="dxa"/>
            <w:gridSpan w:val="6"/>
            <w:shd w:val="clear" w:color="auto" w:fill="DAE2E6"/>
          </w:tcPr>
          <w:p w14:paraId="695488BD" w14:textId="77777777" w:rsidR="00FE5D2A" w:rsidRPr="00D1578A" w:rsidRDefault="00FE5D2A">
            <w:pPr>
              <w:suppressAutoHyphens/>
              <w:spacing w:before="40" w:after="40" w:line="200" w:lineRule="atLeast"/>
              <w:rPr>
                <w:rFonts w:cs="Arial"/>
              </w:rPr>
            </w:pPr>
            <w:r w:rsidRPr="00D1578A">
              <w:rPr>
                <w:rFonts w:cs="Arial"/>
                <w:b/>
              </w:rPr>
              <w:t>COPing with and Caring for Infants with Special Needs (COPCA)</w:t>
            </w:r>
          </w:p>
        </w:tc>
      </w:tr>
      <w:tr w:rsidR="00FE5D2A" w:rsidRPr="008B4B2D" w14:paraId="28D4AE0A" w14:textId="77777777" w:rsidTr="00D1578A">
        <w:trPr>
          <w:cnfStyle w:val="000000010000" w:firstRow="0" w:lastRow="0" w:firstColumn="0" w:lastColumn="0" w:oddVBand="0" w:evenVBand="0" w:oddHBand="0" w:evenHBand="1" w:firstRowFirstColumn="0" w:firstRowLastColumn="0" w:lastRowFirstColumn="0" w:lastRowLastColumn="0"/>
          <w:trHeight w:val="340"/>
        </w:trPr>
        <w:tc>
          <w:tcPr>
            <w:tcW w:w="1353" w:type="dxa"/>
          </w:tcPr>
          <w:p w14:paraId="2E548B45" w14:textId="77777777" w:rsidR="00FE5D2A" w:rsidRPr="00D1578A" w:rsidRDefault="00FE5D2A">
            <w:pPr>
              <w:suppressAutoHyphens/>
              <w:spacing w:before="40" w:after="40" w:line="200" w:lineRule="atLeast"/>
              <w:rPr>
                <w:rFonts w:cs="Arial"/>
                <w:b/>
              </w:rPr>
            </w:pPr>
            <w:r w:rsidRPr="00D1578A">
              <w:rPr>
                <w:rFonts w:cs="Arial"/>
                <w:b/>
              </w:rPr>
              <w:t>Hielkema</w:t>
            </w:r>
          </w:p>
          <w:p w14:paraId="7C6FA543" w14:textId="77777777" w:rsidR="00FE5D2A" w:rsidRPr="00D1578A" w:rsidRDefault="00FE5D2A">
            <w:pPr>
              <w:suppressAutoHyphens/>
              <w:spacing w:before="40" w:after="40" w:line="200" w:lineRule="atLeast"/>
              <w:rPr>
                <w:rFonts w:cs="Arial"/>
                <w:b/>
              </w:rPr>
            </w:pPr>
            <w:r w:rsidRPr="00D1578A">
              <w:rPr>
                <w:rFonts w:cs="Arial"/>
                <w:b/>
              </w:rPr>
              <w:t>020</w:t>
            </w:r>
          </w:p>
        </w:tc>
        <w:tc>
          <w:tcPr>
            <w:tcW w:w="1273" w:type="dxa"/>
          </w:tcPr>
          <w:p w14:paraId="6223FB51" w14:textId="77777777" w:rsidR="00FE5D2A" w:rsidRPr="00D1578A" w:rsidRDefault="00FE5D2A">
            <w:pPr>
              <w:suppressAutoHyphens/>
              <w:spacing w:before="40" w:after="40" w:line="200" w:lineRule="atLeast"/>
              <w:rPr>
                <w:rFonts w:cs="Arial"/>
              </w:rPr>
            </w:pPr>
            <w:r w:rsidRPr="00D1578A">
              <w:rPr>
                <w:rFonts w:cs="Arial"/>
              </w:rPr>
              <w:t>COPCA (n=23)</w:t>
            </w:r>
          </w:p>
        </w:tc>
        <w:tc>
          <w:tcPr>
            <w:tcW w:w="1705" w:type="dxa"/>
          </w:tcPr>
          <w:p w14:paraId="196D358F" w14:textId="77777777" w:rsidR="00FE5D2A" w:rsidRPr="00D1578A" w:rsidRDefault="00FE5D2A">
            <w:pPr>
              <w:suppressAutoHyphens/>
              <w:spacing w:before="40" w:after="40" w:line="200" w:lineRule="atLeast"/>
              <w:rPr>
                <w:rFonts w:cs="Arial"/>
              </w:rPr>
            </w:pPr>
            <w:r w:rsidRPr="00D1578A">
              <w:rPr>
                <w:rFonts w:cs="Arial"/>
              </w:rPr>
              <w:t>Standard Infant Physiotherapy (SIP)</w:t>
            </w:r>
          </w:p>
          <w:p w14:paraId="0DAC6E58" w14:textId="77777777" w:rsidR="00FE5D2A" w:rsidRPr="00D1578A" w:rsidRDefault="00FE5D2A">
            <w:pPr>
              <w:suppressAutoHyphens/>
              <w:spacing w:before="40" w:after="40" w:line="200" w:lineRule="atLeast"/>
              <w:rPr>
                <w:rFonts w:cs="Arial"/>
              </w:rPr>
            </w:pPr>
            <w:r w:rsidRPr="00D1578A">
              <w:rPr>
                <w:rFonts w:cs="Arial"/>
              </w:rPr>
              <w:t>(n=20)</w:t>
            </w:r>
          </w:p>
        </w:tc>
        <w:tc>
          <w:tcPr>
            <w:tcW w:w="1661" w:type="dxa"/>
          </w:tcPr>
          <w:p w14:paraId="2B11CCB5" w14:textId="77777777" w:rsidR="00FE5D2A" w:rsidRPr="00D1578A" w:rsidRDefault="00FE5D2A">
            <w:pPr>
              <w:suppressAutoHyphens/>
              <w:spacing w:before="40" w:after="40" w:line="200" w:lineRule="atLeast"/>
              <w:rPr>
                <w:rFonts w:cs="Arial"/>
              </w:rPr>
            </w:pPr>
            <w:r w:rsidRPr="00D1578A">
              <w:rPr>
                <w:rFonts w:cs="Arial"/>
              </w:rPr>
              <w:t>Infant Toddler Quality of Life Questionnaire (ITQL)</w:t>
            </w:r>
          </w:p>
        </w:tc>
        <w:tc>
          <w:tcPr>
            <w:tcW w:w="1863" w:type="dxa"/>
          </w:tcPr>
          <w:p w14:paraId="64E71212" w14:textId="77777777" w:rsidR="00FE5D2A" w:rsidRPr="00D1578A" w:rsidRDefault="00FE5D2A">
            <w:pPr>
              <w:suppressAutoHyphens/>
              <w:spacing w:before="40" w:after="40" w:line="200" w:lineRule="atLeast"/>
              <w:rPr>
                <w:rFonts w:cs="Arial"/>
              </w:rPr>
            </w:pPr>
            <w:r w:rsidRPr="00D1578A">
              <w:rPr>
                <w:rFonts w:cs="Arial"/>
              </w:rPr>
              <w:t>Baseline;</w:t>
            </w:r>
          </w:p>
          <w:p w14:paraId="0FAD1FF9" w14:textId="77777777" w:rsidR="00FE5D2A" w:rsidRPr="00D1578A" w:rsidRDefault="00FE5D2A">
            <w:pPr>
              <w:suppressAutoHyphens/>
              <w:spacing w:before="40" w:after="40" w:line="200" w:lineRule="atLeast"/>
              <w:rPr>
                <w:rFonts w:cs="Arial"/>
              </w:rPr>
            </w:pPr>
            <w:r w:rsidRPr="00D1578A">
              <w:rPr>
                <w:rFonts w:cs="Arial"/>
              </w:rPr>
              <w:t xml:space="preserve">Post-intervention (6 months); follow up (12 months) </w:t>
            </w:r>
          </w:p>
        </w:tc>
        <w:tc>
          <w:tcPr>
            <w:tcW w:w="6103" w:type="dxa"/>
          </w:tcPr>
          <w:p w14:paraId="7FB0485A" w14:textId="77777777" w:rsidR="00FE5D2A" w:rsidRPr="00D1578A" w:rsidRDefault="00FE5D2A">
            <w:pPr>
              <w:spacing w:after="0"/>
              <w:rPr>
                <w:rFonts w:cs="Arial"/>
              </w:rPr>
            </w:pPr>
            <w:r w:rsidRPr="00D1578A">
              <w:rPr>
                <w:rFonts w:cs="Arial"/>
              </w:rPr>
              <w:t xml:space="preserve">Both groups showed similar infant quality of life at baseline and after 12 months. Evidence of improvements in some quality-of-life domains over time for the COPCA group. </w:t>
            </w:r>
          </w:p>
        </w:tc>
      </w:tr>
    </w:tbl>
    <w:p w14:paraId="1B684B6A" w14:textId="621BEC2E" w:rsidR="00F20CF0" w:rsidRPr="003607BC" w:rsidRDefault="00D1578A" w:rsidP="009B1067">
      <w:pPr>
        <w:rPr>
          <w:rFonts w:cs="Arial"/>
          <w:color w:val="000000" w:themeColor="text1"/>
          <w:sz w:val="20"/>
          <w:szCs w:val="20"/>
          <w:lang w:val="en-US"/>
        </w:rPr>
      </w:pPr>
      <w:r w:rsidRPr="003607BC">
        <w:rPr>
          <w:rFonts w:cs="Arial"/>
          <w:color w:val="000000" w:themeColor="text1"/>
          <w:sz w:val="20"/>
          <w:szCs w:val="20"/>
          <w:lang w:val="en-US"/>
        </w:rPr>
        <w:t>Note: BAU = business as usual; ATM = Autism Training Modules; all other acronyms defined in the table row.</w:t>
      </w:r>
    </w:p>
    <w:p w14:paraId="2575BAAD" w14:textId="77777777" w:rsidR="00D1578A" w:rsidRDefault="00D1578A" w:rsidP="009B1067">
      <w:pPr>
        <w:rPr>
          <w:rFonts w:cs="Arial"/>
          <w:color w:val="000000" w:themeColor="text1"/>
          <w:lang w:val="en-US"/>
        </w:rPr>
      </w:pPr>
    </w:p>
    <w:p w14:paraId="07193909" w14:textId="77777777" w:rsidR="00B23D6D" w:rsidRPr="00B23D6D" w:rsidRDefault="00B23D6D" w:rsidP="00B23D6D">
      <w:pPr>
        <w:rPr>
          <w:rFonts w:cs="Arial"/>
          <w:b/>
          <w:bCs/>
          <w:color w:val="000000" w:themeColor="text1"/>
          <w:lang w:val="en-US"/>
        </w:rPr>
      </w:pPr>
      <w:r w:rsidRPr="00B23D6D">
        <w:rPr>
          <w:rFonts w:cs="Arial"/>
          <w:b/>
          <w:bCs/>
          <w:color w:val="000000" w:themeColor="text1"/>
          <w:lang w:val="en-US"/>
        </w:rPr>
        <w:t xml:space="preserve">Outcomes for caregivers and families </w:t>
      </w:r>
    </w:p>
    <w:p w14:paraId="40A34EE4" w14:textId="5BE3E38F" w:rsidR="00B23D6D" w:rsidRPr="00B23D6D" w:rsidRDefault="00B23D6D" w:rsidP="00B23D6D">
      <w:pPr>
        <w:rPr>
          <w:rFonts w:cs="Arial"/>
          <w:color w:val="000000" w:themeColor="text1"/>
          <w:lang w:val="en-US"/>
        </w:rPr>
      </w:pPr>
      <w:r w:rsidRPr="00B23D6D">
        <w:rPr>
          <w:rFonts w:cs="Arial"/>
          <w:color w:val="000000" w:themeColor="text1"/>
          <w:lang w:val="en-US"/>
        </w:rPr>
        <w:t xml:space="preserve">Measures focused on caregivers rather than the family as a whole were most commonly applied within the 14 RCTs that included caregiver or family outcomes (see Table 12). Caregiver measures were commonly focused on the ICF Activity-level chapters, Chapter 1, Learning and acquiring knowledge, Chapter 2, General tasks and demands, Chapter 7, Interpersonal interactions and relationships.  Parent/caregiver stress (General tasks and demands) was the most commonly measured outcome (n=7 studies). Other measures for caregivers addressed competence (n=3), satisfaction (n=2), or tapped use of strategies or interactions with children, or other aspects of psychological wellbeing. Three studies assessed family level outcomes addressing family empowerment, family impact and family quality of life. </w:t>
      </w:r>
    </w:p>
    <w:p w14:paraId="21239746" w14:textId="54165E90" w:rsidR="00B23D6D" w:rsidRDefault="00B23D6D" w:rsidP="00B23D6D">
      <w:pPr>
        <w:rPr>
          <w:rFonts w:cs="Arial"/>
          <w:color w:val="000000" w:themeColor="text1"/>
          <w:lang w:val="en-US"/>
        </w:rPr>
      </w:pPr>
      <w:r w:rsidRPr="00B23D6D">
        <w:rPr>
          <w:rFonts w:cs="Arial"/>
          <w:color w:val="000000" w:themeColor="text1"/>
          <w:lang w:val="en-US"/>
        </w:rPr>
        <w:t xml:space="preserve">Outcomes across studies were variable, with evidence of differences found between groups in ten of 23 outcomes measured for at least one time point. There was no consistent evidence of between-group benefits of the interventions in focus on parenting stress, except for CareToy (compared to services as usual), ESDM (in one study when compared to community services). In one study, the comparison intervention (Psychoeducational, compared to JASPER) was favoured.  </w:t>
      </w:r>
    </w:p>
    <w:p w14:paraId="4EE97A57" w14:textId="77777777" w:rsidR="00B23D6D" w:rsidRDefault="00B23D6D" w:rsidP="00B23D6D">
      <w:pPr>
        <w:rPr>
          <w:rFonts w:cs="Arial"/>
          <w:color w:val="000000" w:themeColor="text1"/>
          <w:lang w:val="en-US"/>
        </w:rPr>
      </w:pPr>
    </w:p>
    <w:p w14:paraId="241059CE" w14:textId="77777777" w:rsidR="00B23D6D" w:rsidRDefault="00B23D6D" w:rsidP="00B23D6D">
      <w:pPr>
        <w:rPr>
          <w:rFonts w:cs="Arial"/>
          <w:color w:val="000000" w:themeColor="text1"/>
          <w:lang w:val="en-US"/>
        </w:rPr>
      </w:pPr>
    </w:p>
    <w:p w14:paraId="3F344AEB" w14:textId="77777777" w:rsidR="00B23D6D" w:rsidRDefault="00B23D6D" w:rsidP="00B23D6D">
      <w:pPr>
        <w:rPr>
          <w:rFonts w:cs="Arial"/>
          <w:color w:val="000000" w:themeColor="text1"/>
          <w:lang w:val="en-US"/>
        </w:rPr>
      </w:pPr>
    </w:p>
    <w:p w14:paraId="0F56A991" w14:textId="77777777" w:rsidR="00B23D6D" w:rsidRDefault="00B23D6D" w:rsidP="00B23D6D">
      <w:pPr>
        <w:rPr>
          <w:rFonts w:cs="Arial"/>
          <w:color w:val="000000" w:themeColor="text1"/>
          <w:lang w:val="en-US"/>
        </w:rPr>
      </w:pPr>
    </w:p>
    <w:p w14:paraId="01948BFB" w14:textId="153429F5" w:rsidR="00A13F7B" w:rsidRPr="004848E8" w:rsidRDefault="004848E8" w:rsidP="004848E8">
      <w:pPr>
        <w:pStyle w:val="Caption"/>
        <w:keepNext/>
      </w:pPr>
      <w:bookmarkStart w:id="107" w:name="_Ref177725114"/>
      <w:bookmarkStart w:id="108" w:name="_Toc177725011"/>
      <w:bookmarkStart w:id="109" w:name="_Toc177727331"/>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13</w:t>
      </w:r>
      <w:r w:rsidR="00627239" w:rsidRPr="00B5106F">
        <w:rPr>
          <w:b/>
          <w:bCs/>
          <w:noProof/>
        </w:rPr>
        <w:fldChar w:fldCharType="end"/>
      </w:r>
      <w:bookmarkEnd w:id="107"/>
      <w:r w:rsidRPr="00B5106F">
        <w:rPr>
          <w:b/>
          <w:bCs/>
        </w:rPr>
        <w:t>.</w:t>
      </w:r>
      <w:r w:rsidRPr="00B26E31">
        <w:t xml:space="preserve"> Outcomes for caregivers and families</w:t>
      </w:r>
      <w:bookmarkEnd w:id="108"/>
      <w:bookmarkEnd w:id="109"/>
    </w:p>
    <w:tbl>
      <w:tblPr>
        <w:tblStyle w:val="UniofMelTable35"/>
        <w:tblpPr w:leftFromText="180" w:rightFromText="180" w:vertAnchor="text" w:tblpY="1"/>
        <w:tblOverlap w:val="never"/>
        <w:tblW w:w="13750" w:type="dxa"/>
        <w:tblLook w:val="04A0" w:firstRow="1" w:lastRow="0" w:firstColumn="1" w:lastColumn="0" w:noHBand="0" w:noVBand="1"/>
      </w:tblPr>
      <w:tblGrid>
        <w:gridCol w:w="1350"/>
        <w:gridCol w:w="1361"/>
        <w:gridCol w:w="1383"/>
        <w:gridCol w:w="2175"/>
        <w:gridCol w:w="2096"/>
        <w:gridCol w:w="5385"/>
      </w:tblGrid>
      <w:tr w:rsidR="00A13F7B" w:rsidRPr="00A13F7B" w14:paraId="2AA7843D" w14:textId="77777777" w:rsidTr="005F6B45">
        <w:trPr>
          <w:cnfStyle w:val="100000000000" w:firstRow="1" w:lastRow="0" w:firstColumn="0" w:lastColumn="0" w:oddVBand="0" w:evenVBand="0" w:oddHBand="0" w:evenHBand="0" w:firstRowFirstColumn="0" w:firstRowLastColumn="0" w:lastRowFirstColumn="0" w:lastRowLastColumn="0"/>
          <w:trHeight w:val="340"/>
        </w:trPr>
        <w:tc>
          <w:tcPr>
            <w:tcW w:w="1350" w:type="dxa"/>
            <w:shd w:val="clear" w:color="auto" w:fill="082A75"/>
          </w:tcPr>
          <w:p w14:paraId="70A49FBA" w14:textId="77777777" w:rsidR="00A13F7B" w:rsidRPr="00A13F7B" w:rsidRDefault="00A13F7B" w:rsidP="003607BC">
            <w:pPr>
              <w:suppressAutoHyphens/>
              <w:spacing w:before="0" w:after="0"/>
              <w:rPr>
                <w:rFonts w:cs="Arial"/>
                <w:b/>
                <w:color w:val="FFFFFF"/>
              </w:rPr>
            </w:pPr>
            <w:r w:rsidRPr="00A13F7B">
              <w:rPr>
                <w:rFonts w:cs="Arial"/>
                <w:b/>
                <w:color w:val="FFFFFF"/>
              </w:rPr>
              <w:t xml:space="preserve">Author Year </w:t>
            </w:r>
          </w:p>
        </w:tc>
        <w:tc>
          <w:tcPr>
            <w:tcW w:w="1361" w:type="dxa"/>
            <w:shd w:val="clear" w:color="auto" w:fill="082A75"/>
          </w:tcPr>
          <w:p w14:paraId="7690A564" w14:textId="77777777" w:rsidR="00A13F7B" w:rsidRPr="00A13F7B" w:rsidRDefault="00A13F7B" w:rsidP="003607BC">
            <w:pPr>
              <w:suppressAutoHyphens/>
              <w:spacing w:before="0" w:after="0"/>
              <w:rPr>
                <w:rFonts w:cs="Arial"/>
                <w:b/>
              </w:rPr>
            </w:pPr>
            <w:r w:rsidRPr="00A13F7B">
              <w:rPr>
                <w:rFonts w:cs="Arial"/>
                <w:b/>
              </w:rPr>
              <w:t xml:space="preserve">Intervention in focus  </w:t>
            </w:r>
          </w:p>
        </w:tc>
        <w:tc>
          <w:tcPr>
            <w:tcW w:w="1383" w:type="dxa"/>
            <w:shd w:val="clear" w:color="auto" w:fill="082A75"/>
          </w:tcPr>
          <w:p w14:paraId="2625F314" w14:textId="77777777" w:rsidR="00A13F7B" w:rsidRPr="00A13F7B" w:rsidRDefault="00A13F7B" w:rsidP="003607BC">
            <w:pPr>
              <w:suppressAutoHyphens/>
              <w:spacing w:before="0" w:after="0"/>
              <w:rPr>
                <w:rFonts w:cs="Arial"/>
                <w:b/>
              </w:rPr>
            </w:pPr>
            <w:r w:rsidRPr="00A13F7B">
              <w:rPr>
                <w:rFonts w:cs="Arial"/>
                <w:b/>
              </w:rPr>
              <w:t xml:space="preserve">Comparison </w:t>
            </w:r>
          </w:p>
        </w:tc>
        <w:tc>
          <w:tcPr>
            <w:tcW w:w="2175" w:type="dxa"/>
            <w:shd w:val="clear" w:color="auto" w:fill="082A75"/>
          </w:tcPr>
          <w:p w14:paraId="18EB0296" w14:textId="77777777" w:rsidR="00A13F7B" w:rsidRPr="00A13F7B" w:rsidRDefault="00A13F7B" w:rsidP="003607BC">
            <w:pPr>
              <w:suppressAutoHyphens/>
              <w:spacing w:before="0" w:after="0"/>
              <w:rPr>
                <w:rFonts w:cs="Arial"/>
                <w:b/>
              </w:rPr>
            </w:pPr>
            <w:r w:rsidRPr="00A13F7B">
              <w:rPr>
                <w:rFonts w:cs="Arial"/>
                <w:b/>
              </w:rPr>
              <w:t xml:space="preserve">Measure </w:t>
            </w:r>
          </w:p>
        </w:tc>
        <w:tc>
          <w:tcPr>
            <w:tcW w:w="2096" w:type="dxa"/>
            <w:shd w:val="clear" w:color="auto" w:fill="082A75"/>
          </w:tcPr>
          <w:p w14:paraId="0ACEF070" w14:textId="77777777" w:rsidR="00A13F7B" w:rsidRPr="00A13F7B" w:rsidRDefault="00A13F7B" w:rsidP="003607BC">
            <w:pPr>
              <w:suppressAutoHyphens/>
              <w:spacing w:before="0" w:after="0"/>
              <w:rPr>
                <w:rFonts w:cs="Arial"/>
                <w:b/>
              </w:rPr>
            </w:pPr>
            <w:r w:rsidRPr="00A13F7B">
              <w:rPr>
                <w:rFonts w:cs="Arial"/>
                <w:b/>
              </w:rPr>
              <w:t>Timepoints</w:t>
            </w:r>
          </w:p>
        </w:tc>
        <w:tc>
          <w:tcPr>
            <w:tcW w:w="5385" w:type="dxa"/>
            <w:shd w:val="clear" w:color="auto" w:fill="082A75"/>
          </w:tcPr>
          <w:p w14:paraId="3FEAB827" w14:textId="77777777" w:rsidR="00A13F7B" w:rsidRPr="00A13F7B" w:rsidRDefault="00A13F7B" w:rsidP="003607BC">
            <w:pPr>
              <w:suppressAutoHyphens/>
              <w:spacing w:before="0" w:after="0"/>
              <w:rPr>
                <w:rFonts w:cs="Arial"/>
                <w:b/>
              </w:rPr>
            </w:pPr>
            <w:r w:rsidRPr="00A13F7B">
              <w:rPr>
                <w:rFonts w:cs="Arial"/>
                <w:b/>
              </w:rPr>
              <w:t xml:space="preserve">Summary </w:t>
            </w:r>
          </w:p>
        </w:tc>
      </w:tr>
      <w:tr w:rsidR="00A13F7B" w:rsidRPr="00A13F7B" w14:paraId="4C8E1A7E"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shd w:val="clear" w:color="auto" w:fill="DAE2E6"/>
          </w:tcPr>
          <w:p w14:paraId="7788EA5A" w14:textId="77777777" w:rsidR="00A13F7B" w:rsidRPr="00A13F7B" w:rsidRDefault="00A13F7B" w:rsidP="003607BC">
            <w:pPr>
              <w:suppressAutoHyphens/>
              <w:spacing w:before="0" w:after="0"/>
              <w:rPr>
                <w:rFonts w:cs="Arial"/>
                <w:b/>
              </w:rPr>
            </w:pPr>
            <w:r w:rsidRPr="00A13F7B">
              <w:rPr>
                <w:rFonts w:cs="Arial"/>
                <w:b/>
              </w:rPr>
              <w:t xml:space="preserve">CareToy </w:t>
            </w:r>
          </w:p>
        </w:tc>
        <w:tc>
          <w:tcPr>
            <w:tcW w:w="1361" w:type="dxa"/>
            <w:shd w:val="clear" w:color="auto" w:fill="DAE2E6"/>
          </w:tcPr>
          <w:p w14:paraId="5A9388DD" w14:textId="77777777" w:rsidR="00A13F7B" w:rsidRPr="00A13F7B" w:rsidRDefault="00A13F7B" w:rsidP="003607BC">
            <w:pPr>
              <w:suppressAutoHyphens/>
              <w:spacing w:before="0" w:after="0"/>
              <w:rPr>
                <w:rFonts w:cs="Arial"/>
              </w:rPr>
            </w:pPr>
          </w:p>
        </w:tc>
        <w:tc>
          <w:tcPr>
            <w:tcW w:w="1383" w:type="dxa"/>
            <w:shd w:val="clear" w:color="auto" w:fill="DAE2E6"/>
          </w:tcPr>
          <w:p w14:paraId="68F65E06" w14:textId="77777777" w:rsidR="00A13F7B" w:rsidRPr="00A13F7B" w:rsidRDefault="00A13F7B" w:rsidP="003607BC">
            <w:pPr>
              <w:suppressAutoHyphens/>
              <w:spacing w:before="0" w:after="0"/>
              <w:rPr>
                <w:rFonts w:cs="Arial"/>
              </w:rPr>
            </w:pPr>
          </w:p>
        </w:tc>
        <w:tc>
          <w:tcPr>
            <w:tcW w:w="2175" w:type="dxa"/>
            <w:shd w:val="clear" w:color="auto" w:fill="DAE2E6"/>
          </w:tcPr>
          <w:p w14:paraId="4E8200EB" w14:textId="77777777" w:rsidR="00A13F7B" w:rsidRPr="00A13F7B" w:rsidRDefault="00A13F7B" w:rsidP="003607BC">
            <w:pPr>
              <w:suppressAutoHyphens/>
              <w:spacing w:before="0" w:after="0"/>
              <w:rPr>
                <w:rFonts w:cs="Arial"/>
              </w:rPr>
            </w:pPr>
          </w:p>
        </w:tc>
        <w:tc>
          <w:tcPr>
            <w:tcW w:w="2096" w:type="dxa"/>
            <w:shd w:val="clear" w:color="auto" w:fill="DAE2E6"/>
          </w:tcPr>
          <w:p w14:paraId="6C6A110F" w14:textId="77777777" w:rsidR="00A13F7B" w:rsidRPr="00A13F7B" w:rsidRDefault="00A13F7B" w:rsidP="003607BC">
            <w:pPr>
              <w:suppressAutoHyphens/>
              <w:spacing w:before="0" w:after="0"/>
              <w:rPr>
                <w:rFonts w:cs="Arial"/>
              </w:rPr>
            </w:pPr>
          </w:p>
        </w:tc>
        <w:tc>
          <w:tcPr>
            <w:tcW w:w="5385" w:type="dxa"/>
            <w:shd w:val="clear" w:color="auto" w:fill="DAE2E6"/>
          </w:tcPr>
          <w:p w14:paraId="3C1D568C" w14:textId="77777777" w:rsidR="00A13F7B" w:rsidRPr="00A13F7B" w:rsidRDefault="00A13F7B" w:rsidP="003607BC">
            <w:pPr>
              <w:suppressAutoHyphens/>
              <w:spacing w:before="0" w:after="0"/>
              <w:rPr>
                <w:rFonts w:cs="Arial"/>
              </w:rPr>
            </w:pPr>
          </w:p>
        </w:tc>
      </w:tr>
      <w:tr w:rsidR="00A13F7B" w:rsidRPr="00A13F7B" w14:paraId="67092C4F"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tcPr>
          <w:p w14:paraId="029B2141" w14:textId="77777777" w:rsidR="00A13F7B" w:rsidRPr="00A13F7B" w:rsidRDefault="00A13F7B" w:rsidP="003607BC">
            <w:pPr>
              <w:suppressAutoHyphens/>
              <w:spacing w:before="0" w:after="0"/>
              <w:rPr>
                <w:rFonts w:cs="Arial"/>
                <w:b/>
              </w:rPr>
            </w:pPr>
            <w:r w:rsidRPr="00A13F7B">
              <w:rPr>
                <w:rFonts w:cs="Arial"/>
                <w:b/>
              </w:rPr>
              <w:t xml:space="preserve">Sgandurra </w:t>
            </w:r>
          </w:p>
          <w:p w14:paraId="1457670C" w14:textId="77777777" w:rsidR="00A13F7B" w:rsidRPr="00A13F7B" w:rsidRDefault="00A13F7B" w:rsidP="003607BC">
            <w:pPr>
              <w:suppressAutoHyphens/>
              <w:spacing w:before="0" w:after="0"/>
              <w:rPr>
                <w:rFonts w:cs="Arial"/>
                <w:b/>
              </w:rPr>
            </w:pPr>
            <w:r w:rsidRPr="00A13F7B">
              <w:rPr>
                <w:rFonts w:cs="Arial"/>
                <w:b/>
              </w:rPr>
              <w:t>2019</w:t>
            </w:r>
          </w:p>
        </w:tc>
        <w:tc>
          <w:tcPr>
            <w:tcW w:w="1361" w:type="dxa"/>
          </w:tcPr>
          <w:p w14:paraId="7819062F" w14:textId="77777777" w:rsidR="00A13F7B" w:rsidRPr="00A13F7B" w:rsidRDefault="00A13F7B" w:rsidP="003607BC">
            <w:pPr>
              <w:suppressAutoHyphens/>
              <w:spacing w:before="0" w:after="0"/>
              <w:rPr>
                <w:rFonts w:cs="Arial"/>
              </w:rPr>
            </w:pPr>
            <w:r w:rsidRPr="00A13F7B">
              <w:rPr>
                <w:rFonts w:cs="Arial"/>
              </w:rPr>
              <w:t xml:space="preserve">CareToy </w:t>
            </w:r>
          </w:p>
          <w:p w14:paraId="730F2D36" w14:textId="77777777" w:rsidR="00A13F7B" w:rsidRPr="00A13F7B" w:rsidRDefault="00A13F7B" w:rsidP="003607BC">
            <w:pPr>
              <w:suppressAutoHyphens/>
              <w:spacing w:before="0" w:after="0"/>
              <w:rPr>
                <w:rFonts w:cs="Arial"/>
              </w:rPr>
            </w:pPr>
            <w:r w:rsidRPr="00A13F7B">
              <w:rPr>
                <w:rFonts w:cs="Arial"/>
              </w:rPr>
              <w:t>(n=24)</w:t>
            </w:r>
          </w:p>
        </w:tc>
        <w:tc>
          <w:tcPr>
            <w:tcW w:w="1383" w:type="dxa"/>
          </w:tcPr>
          <w:p w14:paraId="28465F4A" w14:textId="77777777" w:rsidR="00A13F7B" w:rsidRPr="00A13F7B" w:rsidRDefault="00A13F7B" w:rsidP="003607BC">
            <w:pPr>
              <w:suppressAutoHyphens/>
              <w:spacing w:before="0" w:after="0"/>
              <w:rPr>
                <w:rFonts w:cs="Arial"/>
              </w:rPr>
            </w:pPr>
            <w:r w:rsidRPr="00A13F7B">
              <w:rPr>
                <w:rFonts w:cs="Arial"/>
              </w:rPr>
              <w:t xml:space="preserve">SAU </w:t>
            </w:r>
          </w:p>
          <w:p w14:paraId="2EC2584D" w14:textId="77777777" w:rsidR="00A13F7B" w:rsidRPr="00A13F7B" w:rsidRDefault="00A13F7B" w:rsidP="003607BC">
            <w:pPr>
              <w:suppressAutoHyphens/>
              <w:spacing w:before="0" w:after="0"/>
              <w:rPr>
                <w:rFonts w:cs="Arial"/>
              </w:rPr>
            </w:pPr>
            <w:r w:rsidRPr="00A13F7B">
              <w:rPr>
                <w:rFonts w:cs="Arial"/>
              </w:rPr>
              <w:t>(n=20)</w:t>
            </w:r>
          </w:p>
          <w:p w14:paraId="70C24136" w14:textId="77777777" w:rsidR="00A13F7B" w:rsidRPr="00A13F7B" w:rsidRDefault="00A13F7B" w:rsidP="003607BC">
            <w:pPr>
              <w:suppressAutoHyphens/>
              <w:spacing w:before="0" w:after="0"/>
              <w:rPr>
                <w:rFonts w:cs="Arial"/>
              </w:rPr>
            </w:pPr>
          </w:p>
        </w:tc>
        <w:tc>
          <w:tcPr>
            <w:tcW w:w="2175" w:type="dxa"/>
          </w:tcPr>
          <w:p w14:paraId="674C9A25" w14:textId="77777777" w:rsidR="00A13F7B" w:rsidRPr="00A13F7B" w:rsidRDefault="00A13F7B" w:rsidP="003607BC">
            <w:pPr>
              <w:suppressAutoHyphens/>
              <w:spacing w:before="0" w:after="0"/>
              <w:rPr>
                <w:rFonts w:cs="Arial"/>
              </w:rPr>
            </w:pPr>
            <w:r w:rsidRPr="00A13F7B">
              <w:rPr>
                <w:rFonts w:cs="Arial"/>
              </w:rPr>
              <w:t>Parenting Stress Index (PSI)</w:t>
            </w:r>
          </w:p>
        </w:tc>
        <w:tc>
          <w:tcPr>
            <w:tcW w:w="2096" w:type="dxa"/>
          </w:tcPr>
          <w:p w14:paraId="00C25C14" w14:textId="77777777" w:rsidR="00A13F7B" w:rsidRPr="00A13F7B" w:rsidRDefault="00A13F7B" w:rsidP="003607BC">
            <w:pPr>
              <w:suppressAutoHyphens/>
              <w:spacing w:before="0" w:after="0"/>
              <w:rPr>
                <w:rFonts w:cs="Arial"/>
              </w:rPr>
            </w:pPr>
            <w:r w:rsidRPr="00A13F7B">
              <w:rPr>
                <w:rFonts w:cs="Arial"/>
              </w:rPr>
              <w:t xml:space="preserve">Baseline; </w:t>
            </w:r>
          </w:p>
          <w:p w14:paraId="3B532E8D" w14:textId="77777777" w:rsidR="00A13F7B" w:rsidRPr="00A13F7B" w:rsidRDefault="00A13F7B" w:rsidP="003607BC">
            <w:pPr>
              <w:suppressAutoHyphens/>
              <w:spacing w:before="0" w:after="0"/>
              <w:rPr>
                <w:rFonts w:cs="Arial"/>
              </w:rPr>
            </w:pPr>
            <w:r w:rsidRPr="00A13F7B">
              <w:rPr>
                <w:rFonts w:cs="Arial"/>
              </w:rPr>
              <w:t>Post-intervention (4 weeks)</w:t>
            </w:r>
          </w:p>
        </w:tc>
        <w:tc>
          <w:tcPr>
            <w:tcW w:w="5385" w:type="dxa"/>
          </w:tcPr>
          <w:p w14:paraId="012DB56A" w14:textId="77777777" w:rsidR="00A13F7B" w:rsidRPr="00A13F7B" w:rsidRDefault="00A13F7B" w:rsidP="003607BC">
            <w:pPr>
              <w:suppressAutoHyphens/>
              <w:spacing w:before="0" w:after="0"/>
              <w:rPr>
                <w:rFonts w:cs="Arial"/>
              </w:rPr>
            </w:pPr>
            <w:r w:rsidRPr="00A13F7B">
              <w:rPr>
                <w:rFonts w:cs="Arial"/>
              </w:rPr>
              <w:t>Evidence of decreased parenting stress for mothers in the CareToy group.</w:t>
            </w:r>
          </w:p>
          <w:p w14:paraId="51954872" w14:textId="77777777" w:rsidR="00A13F7B" w:rsidRPr="00A13F7B" w:rsidRDefault="00A13F7B" w:rsidP="003607BC">
            <w:pPr>
              <w:suppressAutoHyphens/>
              <w:spacing w:before="0" w:after="0"/>
              <w:rPr>
                <w:rFonts w:cs="Arial"/>
              </w:rPr>
            </w:pPr>
            <w:r w:rsidRPr="00A13F7B">
              <w:rPr>
                <w:rFonts w:cs="Arial"/>
              </w:rPr>
              <w:t xml:space="preserve">No evidence of a difference between groups for fathers’ parenting distress.  </w:t>
            </w:r>
          </w:p>
        </w:tc>
      </w:tr>
      <w:tr w:rsidR="00A13F7B" w:rsidRPr="00A13F7B" w14:paraId="1DA3D367" w14:textId="77777777">
        <w:trPr>
          <w:cnfStyle w:val="000000100000" w:firstRow="0" w:lastRow="0" w:firstColumn="0" w:lastColumn="0" w:oddVBand="0" w:evenVBand="0" w:oddHBand="1" w:evenHBand="0" w:firstRowFirstColumn="0" w:firstRowLastColumn="0" w:lastRowFirstColumn="0" w:lastRowLastColumn="0"/>
          <w:trHeight w:val="340"/>
        </w:trPr>
        <w:tc>
          <w:tcPr>
            <w:tcW w:w="13750" w:type="dxa"/>
            <w:gridSpan w:val="6"/>
            <w:shd w:val="clear" w:color="auto" w:fill="DAE2E6"/>
          </w:tcPr>
          <w:p w14:paraId="65F5B168" w14:textId="77777777" w:rsidR="00A13F7B" w:rsidRPr="00A13F7B" w:rsidRDefault="00A13F7B" w:rsidP="003607BC">
            <w:pPr>
              <w:suppressAutoHyphens/>
              <w:spacing w:before="0" w:after="0"/>
              <w:rPr>
                <w:rFonts w:cs="Arial"/>
                <w:b/>
              </w:rPr>
            </w:pPr>
            <w:r w:rsidRPr="00A13F7B">
              <w:rPr>
                <w:rFonts w:cs="Arial"/>
                <w:b/>
              </w:rPr>
              <w:t>COPing with and Caring for Infants with Special Needs (COPCA)</w:t>
            </w:r>
          </w:p>
        </w:tc>
      </w:tr>
      <w:tr w:rsidR="00A13F7B" w:rsidRPr="00A13F7B" w14:paraId="2867F17F"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vMerge w:val="restart"/>
          </w:tcPr>
          <w:p w14:paraId="30F1CA1F" w14:textId="77777777" w:rsidR="00A13F7B" w:rsidRPr="00A13F7B" w:rsidRDefault="00A13F7B" w:rsidP="003607BC">
            <w:pPr>
              <w:suppressAutoHyphens/>
              <w:spacing w:before="0" w:after="0"/>
              <w:rPr>
                <w:rFonts w:cs="Arial"/>
                <w:b/>
              </w:rPr>
            </w:pPr>
            <w:r w:rsidRPr="00A13F7B">
              <w:rPr>
                <w:rFonts w:cs="Arial"/>
                <w:b/>
              </w:rPr>
              <w:t xml:space="preserve">Hielkema </w:t>
            </w:r>
          </w:p>
          <w:p w14:paraId="46E3C77A" w14:textId="77777777" w:rsidR="00A13F7B" w:rsidRPr="00A13F7B" w:rsidRDefault="00A13F7B" w:rsidP="003607BC">
            <w:pPr>
              <w:suppressAutoHyphens/>
              <w:spacing w:before="0" w:after="0"/>
              <w:rPr>
                <w:rFonts w:cs="Arial"/>
                <w:b/>
              </w:rPr>
            </w:pPr>
            <w:r w:rsidRPr="00A13F7B">
              <w:rPr>
                <w:rFonts w:cs="Arial"/>
                <w:b/>
              </w:rPr>
              <w:t>2020</w:t>
            </w:r>
          </w:p>
        </w:tc>
        <w:tc>
          <w:tcPr>
            <w:tcW w:w="1361" w:type="dxa"/>
            <w:vMerge w:val="restart"/>
          </w:tcPr>
          <w:p w14:paraId="2B686059" w14:textId="77777777" w:rsidR="00A13F7B" w:rsidRPr="00A13F7B" w:rsidRDefault="00A13F7B" w:rsidP="003607BC">
            <w:pPr>
              <w:suppressAutoHyphens/>
              <w:spacing w:before="0" w:after="0"/>
              <w:rPr>
                <w:rFonts w:cs="Arial"/>
              </w:rPr>
            </w:pPr>
            <w:r w:rsidRPr="00A13F7B">
              <w:rPr>
                <w:rFonts w:cs="Arial"/>
              </w:rPr>
              <w:t xml:space="preserve">COPCA </w:t>
            </w:r>
          </w:p>
          <w:p w14:paraId="5E4505AE" w14:textId="77777777" w:rsidR="00A13F7B" w:rsidRPr="00A13F7B" w:rsidRDefault="00A13F7B" w:rsidP="003607BC">
            <w:pPr>
              <w:suppressAutoHyphens/>
              <w:spacing w:before="0" w:after="0"/>
              <w:rPr>
                <w:rFonts w:cs="Arial"/>
              </w:rPr>
            </w:pPr>
            <w:r w:rsidRPr="00A13F7B">
              <w:rPr>
                <w:rFonts w:cs="Arial"/>
              </w:rPr>
              <w:t>(n =23)</w:t>
            </w:r>
          </w:p>
        </w:tc>
        <w:tc>
          <w:tcPr>
            <w:tcW w:w="1383" w:type="dxa"/>
            <w:vMerge w:val="restart"/>
          </w:tcPr>
          <w:p w14:paraId="18F7CBC4" w14:textId="77777777" w:rsidR="00A13F7B" w:rsidRPr="00A13F7B" w:rsidRDefault="00A13F7B" w:rsidP="003607BC">
            <w:pPr>
              <w:suppressAutoHyphens/>
              <w:spacing w:before="0" w:after="0"/>
              <w:rPr>
                <w:rFonts w:cs="Arial"/>
              </w:rPr>
            </w:pPr>
            <w:r w:rsidRPr="00A13F7B">
              <w:rPr>
                <w:rFonts w:cs="Arial"/>
              </w:rPr>
              <w:t xml:space="preserve">SIP </w:t>
            </w:r>
          </w:p>
          <w:p w14:paraId="7550D2BA" w14:textId="77777777" w:rsidR="00A13F7B" w:rsidRPr="00A13F7B" w:rsidRDefault="00A13F7B" w:rsidP="003607BC">
            <w:pPr>
              <w:suppressAutoHyphens/>
              <w:spacing w:before="0" w:after="0"/>
              <w:rPr>
                <w:rFonts w:cs="Arial"/>
              </w:rPr>
            </w:pPr>
            <w:r w:rsidRPr="00A13F7B">
              <w:rPr>
                <w:rFonts w:cs="Arial"/>
              </w:rPr>
              <w:t>(n =20)</w:t>
            </w:r>
          </w:p>
        </w:tc>
        <w:tc>
          <w:tcPr>
            <w:tcW w:w="2175" w:type="dxa"/>
          </w:tcPr>
          <w:p w14:paraId="38B11013" w14:textId="77777777" w:rsidR="00A13F7B" w:rsidRPr="00A13F7B" w:rsidRDefault="00A13F7B" w:rsidP="003607BC">
            <w:pPr>
              <w:suppressAutoHyphens/>
              <w:spacing w:before="0" w:after="0"/>
              <w:rPr>
                <w:rFonts w:cs="Arial"/>
              </w:rPr>
            </w:pPr>
            <w:r w:rsidRPr="00A13F7B">
              <w:rPr>
                <w:rFonts w:cs="Arial"/>
              </w:rPr>
              <w:t>Family Empowerment Scale (FES)</w:t>
            </w:r>
          </w:p>
        </w:tc>
        <w:tc>
          <w:tcPr>
            <w:tcW w:w="2096" w:type="dxa"/>
          </w:tcPr>
          <w:p w14:paraId="7BC26EF5" w14:textId="77777777" w:rsidR="00A13F7B" w:rsidRPr="00A13F7B" w:rsidRDefault="00A13F7B" w:rsidP="003607BC">
            <w:pPr>
              <w:suppressAutoHyphens/>
              <w:spacing w:before="0" w:after="0"/>
              <w:rPr>
                <w:rFonts w:cs="Arial"/>
              </w:rPr>
            </w:pPr>
            <w:r w:rsidRPr="00A13F7B">
              <w:rPr>
                <w:rFonts w:cs="Arial"/>
              </w:rPr>
              <w:t xml:space="preserve">Baseline; </w:t>
            </w:r>
          </w:p>
          <w:p w14:paraId="6D27A6D6" w14:textId="77777777" w:rsidR="00A13F7B" w:rsidRPr="00A13F7B" w:rsidRDefault="00A13F7B" w:rsidP="003607BC">
            <w:pPr>
              <w:suppressAutoHyphens/>
              <w:spacing w:before="0" w:after="0"/>
              <w:rPr>
                <w:rFonts w:cs="Arial"/>
              </w:rPr>
            </w:pPr>
            <w:r w:rsidRPr="00A13F7B">
              <w:rPr>
                <w:rFonts w:cs="Arial"/>
              </w:rPr>
              <w:t xml:space="preserve">Post-intervention (6 months) </w:t>
            </w:r>
          </w:p>
          <w:p w14:paraId="253846EC" w14:textId="77777777" w:rsidR="00A13F7B" w:rsidRPr="00A13F7B" w:rsidRDefault="00A13F7B" w:rsidP="003607BC">
            <w:pPr>
              <w:suppressAutoHyphens/>
              <w:spacing w:before="0" w:after="0"/>
              <w:rPr>
                <w:rFonts w:cs="Arial"/>
              </w:rPr>
            </w:pPr>
            <w:r w:rsidRPr="00A13F7B">
              <w:rPr>
                <w:rFonts w:cs="Arial"/>
              </w:rPr>
              <w:t>Follow up (12 months)</w:t>
            </w:r>
          </w:p>
        </w:tc>
        <w:tc>
          <w:tcPr>
            <w:tcW w:w="5385" w:type="dxa"/>
          </w:tcPr>
          <w:p w14:paraId="7B0583DA" w14:textId="77777777" w:rsidR="00A13F7B" w:rsidRPr="00A13F7B" w:rsidRDefault="00A13F7B" w:rsidP="003607BC">
            <w:pPr>
              <w:suppressAutoHyphens/>
              <w:spacing w:before="0" w:after="0"/>
              <w:rPr>
                <w:rFonts w:cs="Arial"/>
              </w:rPr>
            </w:pPr>
            <w:r w:rsidRPr="00A13F7B">
              <w:rPr>
                <w:rFonts w:cs="Arial"/>
              </w:rPr>
              <w:t>No evidence of a difference between groups for empowerment throughout the intervention period.</w:t>
            </w:r>
          </w:p>
          <w:p w14:paraId="1DA04446" w14:textId="77777777" w:rsidR="00A13F7B" w:rsidRPr="00A13F7B" w:rsidRDefault="00A13F7B" w:rsidP="003607BC">
            <w:pPr>
              <w:suppressAutoHyphens/>
              <w:spacing w:before="0" w:after="0"/>
              <w:rPr>
                <w:rFonts w:cs="Arial"/>
              </w:rPr>
            </w:pPr>
          </w:p>
        </w:tc>
      </w:tr>
      <w:tr w:rsidR="00A13F7B" w:rsidRPr="00A13F7B" w14:paraId="436218E7"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vMerge/>
          </w:tcPr>
          <w:p w14:paraId="36A8543A" w14:textId="77777777" w:rsidR="00A13F7B" w:rsidRPr="00A13F7B" w:rsidRDefault="00A13F7B" w:rsidP="003607BC">
            <w:pPr>
              <w:suppressAutoHyphens/>
              <w:spacing w:before="0" w:after="0"/>
              <w:rPr>
                <w:rFonts w:cs="Arial"/>
              </w:rPr>
            </w:pPr>
          </w:p>
        </w:tc>
        <w:tc>
          <w:tcPr>
            <w:tcW w:w="1361" w:type="dxa"/>
            <w:vMerge/>
          </w:tcPr>
          <w:p w14:paraId="72B40CA9" w14:textId="77777777" w:rsidR="00A13F7B" w:rsidRPr="00A13F7B" w:rsidRDefault="00A13F7B" w:rsidP="003607BC">
            <w:pPr>
              <w:suppressAutoHyphens/>
              <w:spacing w:before="0" w:after="0"/>
              <w:rPr>
                <w:rFonts w:cs="Arial"/>
              </w:rPr>
            </w:pPr>
          </w:p>
        </w:tc>
        <w:tc>
          <w:tcPr>
            <w:tcW w:w="1383" w:type="dxa"/>
            <w:vMerge/>
          </w:tcPr>
          <w:p w14:paraId="00569633" w14:textId="77777777" w:rsidR="00A13F7B" w:rsidRPr="00A13F7B" w:rsidRDefault="00A13F7B" w:rsidP="003607BC">
            <w:pPr>
              <w:suppressAutoHyphens/>
              <w:spacing w:before="0" w:after="0"/>
              <w:rPr>
                <w:rFonts w:cs="Arial"/>
              </w:rPr>
            </w:pPr>
          </w:p>
        </w:tc>
        <w:tc>
          <w:tcPr>
            <w:tcW w:w="2175" w:type="dxa"/>
          </w:tcPr>
          <w:p w14:paraId="14CCDE19" w14:textId="77777777" w:rsidR="00A13F7B" w:rsidRPr="00A13F7B" w:rsidRDefault="00A13F7B" w:rsidP="003607BC">
            <w:pPr>
              <w:suppressAutoHyphens/>
              <w:spacing w:before="0" w:after="0"/>
              <w:rPr>
                <w:rFonts w:cs="Arial"/>
              </w:rPr>
            </w:pPr>
            <w:r w:rsidRPr="00A13F7B">
              <w:rPr>
                <w:rFonts w:cs="Arial"/>
              </w:rPr>
              <w:t>Nijmeegse Ouderlijke Stress Index Korte versie (NOSI-K)</w:t>
            </w:r>
          </w:p>
        </w:tc>
        <w:tc>
          <w:tcPr>
            <w:tcW w:w="2096" w:type="dxa"/>
          </w:tcPr>
          <w:p w14:paraId="12712813" w14:textId="77777777" w:rsidR="00A13F7B" w:rsidRPr="00A13F7B" w:rsidRDefault="00A13F7B" w:rsidP="003607BC">
            <w:pPr>
              <w:suppressAutoHyphens/>
              <w:spacing w:before="0" w:after="0"/>
              <w:rPr>
                <w:rFonts w:cs="Arial"/>
              </w:rPr>
            </w:pPr>
            <w:r w:rsidRPr="00A13F7B">
              <w:rPr>
                <w:rFonts w:cs="Arial"/>
              </w:rPr>
              <w:t xml:space="preserve">As above  </w:t>
            </w:r>
          </w:p>
        </w:tc>
        <w:tc>
          <w:tcPr>
            <w:tcW w:w="5385" w:type="dxa"/>
          </w:tcPr>
          <w:p w14:paraId="1A1B0B39" w14:textId="77777777" w:rsidR="00A13F7B" w:rsidRPr="00A13F7B" w:rsidRDefault="00A13F7B" w:rsidP="003607BC">
            <w:pPr>
              <w:suppressAutoHyphens/>
              <w:spacing w:before="0" w:after="0"/>
              <w:rPr>
                <w:rFonts w:cs="Arial"/>
              </w:rPr>
            </w:pPr>
            <w:r w:rsidRPr="00A13F7B">
              <w:rPr>
                <w:rFonts w:cs="Arial"/>
              </w:rPr>
              <w:t xml:space="preserve">No evidence of a difference between groups for parenting stress throughout the intervention period. </w:t>
            </w:r>
          </w:p>
          <w:p w14:paraId="1A8A36B9" w14:textId="77777777" w:rsidR="00A13F7B" w:rsidRPr="00A13F7B" w:rsidRDefault="00A13F7B" w:rsidP="003607BC">
            <w:pPr>
              <w:suppressAutoHyphens/>
              <w:spacing w:before="0" w:after="0"/>
              <w:rPr>
                <w:rFonts w:cs="Arial"/>
              </w:rPr>
            </w:pPr>
          </w:p>
        </w:tc>
      </w:tr>
      <w:tr w:rsidR="00A13F7B" w:rsidRPr="00A13F7B" w14:paraId="504F9874"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vMerge/>
          </w:tcPr>
          <w:p w14:paraId="25621CB5" w14:textId="77777777" w:rsidR="00A13F7B" w:rsidRPr="00A13F7B" w:rsidRDefault="00A13F7B" w:rsidP="003607BC">
            <w:pPr>
              <w:suppressAutoHyphens/>
              <w:spacing w:before="0" w:after="0"/>
              <w:rPr>
                <w:rFonts w:cs="Arial"/>
              </w:rPr>
            </w:pPr>
          </w:p>
        </w:tc>
        <w:tc>
          <w:tcPr>
            <w:tcW w:w="1361" w:type="dxa"/>
            <w:vMerge/>
          </w:tcPr>
          <w:p w14:paraId="3FF4200C" w14:textId="77777777" w:rsidR="00A13F7B" w:rsidRPr="00A13F7B" w:rsidRDefault="00A13F7B" w:rsidP="003607BC">
            <w:pPr>
              <w:suppressAutoHyphens/>
              <w:spacing w:before="0" w:after="0"/>
              <w:rPr>
                <w:rFonts w:cs="Arial"/>
              </w:rPr>
            </w:pPr>
          </w:p>
        </w:tc>
        <w:tc>
          <w:tcPr>
            <w:tcW w:w="1383" w:type="dxa"/>
            <w:vMerge/>
          </w:tcPr>
          <w:p w14:paraId="137E5377" w14:textId="77777777" w:rsidR="00A13F7B" w:rsidRPr="00A13F7B" w:rsidRDefault="00A13F7B" w:rsidP="003607BC">
            <w:pPr>
              <w:suppressAutoHyphens/>
              <w:spacing w:before="0" w:after="0"/>
              <w:rPr>
                <w:rFonts w:cs="Arial"/>
              </w:rPr>
            </w:pPr>
          </w:p>
        </w:tc>
        <w:tc>
          <w:tcPr>
            <w:tcW w:w="2175" w:type="dxa"/>
          </w:tcPr>
          <w:p w14:paraId="7054AD4E" w14:textId="77777777" w:rsidR="00A13F7B" w:rsidRPr="00A13F7B" w:rsidRDefault="00A13F7B" w:rsidP="003607BC">
            <w:pPr>
              <w:suppressAutoHyphens/>
              <w:spacing w:before="0" w:after="0"/>
              <w:rPr>
                <w:rFonts w:cs="Arial"/>
              </w:rPr>
            </w:pPr>
            <w:r w:rsidRPr="00A13F7B">
              <w:rPr>
                <w:rFonts w:cs="Arial"/>
              </w:rPr>
              <w:t>Utrechtse Coping List (UCL)</w:t>
            </w:r>
          </w:p>
        </w:tc>
        <w:tc>
          <w:tcPr>
            <w:tcW w:w="2096" w:type="dxa"/>
          </w:tcPr>
          <w:p w14:paraId="7B898890" w14:textId="77777777" w:rsidR="00A13F7B" w:rsidRPr="00A13F7B" w:rsidRDefault="00A13F7B" w:rsidP="003607BC">
            <w:pPr>
              <w:suppressAutoHyphens/>
              <w:spacing w:before="0" w:after="0"/>
              <w:rPr>
                <w:rFonts w:cs="Arial"/>
              </w:rPr>
            </w:pPr>
            <w:r w:rsidRPr="00A13F7B">
              <w:rPr>
                <w:rFonts w:cs="Arial"/>
              </w:rPr>
              <w:t xml:space="preserve">Baseline; </w:t>
            </w:r>
          </w:p>
          <w:p w14:paraId="6648E67C" w14:textId="77777777" w:rsidR="00A13F7B" w:rsidRPr="00A13F7B" w:rsidRDefault="00A13F7B" w:rsidP="003607BC">
            <w:pPr>
              <w:suppressAutoHyphens/>
              <w:spacing w:before="0" w:after="0"/>
              <w:rPr>
                <w:rFonts w:cs="Arial"/>
              </w:rPr>
            </w:pPr>
            <w:r w:rsidRPr="00A13F7B">
              <w:rPr>
                <w:rFonts w:cs="Arial"/>
              </w:rPr>
              <w:t>Follow up (12 months)</w:t>
            </w:r>
          </w:p>
        </w:tc>
        <w:tc>
          <w:tcPr>
            <w:tcW w:w="5385" w:type="dxa"/>
          </w:tcPr>
          <w:p w14:paraId="15BF0BB9" w14:textId="77777777" w:rsidR="00A13F7B" w:rsidRPr="00A13F7B" w:rsidRDefault="00A13F7B" w:rsidP="003607BC">
            <w:pPr>
              <w:suppressAutoHyphens/>
              <w:spacing w:before="0" w:after="0"/>
              <w:rPr>
                <w:rFonts w:cs="Arial"/>
              </w:rPr>
            </w:pPr>
            <w:r w:rsidRPr="00A13F7B">
              <w:rPr>
                <w:rFonts w:cs="Arial"/>
              </w:rPr>
              <w:t xml:space="preserve">No evidence of a difference between groups for coping throughout the intervention period. </w:t>
            </w:r>
          </w:p>
          <w:p w14:paraId="5D318887" w14:textId="77777777" w:rsidR="00A13F7B" w:rsidRPr="00A13F7B" w:rsidRDefault="00A13F7B" w:rsidP="003607BC">
            <w:pPr>
              <w:suppressAutoHyphens/>
              <w:spacing w:before="0" w:after="0"/>
              <w:rPr>
                <w:rFonts w:cs="Arial"/>
              </w:rPr>
            </w:pPr>
          </w:p>
        </w:tc>
      </w:tr>
      <w:tr w:rsidR="00A13F7B" w:rsidRPr="00A13F7B" w14:paraId="543BB4AF" w14:textId="77777777" w:rsidTr="005F6B45">
        <w:trPr>
          <w:cnfStyle w:val="000000100000" w:firstRow="0" w:lastRow="0" w:firstColumn="0" w:lastColumn="0" w:oddVBand="0" w:evenVBand="0" w:oddHBand="1" w:evenHBand="0" w:firstRowFirstColumn="0" w:firstRowLastColumn="0" w:lastRowFirstColumn="0" w:lastRowLastColumn="0"/>
          <w:trHeight w:val="1116"/>
        </w:trPr>
        <w:tc>
          <w:tcPr>
            <w:tcW w:w="1350" w:type="dxa"/>
            <w:vMerge/>
          </w:tcPr>
          <w:p w14:paraId="18988C2F" w14:textId="77777777" w:rsidR="00A13F7B" w:rsidRPr="00A13F7B" w:rsidRDefault="00A13F7B" w:rsidP="003607BC">
            <w:pPr>
              <w:suppressAutoHyphens/>
              <w:spacing w:before="0" w:after="0"/>
              <w:rPr>
                <w:rFonts w:cs="Arial"/>
              </w:rPr>
            </w:pPr>
          </w:p>
        </w:tc>
        <w:tc>
          <w:tcPr>
            <w:tcW w:w="1361" w:type="dxa"/>
            <w:vMerge/>
          </w:tcPr>
          <w:p w14:paraId="2F46AC16" w14:textId="77777777" w:rsidR="00A13F7B" w:rsidRPr="00A13F7B" w:rsidRDefault="00A13F7B" w:rsidP="003607BC">
            <w:pPr>
              <w:suppressAutoHyphens/>
              <w:spacing w:before="0" w:after="0"/>
              <w:rPr>
                <w:rFonts w:cs="Arial"/>
              </w:rPr>
            </w:pPr>
          </w:p>
        </w:tc>
        <w:tc>
          <w:tcPr>
            <w:tcW w:w="1383" w:type="dxa"/>
            <w:vMerge/>
          </w:tcPr>
          <w:p w14:paraId="454486A2" w14:textId="77777777" w:rsidR="00A13F7B" w:rsidRPr="00A13F7B" w:rsidRDefault="00A13F7B" w:rsidP="003607BC">
            <w:pPr>
              <w:suppressAutoHyphens/>
              <w:spacing w:before="0" w:after="0"/>
              <w:rPr>
                <w:rFonts w:cs="Arial"/>
              </w:rPr>
            </w:pPr>
          </w:p>
        </w:tc>
        <w:tc>
          <w:tcPr>
            <w:tcW w:w="2175" w:type="dxa"/>
          </w:tcPr>
          <w:p w14:paraId="70EDC8FE" w14:textId="77777777" w:rsidR="00A13F7B" w:rsidRPr="00A13F7B" w:rsidRDefault="00A13F7B" w:rsidP="003607BC">
            <w:pPr>
              <w:suppressAutoHyphens/>
              <w:spacing w:before="0" w:after="0"/>
              <w:rPr>
                <w:rFonts w:cs="Arial"/>
              </w:rPr>
            </w:pPr>
            <w:r w:rsidRPr="00A13F7B">
              <w:rPr>
                <w:rFonts w:cs="Arial"/>
              </w:rPr>
              <w:t>Centraal Bureau voor de Statistiek List - Quality of Life (CBS-list QoL)</w:t>
            </w:r>
          </w:p>
        </w:tc>
        <w:tc>
          <w:tcPr>
            <w:tcW w:w="2096" w:type="dxa"/>
          </w:tcPr>
          <w:p w14:paraId="6D44B7CD" w14:textId="77777777" w:rsidR="00A13F7B" w:rsidRPr="00A13F7B" w:rsidRDefault="00A13F7B" w:rsidP="003607BC">
            <w:pPr>
              <w:suppressAutoHyphens/>
              <w:spacing w:before="0" w:after="0"/>
              <w:rPr>
                <w:rFonts w:cs="Arial"/>
              </w:rPr>
            </w:pPr>
            <w:r w:rsidRPr="00A13F7B">
              <w:rPr>
                <w:rFonts w:cs="Arial"/>
              </w:rPr>
              <w:t xml:space="preserve">Baseline; </w:t>
            </w:r>
          </w:p>
          <w:p w14:paraId="004C1329" w14:textId="77777777" w:rsidR="00A13F7B" w:rsidRPr="00A13F7B" w:rsidRDefault="00A13F7B" w:rsidP="003607BC">
            <w:pPr>
              <w:suppressAutoHyphens/>
              <w:spacing w:before="0" w:after="0"/>
              <w:rPr>
                <w:rFonts w:cs="Arial"/>
              </w:rPr>
            </w:pPr>
            <w:r w:rsidRPr="00A13F7B">
              <w:rPr>
                <w:rFonts w:cs="Arial"/>
              </w:rPr>
              <w:t xml:space="preserve">Post-intervention (6 months); </w:t>
            </w:r>
          </w:p>
          <w:p w14:paraId="0187BDBA" w14:textId="403D0FE9" w:rsidR="00A13F7B" w:rsidRPr="00A13F7B" w:rsidRDefault="00A13F7B" w:rsidP="006478C1">
            <w:pPr>
              <w:suppressAutoHyphens/>
              <w:spacing w:before="0" w:after="0"/>
              <w:rPr>
                <w:rFonts w:cs="Arial"/>
              </w:rPr>
            </w:pPr>
            <w:r w:rsidRPr="00A13F7B">
              <w:rPr>
                <w:rFonts w:cs="Arial"/>
              </w:rPr>
              <w:t>Follow up (12 months)</w:t>
            </w:r>
          </w:p>
        </w:tc>
        <w:tc>
          <w:tcPr>
            <w:tcW w:w="5385" w:type="dxa"/>
          </w:tcPr>
          <w:p w14:paraId="4F863408" w14:textId="77777777" w:rsidR="00A13F7B" w:rsidRPr="00A13F7B" w:rsidRDefault="00A13F7B" w:rsidP="003607BC">
            <w:pPr>
              <w:suppressAutoHyphens/>
              <w:spacing w:before="0" w:after="0"/>
              <w:rPr>
                <w:rFonts w:cs="Arial"/>
              </w:rPr>
            </w:pPr>
            <w:r w:rsidRPr="00A13F7B">
              <w:rPr>
                <w:rFonts w:cs="Arial"/>
              </w:rPr>
              <w:t xml:space="preserve">Caregivers’ quality of life at baseline and after 12 months, was similar in the two intervention groups. </w:t>
            </w:r>
          </w:p>
          <w:p w14:paraId="6A86E63D" w14:textId="77777777" w:rsidR="00A13F7B" w:rsidRPr="00A13F7B" w:rsidRDefault="00A13F7B" w:rsidP="003607BC">
            <w:pPr>
              <w:suppressAutoHyphens/>
              <w:spacing w:before="0" w:after="0"/>
              <w:rPr>
                <w:rFonts w:cs="Arial"/>
              </w:rPr>
            </w:pPr>
            <w:r w:rsidRPr="00A13F7B">
              <w:rPr>
                <w:rFonts w:cs="Arial"/>
              </w:rPr>
              <w:t>Evidence of improvements in caregivers’ quality of life over time for the COPCA group.</w:t>
            </w:r>
          </w:p>
        </w:tc>
      </w:tr>
      <w:tr w:rsidR="00A13F7B" w:rsidRPr="00A13F7B" w14:paraId="4A4C1381" w14:textId="77777777">
        <w:trPr>
          <w:cnfStyle w:val="000000010000" w:firstRow="0" w:lastRow="0" w:firstColumn="0" w:lastColumn="0" w:oddVBand="0" w:evenVBand="0" w:oddHBand="0" w:evenHBand="1" w:firstRowFirstColumn="0" w:firstRowLastColumn="0" w:lastRowFirstColumn="0" w:lastRowLastColumn="0"/>
          <w:trHeight w:val="340"/>
        </w:trPr>
        <w:tc>
          <w:tcPr>
            <w:tcW w:w="13750" w:type="dxa"/>
            <w:gridSpan w:val="6"/>
            <w:shd w:val="clear" w:color="auto" w:fill="DAE2E6"/>
          </w:tcPr>
          <w:p w14:paraId="118F8773" w14:textId="77777777" w:rsidR="00A13F7B" w:rsidRPr="00A13F7B" w:rsidRDefault="00A13F7B" w:rsidP="003607BC">
            <w:pPr>
              <w:suppressAutoHyphens/>
              <w:spacing w:before="0" w:after="0"/>
              <w:rPr>
                <w:rFonts w:cs="Arial"/>
              </w:rPr>
            </w:pPr>
            <w:r w:rsidRPr="00A13F7B">
              <w:rPr>
                <w:rFonts w:cs="Arial"/>
                <w:b/>
              </w:rPr>
              <w:t>Early Start Denver Model (ESDM)</w:t>
            </w:r>
          </w:p>
        </w:tc>
      </w:tr>
      <w:tr w:rsidR="00A13F7B" w:rsidRPr="00A13F7B" w14:paraId="30B42A80"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tcPr>
          <w:p w14:paraId="639515B3" w14:textId="77777777" w:rsidR="00A13F7B" w:rsidRPr="00A13F7B" w:rsidRDefault="00A13F7B" w:rsidP="003607BC">
            <w:pPr>
              <w:suppressAutoHyphens/>
              <w:spacing w:before="0" w:after="0"/>
              <w:rPr>
                <w:rFonts w:cs="Arial"/>
                <w:b/>
              </w:rPr>
            </w:pPr>
            <w:r w:rsidRPr="00A13F7B">
              <w:rPr>
                <w:rFonts w:cs="Arial"/>
                <w:b/>
              </w:rPr>
              <w:t xml:space="preserve">Vivanti </w:t>
            </w:r>
          </w:p>
          <w:p w14:paraId="696E6C0F" w14:textId="77777777" w:rsidR="00A13F7B" w:rsidRPr="00A13F7B" w:rsidRDefault="00A13F7B" w:rsidP="003607BC">
            <w:pPr>
              <w:suppressAutoHyphens/>
              <w:spacing w:before="0" w:after="0"/>
              <w:rPr>
                <w:rFonts w:cs="Arial"/>
                <w:b/>
              </w:rPr>
            </w:pPr>
            <w:r w:rsidRPr="00A13F7B">
              <w:rPr>
                <w:rFonts w:cs="Arial"/>
                <w:b/>
              </w:rPr>
              <w:t>2019</w:t>
            </w:r>
          </w:p>
        </w:tc>
        <w:tc>
          <w:tcPr>
            <w:tcW w:w="1361" w:type="dxa"/>
          </w:tcPr>
          <w:p w14:paraId="4C347B34" w14:textId="77777777" w:rsidR="00A13F7B" w:rsidRPr="00A13F7B" w:rsidRDefault="00A13F7B" w:rsidP="003607BC">
            <w:pPr>
              <w:suppressAutoHyphens/>
              <w:spacing w:before="0" w:after="0"/>
              <w:rPr>
                <w:rFonts w:cs="Arial"/>
              </w:rPr>
            </w:pPr>
            <w:r w:rsidRPr="00A13F7B">
              <w:rPr>
                <w:rFonts w:cs="Arial"/>
              </w:rPr>
              <w:t>ESDM-G Specialised (n=22)</w:t>
            </w:r>
          </w:p>
        </w:tc>
        <w:tc>
          <w:tcPr>
            <w:tcW w:w="1383" w:type="dxa"/>
          </w:tcPr>
          <w:p w14:paraId="1467481E" w14:textId="77777777" w:rsidR="00A13F7B" w:rsidRPr="00A13F7B" w:rsidRDefault="00A13F7B" w:rsidP="003607BC">
            <w:pPr>
              <w:suppressAutoHyphens/>
              <w:spacing w:before="0" w:after="0"/>
              <w:rPr>
                <w:rFonts w:cs="Arial"/>
              </w:rPr>
            </w:pPr>
            <w:r w:rsidRPr="00A13F7B">
              <w:rPr>
                <w:rFonts w:cs="Arial"/>
              </w:rPr>
              <w:t>ESDM-G Inclusive (n=22)</w:t>
            </w:r>
          </w:p>
        </w:tc>
        <w:tc>
          <w:tcPr>
            <w:tcW w:w="2175" w:type="dxa"/>
          </w:tcPr>
          <w:p w14:paraId="594672A6" w14:textId="77777777" w:rsidR="00A13F7B" w:rsidRPr="00A13F7B" w:rsidRDefault="00A13F7B" w:rsidP="003607BC">
            <w:pPr>
              <w:suppressAutoHyphens/>
              <w:spacing w:before="0" w:after="0"/>
              <w:rPr>
                <w:rFonts w:cs="Arial"/>
              </w:rPr>
            </w:pPr>
            <w:r w:rsidRPr="00A13F7B">
              <w:rPr>
                <w:rFonts w:cs="Arial"/>
              </w:rPr>
              <w:t>Parenting Stress Index (PSI)</w:t>
            </w:r>
          </w:p>
        </w:tc>
        <w:tc>
          <w:tcPr>
            <w:tcW w:w="2096" w:type="dxa"/>
          </w:tcPr>
          <w:p w14:paraId="7EA93CA4" w14:textId="77777777" w:rsidR="00A13F7B" w:rsidRPr="00A13F7B" w:rsidRDefault="00A13F7B" w:rsidP="003607BC">
            <w:pPr>
              <w:suppressAutoHyphens/>
              <w:spacing w:before="0" w:after="0"/>
              <w:rPr>
                <w:rFonts w:cs="Arial"/>
              </w:rPr>
            </w:pPr>
            <w:r w:rsidRPr="00A13F7B">
              <w:rPr>
                <w:rFonts w:cs="Arial"/>
              </w:rPr>
              <w:t xml:space="preserve">Baseline; </w:t>
            </w:r>
          </w:p>
          <w:p w14:paraId="3D8866D3" w14:textId="77777777" w:rsidR="00A13F7B" w:rsidRPr="00A13F7B" w:rsidRDefault="00A13F7B" w:rsidP="003607BC">
            <w:pPr>
              <w:suppressAutoHyphens/>
              <w:spacing w:before="0" w:after="0"/>
              <w:rPr>
                <w:rFonts w:cs="Arial"/>
              </w:rPr>
            </w:pPr>
            <w:r w:rsidRPr="00A13F7B">
              <w:rPr>
                <w:rFonts w:cs="Arial"/>
              </w:rPr>
              <w:t>Post-intervention</w:t>
            </w:r>
          </w:p>
        </w:tc>
        <w:tc>
          <w:tcPr>
            <w:tcW w:w="5385" w:type="dxa"/>
          </w:tcPr>
          <w:p w14:paraId="34DD813F" w14:textId="77777777" w:rsidR="00A13F7B" w:rsidRPr="00A13F7B" w:rsidRDefault="00A13F7B" w:rsidP="003607BC">
            <w:pPr>
              <w:suppressAutoHyphens/>
              <w:spacing w:before="0" w:after="0"/>
              <w:rPr>
                <w:rFonts w:cs="Arial"/>
              </w:rPr>
            </w:pPr>
            <w:r w:rsidRPr="00A13F7B">
              <w:rPr>
                <w:rFonts w:cs="Arial"/>
              </w:rPr>
              <w:t xml:space="preserve">Evidence of decreased parenting stress over time for both groups. No evidence of a difference in parenting stress between groups or group by time interaction.   </w:t>
            </w:r>
          </w:p>
        </w:tc>
      </w:tr>
      <w:tr w:rsidR="00A13F7B" w:rsidRPr="00A13F7B" w14:paraId="3EEB59F0"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vMerge w:val="restart"/>
          </w:tcPr>
          <w:p w14:paraId="0ACF3776" w14:textId="77777777" w:rsidR="00A13F7B" w:rsidRPr="00A13F7B" w:rsidRDefault="00A13F7B" w:rsidP="003607BC">
            <w:pPr>
              <w:suppressAutoHyphens/>
              <w:spacing w:before="0" w:after="0"/>
              <w:rPr>
                <w:rFonts w:cs="Arial"/>
                <w:b/>
              </w:rPr>
            </w:pPr>
            <w:r w:rsidRPr="00A13F7B">
              <w:rPr>
                <w:rFonts w:cs="Arial"/>
                <w:b/>
              </w:rPr>
              <w:t xml:space="preserve">Estes </w:t>
            </w:r>
          </w:p>
          <w:p w14:paraId="4A8F5DDE" w14:textId="77777777" w:rsidR="00A13F7B" w:rsidRPr="00A13F7B" w:rsidRDefault="00A13F7B" w:rsidP="003607BC">
            <w:pPr>
              <w:suppressAutoHyphens/>
              <w:spacing w:before="0" w:after="0"/>
              <w:rPr>
                <w:rFonts w:cs="Arial"/>
                <w:b/>
              </w:rPr>
            </w:pPr>
            <w:r w:rsidRPr="00A13F7B">
              <w:rPr>
                <w:rFonts w:cs="Arial"/>
                <w:b/>
              </w:rPr>
              <w:t>2014</w:t>
            </w:r>
          </w:p>
        </w:tc>
        <w:tc>
          <w:tcPr>
            <w:tcW w:w="1361" w:type="dxa"/>
            <w:vMerge w:val="restart"/>
          </w:tcPr>
          <w:p w14:paraId="7910E9BB" w14:textId="77777777" w:rsidR="00A13F7B" w:rsidRPr="00A13F7B" w:rsidRDefault="00A13F7B" w:rsidP="003607BC">
            <w:pPr>
              <w:suppressAutoHyphens/>
              <w:spacing w:before="0" w:after="0"/>
              <w:rPr>
                <w:rFonts w:cs="Arial"/>
              </w:rPr>
            </w:pPr>
            <w:r w:rsidRPr="00A13F7B">
              <w:rPr>
                <w:rFonts w:cs="Arial"/>
              </w:rPr>
              <w:t xml:space="preserve">ESDM-P </w:t>
            </w:r>
          </w:p>
          <w:p w14:paraId="18E3B434" w14:textId="77777777" w:rsidR="00A13F7B" w:rsidRPr="00A13F7B" w:rsidRDefault="00A13F7B" w:rsidP="003607BC">
            <w:pPr>
              <w:suppressAutoHyphens/>
              <w:spacing w:before="0" w:after="0"/>
              <w:rPr>
                <w:rFonts w:cs="Arial"/>
              </w:rPr>
            </w:pPr>
            <w:r w:rsidRPr="00A13F7B">
              <w:rPr>
                <w:rFonts w:cs="Arial"/>
              </w:rPr>
              <w:t>(n=44)</w:t>
            </w:r>
          </w:p>
        </w:tc>
        <w:tc>
          <w:tcPr>
            <w:tcW w:w="1383" w:type="dxa"/>
            <w:vMerge w:val="restart"/>
          </w:tcPr>
          <w:p w14:paraId="7284FFBC" w14:textId="77777777" w:rsidR="00A13F7B" w:rsidRPr="00A13F7B" w:rsidRDefault="00A13F7B" w:rsidP="003607BC">
            <w:pPr>
              <w:suppressAutoHyphens/>
              <w:spacing w:before="0" w:after="0"/>
              <w:rPr>
                <w:rFonts w:cs="Arial"/>
              </w:rPr>
            </w:pPr>
            <w:r w:rsidRPr="00A13F7B">
              <w:rPr>
                <w:rFonts w:cs="Arial"/>
              </w:rPr>
              <w:t xml:space="preserve">CS  </w:t>
            </w:r>
          </w:p>
          <w:p w14:paraId="7353CF1F" w14:textId="77777777" w:rsidR="00A13F7B" w:rsidRPr="00A13F7B" w:rsidRDefault="00A13F7B" w:rsidP="003607BC">
            <w:pPr>
              <w:suppressAutoHyphens/>
              <w:spacing w:before="0" w:after="0"/>
              <w:rPr>
                <w:rFonts w:cs="Arial"/>
              </w:rPr>
            </w:pPr>
            <w:r w:rsidRPr="00A13F7B">
              <w:rPr>
                <w:rFonts w:cs="Arial"/>
              </w:rPr>
              <w:t>(n=38)</w:t>
            </w:r>
          </w:p>
        </w:tc>
        <w:tc>
          <w:tcPr>
            <w:tcW w:w="2175" w:type="dxa"/>
          </w:tcPr>
          <w:p w14:paraId="713DD3D1" w14:textId="77777777" w:rsidR="00A13F7B" w:rsidRPr="00A13F7B" w:rsidRDefault="00A13F7B" w:rsidP="003607BC">
            <w:pPr>
              <w:suppressAutoHyphens/>
              <w:spacing w:before="0" w:after="0"/>
              <w:rPr>
                <w:rFonts w:cs="Arial"/>
              </w:rPr>
            </w:pPr>
            <w:r w:rsidRPr="00A13F7B">
              <w:rPr>
                <w:rFonts w:cs="Arial"/>
              </w:rPr>
              <w:t>Questionnaire on Resources and Stress (QRS)</w:t>
            </w:r>
          </w:p>
        </w:tc>
        <w:tc>
          <w:tcPr>
            <w:tcW w:w="2096" w:type="dxa"/>
          </w:tcPr>
          <w:p w14:paraId="6BF3E6FE" w14:textId="77777777" w:rsidR="00A13F7B" w:rsidRPr="00A13F7B" w:rsidRDefault="00A13F7B" w:rsidP="003607BC">
            <w:pPr>
              <w:suppressAutoHyphens/>
              <w:spacing w:before="0" w:after="0"/>
              <w:rPr>
                <w:rFonts w:cs="Arial"/>
              </w:rPr>
            </w:pPr>
            <w:r w:rsidRPr="00A13F7B">
              <w:rPr>
                <w:rFonts w:cs="Arial"/>
              </w:rPr>
              <w:t xml:space="preserve">Baseline; </w:t>
            </w:r>
          </w:p>
          <w:p w14:paraId="06F19809" w14:textId="77777777" w:rsidR="00A13F7B" w:rsidRPr="00A13F7B" w:rsidRDefault="00A13F7B" w:rsidP="003607BC">
            <w:pPr>
              <w:suppressAutoHyphens/>
              <w:spacing w:before="0" w:after="0"/>
              <w:rPr>
                <w:rFonts w:cs="Arial"/>
              </w:rPr>
            </w:pPr>
            <w:r w:rsidRPr="00A13F7B">
              <w:rPr>
                <w:rFonts w:cs="Arial"/>
              </w:rPr>
              <w:t>Post-intervention (12 weeks)</w:t>
            </w:r>
          </w:p>
        </w:tc>
        <w:tc>
          <w:tcPr>
            <w:tcW w:w="5385" w:type="dxa"/>
          </w:tcPr>
          <w:p w14:paraId="7D624B30" w14:textId="77777777" w:rsidR="00A13F7B" w:rsidRPr="00A13F7B" w:rsidRDefault="00A13F7B" w:rsidP="003607BC">
            <w:pPr>
              <w:suppressAutoHyphens/>
              <w:spacing w:before="0" w:after="0"/>
              <w:rPr>
                <w:rFonts w:cs="Arial"/>
              </w:rPr>
            </w:pPr>
            <w:r w:rsidRPr="00A13F7B">
              <w:rPr>
                <w:rFonts w:cs="Arial"/>
              </w:rPr>
              <w:t xml:space="preserve">Evidence of decreased parenting stress post-intervention for the P-ESDM group, after accounting for baseline score and ADOS Modified Social Affect scores. </w:t>
            </w:r>
          </w:p>
        </w:tc>
      </w:tr>
      <w:tr w:rsidR="00A13F7B" w:rsidRPr="00A13F7B" w14:paraId="16DAB0B5"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vMerge/>
          </w:tcPr>
          <w:p w14:paraId="65E61C6F" w14:textId="77777777" w:rsidR="00A13F7B" w:rsidRPr="00A13F7B" w:rsidRDefault="00A13F7B" w:rsidP="003607BC">
            <w:pPr>
              <w:suppressAutoHyphens/>
              <w:spacing w:before="0" w:after="0"/>
              <w:rPr>
                <w:rFonts w:cs="Arial"/>
              </w:rPr>
            </w:pPr>
          </w:p>
        </w:tc>
        <w:tc>
          <w:tcPr>
            <w:tcW w:w="1361" w:type="dxa"/>
            <w:vMerge/>
          </w:tcPr>
          <w:p w14:paraId="47DDBCC5" w14:textId="77777777" w:rsidR="00A13F7B" w:rsidRPr="00A13F7B" w:rsidRDefault="00A13F7B" w:rsidP="003607BC">
            <w:pPr>
              <w:suppressAutoHyphens/>
              <w:spacing w:before="0" w:after="0"/>
              <w:rPr>
                <w:rFonts w:cs="Arial"/>
              </w:rPr>
            </w:pPr>
          </w:p>
        </w:tc>
        <w:tc>
          <w:tcPr>
            <w:tcW w:w="1383" w:type="dxa"/>
            <w:vMerge/>
          </w:tcPr>
          <w:p w14:paraId="209FA15E" w14:textId="77777777" w:rsidR="00A13F7B" w:rsidRPr="00A13F7B" w:rsidRDefault="00A13F7B" w:rsidP="003607BC">
            <w:pPr>
              <w:suppressAutoHyphens/>
              <w:spacing w:before="0" w:after="0"/>
              <w:rPr>
                <w:rFonts w:cs="Arial"/>
              </w:rPr>
            </w:pPr>
          </w:p>
        </w:tc>
        <w:tc>
          <w:tcPr>
            <w:tcW w:w="2175" w:type="dxa"/>
          </w:tcPr>
          <w:p w14:paraId="23FAD976" w14:textId="4915B307" w:rsidR="00A13F7B" w:rsidRPr="00A13F7B" w:rsidRDefault="00A13F7B" w:rsidP="003607BC">
            <w:pPr>
              <w:suppressAutoHyphens/>
              <w:spacing w:before="0" w:after="0"/>
              <w:rPr>
                <w:rFonts w:cs="Arial"/>
              </w:rPr>
            </w:pPr>
            <w:r w:rsidRPr="00A13F7B">
              <w:rPr>
                <w:rFonts w:cs="Arial"/>
              </w:rPr>
              <w:t>Parent Sense of Competence Scale (PSOC)</w:t>
            </w:r>
          </w:p>
        </w:tc>
        <w:tc>
          <w:tcPr>
            <w:tcW w:w="2096" w:type="dxa"/>
          </w:tcPr>
          <w:p w14:paraId="69755B28" w14:textId="77777777" w:rsidR="00A13F7B" w:rsidRPr="00A13F7B" w:rsidRDefault="00A13F7B" w:rsidP="003607BC">
            <w:pPr>
              <w:suppressAutoHyphens/>
              <w:spacing w:before="0" w:after="0"/>
              <w:rPr>
                <w:rFonts w:cs="Arial"/>
              </w:rPr>
            </w:pPr>
            <w:r w:rsidRPr="00A13F7B">
              <w:rPr>
                <w:rFonts w:cs="Arial"/>
              </w:rPr>
              <w:t>As above</w:t>
            </w:r>
          </w:p>
        </w:tc>
        <w:tc>
          <w:tcPr>
            <w:tcW w:w="5385" w:type="dxa"/>
          </w:tcPr>
          <w:p w14:paraId="5636FED2" w14:textId="77777777" w:rsidR="00A13F7B" w:rsidRPr="00A13F7B" w:rsidRDefault="00A13F7B" w:rsidP="003607BC">
            <w:pPr>
              <w:suppressAutoHyphens/>
              <w:spacing w:before="0" w:after="0"/>
              <w:rPr>
                <w:rFonts w:cs="Arial"/>
              </w:rPr>
            </w:pPr>
            <w:r w:rsidRPr="00A13F7B">
              <w:rPr>
                <w:rFonts w:cs="Arial"/>
              </w:rPr>
              <w:t>No evidence of a difference between groups in parent competence, after adjusting for baseline scores.</w:t>
            </w:r>
          </w:p>
        </w:tc>
      </w:tr>
      <w:tr w:rsidR="00A13F7B" w:rsidRPr="00A13F7B" w14:paraId="199D07ED" w14:textId="77777777">
        <w:trPr>
          <w:cnfStyle w:val="000000010000" w:firstRow="0" w:lastRow="0" w:firstColumn="0" w:lastColumn="0" w:oddVBand="0" w:evenVBand="0" w:oddHBand="0" w:evenHBand="1" w:firstRowFirstColumn="0" w:firstRowLastColumn="0" w:lastRowFirstColumn="0" w:lastRowLastColumn="0"/>
          <w:trHeight w:val="340"/>
        </w:trPr>
        <w:tc>
          <w:tcPr>
            <w:tcW w:w="13750" w:type="dxa"/>
            <w:gridSpan w:val="6"/>
            <w:shd w:val="clear" w:color="auto" w:fill="DAE2E6"/>
          </w:tcPr>
          <w:p w14:paraId="5EB9D13D" w14:textId="77777777" w:rsidR="00A13F7B" w:rsidRPr="00A13F7B" w:rsidRDefault="00A13F7B" w:rsidP="003607BC">
            <w:pPr>
              <w:suppressAutoHyphens/>
              <w:spacing w:before="0" w:after="0"/>
              <w:rPr>
                <w:rFonts w:cs="Arial"/>
                <w:b/>
              </w:rPr>
            </w:pPr>
            <w:r w:rsidRPr="00A13F7B">
              <w:rPr>
                <w:rFonts w:cs="Arial"/>
                <w:b/>
              </w:rPr>
              <w:t>iBASIS - Video Interaction for Promoting Positive Parenting program</w:t>
            </w:r>
          </w:p>
        </w:tc>
      </w:tr>
      <w:tr w:rsidR="00A13F7B" w:rsidRPr="00A13F7B" w14:paraId="75FEE6D0"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tcPr>
          <w:p w14:paraId="3845BEC1" w14:textId="77777777" w:rsidR="00A13F7B" w:rsidRPr="00A13F7B" w:rsidRDefault="00A13F7B" w:rsidP="003607BC">
            <w:pPr>
              <w:suppressAutoHyphens/>
              <w:spacing w:before="0" w:after="0"/>
              <w:rPr>
                <w:rFonts w:cs="Arial"/>
                <w:b/>
              </w:rPr>
            </w:pPr>
            <w:r w:rsidRPr="00A13F7B">
              <w:rPr>
                <w:rFonts w:cs="Arial"/>
                <w:b/>
              </w:rPr>
              <w:t xml:space="preserve">Whitehouse </w:t>
            </w:r>
          </w:p>
          <w:p w14:paraId="66B3B9AB" w14:textId="77777777" w:rsidR="00A13F7B" w:rsidRPr="00A13F7B" w:rsidRDefault="00A13F7B" w:rsidP="003607BC">
            <w:pPr>
              <w:suppressAutoHyphens/>
              <w:spacing w:before="0" w:after="0"/>
              <w:rPr>
                <w:rFonts w:cs="Arial"/>
                <w:b/>
              </w:rPr>
            </w:pPr>
            <w:r w:rsidRPr="00A13F7B">
              <w:rPr>
                <w:rFonts w:cs="Arial"/>
                <w:b/>
              </w:rPr>
              <w:t>2021</w:t>
            </w:r>
          </w:p>
        </w:tc>
        <w:tc>
          <w:tcPr>
            <w:tcW w:w="1361" w:type="dxa"/>
          </w:tcPr>
          <w:p w14:paraId="17E6C0DF" w14:textId="77777777" w:rsidR="00A13F7B" w:rsidRPr="00A13F7B" w:rsidRDefault="00A13F7B" w:rsidP="003607BC">
            <w:pPr>
              <w:suppressAutoHyphens/>
              <w:spacing w:before="0" w:after="0"/>
              <w:rPr>
                <w:rFonts w:cs="Arial"/>
              </w:rPr>
            </w:pPr>
            <w:r w:rsidRPr="00A13F7B">
              <w:rPr>
                <w:rFonts w:cs="Arial"/>
              </w:rPr>
              <w:t>iBASIS-VIPP (n=44)</w:t>
            </w:r>
          </w:p>
        </w:tc>
        <w:tc>
          <w:tcPr>
            <w:tcW w:w="1383" w:type="dxa"/>
          </w:tcPr>
          <w:p w14:paraId="0A81E622" w14:textId="77777777" w:rsidR="00A13F7B" w:rsidRPr="00A13F7B" w:rsidRDefault="00A13F7B" w:rsidP="003607BC">
            <w:pPr>
              <w:suppressAutoHyphens/>
              <w:spacing w:before="0" w:after="0"/>
              <w:rPr>
                <w:rFonts w:cs="Arial"/>
              </w:rPr>
            </w:pPr>
            <w:r w:rsidRPr="00A13F7B">
              <w:rPr>
                <w:rFonts w:cs="Arial"/>
              </w:rPr>
              <w:t xml:space="preserve">SAU </w:t>
            </w:r>
          </w:p>
          <w:p w14:paraId="346665E4" w14:textId="77777777" w:rsidR="00A13F7B" w:rsidRPr="00A13F7B" w:rsidRDefault="00A13F7B" w:rsidP="003607BC">
            <w:pPr>
              <w:suppressAutoHyphens/>
              <w:spacing w:before="0" w:after="0"/>
              <w:rPr>
                <w:rFonts w:cs="Arial"/>
              </w:rPr>
            </w:pPr>
            <w:r w:rsidRPr="00A13F7B">
              <w:rPr>
                <w:rFonts w:cs="Arial"/>
              </w:rPr>
              <w:t xml:space="preserve">(n=45) </w:t>
            </w:r>
          </w:p>
        </w:tc>
        <w:tc>
          <w:tcPr>
            <w:tcW w:w="2175" w:type="dxa"/>
          </w:tcPr>
          <w:p w14:paraId="575FB6DD" w14:textId="77777777" w:rsidR="00A13F7B" w:rsidRPr="00A13F7B" w:rsidRDefault="00A13F7B" w:rsidP="003607BC">
            <w:pPr>
              <w:suppressAutoHyphens/>
              <w:spacing w:before="0" w:after="0"/>
              <w:rPr>
                <w:rFonts w:cs="Arial"/>
              </w:rPr>
            </w:pPr>
            <w:r w:rsidRPr="00A13F7B">
              <w:rPr>
                <w:rFonts w:cs="Arial"/>
              </w:rPr>
              <w:t>Parent Sense of Competence Scale (PSOC)</w:t>
            </w:r>
          </w:p>
        </w:tc>
        <w:tc>
          <w:tcPr>
            <w:tcW w:w="2096" w:type="dxa"/>
          </w:tcPr>
          <w:p w14:paraId="0DF730BA" w14:textId="77777777" w:rsidR="00A13F7B" w:rsidRPr="00A13F7B" w:rsidRDefault="00A13F7B" w:rsidP="003607BC">
            <w:pPr>
              <w:suppressAutoHyphens/>
              <w:spacing w:before="0" w:after="0"/>
              <w:rPr>
                <w:rFonts w:cs="Arial"/>
              </w:rPr>
            </w:pPr>
            <w:r w:rsidRPr="00A13F7B">
              <w:rPr>
                <w:rFonts w:cs="Arial"/>
              </w:rPr>
              <w:t xml:space="preserve">Baseline; </w:t>
            </w:r>
          </w:p>
          <w:p w14:paraId="5F150D62" w14:textId="77777777" w:rsidR="00A13F7B" w:rsidRPr="00A13F7B" w:rsidRDefault="00A13F7B" w:rsidP="003607BC">
            <w:pPr>
              <w:suppressAutoHyphens/>
              <w:spacing w:before="0" w:after="0"/>
              <w:rPr>
                <w:rFonts w:cs="Arial"/>
              </w:rPr>
            </w:pPr>
            <w:r w:rsidRPr="00A13F7B">
              <w:rPr>
                <w:rFonts w:cs="Arial"/>
              </w:rPr>
              <w:t xml:space="preserve">Post-intervention; </w:t>
            </w:r>
          </w:p>
          <w:p w14:paraId="45AF632F" w14:textId="77777777" w:rsidR="00A13F7B" w:rsidRPr="00A13F7B" w:rsidRDefault="00A13F7B" w:rsidP="003607BC">
            <w:pPr>
              <w:suppressAutoHyphens/>
              <w:spacing w:before="0" w:after="0"/>
              <w:rPr>
                <w:rFonts w:cs="Arial"/>
              </w:rPr>
            </w:pPr>
            <w:r w:rsidRPr="00A13F7B">
              <w:rPr>
                <w:rFonts w:cs="Arial"/>
              </w:rPr>
              <w:t>Follow up (12 months); follow up (24 months)</w:t>
            </w:r>
          </w:p>
        </w:tc>
        <w:tc>
          <w:tcPr>
            <w:tcW w:w="5385" w:type="dxa"/>
          </w:tcPr>
          <w:p w14:paraId="747CE234" w14:textId="77777777" w:rsidR="00A13F7B" w:rsidRPr="00A13F7B" w:rsidRDefault="00A13F7B" w:rsidP="003607BC">
            <w:pPr>
              <w:suppressAutoHyphens/>
              <w:spacing w:before="0" w:after="0"/>
              <w:rPr>
                <w:rFonts w:cs="Arial"/>
              </w:rPr>
            </w:pPr>
            <w:r w:rsidRPr="00A13F7B">
              <w:rPr>
                <w:rFonts w:cs="Arial"/>
              </w:rPr>
              <w:t>No evidence of a difference between groups for efficacy, interest, and satisfaction over time.</w:t>
            </w:r>
          </w:p>
        </w:tc>
      </w:tr>
      <w:tr w:rsidR="00A13F7B" w:rsidRPr="00A13F7B" w14:paraId="7754A846" w14:textId="77777777">
        <w:trPr>
          <w:cnfStyle w:val="000000010000" w:firstRow="0" w:lastRow="0" w:firstColumn="0" w:lastColumn="0" w:oddVBand="0" w:evenVBand="0" w:oddHBand="0" w:evenHBand="1" w:firstRowFirstColumn="0" w:firstRowLastColumn="0" w:lastRowFirstColumn="0" w:lastRowLastColumn="0"/>
          <w:trHeight w:val="340"/>
        </w:trPr>
        <w:tc>
          <w:tcPr>
            <w:tcW w:w="13750" w:type="dxa"/>
            <w:gridSpan w:val="6"/>
            <w:shd w:val="clear" w:color="auto" w:fill="DAE2E6"/>
          </w:tcPr>
          <w:p w14:paraId="4EE9B86A" w14:textId="77777777" w:rsidR="00A13F7B" w:rsidRPr="00A13F7B" w:rsidRDefault="00A13F7B" w:rsidP="003607BC">
            <w:pPr>
              <w:suppressAutoHyphens/>
              <w:spacing w:before="0" w:after="0"/>
              <w:rPr>
                <w:rFonts w:cs="Arial"/>
                <w:b/>
              </w:rPr>
            </w:pPr>
            <w:r w:rsidRPr="00A13F7B">
              <w:rPr>
                <w:rFonts w:cs="Arial"/>
                <w:b/>
              </w:rPr>
              <w:t>Internet-delivered Parent-Child Interaction Therapy (iPCIT)</w:t>
            </w:r>
          </w:p>
        </w:tc>
      </w:tr>
      <w:tr w:rsidR="00A13F7B" w:rsidRPr="00A13F7B" w14:paraId="3E75DD10"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vMerge w:val="restart"/>
          </w:tcPr>
          <w:p w14:paraId="05C8899B" w14:textId="77777777" w:rsidR="00A13F7B" w:rsidRPr="00A13F7B" w:rsidRDefault="00A13F7B" w:rsidP="003607BC">
            <w:pPr>
              <w:suppressAutoHyphens/>
              <w:spacing w:before="0" w:after="0"/>
              <w:rPr>
                <w:rFonts w:cs="Arial"/>
                <w:b/>
              </w:rPr>
            </w:pPr>
            <w:r w:rsidRPr="00A13F7B">
              <w:rPr>
                <w:rFonts w:cs="Arial"/>
                <w:b/>
              </w:rPr>
              <w:t xml:space="preserve">Bagner </w:t>
            </w:r>
          </w:p>
          <w:p w14:paraId="7953C2AA" w14:textId="77777777" w:rsidR="00A13F7B" w:rsidRPr="00A13F7B" w:rsidRDefault="00A13F7B" w:rsidP="003607BC">
            <w:pPr>
              <w:suppressAutoHyphens/>
              <w:spacing w:before="0" w:after="0"/>
              <w:rPr>
                <w:rFonts w:cs="Arial"/>
                <w:b/>
              </w:rPr>
            </w:pPr>
            <w:r w:rsidRPr="00A13F7B">
              <w:rPr>
                <w:rFonts w:cs="Arial"/>
                <w:b/>
              </w:rPr>
              <w:t>2023</w:t>
            </w:r>
          </w:p>
        </w:tc>
        <w:tc>
          <w:tcPr>
            <w:tcW w:w="1361" w:type="dxa"/>
            <w:vMerge w:val="restart"/>
          </w:tcPr>
          <w:p w14:paraId="1D5FFF47" w14:textId="77777777" w:rsidR="00A13F7B" w:rsidRPr="00A13F7B" w:rsidRDefault="00A13F7B" w:rsidP="003607BC">
            <w:pPr>
              <w:suppressAutoHyphens/>
              <w:spacing w:before="0" w:after="0"/>
              <w:rPr>
                <w:rFonts w:cs="Arial"/>
              </w:rPr>
            </w:pPr>
            <w:r w:rsidRPr="00A13F7B">
              <w:rPr>
                <w:rFonts w:cs="Arial"/>
              </w:rPr>
              <w:t xml:space="preserve">iPCIT </w:t>
            </w:r>
          </w:p>
          <w:p w14:paraId="06D10284" w14:textId="77777777" w:rsidR="00A13F7B" w:rsidRPr="00A13F7B" w:rsidRDefault="00A13F7B" w:rsidP="003607BC">
            <w:pPr>
              <w:suppressAutoHyphens/>
              <w:spacing w:before="0" w:after="0"/>
              <w:rPr>
                <w:rFonts w:cs="Arial"/>
              </w:rPr>
            </w:pPr>
            <w:r w:rsidRPr="00A13F7B">
              <w:rPr>
                <w:rFonts w:cs="Arial"/>
              </w:rPr>
              <w:t>(n=75)</w:t>
            </w:r>
          </w:p>
        </w:tc>
        <w:tc>
          <w:tcPr>
            <w:tcW w:w="1383" w:type="dxa"/>
            <w:vMerge w:val="restart"/>
          </w:tcPr>
          <w:p w14:paraId="1B5A2C84" w14:textId="77777777" w:rsidR="00A13F7B" w:rsidRPr="00A13F7B" w:rsidRDefault="00A13F7B" w:rsidP="003607BC">
            <w:pPr>
              <w:suppressAutoHyphens/>
              <w:spacing w:before="0" w:after="0"/>
              <w:rPr>
                <w:rFonts w:cs="Arial"/>
              </w:rPr>
            </w:pPr>
            <w:r w:rsidRPr="00A13F7B">
              <w:rPr>
                <w:rFonts w:cs="Arial"/>
              </w:rPr>
              <w:t xml:space="preserve">SAU </w:t>
            </w:r>
          </w:p>
          <w:p w14:paraId="6D6A7E05" w14:textId="77777777" w:rsidR="00A13F7B" w:rsidRPr="00A13F7B" w:rsidRDefault="00A13F7B" w:rsidP="003607BC">
            <w:pPr>
              <w:suppressAutoHyphens/>
              <w:spacing w:before="0" w:after="0"/>
              <w:rPr>
                <w:rFonts w:cs="Arial"/>
              </w:rPr>
            </w:pPr>
            <w:r w:rsidRPr="00A13F7B">
              <w:rPr>
                <w:rFonts w:cs="Arial"/>
              </w:rPr>
              <w:t>(n=75)</w:t>
            </w:r>
          </w:p>
        </w:tc>
        <w:tc>
          <w:tcPr>
            <w:tcW w:w="2175" w:type="dxa"/>
          </w:tcPr>
          <w:p w14:paraId="29717D41" w14:textId="77777777" w:rsidR="00A13F7B" w:rsidRPr="00A13F7B" w:rsidRDefault="00A13F7B" w:rsidP="003607BC">
            <w:pPr>
              <w:suppressAutoHyphens/>
              <w:spacing w:before="0" w:after="0"/>
              <w:rPr>
                <w:rFonts w:cs="Arial"/>
              </w:rPr>
            </w:pPr>
            <w:r w:rsidRPr="00A13F7B">
              <w:rPr>
                <w:rFonts w:cs="Arial"/>
              </w:rPr>
              <w:t>Dyadic Parent-Child Interaction Coding System (DPICS-4)</w:t>
            </w:r>
          </w:p>
        </w:tc>
        <w:tc>
          <w:tcPr>
            <w:tcW w:w="2096" w:type="dxa"/>
          </w:tcPr>
          <w:p w14:paraId="01DEEEA0" w14:textId="77777777" w:rsidR="00A13F7B" w:rsidRPr="00A13F7B" w:rsidRDefault="00A13F7B" w:rsidP="003607BC">
            <w:pPr>
              <w:suppressAutoHyphens/>
              <w:spacing w:before="0" w:after="0"/>
              <w:rPr>
                <w:rFonts w:cs="Arial"/>
              </w:rPr>
            </w:pPr>
            <w:r w:rsidRPr="00A13F7B">
              <w:rPr>
                <w:rFonts w:cs="Arial"/>
              </w:rPr>
              <w:t xml:space="preserve">Baseline; </w:t>
            </w:r>
          </w:p>
          <w:p w14:paraId="60751297" w14:textId="77777777" w:rsidR="00A13F7B" w:rsidRPr="00A13F7B" w:rsidRDefault="00A13F7B" w:rsidP="003607BC">
            <w:pPr>
              <w:suppressAutoHyphens/>
              <w:spacing w:before="0" w:after="0"/>
              <w:rPr>
                <w:rFonts w:cs="Arial"/>
              </w:rPr>
            </w:pPr>
            <w:r w:rsidRPr="00A13F7B">
              <w:rPr>
                <w:rFonts w:cs="Arial"/>
              </w:rPr>
              <w:t xml:space="preserve">Post-intervention; </w:t>
            </w:r>
          </w:p>
          <w:p w14:paraId="065719FB" w14:textId="77777777" w:rsidR="00A13F7B" w:rsidRPr="00A13F7B" w:rsidRDefault="00A13F7B" w:rsidP="003607BC">
            <w:pPr>
              <w:suppressAutoHyphens/>
              <w:spacing w:before="0" w:after="0"/>
              <w:rPr>
                <w:rFonts w:cs="Arial"/>
              </w:rPr>
            </w:pPr>
            <w:r w:rsidRPr="00A13F7B">
              <w:rPr>
                <w:rFonts w:cs="Arial"/>
              </w:rPr>
              <w:t xml:space="preserve">Follow up (6 months); </w:t>
            </w:r>
          </w:p>
          <w:p w14:paraId="568C649C" w14:textId="77777777" w:rsidR="00A13F7B" w:rsidRPr="00A13F7B" w:rsidRDefault="00A13F7B" w:rsidP="003607BC">
            <w:pPr>
              <w:suppressAutoHyphens/>
              <w:spacing w:before="0" w:after="0"/>
              <w:rPr>
                <w:rFonts w:cs="Arial"/>
              </w:rPr>
            </w:pPr>
            <w:r w:rsidRPr="00A13F7B">
              <w:rPr>
                <w:rFonts w:cs="Arial"/>
              </w:rPr>
              <w:t>Follow up (12 month)</w:t>
            </w:r>
          </w:p>
        </w:tc>
        <w:tc>
          <w:tcPr>
            <w:tcW w:w="5385" w:type="dxa"/>
          </w:tcPr>
          <w:p w14:paraId="62FC97E0" w14:textId="77777777" w:rsidR="00A13F7B" w:rsidRPr="00A13F7B" w:rsidRDefault="00A13F7B" w:rsidP="003607BC">
            <w:pPr>
              <w:suppressAutoHyphens/>
              <w:spacing w:before="0" w:after="0"/>
              <w:rPr>
                <w:rFonts w:cs="Arial"/>
              </w:rPr>
            </w:pPr>
            <w:r w:rsidRPr="00A13F7B">
              <w:rPr>
                <w:rFonts w:cs="Arial"/>
              </w:rPr>
              <w:t xml:space="preserve">Evidence of increased positive parenting behaviour between groups and over time for iPCIT group.  </w:t>
            </w:r>
          </w:p>
          <w:p w14:paraId="0F5B5919" w14:textId="77777777" w:rsidR="00A13F7B" w:rsidRPr="00A13F7B" w:rsidRDefault="00A13F7B" w:rsidP="003607BC">
            <w:pPr>
              <w:suppressAutoHyphens/>
              <w:spacing w:before="0" w:after="0"/>
              <w:rPr>
                <w:rFonts w:cs="Arial"/>
              </w:rPr>
            </w:pPr>
          </w:p>
        </w:tc>
      </w:tr>
      <w:tr w:rsidR="00A13F7B" w:rsidRPr="00A13F7B" w14:paraId="27418A12"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vMerge/>
          </w:tcPr>
          <w:p w14:paraId="4AAE8581" w14:textId="77777777" w:rsidR="00A13F7B" w:rsidRPr="00A13F7B" w:rsidRDefault="00A13F7B" w:rsidP="003607BC">
            <w:pPr>
              <w:spacing w:before="0" w:after="0"/>
              <w:rPr>
                <w:rFonts w:cs="Arial"/>
                <w:b/>
              </w:rPr>
            </w:pPr>
          </w:p>
        </w:tc>
        <w:tc>
          <w:tcPr>
            <w:tcW w:w="1361" w:type="dxa"/>
            <w:vMerge/>
          </w:tcPr>
          <w:p w14:paraId="244485C6" w14:textId="77777777" w:rsidR="00A13F7B" w:rsidRPr="00A13F7B" w:rsidRDefault="00A13F7B" w:rsidP="003607BC">
            <w:pPr>
              <w:suppressAutoHyphens/>
              <w:spacing w:before="0" w:after="0"/>
              <w:rPr>
                <w:rFonts w:cs="Arial"/>
              </w:rPr>
            </w:pPr>
          </w:p>
        </w:tc>
        <w:tc>
          <w:tcPr>
            <w:tcW w:w="1383" w:type="dxa"/>
            <w:vMerge/>
          </w:tcPr>
          <w:p w14:paraId="73CCC396" w14:textId="77777777" w:rsidR="00A13F7B" w:rsidRPr="00A13F7B" w:rsidRDefault="00A13F7B" w:rsidP="003607BC">
            <w:pPr>
              <w:suppressAutoHyphens/>
              <w:spacing w:before="0" w:after="0"/>
              <w:rPr>
                <w:rFonts w:cs="Arial"/>
              </w:rPr>
            </w:pPr>
          </w:p>
        </w:tc>
        <w:tc>
          <w:tcPr>
            <w:tcW w:w="2175" w:type="dxa"/>
          </w:tcPr>
          <w:p w14:paraId="11783659" w14:textId="77777777" w:rsidR="00A13F7B" w:rsidRPr="00A13F7B" w:rsidRDefault="00A13F7B" w:rsidP="003607BC">
            <w:pPr>
              <w:suppressAutoHyphens/>
              <w:spacing w:before="0" w:after="0"/>
              <w:rPr>
                <w:rFonts w:cs="Arial"/>
              </w:rPr>
            </w:pPr>
            <w:r w:rsidRPr="00A13F7B">
              <w:rPr>
                <w:rFonts w:cs="Arial"/>
              </w:rPr>
              <w:t>Parenting Practices Inventory (PPI)</w:t>
            </w:r>
          </w:p>
        </w:tc>
        <w:tc>
          <w:tcPr>
            <w:tcW w:w="2096" w:type="dxa"/>
          </w:tcPr>
          <w:p w14:paraId="4BC9BA8A" w14:textId="77777777" w:rsidR="00A13F7B" w:rsidRPr="00A13F7B" w:rsidRDefault="00A13F7B" w:rsidP="003607BC">
            <w:pPr>
              <w:suppressAutoHyphens/>
              <w:spacing w:before="0" w:after="0"/>
              <w:rPr>
                <w:rFonts w:cs="Arial"/>
              </w:rPr>
            </w:pPr>
            <w:r w:rsidRPr="00A13F7B">
              <w:rPr>
                <w:rFonts w:cs="Arial"/>
              </w:rPr>
              <w:t>As above</w:t>
            </w:r>
          </w:p>
        </w:tc>
        <w:tc>
          <w:tcPr>
            <w:tcW w:w="5385" w:type="dxa"/>
          </w:tcPr>
          <w:p w14:paraId="1506218B" w14:textId="77777777" w:rsidR="00A13F7B" w:rsidRPr="00A13F7B" w:rsidRDefault="00A13F7B" w:rsidP="003607BC">
            <w:pPr>
              <w:suppressAutoHyphens/>
              <w:spacing w:before="0" w:after="0"/>
              <w:rPr>
                <w:rFonts w:cs="Arial"/>
              </w:rPr>
            </w:pPr>
            <w:r w:rsidRPr="00A13F7B">
              <w:rPr>
                <w:rFonts w:cs="Arial"/>
              </w:rPr>
              <w:t xml:space="preserve">Evidence of decreased harsh and inconsistent discipline approach between groups and over time for iPCIT group.  </w:t>
            </w:r>
          </w:p>
        </w:tc>
      </w:tr>
      <w:tr w:rsidR="00A13F7B" w:rsidRPr="00A13F7B" w14:paraId="44DFA045"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vMerge/>
          </w:tcPr>
          <w:p w14:paraId="185A8D56" w14:textId="77777777" w:rsidR="00A13F7B" w:rsidRPr="00A13F7B" w:rsidRDefault="00A13F7B" w:rsidP="003607BC">
            <w:pPr>
              <w:suppressAutoHyphens/>
              <w:spacing w:before="0" w:after="0"/>
              <w:rPr>
                <w:rFonts w:cs="Arial"/>
                <w:b/>
              </w:rPr>
            </w:pPr>
          </w:p>
        </w:tc>
        <w:tc>
          <w:tcPr>
            <w:tcW w:w="1361" w:type="dxa"/>
            <w:vMerge/>
          </w:tcPr>
          <w:p w14:paraId="64ECE9F1" w14:textId="77777777" w:rsidR="00A13F7B" w:rsidRPr="00A13F7B" w:rsidRDefault="00A13F7B" w:rsidP="003607BC">
            <w:pPr>
              <w:suppressAutoHyphens/>
              <w:spacing w:before="0" w:after="0"/>
              <w:rPr>
                <w:rFonts w:cs="Arial"/>
              </w:rPr>
            </w:pPr>
          </w:p>
        </w:tc>
        <w:tc>
          <w:tcPr>
            <w:tcW w:w="1383" w:type="dxa"/>
            <w:vMerge/>
          </w:tcPr>
          <w:p w14:paraId="6FD7AA40" w14:textId="77777777" w:rsidR="00A13F7B" w:rsidRPr="00A13F7B" w:rsidRDefault="00A13F7B" w:rsidP="003607BC">
            <w:pPr>
              <w:suppressAutoHyphens/>
              <w:spacing w:before="0" w:after="0"/>
              <w:rPr>
                <w:rFonts w:cs="Arial"/>
              </w:rPr>
            </w:pPr>
          </w:p>
        </w:tc>
        <w:tc>
          <w:tcPr>
            <w:tcW w:w="2175" w:type="dxa"/>
          </w:tcPr>
          <w:p w14:paraId="3FAB4213" w14:textId="77777777" w:rsidR="00A13F7B" w:rsidRPr="00A13F7B" w:rsidRDefault="00A13F7B" w:rsidP="003607BC">
            <w:pPr>
              <w:suppressAutoHyphens/>
              <w:spacing w:before="0" w:after="0"/>
              <w:rPr>
                <w:rFonts w:cs="Arial"/>
              </w:rPr>
            </w:pPr>
            <w:r w:rsidRPr="00A13F7B">
              <w:rPr>
                <w:rFonts w:cs="Arial"/>
              </w:rPr>
              <w:t>Family Impact Questionnaire (FIQ)</w:t>
            </w:r>
          </w:p>
        </w:tc>
        <w:tc>
          <w:tcPr>
            <w:tcW w:w="2096" w:type="dxa"/>
          </w:tcPr>
          <w:p w14:paraId="2812B13D" w14:textId="77777777" w:rsidR="00A13F7B" w:rsidRPr="00A13F7B" w:rsidRDefault="00A13F7B" w:rsidP="003607BC">
            <w:pPr>
              <w:suppressAutoHyphens/>
              <w:spacing w:before="0" w:after="0"/>
              <w:rPr>
                <w:rFonts w:cs="Arial"/>
              </w:rPr>
            </w:pPr>
            <w:r w:rsidRPr="00A13F7B">
              <w:rPr>
                <w:rFonts w:cs="Arial"/>
              </w:rPr>
              <w:t xml:space="preserve">Baseline; Mid-intervention; </w:t>
            </w:r>
          </w:p>
          <w:p w14:paraId="70263EEF" w14:textId="77777777" w:rsidR="00A13F7B" w:rsidRPr="00A13F7B" w:rsidRDefault="00A13F7B" w:rsidP="003607BC">
            <w:pPr>
              <w:suppressAutoHyphens/>
              <w:spacing w:before="0" w:after="0"/>
              <w:rPr>
                <w:rFonts w:cs="Arial"/>
              </w:rPr>
            </w:pPr>
            <w:r w:rsidRPr="00A13F7B">
              <w:rPr>
                <w:rFonts w:cs="Arial"/>
              </w:rPr>
              <w:t xml:space="preserve">Post-intervention; </w:t>
            </w:r>
          </w:p>
          <w:p w14:paraId="0649457F" w14:textId="77777777" w:rsidR="00A13F7B" w:rsidRPr="00A13F7B" w:rsidRDefault="00A13F7B" w:rsidP="003607BC">
            <w:pPr>
              <w:suppressAutoHyphens/>
              <w:spacing w:before="0" w:after="0"/>
              <w:rPr>
                <w:rFonts w:cs="Arial"/>
              </w:rPr>
            </w:pPr>
            <w:r w:rsidRPr="00A13F7B">
              <w:rPr>
                <w:rFonts w:cs="Arial"/>
              </w:rPr>
              <w:t xml:space="preserve">Follow up (6 month); </w:t>
            </w:r>
          </w:p>
          <w:p w14:paraId="43FBD78D" w14:textId="77777777" w:rsidR="00A13F7B" w:rsidRPr="00A13F7B" w:rsidRDefault="00A13F7B" w:rsidP="003607BC">
            <w:pPr>
              <w:suppressAutoHyphens/>
              <w:spacing w:before="0" w:after="0"/>
              <w:rPr>
                <w:rFonts w:cs="Arial"/>
              </w:rPr>
            </w:pPr>
            <w:r w:rsidRPr="00A13F7B">
              <w:rPr>
                <w:rFonts w:cs="Arial"/>
              </w:rPr>
              <w:t>Follow up (12 month)</w:t>
            </w:r>
          </w:p>
        </w:tc>
        <w:tc>
          <w:tcPr>
            <w:tcW w:w="5385" w:type="dxa"/>
          </w:tcPr>
          <w:p w14:paraId="2F8921D4" w14:textId="77777777" w:rsidR="00A13F7B" w:rsidRPr="00A13F7B" w:rsidRDefault="00A13F7B" w:rsidP="003607BC">
            <w:pPr>
              <w:suppressAutoHyphens/>
              <w:spacing w:before="0" w:after="0"/>
              <w:rPr>
                <w:rFonts w:cs="Arial"/>
              </w:rPr>
            </w:pPr>
            <w:r w:rsidRPr="00A13F7B">
              <w:rPr>
                <w:rFonts w:cs="Arial"/>
              </w:rPr>
              <w:t xml:space="preserve">Both groups showed a decrease in parenting stress. </w:t>
            </w:r>
          </w:p>
          <w:p w14:paraId="3AE3812E" w14:textId="77777777" w:rsidR="00A13F7B" w:rsidRPr="00A13F7B" w:rsidRDefault="00A13F7B" w:rsidP="003607BC">
            <w:pPr>
              <w:suppressAutoHyphens/>
              <w:spacing w:before="0" w:after="0"/>
              <w:rPr>
                <w:rFonts w:cs="Arial"/>
              </w:rPr>
            </w:pPr>
            <w:r w:rsidRPr="00A13F7B">
              <w:rPr>
                <w:rFonts w:cs="Arial"/>
              </w:rPr>
              <w:t>No evidence of a difference between groups for parenting stress over time.</w:t>
            </w:r>
          </w:p>
        </w:tc>
      </w:tr>
      <w:tr w:rsidR="00A13F7B" w:rsidRPr="00A13F7B" w14:paraId="71C3D6B1" w14:textId="77777777">
        <w:trPr>
          <w:cnfStyle w:val="000000010000" w:firstRow="0" w:lastRow="0" w:firstColumn="0" w:lastColumn="0" w:oddVBand="0" w:evenVBand="0" w:oddHBand="0" w:evenHBand="1" w:firstRowFirstColumn="0" w:firstRowLastColumn="0" w:lastRowFirstColumn="0" w:lastRowLastColumn="0"/>
          <w:trHeight w:val="340"/>
        </w:trPr>
        <w:tc>
          <w:tcPr>
            <w:tcW w:w="13750" w:type="dxa"/>
            <w:gridSpan w:val="6"/>
            <w:shd w:val="clear" w:color="auto" w:fill="DAE2E6"/>
          </w:tcPr>
          <w:p w14:paraId="521459BF" w14:textId="77777777" w:rsidR="00A13F7B" w:rsidRPr="00A13F7B" w:rsidRDefault="00A13F7B" w:rsidP="003607BC">
            <w:pPr>
              <w:suppressAutoHyphens/>
              <w:spacing w:before="0" w:after="0"/>
              <w:rPr>
                <w:rFonts w:cs="Arial"/>
                <w:b/>
              </w:rPr>
            </w:pPr>
            <w:r w:rsidRPr="00A13F7B">
              <w:rPr>
                <w:rFonts w:cs="Arial"/>
                <w:b/>
              </w:rPr>
              <w:t>Joint Attention, Symbolic Play, Engagement, and Regulation (JASPER)</w:t>
            </w:r>
          </w:p>
        </w:tc>
      </w:tr>
      <w:tr w:rsidR="00A13F7B" w:rsidRPr="00A13F7B" w14:paraId="6079DD8B"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tcPr>
          <w:p w14:paraId="01102A22" w14:textId="77777777" w:rsidR="00A13F7B" w:rsidRPr="00A13F7B" w:rsidRDefault="00A13F7B" w:rsidP="003607BC">
            <w:pPr>
              <w:suppressAutoHyphens/>
              <w:spacing w:before="0" w:after="0"/>
              <w:rPr>
                <w:rFonts w:cs="Arial"/>
                <w:b/>
              </w:rPr>
            </w:pPr>
            <w:r w:rsidRPr="00A13F7B">
              <w:rPr>
                <w:rFonts w:cs="Arial"/>
                <w:b/>
              </w:rPr>
              <w:t xml:space="preserve">Harrop </w:t>
            </w:r>
          </w:p>
          <w:p w14:paraId="642D0822" w14:textId="77777777" w:rsidR="00A13F7B" w:rsidRPr="00A13F7B" w:rsidRDefault="00A13F7B" w:rsidP="003607BC">
            <w:pPr>
              <w:suppressAutoHyphens/>
              <w:spacing w:before="0" w:after="0"/>
              <w:rPr>
                <w:rFonts w:cs="Arial"/>
                <w:b/>
              </w:rPr>
            </w:pPr>
            <w:r w:rsidRPr="00A13F7B">
              <w:rPr>
                <w:rFonts w:cs="Arial"/>
                <w:b/>
              </w:rPr>
              <w:t>2017</w:t>
            </w:r>
          </w:p>
        </w:tc>
        <w:tc>
          <w:tcPr>
            <w:tcW w:w="1361" w:type="dxa"/>
          </w:tcPr>
          <w:p w14:paraId="2E9DD985" w14:textId="77777777" w:rsidR="00A13F7B" w:rsidRPr="00A13F7B" w:rsidRDefault="00A13F7B" w:rsidP="003607BC">
            <w:pPr>
              <w:suppressAutoHyphens/>
              <w:spacing w:before="0" w:after="0"/>
              <w:rPr>
                <w:rFonts w:cs="Arial"/>
              </w:rPr>
            </w:pPr>
            <w:r w:rsidRPr="00A13F7B">
              <w:rPr>
                <w:rFonts w:cs="Arial"/>
              </w:rPr>
              <w:t>JASPER (n=43)</w:t>
            </w:r>
          </w:p>
        </w:tc>
        <w:tc>
          <w:tcPr>
            <w:tcW w:w="1383" w:type="dxa"/>
          </w:tcPr>
          <w:p w14:paraId="78AE8819" w14:textId="77777777" w:rsidR="00A13F7B" w:rsidRPr="00A13F7B" w:rsidRDefault="00A13F7B" w:rsidP="003607BC">
            <w:pPr>
              <w:suppressAutoHyphens/>
              <w:spacing w:before="0" w:after="0"/>
              <w:rPr>
                <w:rFonts w:cs="Arial"/>
              </w:rPr>
            </w:pPr>
            <w:r w:rsidRPr="00A13F7B">
              <w:rPr>
                <w:rFonts w:cs="Arial"/>
              </w:rPr>
              <w:t xml:space="preserve">PEI </w:t>
            </w:r>
          </w:p>
          <w:p w14:paraId="5AA81D8B" w14:textId="77777777" w:rsidR="00A13F7B" w:rsidRPr="00A13F7B" w:rsidRDefault="00A13F7B" w:rsidP="003607BC">
            <w:pPr>
              <w:suppressAutoHyphens/>
              <w:spacing w:before="0" w:after="0"/>
              <w:rPr>
                <w:rFonts w:cs="Arial"/>
              </w:rPr>
            </w:pPr>
            <w:r w:rsidRPr="00A13F7B">
              <w:rPr>
                <w:rFonts w:cs="Arial"/>
              </w:rPr>
              <w:t>(n=43)</w:t>
            </w:r>
          </w:p>
        </w:tc>
        <w:tc>
          <w:tcPr>
            <w:tcW w:w="2175" w:type="dxa"/>
          </w:tcPr>
          <w:p w14:paraId="7E823E13" w14:textId="77777777" w:rsidR="00A13F7B" w:rsidRPr="00A13F7B" w:rsidRDefault="00A13F7B" w:rsidP="003607BC">
            <w:pPr>
              <w:suppressAutoHyphens/>
              <w:spacing w:before="0" w:after="0"/>
              <w:rPr>
                <w:rFonts w:cs="Arial"/>
              </w:rPr>
            </w:pPr>
            <w:r w:rsidRPr="00A13F7B">
              <w:rPr>
                <w:rFonts w:cs="Arial"/>
              </w:rPr>
              <w:t>Caregiver-Child Play Interaction (CCX)</w:t>
            </w:r>
          </w:p>
        </w:tc>
        <w:tc>
          <w:tcPr>
            <w:tcW w:w="2096" w:type="dxa"/>
          </w:tcPr>
          <w:p w14:paraId="65946446" w14:textId="77777777" w:rsidR="00A13F7B" w:rsidRPr="00A13F7B" w:rsidRDefault="00A13F7B" w:rsidP="003607BC">
            <w:pPr>
              <w:suppressAutoHyphens/>
              <w:spacing w:before="0" w:after="0"/>
              <w:rPr>
                <w:rFonts w:cs="Arial"/>
              </w:rPr>
            </w:pPr>
            <w:r w:rsidRPr="00A13F7B">
              <w:rPr>
                <w:rFonts w:cs="Arial"/>
              </w:rPr>
              <w:t xml:space="preserve">Baseline; </w:t>
            </w:r>
          </w:p>
          <w:p w14:paraId="08D7B790" w14:textId="77777777" w:rsidR="00A13F7B" w:rsidRPr="00A13F7B" w:rsidRDefault="00A13F7B" w:rsidP="003607BC">
            <w:pPr>
              <w:suppressAutoHyphens/>
              <w:spacing w:before="0" w:after="0"/>
              <w:rPr>
                <w:rFonts w:cs="Arial"/>
              </w:rPr>
            </w:pPr>
            <w:r w:rsidRPr="00A13F7B">
              <w:rPr>
                <w:rFonts w:cs="Arial"/>
              </w:rPr>
              <w:t xml:space="preserve">Post-intervention (10 weeks); </w:t>
            </w:r>
          </w:p>
          <w:p w14:paraId="56A9B287" w14:textId="77777777" w:rsidR="00A13F7B" w:rsidRPr="00A13F7B" w:rsidRDefault="00A13F7B" w:rsidP="003607BC">
            <w:pPr>
              <w:suppressAutoHyphens/>
              <w:spacing w:before="0" w:after="0"/>
              <w:rPr>
                <w:rFonts w:cs="Arial"/>
              </w:rPr>
            </w:pPr>
            <w:r w:rsidRPr="00A13F7B">
              <w:rPr>
                <w:rFonts w:cs="Arial"/>
              </w:rPr>
              <w:t>Follow up (6 months)</w:t>
            </w:r>
          </w:p>
        </w:tc>
        <w:tc>
          <w:tcPr>
            <w:tcW w:w="5385" w:type="dxa"/>
          </w:tcPr>
          <w:p w14:paraId="4732CD1E" w14:textId="77777777" w:rsidR="00A13F7B" w:rsidRPr="00A13F7B" w:rsidRDefault="00A13F7B" w:rsidP="003607BC">
            <w:pPr>
              <w:spacing w:before="0" w:after="0"/>
              <w:rPr>
                <w:rFonts w:eastAsia="MS Mincho" w:cs="Arial"/>
                <w:bCs/>
              </w:rPr>
            </w:pPr>
            <w:r w:rsidRPr="00A13F7B">
              <w:rPr>
                <w:rFonts w:eastAsia="MS Mincho" w:cs="Arial"/>
                <w:bCs/>
              </w:rPr>
              <w:t>Evidence of increased and more successful caregiver response for JASPER group over time.</w:t>
            </w:r>
          </w:p>
          <w:p w14:paraId="02F3DD35" w14:textId="77777777" w:rsidR="00A13F7B" w:rsidRPr="00A13F7B" w:rsidRDefault="00A13F7B" w:rsidP="003607BC">
            <w:pPr>
              <w:spacing w:before="0" w:after="0"/>
              <w:rPr>
                <w:rFonts w:cs="Arial"/>
                <w:bCs/>
              </w:rPr>
            </w:pPr>
            <w:r w:rsidRPr="00A13F7B">
              <w:rPr>
                <w:rFonts w:eastAsia="MS Mincho" w:cs="Arial"/>
                <w:bCs/>
              </w:rPr>
              <w:t xml:space="preserve"> </w:t>
            </w:r>
          </w:p>
        </w:tc>
      </w:tr>
      <w:tr w:rsidR="00A13F7B" w:rsidRPr="00A13F7B" w14:paraId="1A9696D6"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tcPr>
          <w:p w14:paraId="3E350C8B" w14:textId="77777777" w:rsidR="00A13F7B" w:rsidRPr="00A13F7B" w:rsidRDefault="00A13F7B" w:rsidP="003607BC">
            <w:pPr>
              <w:suppressAutoHyphens/>
              <w:spacing w:before="0" w:after="0"/>
              <w:rPr>
                <w:rFonts w:cs="Arial"/>
                <w:b/>
              </w:rPr>
            </w:pPr>
            <w:r w:rsidRPr="00A13F7B">
              <w:rPr>
                <w:rFonts w:cs="Arial"/>
                <w:b/>
              </w:rPr>
              <w:t xml:space="preserve">Kasari </w:t>
            </w:r>
          </w:p>
          <w:p w14:paraId="142F0252" w14:textId="77777777" w:rsidR="00A13F7B" w:rsidRPr="00A13F7B" w:rsidRDefault="00A13F7B" w:rsidP="003607BC">
            <w:pPr>
              <w:suppressAutoHyphens/>
              <w:spacing w:before="0" w:after="0"/>
              <w:rPr>
                <w:rFonts w:cs="Arial"/>
                <w:b/>
              </w:rPr>
            </w:pPr>
            <w:r w:rsidRPr="00A13F7B">
              <w:rPr>
                <w:rFonts w:cs="Arial"/>
                <w:b/>
              </w:rPr>
              <w:t>2015</w:t>
            </w:r>
          </w:p>
        </w:tc>
        <w:tc>
          <w:tcPr>
            <w:tcW w:w="1361" w:type="dxa"/>
          </w:tcPr>
          <w:p w14:paraId="6A78C4C0" w14:textId="77777777" w:rsidR="00A13F7B" w:rsidRPr="00A13F7B" w:rsidRDefault="00A13F7B" w:rsidP="003607BC">
            <w:pPr>
              <w:suppressAutoHyphens/>
              <w:spacing w:before="0" w:after="0"/>
              <w:rPr>
                <w:rFonts w:cs="Arial"/>
              </w:rPr>
            </w:pPr>
            <w:r w:rsidRPr="00A13F7B">
              <w:rPr>
                <w:rFonts w:cs="Arial"/>
              </w:rPr>
              <w:t>JASPER (n=43)</w:t>
            </w:r>
          </w:p>
        </w:tc>
        <w:tc>
          <w:tcPr>
            <w:tcW w:w="1383" w:type="dxa"/>
          </w:tcPr>
          <w:p w14:paraId="3620E619" w14:textId="77777777" w:rsidR="00A13F7B" w:rsidRPr="00A13F7B" w:rsidRDefault="00A13F7B" w:rsidP="003607BC">
            <w:pPr>
              <w:suppressAutoHyphens/>
              <w:spacing w:before="0" w:after="0"/>
              <w:rPr>
                <w:rFonts w:cs="Arial"/>
              </w:rPr>
            </w:pPr>
            <w:r w:rsidRPr="00A13F7B">
              <w:rPr>
                <w:rFonts w:cs="Arial"/>
              </w:rPr>
              <w:t xml:space="preserve">PEI </w:t>
            </w:r>
          </w:p>
          <w:p w14:paraId="27281996" w14:textId="77777777" w:rsidR="00A13F7B" w:rsidRPr="00A13F7B" w:rsidRDefault="00A13F7B" w:rsidP="003607BC">
            <w:pPr>
              <w:suppressAutoHyphens/>
              <w:spacing w:before="0" w:after="0"/>
              <w:rPr>
                <w:rFonts w:cs="Arial"/>
              </w:rPr>
            </w:pPr>
            <w:r w:rsidRPr="00A13F7B">
              <w:rPr>
                <w:rFonts w:cs="Arial"/>
              </w:rPr>
              <w:t>(n=43)</w:t>
            </w:r>
          </w:p>
        </w:tc>
        <w:tc>
          <w:tcPr>
            <w:tcW w:w="2175" w:type="dxa"/>
          </w:tcPr>
          <w:p w14:paraId="486A546D" w14:textId="77777777" w:rsidR="00A13F7B" w:rsidRPr="00A13F7B" w:rsidRDefault="00A13F7B" w:rsidP="003607BC">
            <w:pPr>
              <w:suppressAutoHyphens/>
              <w:spacing w:before="0" w:after="0"/>
              <w:rPr>
                <w:rFonts w:cs="Arial"/>
              </w:rPr>
            </w:pPr>
            <w:r w:rsidRPr="00A13F7B">
              <w:rPr>
                <w:rFonts w:cs="Arial"/>
              </w:rPr>
              <w:t>Parenting Stress Index (PSI)</w:t>
            </w:r>
          </w:p>
        </w:tc>
        <w:tc>
          <w:tcPr>
            <w:tcW w:w="2096" w:type="dxa"/>
          </w:tcPr>
          <w:p w14:paraId="3235B7A2" w14:textId="77777777" w:rsidR="00A13F7B" w:rsidRPr="00A13F7B" w:rsidRDefault="00A13F7B" w:rsidP="003607BC">
            <w:pPr>
              <w:suppressAutoHyphens/>
              <w:spacing w:before="0" w:after="0"/>
              <w:rPr>
                <w:rFonts w:cs="Arial"/>
              </w:rPr>
            </w:pPr>
            <w:r w:rsidRPr="00A13F7B">
              <w:rPr>
                <w:rFonts w:cs="Arial"/>
              </w:rPr>
              <w:t xml:space="preserve">Baseline; </w:t>
            </w:r>
          </w:p>
          <w:p w14:paraId="51D29A1E" w14:textId="77777777" w:rsidR="00A13F7B" w:rsidRPr="00A13F7B" w:rsidRDefault="00A13F7B" w:rsidP="003607BC">
            <w:pPr>
              <w:suppressAutoHyphens/>
              <w:spacing w:before="0" w:after="0"/>
              <w:rPr>
                <w:rFonts w:cs="Arial"/>
              </w:rPr>
            </w:pPr>
            <w:r w:rsidRPr="00A13F7B">
              <w:rPr>
                <w:rFonts w:cs="Arial"/>
              </w:rPr>
              <w:t xml:space="preserve">Post-intervention (10 weeks); </w:t>
            </w:r>
          </w:p>
          <w:p w14:paraId="176F49B1" w14:textId="77777777" w:rsidR="00A13F7B" w:rsidRPr="00A13F7B" w:rsidRDefault="00A13F7B" w:rsidP="003607BC">
            <w:pPr>
              <w:suppressAutoHyphens/>
              <w:spacing w:before="0" w:after="0"/>
              <w:rPr>
                <w:rFonts w:cs="Arial"/>
              </w:rPr>
            </w:pPr>
            <w:r w:rsidRPr="00A13F7B">
              <w:rPr>
                <w:rFonts w:cs="Arial"/>
              </w:rPr>
              <w:t>Follow up (6 months)</w:t>
            </w:r>
          </w:p>
        </w:tc>
        <w:tc>
          <w:tcPr>
            <w:tcW w:w="5385" w:type="dxa"/>
          </w:tcPr>
          <w:p w14:paraId="236AC825" w14:textId="77777777" w:rsidR="00A13F7B" w:rsidRPr="00A13F7B" w:rsidRDefault="00A13F7B" w:rsidP="003607BC">
            <w:pPr>
              <w:spacing w:before="0" w:after="0"/>
              <w:rPr>
                <w:rFonts w:eastAsia="MS Mincho" w:cs="Arial"/>
                <w:bCs/>
              </w:rPr>
            </w:pPr>
            <w:r w:rsidRPr="00A13F7B">
              <w:rPr>
                <w:rFonts w:eastAsia="MS Mincho" w:cs="Arial"/>
                <w:bCs/>
              </w:rPr>
              <w:t xml:space="preserve">Evidence of decreased parenting stress for PEI group in child-domain stress post-intervention. </w:t>
            </w:r>
          </w:p>
          <w:p w14:paraId="528CF9CC" w14:textId="77777777" w:rsidR="00A13F7B" w:rsidRPr="00A13F7B" w:rsidRDefault="00A13F7B" w:rsidP="003607BC">
            <w:pPr>
              <w:spacing w:before="0" w:after="0"/>
              <w:rPr>
                <w:rFonts w:eastAsia="MS Mincho" w:cs="Arial"/>
                <w:bCs/>
              </w:rPr>
            </w:pPr>
            <w:r w:rsidRPr="00A13F7B">
              <w:rPr>
                <w:rFonts w:eastAsia="MS Mincho" w:cs="Arial"/>
                <w:bCs/>
              </w:rPr>
              <w:t>No evidence of a difference between groups in parent-domain stress post-intervention.</w:t>
            </w:r>
          </w:p>
          <w:p w14:paraId="48C61403" w14:textId="77777777" w:rsidR="00A13F7B" w:rsidRDefault="00A13F7B" w:rsidP="003607BC">
            <w:pPr>
              <w:spacing w:before="0" w:after="0"/>
              <w:rPr>
                <w:rFonts w:eastAsia="MS Mincho" w:cs="Arial"/>
                <w:bCs/>
              </w:rPr>
            </w:pPr>
            <w:r w:rsidRPr="00A13F7B">
              <w:rPr>
                <w:rFonts w:eastAsia="MS Mincho" w:cs="Arial"/>
                <w:bCs/>
              </w:rPr>
              <w:t>No evidence of a difference between groups in child- and parent-domain stress at follow-up.</w:t>
            </w:r>
          </w:p>
          <w:p w14:paraId="0557F675" w14:textId="77777777" w:rsidR="00A13F7B" w:rsidRPr="00A13F7B" w:rsidRDefault="00A13F7B" w:rsidP="003607BC">
            <w:pPr>
              <w:spacing w:before="0" w:after="0"/>
              <w:rPr>
                <w:rFonts w:eastAsia="MS Mincho" w:cs="Arial"/>
                <w:bCs/>
              </w:rPr>
            </w:pPr>
          </w:p>
        </w:tc>
      </w:tr>
      <w:tr w:rsidR="00A13F7B" w:rsidRPr="00A13F7B" w14:paraId="1779628B" w14:textId="77777777">
        <w:trPr>
          <w:cnfStyle w:val="000000100000" w:firstRow="0" w:lastRow="0" w:firstColumn="0" w:lastColumn="0" w:oddVBand="0" w:evenVBand="0" w:oddHBand="1" w:evenHBand="0" w:firstRowFirstColumn="0" w:firstRowLastColumn="0" w:lastRowFirstColumn="0" w:lastRowLastColumn="0"/>
          <w:trHeight w:val="340"/>
        </w:trPr>
        <w:tc>
          <w:tcPr>
            <w:tcW w:w="13750" w:type="dxa"/>
            <w:gridSpan w:val="6"/>
            <w:shd w:val="clear" w:color="auto" w:fill="DAE2E6"/>
          </w:tcPr>
          <w:p w14:paraId="1E25494A" w14:textId="77777777" w:rsidR="00A13F7B" w:rsidRPr="00A13F7B" w:rsidRDefault="00A13F7B" w:rsidP="003607BC">
            <w:pPr>
              <w:suppressAutoHyphens/>
              <w:spacing w:before="0" w:after="0"/>
              <w:rPr>
                <w:rFonts w:cs="Arial"/>
              </w:rPr>
            </w:pPr>
            <w:r w:rsidRPr="00A13F7B">
              <w:rPr>
                <w:rFonts w:cs="Arial"/>
                <w:b/>
              </w:rPr>
              <w:t>Play and Language for Autistic Youngsters (PLAY)</w:t>
            </w:r>
          </w:p>
        </w:tc>
      </w:tr>
      <w:tr w:rsidR="00A13F7B" w:rsidRPr="00A13F7B" w14:paraId="037AB0F2"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vMerge w:val="restart"/>
          </w:tcPr>
          <w:p w14:paraId="26C62CFD" w14:textId="77777777" w:rsidR="00A13F7B" w:rsidRPr="00A13F7B" w:rsidRDefault="00A13F7B" w:rsidP="003607BC">
            <w:pPr>
              <w:suppressAutoHyphens/>
              <w:spacing w:before="0" w:after="0"/>
              <w:rPr>
                <w:rFonts w:cs="Arial"/>
                <w:b/>
              </w:rPr>
            </w:pPr>
            <w:r w:rsidRPr="00A13F7B">
              <w:rPr>
                <w:rFonts w:cs="Arial"/>
                <w:b/>
              </w:rPr>
              <w:t xml:space="preserve">Solomon </w:t>
            </w:r>
          </w:p>
          <w:p w14:paraId="1BB8AC1F" w14:textId="77777777" w:rsidR="00A13F7B" w:rsidRPr="00A13F7B" w:rsidRDefault="00A13F7B" w:rsidP="003607BC">
            <w:pPr>
              <w:suppressAutoHyphens/>
              <w:spacing w:before="0" w:after="0"/>
              <w:rPr>
                <w:rFonts w:cs="Arial"/>
                <w:b/>
              </w:rPr>
            </w:pPr>
            <w:r w:rsidRPr="00A13F7B">
              <w:rPr>
                <w:rFonts w:cs="Arial"/>
                <w:b/>
              </w:rPr>
              <w:t>2014</w:t>
            </w:r>
          </w:p>
        </w:tc>
        <w:tc>
          <w:tcPr>
            <w:tcW w:w="1361" w:type="dxa"/>
            <w:vMerge w:val="restart"/>
          </w:tcPr>
          <w:p w14:paraId="16AFDC4F" w14:textId="77777777" w:rsidR="00A13F7B" w:rsidRPr="00A13F7B" w:rsidRDefault="00A13F7B" w:rsidP="003607BC">
            <w:pPr>
              <w:suppressAutoHyphens/>
              <w:spacing w:before="0" w:after="0"/>
              <w:rPr>
                <w:rFonts w:cs="Arial"/>
              </w:rPr>
            </w:pPr>
            <w:r w:rsidRPr="00A13F7B">
              <w:rPr>
                <w:rFonts w:cs="Arial"/>
              </w:rPr>
              <w:t xml:space="preserve">PLAY </w:t>
            </w:r>
          </w:p>
          <w:p w14:paraId="73A37B44" w14:textId="77777777" w:rsidR="00A13F7B" w:rsidRPr="00A13F7B" w:rsidRDefault="00A13F7B" w:rsidP="003607BC">
            <w:pPr>
              <w:suppressAutoHyphens/>
              <w:spacing w:before="0" w:after="0"/>
              <w:rPr>
                <w:rFonts w:cs="Arial"/>
              </w:rPr>
            </w:pPr>
            <w:r w:rsidRPr="00A13F7B">
              <w:rPr>
                <w:rFonts w:cs="Arial"/>
              </w:rPr>
              <w:t>(n=64)</w:t>
            </w:r>
          </w:p>
        </w:tc>
        <w:tc>
          <w:tcPr>
            <w:tcW w:w="1383" w:type="dxa"/>
            <w:vMerge w:val="restart"/>
          </w:tcPr>
          <w:p w14:paraId="61BCE539" w14:textId="77777777" w:rsidR="00A13F7B" w:rsidRPr="00A13F7B" w:rsidRDefault="00A13F7B" w:rsidP="003607BC">
            <w:pPr>
              <w:suppressAutoHyphens/>
              <w:spacing w:before="0" w:after="0"/>
              <w:rPr>
                <w:rFonts w:cs="Arial"/>
              </w:rPr>
            </w:pPr>
            <w:r w:rsidRPr="00A13F7B">
              <w:rPr>
                <w:rFonts w:cs="Arial"/>
              </w:rPr>
              <w:t xml:space="preserve">SAU </w:t>
            </w:r>
          </w:p>
          <w:p w14:paraId="26B2AFC6" w14:textId="77777777" w:rsidR="00A13F7B" w:rsidRPr="00A13F7B" w:rsidRDefault="00A13F7B" w:rsidP="003607BC">
            <w:pPr>
              <w:suppressAutoHyphens/>
              <w:spacing w:before="0" w:after="0"/>
              <w:rPr>
                <w:rFonts w:cs="Arial"/>
              </w:rPr>
            </w:pPr>
            <w:r w:rsidRPr="00A13F7B">
              <w:rPr>
                <w:rFonts w:cs="Arial"/>
              </w:rPr>
              <w:t>(n=64)</w:t>
            </w:r>
          </w:p>
        </w:tc>
        <w:tc>
          <w:tcPr>
            <w:tcW w:w="2175" w:type="dxa"/>
          </w:tcPr>
          <w:p w14:paraId="300E0045" w14:textId="77777777" w:rsidR="00A13F7B" w:rsidRPr="00A13F7B" w:rsidRDefault="00A13F7B" w:rsidP="003607BC">
            <w:pPr>
              <w:suppressAutoHyphens/>
              <w:spacing w:before="0" w:after="0"/>
              <w:rPr>
                <w:rFonts w:cs="Arial"/>
              </w:rPr>
            </w:pPr>
            <w:r w:rsidRPr="00A13F7B">
              <w:rPr>
                <w:rFonts w:cs="Arial"/>
              </w:rPr>
              <w:t>Parenting Stress Index (PSI)</w:t>
            </w:r>
          </w:p>
        </w:tc>
        <w:tc>
          <w:tcPr>
            <w:tcW w:w="2096" w:type="dxa"/>
          </w:tcPr>
          <w:p w14:paraId="242D1988" w14:textId="77777777" w:rsidR="00A13F7B" w:rsidRPr="00A13F7B" w:rsidRDefault="00A13F7B" w:rsidP="003607BC">
            <w:pPr>
              <w:suppressAutoHyphens/>
              <w:spacing w:before="0" w:after="0"/>
              <w:rPr>
                <w:rFonts w:cs="Arial"/>
              </w:rPr>
            </w:pPr>
            <w:r w:rsidRPr="00A13F7B">
              <w:rPr>
                <w:rFonts w:cs="Arial"/>
              </w:rPr>
              <w:t xml:space="preserve">Baseline; </w:t>
            </w:r>
          </w:p>
          <w:p w14:paraId="71392E4D" w14:textId="77777777" w:rsidR="00A13F7B" w:rsidRPr="00A13F7B" w:rsidRDefault="00A13F7B" w:rsidP="003607BC">
            <w:pPr>
              <w:suppressAutoHyphens/>
              <w:spacing w:before="0" w:after="0"/>
              <w:rPr>
                <w:rFonts w:cs="Arial"/>
              </w:rPr>
            </w:pPr>
            <w:r w:rsidRPr="00A13F7B">
              <w:rPr>
                <w:rFonts w:cs="Arial"/>
              </w:rPr>
              <w:t>Post-intervention (12 months)</w:t>
            </w:r>
          </w:p>
        </w:tc>
        <w:tc>
          <w:tcPr>
            <w:tcW w:w="5385" w:type="dxa"/>
          </w:tcPr>
          <w:p w14:paraId="39B22D25" w14:textId="77777777" w:rsidR="00A13F7B" w:rsidRPr="00A13F7B" w:rsidRDefault="00A13F7B" w:rsidP="003607BC">
            <w:pPr>
              <w:spacing w:before="0" w:after="0"/>
              <w:rPr>
                <w:rFonts w:eastAsia="MS Mincho" w:cs="Arial"/>
                <w:bCs/>
              </w:rPr>
            </w:pPr>
            <w:r w:rsidRPr="00A13F7B">
              <w:rPr>
                <w:rFonts w:eastAsia="MS Mincho" w:cs="Arial"/>
                <w:bCs/>
              </w:rPr>
              <w:t xml:space="preserve">Evidence of a difference over time in parenting stress.  No evidence of a difference between groups over time in parenting stress. </w:t>
            </w:r>
          </w:p>
        </w:tc>
      </w:tr>
      <w:tr w:rsidR="00A13F7B" w:rsidRPr="00A13F7B" w14:paraId="1D3C4791"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vMerge/>
          </w:tcPr>
          <w:p w14:paraId="14E2F8DA" w14:textId="77777777" w:rsidR="00A13F7B" w:rsidRPr="00A13F7B" w:rsidRDefault="00A13F7B" w:rsidP="003607BC">
            <w:pPr>
              <w:suppressAutoHyphens/>
              <w:spacing w:before="0" w:after="0"/>
              <w:rPr>
                <w:rFonts w:cs="Arial"/>
                <w:b/>
              </w:rPr>
            </w:pPr>
          </w:p>
        </w:tc>
        <w:tc>
          <w:tcPr>
            <w:tcW w:w="1361" w:type="dxa"/>
            <w:vMerge/>
          </w:tcPr>
          <w:p w14:paraId="62717ADE" w14:textId="77777777" w:rsidR="00A13F7B" w:rsidRPr="00A13F7B" w:rsidRDefault="00A13F7B" w:rsidP="003607BC">
            <w:pPr>
              <w:suppressAutoHyphens/>
              <w:spacing w:before="0" w:after="0"/>
              <w:rPr>
                <w:rFonts w:cs="Arial"/>
              </w:rPr>
            </w:pPr>
          </w:p>
        </w:tc>
        <w:tc>
          <w:tcPr>
            <w:tcW w:w="1383" w:type="dxa"/>
            <w:vMerge/>
          </w:tcPr>
          <w:p w14:paraId="36836EEA" w14:textId="77777777" w:rsidR="00A13F7B" w:rsidRPr="00A13F7B" w:rsidRDefault="00A13F7B" w:rsidP="003607BC">
            <w:pPr>
              <w:suppressAutoHyphens/>
              <w:spacing w:before="0" w:after="0"/>
              <w:rPr>
                <w:rFonts w:cs="Arial"/>
              </w:rPr>
            </w:pPr>
          </w:p>
        </w:tc>
        <w:tc>
          <w:tcPr>
            <w:tcW w:w="2175" w:type="dxa"/>
          </w:tcPr>
          <w:p w14:paraId="6B42DFCC" w14:textId="77777777" w:rsidR="00A13F7B" w:rsidRPr="00A13F7B" w:rsidRDefault="00A13F7B" w:rsidP="003607BC">
            <w:pPr>
              <w:suppressAutoHyphens/>
              <w:spacing w:before="0" w:after="0"/>
              <w:rPr>
                <w:rFonts w:cs="Arial"/>
              </w:rPr>
            </w:pPr>
            <w:r w:rsidRPr="00A13F7B">
              <w:rPr>
                <w:rFonts w:cs="Arial"/>
              </w:rPr>
              <w:t>Center for Epidemiologic Studies Depression Scale (CES-D)</w:t>
            </w:r>
          </w:p>
        </w:tc>
        <w:tc>
          <w:tcPr>
            <w:tcW w:w="2096" w:type="dxa"/>
          </w:tcPr>
          <w:p w14:paraId="7F907850" w14:textId="77777777" w:rsidR="00A13F7B" w:rsidRPr="00A13F7B" w:rsidRDefault="00A13F7B" w:rsidP="003607BC">
            <w:pPr>
              <w:suppressAutoHyphens/>
              <w:spacing w:before="0" w:after="0"/>
              <w:rPr>
                <w:rFonts w:cs="Arial"/>
              </w:rPr>
            </w:pPr>
            <w:r w:rsidRPr="00A13F7B">
              <w:rPr>
                <w:rFonts w:cs="Arial"/>
              </w:rPr>
              <w:t>As above</w:t>
            </w:r>
          </w:p>
        </w:tc>
        <w:tc>
          <w:tcPr>
            <w:tcW w:w="5385" w:type="dxa"/>
          </w:tcPr>
          <w:p w14:paraId="646481C8" w14:textId="77777777" w:rsidR="00A13F7B" w:rsidRPr="00A13F7B" w:rsidRDefault="00A13F7B" w:rsidP="003607BC">
            <w:pPr>
              <w:spacing w:before="0" w:after="0"/>
              <w:rPr>
                <w:rFonts w:eastAsia="MS Mincho" w:cs="Arial"/>
                <w:bCs/>
              </w:rPr>
            </w:pPr>
            <w:r w:rsidRPr="00A13F7B">
              <w:rPr>
                <w:rFonts w:eastAsia="MS Mincho" w:cs="Arial"/>
                <w:bCs/>
              </w:rPr>
              <w:t xml:space="preserve">Evidence of improvements in parents’ depression (score and likelihood of diagnosis) over time for PLAY group. </w:t>
            </w:r>
          </w:p>
          <w:p w14:paraId="7ED3C512" w14:textId="77777777" w:rsidR="00A13F7B" w:rsidRPr="00A13F7B" w:rsidRDefault="00A13F7B" w:rsidP="003607BC">
            <w:pPr>
              <w:spacing w:before="0" w:after="0"/>
              <w:rPr>
                <w:rFonts w:cs="Arial"/>
                <w:bCs/>
              </w:rPr>
            </w:pPr>
          </w:p>
        </w:tc>
      </w:tr>
      <w:tr w:rsidR="00A13F7B" w:rsidRPr="00A13F7B" w14:paraId="00F21B7B" w14:textId="77777777">
        <w:trPr>
          <w:cnfStyle w:val="000000010000" w:firstRow="0" w:lastRow="0" w:firstColumn="0" w:lastColumn="0" w:oddVBand="0" w:evenVBand="0" w:oddHBand="0" w:evenHBand="1" w:firstRowFirstColumn="0" w:firstRowLastColumn="0" w:lastRowFirstColumn="0" w:lastRowLastColumn="0"/>
          <w:trHeight w:val="340"/>
        </w:trPr>
        <w:tc>
          <w:tcPr>
            <w:tcW w:w="13750" w:type="dxa"/>
            <w:gridSpan w:val="6"/>
            <w:shd w:val="clear" w:color="auto" w:fill="DAE2E6"/>
          </w:tcPr>
          <w:p w14:paraId="2C923B1A" w14:textId="77777777" w:rsidR="00A13F7B" w:rsidRPr="00A13F7B" w:rsidRDefault="00A13F7B" w:rsidP="003607BC">
            <w:pPr>
              <w:suppressAutoHyphens/>
              <w:spacing w:before="0" w:after="0"/>
              <w:rPr>
                <w:rFonts w:cs="Arial"/>
                <w:b/>
              </w:rPr>
            </w:pPr>
            <w:r w:rsidRPr="00A13F7B">
              <w:rPr>
                <w:rFonts w:cs="Arial"/>
                <w:b/>
              </w:rPr>
              <w:t>Pivotal Response Intervention for Social Motivation (PRISM)</w:t>
            </w:r>
          </w:p>
        </w:tc>
      </w:tr>
      <w:tr w:rsidR="00A13F7B" w:rsidRPr="00A13F7B" w14:paraId="3AD077DA"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tcPr>
          <w:p w14:paraId="6314F8A6" w14:textId="77777777" w:rsidR="00A13F7B" w:rsidRPr="00A13F7B" w:rsidRDefault="00A13F7B" w:rsidP="003607BC">
            <w:pPr>
              <w:suppressAutoHyphens/>
              <w:spacing w:before="0" w:after="0"/>
              <w:rPr>
                <w:rFonts w:cs="Arial"/>
                <w:b/>
              </w:rPr>
            </w:pPr>
            <w:r w:rsidRPr="00A13F7B">
              <w:rPr>
                <w:rFonts w:cs="Arial"/>
                <w:b/>
              </w:rPr>
              <w:t xml:space="preserve">Barrett </w:t>
            </w:r>
          </w:p>
          <w:p w14:paraId="3693F6A3" w14:textId="77777777" w:rsidR="00A13F7B" w:rsidRPr="00A13F7B" w:rsidRDefault="00A13F7B" w:rsidP="003607BC">
            <w:pPr>
              <w:suppressAutoHyphens/>
              <w:spacing w:before="0" w:after="0"/>
              <w:rPr>
                <w:rFonts w:cs="Arial"/>
                <w:b/>
              </w:rPr>
            </w:pPr>
            <w:r w:rsidRPr="00A13F7B">
              <w:rPr>
                <w:rFonts w:cs="Arial"/>
                <w:b/>
              </w:rPr>
              <w:t>2020</w:t>
            </w:r>
          </w:p>
        </w:tc>
        <w:tc>
          <w:tcPr>
            <w:tcW w:w="1361" w:type="dxa"/>
          </w:tcPr>
          <w:p w14:paraId="65699398" w14:textId="77777777" w:rsidR="00A13F7B" w:rsidRPr="00A13F7B" w:rsidRDefault="00A13F7B" w:rsidP="003607BC">
            <w:pPr>
              <w:suppressAutoHyphens/>
              <w:spacing w:before="0" w:after="0"/>
              <w:rPr>
                <w:rFonts w:cs="Arial"/>
              </w:rPr>
            </w:pPr>
            <w:r w:rsidRPr="00A13F7B">
              <w:rPr>
                <w:rFonts w:cs="Arial"/>
              </w:rPr>
              <w:t xml:space="preserve">PRISM </w:t>
            </w:r>
          </w:p>
          <w:p w14:paraId="1E5019E5" w14:textId="77777777" w:rsidR="00A13F7B" w:rsidRPr="00A13F7B" w:rsidRDefault="00A13F7B" w:rsidP="003607BC">
            <w:pPr>
              <w:suppressAutoHyphens/>
              <w:spacing w:before="0" w:after="0"/>
              <w:rPr>
                <w:rFonts w:cs="Arial"/>
              </w:rPr>
            </w:pPr>
            <w:r w:rsidRPr="00A13F7B">
              <w:rPr>
                <w:rFonts w:cs="Arial"/>
              </w:rPr>
              <w:t>(n=12)</w:t>
            </w:r>
          </w:p>
        </w:tc>
        <w:tc>
          <w:tcPr>
            <w:tcW w:w="1383" w:type="dxa"/>
          </w:tcPr>
          <w:p w14:paraId="01FE1A58" w14:textId="77777777" w:rsidR="00A13F7B" w:rsidRPr="00A13F7B" w:rsidRDefault="00A13F7B" w:rsidP="003607BC">
            <w:pPr>
              <w:suppressAutoHyphens/>
              <w:spacing w:before="0" w:after="0"/>
              <w:rPr>
                <w:rFonts w:cs="Arial"/>
              </w:rPr>
            </w:pPr>
            <w:r w:rsidRPr="00A13F7B">
              <w:rPr>
                <w:rFonts w:cs="Arial"/>
              </w:rPr>
              <w:t xml:space="preserve">TAU </w:t>
            </w:r>
          </w:p>
          <w:p w14:paraId="0C4565A2" w14:textId="77777777" w:rsidR="00A13F7B" w:rsidRPr="00A13F7B" w:rsidRDefault="00A13F7B" w:rsidP="003607BC">
            <w:pPr>
              <w:suppressAutoHyphens/>
              <w:spacing w:before="0" w:after="0"/>
              <w:rPr>
                <w:rFonts w:cs="Arial"/>
              </w:rPr>
            </w:pPr>
            <w:r w:rsidRPr="00A13F7B">
              <w:rPr>
                <w:rFonts w:cs="Arial"/>
              </w:rPr>
              <w:t>(n=9)</w:t>
            </w:r>
          </w:p>
        </w:tc>
        <w:tc>
          <w:tcPr>
            <w:tcW w:w="2175" w:type="dxa"/>
          </w:tcPr>
          <w:p w14:paraId="5D58AC27" w14:textId="77777777" w:rsidR="00A13F7B" w:rsidRPr="00A13F7B" w:rsidRDefault="00A13F7B" w:rsidP="003607BC">
            <w:pPr>
              <w:suppressAutoHyphens/>
              <w:spacing w:before="0" w:after="0"/>
              <w:rPr>
                <w:rFonts w:cs="Arial"/>
              </w:rPr>
            </w:pPr>
            <w:r w:rsidRPr="00A13F7B">
              <w:rPr>
                <w:rFonts w:cs="Arial"/>
              </w:rPr>
              <w:t>Videoed Behaviour Coding (VBC)</w:t>
            </w:r>
          </w:p>
        </w:tc>
        <w:tc>
          <w:tcPr>
            <w:tcW w:w="2096" w:type="dxa"/>
          </w:tcPr>
          <w:p w14:paraId="2DD13CC3" w14:textId="77777777" w:rsidR="00A13F7B" w:rsidRPr="00A13F7B" w:rsidRDefault="00A13F7B" w:rsidP="003607BC">
            <w:pPr>
              <w:suppressAutoHyphens/>
              <w:spacing w:before="0" w:after="0"/>
              <w:rPr>
                <w:rFonts w:cs="Arial"/>
              </w:rPr>
            </w:pPr>
            <w:r w:rsidRPr="00A13F7B">
              <w:rPr>
                <w:rFonts w:cs="Arial"/>
              </w:rPr>
              <w:t xml:space="preserve">Baseline; </w:t>
            </w:r>
          </w:p>
          <w:p w14:paraId="7542C5D6" w14:textId="77777777" w:rsidR="00A13F7B" w:rsidRDefault="00A13F7B" w:rsidP="003607BC">
            <w:pPr>
              <w:suppressAutoHyphens/>
              <w:spacing w:before="0" w:after="0"/>
              <w:rPr>
                <w:rFonts w:cs="Arial"/>
              </w:rPr>
            </w:pPr>
            <w:r w:rsidRPr="00A13F7B">
              <w:rPr>
                <w:rFonts w:cs="Arial"/>
              </w:rPr>
              <w:t>Post-intervention (6 months)</w:t>
            </w:r>
          </w:p>
          <w:p w14:paraId="4F14BEE9" w14:textId="77777777" w:rsidR="00A13F7B" w:rsidRPr="00A13F7B" w:rsidRDefault="00A13F7B" w:rsidP="003607BC">
            <w:pPr>
              <w:suppressAutoHyphens/>
              <w:spacing w:before="0" w:after="0"/>
              <w:rPr>
                <w:rFonts w:cs="Arial"/>
              </w:rPr>
            </w:pPr>
          </w:p>
        </w:tc>
        <w:tc>
          <w:tcPr>
            <w:tcW w:w="5385" w:type="dxa"/>
          </w:tcPr>
          <w:p w14:paraId="69ECC1B7" w14:textId="77777777" w:rsidR="00A13F7B" w:rsidRPr="00A13F7B" w:rsidRDefault="00A13F7B" w:rsidP="003607BC">
            <w:pPr>
              <w:suppressAutoHyphens/>
              <w:spacing w:before="0" w:after="0"/>
              <w:rPr>
                <w:rFonts w:cs="Arial"/>
              </w:rPr>
            </w:pPr>
            <w:r w:rsidRPr="00A13F7B">
              <w:rPr>
                <w:rFonts w:cs="Arial"/>
              </w:rPr>
              <w:t xml:space="preserve">No evidence of a difference between groups in frequency of parent social bids/initiations. </w:t>
            </w:r>
          </w:p>
        </w:tc>
      </w:tr>
      <w:tr w:rsidR="00A13F7B" w:rsidRPr="00A13F7B" w14:paraId="1851684D" w14:textId="77777777">
        <w:trPr>
          <w:cnfStyle w:val="000000010000" w:firstRow="0" w:lastRow="0" w:firstColumn="0" w:lastColumn="0" w:oddVBand="0" w:evenVBand="0" w:oddHBand="0" w:evenHBand="1" w:firstRowFirstColumn="0" w:firstRowLastColumn="0" w:lastRowFirstColumn="0" w:lastRowLastColumn="0"/>
          <w:trHeight w:val="340"/>
        </w:trPr>
        <w:tc>
          <w:tcPr>
            <w:tcW w:w="13750" w:type="dxa"/>
            <w:gridSpan w:val="6"/>
            <w:shd w:val="clear" w:color="auto" w:fill="DAE2E6"/>
          </w:tcPr>
          <w:p w14:paraId="6A92AF06" w14:textId="77777777" w:rsidR="00A13F7B" w:rsidRPr="00A13F7B" w:rsidRDefault="00A13F7B" w:rsidP="003607BC">
            <w:pPr>
              <w:suppressAutoHyphens/>
              <w:spacing w:before="0" w:after="0"/>
              <w:rPr>
                <w:rFonts w:cs="Arial"/>
              </w:rPr>
            </w:pPr>
            <w:r w:rsidRPr="00A13F7B">
              <w:rPr>
                <w:rFonts w:cs="Arial"/>
                <w:b/>
              </w:rPr>
              <w:t>Pursuit of Wellbeing (PWP)</w:t>
            </w:r>
          </w:p>
        </w:tc>
      </w:tr>
      <w:tr w:rsidR="00A13F7B" w:rsidRPr="00A13F7B" w14:paraId="17B86193"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vMerge w:val="restart"/>
          </w:tcPr>
          <w:p w14:paraId="061B13C3" w14:textId="77777777" w:rsidR="00A13F7B" w:rsidRPr="00A13F7B" w:rsidRDefault="00A13F7B" w:rsidP="003607BC">
            <w:pPr>
              <w:suppressAutoHyphens/>
              <w:spacing w:before="0" w:after="0"/>
              <w:rPr>
                <w:rFonts w:cs="Arial"/>
                <w:b/>
              </w:rPr>
            </w:pPr>
            <w:r w:rsidRPr="00A13F7B">
              <w:rPr>
                <w:rFonts w:cs="Arial"/>
                <w:b/>
              </w:rPr>
              <w:t>Young</w:t>
            </w:r>
          </w:p>
          <w:p w14:paraId="57D1E5BF" w14:textId="77777777" w:rsidR="00A13F7B" w:rsidRPr="00A13F7B" w:rsidRDefault="00A13F7B" w:rsidP="003607BC">
            <w:pPr>
              <w:suppressAutoHyphens/>
              <w:spacing w:before="0" w:after="0"/>
              <w:rPr>
                <w:rFonts w:cs="Arial"/>
                <w:b/>
              </w:rPr>
            </w:pPr>
            <w:r w:rsidRPr="00A13F7B">
              <w:rPr>
                <w:rFonts w:cs="Arial"/>
                <w:b/>
              </w:rPr>
              <w:t>2023</w:t>
            </w:r>
          </w:p>
        </w:tc>
        <w:tc>
          <w:tcPr>
            <w:tcW w:w="1361" w:type="dxa"/>
            <w:vMerge w:val="restart"/>
          </w:tcPr>
          <w:p w14:paraId="2A67BC49" w14:textId="77777777" w:rsidR="00A13F7B" w:rsidRPr="00A13F7B" w:rsidRDefault="00A13F7B" w:rsidP="003607BC">
            <w:pPr>
              <w:suppressAutoHyphens/>
              <w:spacing w:before="0" w:after="0"/>
              <w:rPr>
                <w:rFonts w:cs="Arial"/>
              </w:rPr>
            </w:pPr>
            <w:r w:rsidRPr="00A13F7B">
              <w:rPr>
                <w:rFonts w:cs="Arial"/>
              </w:rPr>
              <w:t xml:space="preserve">PWP </w:t>
            </w:r>
          </w:p>
          <w:p w14:paraId="68AF0593" w14:textId="77777777" w:rsidR="00A13F7B" w:rsidRPr="00A13F7B" w:rsidRDefault="00A13F7B" w:rsidP="003607BC">
            <w:pPr>
              <w:suppressAutoHyphens/>
              <w:spacing w:before="0" w:after="0"/>
              <w:rPr>
                <w:rFonts w:cs="Arial"/>
              </w:rPr>
            </w:pPr>
            <w:r w:rsidRPr="00A13F7B">
              <w:rPr>
                <w:rFonts w:cs="Arial"/>
              </w:rPr>
              <w:t>(n=42)</w:t>
            </w:r>
          </w:p>
        </w:tc>
        <w:tc>
          <w:tcPr>
            <w:tcW w:w="1383" w:type="dxa"/>
            <w:vMerge w:val="restart"/>
          </w:tcPr>
          <w:p w14:paraId="1D75B611" w14:textId="77777777" w:rsidR="00A13F7B" w:rsidRPr="00A13F7B" w:rsidRDefault="00A13F7B" w:rsidP="003607BC">
            <w:pPr>
              <w:suppressAutoHyphens/>
              <w:spacing w:before="0" w:after="0"/>
              <w:rPr>
                <w:rFonts w:cs="Arial"/>
              </w:rPr>
            </w:pPr>
            <w:r w:rsidRPr="00A13F7B">
              <w:rPr>
                <w:rFonts w:cs="Arial"/>
              </w:rPr>
              <w:t>Control (n=NR)</w:t>
            </w:r>
          </w:p>
        </w:tc>
        <w:tc>
          <w:tcPr>
            <w:tcW w:w="2175" w:type="dxa"/>
          </w:tcPr>
          <w:p w14:paraId="47D65F99" w14:textId="77777777" w:rsidR="00A13F7B" w:rsidRPr="00A13F7B" w:rsidRDefault="00A13F7B" w:rsidP="003607BC">
            <w:pPr>
              <w:suppressAutoHyphens/>
              <w:spacing w:before="0" w:after="0"/>
              <w:rPr>
                <w:rFonts w:cs="Arial"/>
              </w:rPr>
            </w:pPr>
            <w:r w:rsidRPr="00A13F7B">
              <w:rPr>
                <w:rFonts w:cs="Arial"/>
              </w:rPr>
              <w:t>Warwick-Edinburgh Mental Wellbeing Scale (WEMWBS)</w:t>
            </w:r>
          </w:p>
        </w:tc>
        <w:tc>
          <w:tcPr>
            <w:tcW w:w="2096" w:type="dxa"/>
          </w:tcPr>
          <w:p w14:paraId="061E5DFB" w14:textId="77777777" w:rsidR="00A13F7B" w:rsidRPr="00A13F7B" w:rsidRDefault="00A13F7B" w:rsidP="003607BC">
            <w:pPr>
              <w:suppressAutoHyphens/>
              <w:spacing w:before="0" w:after="0"/>
              <w:rPr>
                <w:rFonts w:cs="Arial"/>
              </w:rPr>
            </w:pPr>
            <w:r w:rsidRPr="00A13F7B">
              <w:rPr>
                <w:rFonts w:cs="Arial"/>
              </w:rPr>
              <w:t>Baseline;</w:t>
            </w:r>
          </w:p>
          <w:p w14:paraId="56082127" w14:textId="77777777" w:rsidR="00A13F7B" w:rsidRPr="00A13F7B" w:rsidRDefault="00A13F7B" w:rsidP="003607BC">
            <w:pPr>
              <w:suppressAutoHyphens/>
              <w:spacing w:before="0" w:after="0"/>
              <w:rPr>
                <w:rFonts w:cs="Arial"/>
              </w:rPr>
            </w:pPr>
            <w:r w:rsidRPr="00A13F7B">
              <w:rPr>
                <w:rFonts w:cs="Arial"/>
              </w:rPr>
              <w:t xml:space="preserve">Follow up (3 months); </w:t>
            </w:r>
          </w:p>
          <w:p w14:paraId="10ECAD23" w14:textId="77777777" w:rsidR="00A13F7B" w:rsidRPr="00A13F7B" w:rsidRDefault="00A13F7B" w:rsidP="003607BC">
            <w:pPr>
              <w:suppressAutoHyphens/>
              <w:spacing w:before="0" w:after="0"/>
              <w:rPr>
                <w:rFonts w:cs="Arial"/>
              </w:rPr>
            </w:pPr>
            <w:r w:rsidRPr="00A13F7B">
              <w:rPr>
                <w:rFonts w:cs="Arial"/>
              </w:rPr>
              <w:t xml:space="preserve">Follow up (8 months); </w:t>
            </w:r>
          </w:p>
          <w:p w14:paraId="62BAD4A1" w14:textId="77777777" w:rsidR="00A13F7B" w:rsidRPr="00A13F7B" w:rsidRDefault="00A13F7B" w:rsidP="003607BC">
            <w:pPr>
              <w:suppressAutoHyphens/>
              <w:spacing w:before="0" w:after="0"/>
              <w:rPr>
                <w:rFonts w:cs="Arial"/>
              </w:rPr>
            </w:pPr>
            <w:r w:rsidRPr="00A13F7B">
              <w:rPr>
                <w:rFonts w:cs="Arial"/>
              </w:rPr>
              <w:t>Follow up (12 months).</w:t>
            </w:r>
          </w:p>
        </w:tc>
        <w:tc>
          <w:tcPr>
            <w:tcW w:w="5385" w:type="dxa"/>
          </w:tcPr>
          <w:p w14:paraId="347C182E" w14:textId="77777777" w:rsidR="00A13F7B" w:rsidRPr="00A13F7B" w:rsidRDefault="00A13F7B" w:rsidP="003607BC">
            <w:pPr>
              <w:suppressAutoHyphens/>
              <w:spacing w:before="0" w:after="0"/>
              <w:rPr>
                <w:rFonts w:cs="Arial"/>
              </w:rPr>
            </w:pPr>
            <w:r w:rsidRPr="00A13F7B">
              <w:rPr>
                <w:rFonts w:cs="Arial"/>
              </w:rPr>
              <w:t xml:space="preserve">No evidence of a difference in parental mental wellbeing over time. </w:t>
            </w:r>
          </w:p>
        </w:tc>
      </w:tr>
      <w:tr w:rsidR="00A13F7B" w:rsidRPr="00A13F7B" w14:paraId="7B024793"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vMerge/>
          </w:tcPr>
          <w:p w14:paraId="1783F51C" w14:textId="77777777" w:rsidR="00A13F7B" w:rsidRPr="00A13F7B" w:rsidRDefault="00A13F7B" w:rsidP="003607BC">
            <w:pPr>
              <w:suppressAutoHyphens/>
              <w:spacing w:before="0" w:after="0"/>
              <w:rPr>
                <w:rFonts w:cs="Arial"/>
                <w:b/>
              </w:rPr>
            </w:pPr>
          </w:p>
        </w:tc>
        <w:tc>
          <w:tcPr>
            <w:tcW w:w="1361" w:type="dxa"/>
            <w:vMerge/>
          </w:tcPr>
          <w:p w14:paraId="3C5EE932" w14:textId="77777777" w:rsidR="00A13F7B" w:rsidRPr="00A13F7B" w:rsidRDefault="00A13F7B" w:rsidP="003607BC">
            <w:pPr>
              <w:suppressAutoHyphens/>
              <w:spacing w:before="0" w:after="0"/>
              <w:rPr>
                <w:rFonts w:cs="Arial"/>
              </w:rPr>
            </w:pPr>
          </w:p>
        </w:tc>
        <w:tc>
          <w:tcPr>
            <w:tcW w:w="1383" w:type="dxa"/>
            <w:vMerge/>
          </w:tcPr>
          <w:p w14:paraId="2024FB95" w14:textId="77777777" w:rsidR="00A13F7B" w:rsidRPr="00A13F7B" w:rsidRDefault="00A13F7B" w:rsidP="003607BC">
            <w:pPr>
              <w:suppressAutoHyphens/>
              <w:spacing w:before="0" w:after="0"/>
              <w:rPr>
                <w:rFonts w:cs="Arial"/>
              </w:rPr>
            </w:pPr>
          </w:p>
        </w:tc>
        <w:tc>
          <w:tcPr>
            <w:tcW w:w="2175" w:type="dxa"/>
          </w:tcPr>
          <w:p w14:paraId="45D4437E" w14:textId="77777777" w:rsidR="00A13F7B" w:rsidRPr="00A13F7B" w:rsidRDefault="00A13F7B" w:rsidP="003607BC">
            <w:pPr>
              <w:suppressAutoHyphens/>
              <w:spacing w:before="0" w:after="0"/>
              <w:rPr>
                <w:rFonts w:cs="Arial"/>
              </w:rPr>
            </w:pPr>
            <w:r w:rsidRPr="00A13F7B">
              <w:rPr>
                <w:rFonts w:cs="Arial"/>
              </w:rPr>
              <w:t>Study-Specific Tool</w:t>
            </w:r>
          </w:p>
        </w:tc>
        <w:tc>
          <w:tcPr>
            <w:tcW w:w="2096" w:type="dxa"/>
          </w:tcPr>
          <w:p w14:paraId="7B2E13BC" w14:textId="77777777" w:rsidR="00A13F7B" w:rsidRPr="00A13F7B" w:rsidRDefault="00A13F7B" w:rsidP="003607BC">
            <w:pPr>
              <w:suppressAutoHyphens/>
              <w:spacing w:before="0" w:after="0"/>
              <w:rPr>
                <w:rFonts w:cs="Arial"/>
              </w:rPr>
            </w:pPr>
            <w:r w:rsidRPr="00A13F7B">
              <w:rPr>
                <w:rFonts w:cs="Arial"/>
              </w:rPr>
              <w:t>As above</w:t>
            </w:r>
          </w:p>
        </w:tc>
        <w:tc>
          <w:tcPr>
            <w:tcW w:w="5385" w:type="dxa"/>
          </w:tcPr>
          <w:p w14:paraId="31B800C5" w14:textId="77777777" w:rsidR="00A13F7B" w:rsidRPr="00A13F7B" w:rsidRDefault="00A13F7B" w:rsidP="003607BC">
            <w:pPr>
              <w:suppressAutoHyphens/>
              <w:spacing w:before="0" w:after="0"/>
              <w:rPr>
                <w:rFonts w:cs="Arial"/>
              </w:rPr>
            </w:pPr>
            <w:r w:rsidRPr="00A13F7B">
              <w:rPr>
                <w:rFonts w:cs="Arial"/>
              </w:rPr>
              <w:t xml:space="preserve">No evidence of a difference in satisfaction over time. </w:t>
            </w:r>
          </w:p>
        </w:tc>
      </w:tr>
      <w:tr w:rsidR="00A13F7B" w:rsidRPr="00A13F7B" w14:paraId="6641B44C" w14:textId="77777777">
        <w:trPr>
          <w:cnfStyle w:val="000000100000" w:firstRow="0" w:lastRow="0" w:firstColumn="0" w:lastColumn="0" w:oddVBand="0" w:evenVBand="0" w:oddHBand="1" w:evenHBand="0" w:firstRowFirstColumn="0" w:firstRowLastColumn="0" w:lastRowFirstColumn="0" w:lastRowLastColumn="0"/>
          <w:trHeight w:val="340"/>
        </w:trPr>
        <w:tc>
          <w:tcPr>
            <w:tcW w:w="13750" w:type="dxa"/>
            <w:gridSpan w:val="6"/>
            <w:shd w:val="clear" w:color="auto" w:fill="DAE2E6"/>
          </w:tcPr>
          <w:p w14:paraId="2180D395" w14:textId="77777777" w:rsidR="00A13F7B" w:rsidRPr="00A13F7B" w:rsidRDefault="00A13F7B" w:rsidP="003607BC">
            <w:pPr>
              <w:suppressAutoHyphens/>
              <w:spacing w:before="0" w:after="0"/>
              <w:rPr>
                <w:rFonts w:cs="Arial"/>
              </w:rPr>
            </w:pPr>
            <w:r w:rsidRPr="00A13F7B">
              <w:rPr>
                <w:rFonts w:cs="Arial"/>
                <w:b/>
              </w:rPr>
              <w:t>Responsive/Directive Strategies</w:t>
            </w:r>
          </w:p>
        </w:tc>
      </w:tr>
      <w:tr w:rsidR="00A13F7B" w:rsidRPr="00A13F7B" w14:paraId="5C79E54B"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vMerge w:val="restart"/>
          </w:tcPr>
          <w:p w14:paraId="01AEB828" w14:textId="77777777" w:rsidR="00A13F7B" w:rsidRPr="00A13F7B" w:rsidRDefault="00A13F7B" w:rsidP="003607BC">
            <w:pPr>
              <w:suppressAutoHyphens/>
              <w:spacing w:before="0" w:after="0"/>
              <w:rPr>
                <w:rFonts w:cs="Arial"/>
                <w:b/>
              </w:rPr>
            </w:pPr>
            <w:r w:rsidRPr="00A13F7B">
              <w:rPr>
                <w:rFonts w:cs="Arial"/>
                <w:b/>
              </w:rPr>
              <w:t xml:space="preserve">Roberts </w:t>
            </w:r>
          </w:p>
          <w:p w14:paraId="26DB8344" w14:textId="77777777" w:rsidR="00A13F7B" w:rsidRPr="00A13F7B" w:rsidRDefault="00A13F7B" w:rsidP="003607BC">
            <w:pPr>
              <w:suppressAutoHyphens/>
              <w:spacing w:before="0" w:after="0"/>
              <w:rPr>
                <w:rFonts w:cs="Arial"/>
                <w:b/>
              </w:rPr>
            </w:pPr>
            <w:r w:rsidRPr="00A13F7B">
              <w:rPr>
                <w:rFonts w:cs="Arial"/>
                <w:b/>
              </w:rPr>
              <w:t>2023</w:t>
            </w:r>
          </w:p>
        </w:tc>
        <w:tc>
          <w:tcPr>
            <w:tcW w:w="1361" w:type="dxa"/>
            <w:vMerge w:val="restart"/>
          </w:tcPr>
          <w:p w14:paraId="4E478C0A" w14:textId="77777777" w:rsidR="00A13F7B" w:rsidRPr="00A13F7B" w:rsidRDefault="00A13F7B" w:rsidP="003607BC">
            <w:pPr>
              <w:suppressAutoHyphens/>
              <w:spacing w:before="0" w:after="0"/>
              <w:rPr>
                <w:rFonts w:cs="Arial"/>
              </w:rPr>
            </w:pPr>
            <w:r w:rsidRPr="00A13F7B">
              <w:rPr>
                <w:rFonts w:cs="Arial"/>
              </w:rPr>
              <w:t>Responsive Strategies (n=55)</w:t>
            </w:r>
          </w:p>
        </w:tc>
        <w:tc>
          <w:tcPr>
            <w:tcW w:w="1383" w:type="dxa"/>
            <w:vMerge w:val="restart"/>
          </w:tcPr>
          <w:p w14:paraId="29D43F4A" w14:textId="77777777" w:rsidR="00A13F7B" w:rsidRPr="00A13F7B" w:rsidRDefault="00A13F7B" w:rsidP="003607BC">
            <w:pPr>
              <w:suppressAutoHyphens/>
              <w:spacing w:before="0" w:after="0"/>
              <w:rPr>
                <w:rFonts w:cs="Arial"/>
              </w:rPr>
            </w:pPr>
            <w:r w:rsidRPr="00A13F7B">
              <w:rPr>
                <w:rFonts w:cs="Arial"/>
              </w:rPr>
              <w:t>Directive Strategies (n=56)</w:t>
            </w:r>
          </w:p>
        </w:tc>
        <w:tc>
          <w:tcPr>
            <w:tcW w:w="2175" w:type="dxa"/>
          </w:tcPr>
          <w:p w14:paraId="4E8CC3B0" w14:textId="77777777" w:rsidR="00A13F7B" w:rsidRPr="00A13F7B" w:rsidRDefault="00A13F7B" w:rsidP="003607BC">
            <w:pPr>
              <w:suppressAutoHyphens/>
              <w:spacing w:before="0" w:after="0"/>
              <w:rPr>
                <w:rFonts w:cs="Arial"/>
              </w:rPr>
            </w:pPr>
            <w:r w:rsidRPr="00A13F7B">
              <w:rPr>
                <w:rFonts w:cs="Arial"/>
              </w:rPr>
              <w:t>Study-Specific Tool</w:t>
            </w:r>
          </w:p>
        </w:tc>
        <w:tc>
          <w:tcPr>
            <w:tcW w:w="2096" w:type="dxa"/>
          </w:tcPr>
          <w:p w14:paraId="093C0D8F" w14:textId="77777777" w:rsidR="00A13F7B" w:rsidRPr="00A13F7B" w:rsidRDefault="00A13F7B" w:rsidP="003607BC">
            <w:pPr>
              <w:suppressAutoHyphens/>
              <w:spacing w:before="0" w:after="0"/>
              <w:rPr>
                <w:rFonts w:cs="Arial"/>
              </w:rPr>
            </w:pPr>
            <w:r w:rsidRPr="00A13F7B">
              <w:rPr>
                <w:rFonts w:cs="Arial"/>
              </w:rPr>
              <w:t xml:space="preserve">Baseline; </w:t>
            </w:r>
          </w:p>
          <w:p w14:paraId="5FE0D986" w14:textId="77777777" w:rsidR="00A13F7B" w:rsidRPr="00A13F7B" w:rsidRDefault="00A13F7B" w:rsidP="003607BC">
            <w:pPr>
              <w:suppressAutoHyphens/>
              <w:spacing w:before="0" w:after="0"/>
              <w:rPr>
                <w:rFonts w:cs="Arial"/>
              </w:rPr>
            </w:pPr>
            <w:r w:rsidRPr="00A13F7B">
              <w:rPr>
                <w:rFonts w:cs="Arial"/>
              </w:rPr>
              <w:t xml:space="preserve">Mid-intervention; </w:t>
            </w:r>
          </w:p>
          <w:p w14:paraId="5005DAD2" w14:textId="77777777" w:rsidR="00A13F7B" w:rsidRPr="00A13F7B" w:rsidRDefault="00A13F7B" w:rsidP="003607BC">
            <w:pPr>
              <w:suppressAutoHyphens/>
              <w:spacing w:before="0" w:after="0"/>
              <w:rPr>
                <w:rFonts w:cs="Arial"/>
              </w:rPr>
            </w:pPr>
            <w:r w:rsidRPr="00A13F7B">
              <w:rPr>
                <w:rFonts w:cs="Arial"/>
              </w:rPr>
              <w:t>Post-intervention.</w:t>
            </w:r>
          </w:p>
        </w:tc>
        <w:tc>
          <w:tcPr>
            <w:tcW w:w="5385" w:type="dxa"/>
          </w:tcPr>
          <w:p w14:paraId="0BA88EC5" w14:textId="77777777" w:rsidR="00A13F7B" w:rsidRPr="00A13F7B" w:rsidRDefault="00A13F7B" w:rsidP="003607BC">
            <w:pPr>
              <w:suppressAutoHyphens/>
              <w:spacing w:before="0" w:after="0"/>
              <w:rPr>
                <w:rFonts w:cs="Arial"/>
              </w:rPr>
            </w:pPr>
            <w:r w:rsidRPr="00A13F7B">
              <w:rPr>
                <w:rFonts w:cs="Arial"/>
              </w:rPr>
              <w:t xml:space="preserve">No evidence of a difference between groups in maintenance of strategy. </w:t>
            </w:r>
          </w:p>
        </w:tc>
      </w:tr>
      <w:tr w:rsidR="00A13F7B" w:rsidRPr="00A13F7B" w14:paraId="19ECDB0B"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vMerge/>
          </w:tcPr>
          <w:p w14:paraId="4B5E6442" w14:textId="77777777" w:rsidR="00A13F7B" w:rsidRPr="00A13F7B" w:rsidRDefault="00A13F7B" w:rsidP="003607BC">
            <w:pPr>
              <w:suppressAutoHyphens/>
              <w:spacing w:before="0" w:after="0"/>
              <w:rPr>
                <w:rFonts w:cs="Arial"/>
                <w:b/>
              </w:rPr>
            </w:pPr>
          </w:p>
        </w:tc>
        <w:tc>
          <w:tcPr>
            <w:tcW w:w="1361" w:type="dxa"/>
            <w:vMerge/>
          </w:tcPr>
          <w:p w14:paraId="7F391509" w14:textId="77777777" w:rsidR="00A13F7B" w:rsidRPr="00A13F7B" w:rsidRDefault="00A13F7B" w:rsidP="003607BC">
            <w:pPr>
              <w:suppressAutoHyphens/>
              <w:spacing w:before="0" w:after="0"/>
              <w:rPr>
                <w:rFonts w:cs="Arial"/>
              </w:rPr>
            </w:pPr>
          </w:p>
        </w:tc>
        <w:tc>
          <w:tcPr>
            <w:tcW w:w="1383" w:type="dxa"/>
            <w:vMerge/>
          </w:tcPr>
          <w:p w14:paraId="4BE8EB09" w14:textId="77777777" w:rsidR="00A13F7B" w:rsidRPr="00A13F7B" w:rsidRDefault="00A13F7B" w:rsidP="003607BC">
            <w:pPr>
              <w:suppressAutoHyphens/>
              <w:spacing w:before="0" w:after="0"/>
              <w:rPr>
                <w:rFonts w:cs="Arial"/>
              </w:rPr>
            </w:pPr>
          </w:p>
        </w:tc>
        <w:tc>
          <w:tcPr>
            <w:tcW w:w="2175" w:type="dxa"/>
          </w:tcPr>
          <w:p w14:paraId="418DA058" w14:textId="77777777" w:rsidR="00A13F7B" w:rsidRPr="00A13F7B" w:rsidRDefault="00A13F7B" w:rsidP="003607BC">
            <w:pPr>
              <w:suppressAutoHyphens/>
              <w:spacing w:before="0" w:after="0"/>
              <w:rPr>
                <w:rFonts w:cs="Arial"/>
              </w:rPr>
            </w:pPr>
            <w:r w:rsidRPr="00A13F7B">
              <w:rPr>
                <w:rFonts w:cs="Arial"/>
              </w:rPr>
              <w:t>Study-Specific Tool</w:t>
            </w:r>
          </w:p>
        </w:tc>
        <w:tc>
          <w:tcPr>
            <w:tcW w:w="2096" w:type="dxa"/>
          </w:tcPr>
          <w:p w14:paraId="714D3545" w14:textId="77777777" w:rsidR="00A13F7B" w:rsidRPr="00A13F7B" w:rsidRDefault="00A13F7B" w:rsidP="003607BC">
            <w:pPr>
              <w:suppressAutoHyphens/>
              <w:spacing w:before="0" w:after="0"/>
              <w:rPr>
                <w:rFonts w:cs="Arial"/>
              </w:rPr>
            </w:pPr>
            <w:r w:rsidRPr="00A13F7B">
              <w:rPr>
                <w:rFonts w:cs="Arial"/>
              </w:rPr>
              <w:t xml:space="preserve">Baseline; </w:t>
            </w:r>
          </w:p>
          <w:p w14:paraId="3A018816" w14:textId="77777777" w:rsidR="00A13F7B" w:rsidRPr="00A13F7B" w:rsidRDefault="00A13F7B" w:rsidP="003607BC">
            <w:pPr>
              <w:suppressAutoHyphens/>
              <w:spacing w:before="0" w:after="0"/>
              <w:rPr>
                <w:rFonts w:cs="Arial"/>
              </w:rPr>
            </w:pPr>
            <w:r w:rsidRPr="00A13F7B">
              <w:rPr>
                <w:rFonts w:cs="Arial"/>
              </w:rPr>
              <w:t xml:space="preserve">Post-intervention; </w:t>
            </w:r>
          </w:p>
          <w:p w14:paraId="67CE7CBF" w14:textId="77777777" w:rsidR="00A13F7B" w:rsidRPr="00A13F7B" w:rsidRDefault="00A13F7B" w:rsidP="003607BC">
            <w:pPr>
              <w:suppressAutoHyphens/>
              <w:spacing w:before="0" w:after="0"/>
              <w:rPr>
                <w:rFonts w:cs="Arial"/>
              </w:rPr>
            </w:pPr>
            <w:r w:rsidRPr="00A13F7B">
              <w:rPr>
                <w:rFonts w:cs="Arial"/>
              </w:rPr>
              <w:t>Follow up</w:t>
            </w:r>
          </w:p>
        </w:tc>
        <w:tc>
          <w:tcPr>
            <w:tcW w:w="5385" w:type="dxa"/>
          </w:tcPr>
          <w:p w14:paraId="77949389" w14:textId="77777777" w:rsidR="00A13F7B" w:rsidRPr="00A13F7B" w:rsidRDefault="00A13F7B" w:rsidP="003607BC">
            <w:pPr>
              <w:suppressAutoHyphens/>
              <w:spacing w:before="0" w:after="0"/>
              <w:rPr>
                <w:rFonts w:cs="Arial"/>
              </w:rPr>
            </w:pPr>
            <w:r w:rsidRPr="00A13F7B">
              <w:rPr>
                <w:rFonts w:cs="Arial"/>
              </w:rPr>
              <w:t>No evidence of a difference between groups in caregiver’s confidence and satisfaction at postintervention or follow up.</w:t>
            </w:r>
          </w:p>
        </w:tc>
      </w:tr>
      <w:tr w:rsidR="00A13F7B" w:rsidRPr="00A13F7B" w14:paraId="30E9DC55" w14:textId="77777777">
        <w:trPr>
          <w:cnfStyle w:val="000000010000" w:firstRow="0" w:lastRow="0" w:firstColumn="0" w:lastColumn="0" w:oddVBand="0" w:evenVBand="0" w:oddHBand="0" w:evenHBand="1" w:firstRowFirstColumn="0" w:firstRowLastColumn="0" w:lastRowFirstColumn="0" w:lastRowLastColumn="0"/>
          <w:trHeight w:val="340"/>
        </w:trPr>
        <w:tc>
          <w:tcPr>
            <w:tcW w:w="13750" w:type="dxa"/>
            <w:gridSpan w:val="6"/>
            <w:shd w:val="clear" w:color="auto" w:fill="DAE2E6"/>
          </w:tcPr>
          <w:p w14:paraId="2E9BFA9B" w14:textId="77777777" w:rsidR="00A13F7B" w:rsidRPr="00A13F7B" w:rsidRDefault="00A13F7B" w:rsidP="003607BC">
            <w:pPr>
              <w:suppressAutoHyphens/>
              <w:spacing w:before="0" w:after="0"/>
              <w:rPr>
                <w:rFonts w:cs="Arial"/>
              </w:rPr>
            </w:pPr>
            <w:r w:rsidRPr="00A13F7B">
              <w:rPr>
                <w:rFonts w:cs="Arial"/>
                <w:b/>
              </w:rPr>
              <w:t>Reciprocal Imitation Training (RIT)</w:t>
            </w:r>
          </w:p>
        </w:tc>
      </w:tr>
      <w:tr w:rsidR="00A13F7B" w:rsidRPr="00A13F7B" w14:paraId="45B6B093"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vMerge w:val="restart"/>
          </w:tcPr>
          <w:p w14:paraId="16B6826C" w14:textId="77777777" w:rsidR="00A13F7B" w:rsidRPr="00A13F7B" w:rsidRDefault="00A13F7B" w:rsidP="003607BC">
            <w:pPr>
              <w:suppressAutoHyphens/>
              <w:spacing w:before="0" w:after="0"/>
              <w:rPr>
                <w:rFonts w:cs="Arial"/>
                <w:b/>
              </w:rPr>
            </w:pPr>
            <w:r w:rsidRPr="00A13F7B">
              <w:rPr>
                <w:rFonts w:cs="Arial"/>
                <w:b/>
              </w:rPr>
              <w:t xml:space="preserve">Wainer </w:t>
            </w:r>
          </w:p>
          <w:p w14:paraId="72B61F08" w14:textId="77777777" w:rsidR="00A13F7B" w:rsidRPr="00A13F7B" w:rsidRDefault="00A13F7B" w:rsidP="003607BC">
            <w:pPr>
              <w:suppressAutoHyphens/>
              <w:spacing w:before="0" w:after="0"/>
              <w:rPr>
                <w:rFonts w:cs="Arial"/>
                <w:b/>
              </w:rPr>
            </w:pPr>
            <w:r w:rsidRPr="00A13F7B">
              <w:rPr>
                <w:rFonts w:cs="Arial"/>
                <w:b/>
              </w:rPr>
              <w:t>2021</w:t>
            </w:r>
          </w:p>
        </w:tc>
        <w:tc>
          <w:tcPr>
            <w:tcW w:w="1361" w:type="dxa"/>
            <w:vMerge w:val="restart"/>
          </w:tcPr>
          <w:p w14:paraId="4FD15FC7" w14:textId="77777777" w:rsidR="00A13F7B" w:rsidRPr="00A13F7B" w:rsidRDefault="00A13F7B" w:rsidP="003607BC">
            <w:pPr>
              <w:suppressAutoHyphens/>
              <w:spacing w:before="0" w:after="0"/>
              <w:rPr>
                <w:rFonts w:cs="Arial"/>
              </w:rPr>
            </w:pPr>
            <w:r w:rsidRPr="00A13F7B">
              <w:rPr>
                <w:rFonts w:cs="Arial"/>
              </w:rPr>
              <w:t xml:space="preserve">RIT </w:t>
            </w:r>
          </w:p>
          <w:p w14:paraId="2E544876" w14:textId="77777777" w:rsidR="00A13F7B" w:rsidRPr="00A13F7B" w:rsidRDefault="00A13F7B" w:rsidP="003607BC">
            <w:pPr>
              <w:suppressAutoHyphens/>
              <w:spacing w:before="0" w:after="0"/>
              <w:rPr>
                <w:rFonts w:cs="Arial"/>
              </w:rPr>
            </w:pPr>
            <w:r w:rsidRPr="00A13F7B">
              <w:rPr>
                <w:rFonts w:cs="Arial"/>
              </w:rPr>
              <w:t>(n=10)</w:t>
            </w:r>
          </w:p>
        </w:tc>
        <w:tc>
          <w:tcPr>
            <w:tcW w:w="1383" w:type="dxa"/>
            <w:vMerge w:val="restart"/>
          </w:tcPr>
          <w:p w14:paraId="726C914F" w14:textId="77777777" w:rsidR="00A13F7B" w:rsidRPr="00A13F7B" w:rsidRDefault="00A13F7B" w:rsidP="003607BC">
            <w:pPr>
              <w:suppressAutoHyphens/>
              <w:spacing w:before="0" w:after="0"/>
              <w:rPr>
                <w:rFonts w:cs="Arial"/>
              </w:rPr>
            </w:pPr>
            <w:r w:rsidRPr="00A13F7B">
              <w:rPr>
                <w:rFonts w:cs="Arial"/>
              </w:rPr>
              <w:t xml:space="preserve">TAU </w:t>
            </w:r>
          </w:p>
          <w:p w14:paraId="4A0F779D" w14:textId="77777777" w:rsidR="00A13F7B" w:rsidRPr="00A13F7B" w:rsidRDefault="00A13F7B" w:rsidP="003607BC">
            <w:pPr>
              <w:suppressAutoHyphens/>
              <w:spacing w:before="0" w:after="0"/>
              <w:rPr>
                <w:rFonts w:cs="Arial"/>
              </w:rPr>
            </w:pPr>
            <w:r w:rsidRPr="00A13F7B">
              <w:rPr>
                <w:rFonts w:cs="Arial"/>
              </w:rPr>
              <w:t>(n=10)</w:t>
            </w:r>
          </w:p>
        </w:tc>
        <w:tc>
          <w:tcPr>
            <w:tcW w:w="2175" w:type="dxa"/>
          </w:tcPr>
          <w:p w14:paraId="4E6C9BE0" w14:textId="77777777" w:rsidR="00A13F7B" w:rsidRPr="00A13F7B" w:rsidRDefault="00A13F7B" w:rsidP="003607BC">
            <w:pPr>
              <w:suppressAutoHyphens/>
              <w:spacing w:before="0" w:after="0"/>
              <w:rPr>
                <w:rFonts w:cs="Arial"/>
              </w:rPr>
            </w:pPr>
            <w:r w:rsidRPr="00A13F7B">
              <w:rPr>
                <w:rFonts w:cs="Arial"/>
              </w:rPr>
              <w:t>Early Intervention Parenting Self</w:t>
            </w:r>
            <w:r w:rsidRPr="00A13F7B">
              <w:rPr>
                <w:rFonts w:ascii="Cambria Math" w:hAnsi="Cambria Math" w:cs="Cambria Math"/>
              </w:rPr>
              <w:t>‑</w:t>
            </w:r>
            <w:r w:rsidRPr="00A13F7B">
              <w:rPr>
                <w:rFonts w:cs="Arial"/>
              </w:rPr>
              <w:t>Efficacy Scale (EIPSES)</w:t>
            </w:r>
          </w:p>
        </w:tc>
        <w:tc>
          <w:tcPr>
            <w:tcW w:w="2096" w:type="dxa"/>
          </w:tcPr>
          <w:p w14:paraId="37A4B20C" w14:textId="77777777" w:rsidR="00A13F7B" w:rsidRPr="00A13F7B" w:rsidRDefault="00A13F7B" w:rsidP="003607BC">
            <w:pPr>
              <w:suppressAutoHyphens/>
              <w:spacing w:before="0" w:after="0"/>
              <w:rPr>
                <w:rFonts w:cs="Arial"/>
              </w:rPr>
            </w:pPr>
            <w:r w:rsidRPr="00A13F7B">
              <w:rPr>
                <w:rFonts w:cs="Arial"/>
              </w:rPr>
              <w:t xml:space="preserve">Baseline; </w:t>
            </w:r>
          </w:p>
          <w:p w14:paraId="444F4FC0" w14:textId="77777777" w:rsidR="00A13F7B" w:rsidRPr="00A13F7B" w:rsidRDefault="00A13F7B" w:rsidP="003607BC">
            <w:pPr>
              <w:suppressAutoHyphens/>
              <w:spacing w:before="0" w:after="0"/>
              <w:rPr>
                <w:rFonts w:cs="Arial"/>
              </w:rPr>
            </w:pPr>
            <w:r w:rsidRPr="00A13F7B">
              <w:rPr>
                <w:rFonts w:cs="Arial"/>
              </w:rPr>
              <w:t>Post-intervention</w:t>
            </w:r>
          </w:p>
        </w:tc>
        <w:tc>
          <w:tcPr>
            <w:tcW w:w="5385" w:type="dxa"/>
          </w:tcPr>
          <w:p w14:paraId="31B346FA" w14:textId="77777777" w:rsidR="00A13F7B" w:rsidRPr="00A13F7B" w:rsidRDefault="00A13F7B" w:rsidP="003607BC">
            <w:pPr>
              <w:suppressAutoHyphens/>
              <w:spacing w:before="0" w:after="0"/>
              <w:rPr>
                <w:rFonts w:cs="Arial"/>
              </w:rPr>
            </w:pPr>
            <w:r w:rsidRPr="00A13F7B">
              <w:rPr>
                <w:rFonts w:cs="Arial"/>
              </w:rPr>
              <w:t xml:space="preserve">Evidence of a difference between groups at post-intervention for parenting self-efficacy in favour of Online RIT. </w:t>
            </w:r>
          </w:p>
        </w:tc>
      </w:tr>
      <w:tr w:rsidR="00A13F7B" w:rsidRPr="00A13F7B" w14:paraId="3CC0FACD"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vMerge/>
          </w:tcPr>
          <w:p w14:paraId="0CA0C362" w14:textId="77777777" w:rsidR="00A13F7B" w:rsidRPr="00A13F7B" w:rsidRDefault="00A13F7B" w:rsidP="003607BC">
            <w:pPr>
              <w:suppressAutoHyphens/>
              <w:spacing w:before="0" w:after="0"/>
              <w:rPr>
                <w:rFonts w:cs="Arial"/>
                <w:b/>
              </w:rPr>
            </w:pPr>
          </w:p>
        </w:tc>
        <w:tc>
          <w:tcPr>
            <w:tcW w:w="1361" w:type="dxa"/>
            <w:vMerge/>
          </w:tcPr>
          <w:p w14:paraId="0E744120" w14:textId="77777777" w:rsidR="00A13F7B" w:rsidRPr="00A13F7B" w:rsidRDefault="00A13F7B" w:rsidP="003607BC">
            <w:pPr>
              <w:suppressAutoHyphens/>
              <w:spacing w:before="0" w:after="0"/>
              <w:rPr>
                <w:rFonts w:cs="Arial"/>
              </w:rPr>
            </w:pPr>
          </w:p>
        </w:tc>
        <w:tc>
          <w:tcPr>
            <w:tcW w:w="1383" w:type="dxa"/>
            <w:vMerge/>
          </w:tcPr>
          <w:p w14:paraId="1CF316C9" w14:textId="77777777" w:rsidR="00A13F7B" w:rsidRPr="00A13F7B" w:rsidRDefault="00A13F7B" w:rsidP="003607BC">
            <w:pPr>
              <w:suppressAutoHyphens/>
              <w:spacing w:before="0" w:after="0"/>
              <w:rPr>
                <w:rFonts w:cs="Arial"/>
              </w:rPr>
            </w:pPr>
          </w:p>
        </w:tc>
        <w:tc>
          <w:tcPr>
            <w:tcW w:w="2175" w:type="dxa"/>
          </w:tcPr>
          <w:p w14:paraId="030AEEA1" w14:textId="77777777" w:rsidR="00A13F7B" w:rsidRDefault="00A13F7B" w:rsidP="003607BC">
            <w:pPr>
              <w:suppressAutoHyphens/>
              <w:spacing w:before="0" w:after="0"/>
              <w:rPr>
                <w:rFonts w:cs="Arial"/>
              </w:rPr>
            </w:pPr>
            <w:r w:rsidRPr="00A13F7B">
              <w:rPr>
                <w:rFonts w:cs="Arial"/>
              </w:rPr>
              <w:t>Beach Center Family Quality of Life Scale (FQOL)</w:t>
            </w:r>
          </w:p>
          <w:p w14:paraId="34BDCC4D" w14:textId="77777777" w:rsidR="00A13F7B" w:rsidRPr="00A13F7B" w:rsidRDefault="00A13F7B" w:rsidP="003607BC">
            <w:pPr>
              <w:suppressAutoHyphens/>
              <w:spacing w:before="0" w:after="0"/>
              <w:rPr>
                <w:rFonts w:cs="Arial"/>
              </w:rPr>
            </w:pPr>
          </w:p>
        </w:tc>
        <w:tc>
          <w:tcPr>
            <w:tcW w:w="2096" w:type="dxa"/>
          </w:tcPr>
          <w:p w14:paraId="7053710C" w14:textId="77777777" w:rsidR="00A13F7B" w:rsidRPr="00A13F7B" w:rsidRDefault="00A13F7B" w:rsidP="003607BC">
            <w:pPr>
              <w:suppressAutoHyphens/>
              <w:spacing w:before="0" w:after="0"/>
              <w:rPr>
                <w:rFonts w:cs="Arial"/>
              </w:rPr>
            </w:pPr>
            <w:r w:rsidRPr="00A13F7B">
              <w:rPr>
                <w:rFonts w:cs="Arial"/>
              </w:rPr>
              <w:t>As above</w:t>
            </w:r>
          </w:p>
        </w:tc>
        <w:tc>
          <w:tcPr>
            <w:tcW w:w="5385" w:type="dxa"/>
          </w:tcPr>
          <w:p w14:paraId="4C24D9B6" w14:textId="77777777" w:rsidR="00A13F7B" w:rsidRPr="00A13F7B" w:rsidRDefault="00A13F7B" w:rsidP="003607BC">
            <w:pPr>
              <w:suppressAutoHyphens/>
              <w:spacing w:before="0" w:after="0"/>
              <w:rPr>
                <w:rFonts w:cs="Arial"/>
              </w:rPr>
            </w:pPr>
            <w:r w:rsidRPr="00A13F7B">
              <w:rPr>
                <w:rFonts w:cs="Arial"/>
              </w:rPr>
              <w:t>No evidence of a difference between groups for family QoL.</w:t>
            </w:r>
          </w:p>
        </w:tc>
      </w:tr>
      <w:tr w:rsidR="00A13F7B" w:rsidRPr="00A13F7B" w14:paraId="236D05B6" w14:textId="77777777">
        <w:trPr>
          <w:cnfStyle w:val="000000100000" w:firstRow="0" w:lastRow="0" w:firstColumn="0" w:lastColumn="0" w:oddVBand="0" w:evenVBand="0" w:oddHBand="1" w:evenHBand="0" w:firstRowFirstColumn="0" w:firstRowLastColumn="0" w:lastRowFirstColumn="0" w:lastRowLastColumn="0"/>
          <w:trHeight w:val="340"/>
        </w:trPr>
        <w:tc>
          <w:tcPr>
            <w:tcW w:w="13750" w:type="dxa"/>
            <w:gridSpan w:val="6"/>
            <w:shd w:val="clear" w:color="auto" w:fill="DAE2E6"/>
          </w:tcPr>
          <w:p w14:paraId="52626296" w14:textId="77777777" w:rsidR="00A13F7B" w:rsidRPr="00A13F7B" w:rsidRDefault="00A13F7B" w:rsidP="003607BC">
            <w:pPr>
              <w:suppressAutoHyphens/>
              <w:spacing w:before="0" w:after="0"/>
              <w:rPr>
                <w:rFonts w:cs="Arial"/>
              </w:rPr>
            </w:pPr>
            <w:r w:rsidRPr="00A13F7B">
              <w:rPr>
                <w:rFonts w:cs="Arial"/>
                <w:b/>
              </w:rPr>
              <w:t>Sleep Parent Training (SPT)</w:t>
            </w:r>
          </w:p>
        </w:tc>
      </w:tr>
      <w:tr w:rsidR="00A13F7B" w:rsidRPr="00A13F7B" w14:paraId="4038F5AD" w14:textId="77777777" w:rsidTr="005F6B45">
        <w:trPr>
          <w:cnfStyle w:val="000000010000" w:firstRow="0" w:lastRow="0" w:firstColumn="0" w:lastColumn="0" w:oddVBand="0" w:evenVBand="0" w:oddHBand="0" w:evenHBand="1" w:firstRowFirstColumn="0" w:firstRowLastColumn="0" w:lastRowFirstColumn="0" w:lastRowLastColumn="0"/>
          <w:trHeight w:val="340"/>
        </w:trPr>
        <w:tc>
          <w:tcPr>
            <w:tcW w:w="1350" w:type="dxa"/>
            <w:vMerge w:val="restart"/>
            <w:tcBorders>
              <w:bottom w:val="single" w:sz="4" w:space="0" w:color="auto"/>
            </w:tcBorders>
          </w:tcPr>
          <w:p w14:paraId="2880DC34" w14:textId="77777777" w:rsidR="00A13F7B" w:rsidRPr="00A13F7B" w:rsidRDefault="00A13F7B" w:rsidP="003607BC">
            <w:pPr>
              <w:suppressAutoHyphens/>
              <w:spacing w:before="0" w:after="0"/>
              <w:rPr>
                <w:rFonts w:cs="Arial"/>
                <w:b/>
              </w:rPr>
            </w:pPr>
            <w:r w:rsidRPr="00A13F7B">
              <w:rPr>
                <w:rFonts w:cs="Arial"/>
                <w:b/>
              </w:rPr>
              <w:t xml:space="preserve">Johnston </w:t>
            </w:r>
          </w:p>
          <w:p w14:paraId="728C7C7F" w14:textId="77777777" w:rsidR="00A13F7B" w:rsidRPr="00A13F7B" w:rsidRDefault="00A13F7B" w:rsidP="003607BC">
            <w:pPr>
              <w:suppressAutoHyphens/>
              <w:spacing w:before="0" w:after="0"/>
              <w:rPr>
                <w:rFonts w:cs="Arial"/>
                <w:b/>
              </w:rPr>
            </w:pPr>
            <w:r w:rsidRPr="00A13F7B">
              <w:rPr>
                <w:rFonts w:cs="Arial"/>
                <w:b/>
              </w:rPr>
              <w:t>2024</w:t>
            </w:r>
          </w:p>
        </w:tc>
        <w:tc>
          <w:tcPr>
            <w:tcW w:w="1361" w:type="dxa"/>
            <w:vMerge w:val="restart"/>
            <w:tcBorders>
              <w:bottom w:val="single" w:sz="4" w:space="0" w:color="auto"/>
            </w:tcBorders>
          </w:tcPr>
          <w:p w14:paraId="12910A87" w14:textId="77777777" w:rsidR="00A13F7B" w:rsidRPr="00A13F7B" w:rsidRDefault="00A13F7B" w:rsidP="003607BC">
            <w:pPr>
              <w:suppressAutoHyphens/>
              <w:spacing w:before="0" w:after="0"/>
              <w:rPr>
                <w:rFonts w:cs="Arial"/>
              </w:rPr>
            </w:pPr>
            <w:r w:rsidRPr="00A13F7B">
              <w:rPr>
                <w:rFonts w:cs="Arial"/>
              </w:rPr>
              <w:t xml:space="preserve">SPT </w:t>
            </w:r>
          </w:p>
          <w:p w14:paraId="614D9038" w14:textId="77777777" w:rsidR="00A13F7B" w:rsidRPr="00A13F7B" w:rsidRDefault="00A13F7B" w:rsidP="003607BC">
            <w:pPr>
              <w:suppressAutoHyphens/>
              <w:spacing w:before="0" w:after="0"/>
              <w:rPr>
                <w:rFonts w:cs="Arial"/>
              </w:rPr>
            </w:pPr>
            <w:r w:rsidRPr="00A13F7B">
              <w:rPr>
                <w:rFonts w:cs="Arial"/>
              </w:rPr>
              <w:t>(n=36)</w:t>
            </w:r>
          </w:p>
        </w:tc>
        <w:tc>
          <w:tcPr>
            <w:tcW w:w="1383" w:type="dxa"/>
            <w:vMerge w:val="restart"/>
            <w:tcBorders>
              <w:bottom w:val="single" w:sz="4" w:space="0" w:color="auto"/>
            </w:tcBorders>
          </w:tcPr>
          <w:p w14:paraId="77A29081" w14:textId="77777777" w:rsidR="00A13F7B" w:rsidRPr="00A13F7B" w:rsidRDefault="00A13F7B" w:rsidP="003607BC">
            <w:pPr>
              <w:suppressAutoHyphens/>
              <w:spacing w:before="0" w:after="0"/>
              <w:rPr>
                <w:rFonts w:cs="Arial"/>
              </w:rPr>
            </w:pPr>
            <w:r w:rsidRPr="00A13F7B">
              <w:rPr>
                <w:rFonts w:cs="Arial"/>
              </w:rPr>
              <w:t xml:space="preserve">PEP </w:t>
            </w:r>
          </w:p>
          <w:p w14:paraId="328E8EBD" w14:textId="77777777" w:rsidR="00A13F7B" w:rsidRPr="00A13F7B" w:rsidRDefault="00A13F7B" w:rsidP="003607BC">
            <w:pPr>
              <w:suppressAutoHyphens/>
              <w:spacing w:before="0" w:after="0"/>
              <w:rPr>
                <w:rFonts w:cs="Arial"/>
              </w:rPr>
            </w:pPr>
            <w:r w:rsidRPr="00A13F7B">
              <w:rPr>
                <w:rFonts w:cs="Arial"/>
              </w:rPr>
              <w:t>(n=38)</w:t>
            </w:r>
          </w:p>
        </w:tc>
        <w:tc>
          <w:tcPr>
            <w:tcW w:w="2175" w:type="dxa"/>
          </w:tcPr>
          <w:p w14:paraId="2206B577" w14:textId="77777777" w:rsidR="00A13F7B" w:rsidRPr="00A13F7B" w:rsidRDefault="00A13F7B" w:rsidP="003607BC">
            <w:pPr>
              <w:suppressAutoHyphens/>
              <w:spacing w:before="0" w:after="0"/>
              <w:rPr>
                <w:rFonts w:cs="Arial"/>
              </w:rPr>
            </w:pPr>
            <w:r w:rsidRPr="00A13F7B">
              <w:rPr>
                <w:rFonts w:cs="Arial"/>
              </w:rPr>
              <w:t>Parenting Stress Index (PSI)</w:t>
            </w:r>
          </w:p>
        </w:tc>
        <w:tc>
          <w:tcPr>
            <w:tcW w:w="2096" w:type="dxa"/>
          </w:tcPr>
          <w:p w14:paraId="766C50AC" w14:textId="77777777" w:rsidR="00A13F7B" w:rsidRPr="00A13F7B" w:rsidRDefault="00A13F7B" w:rsidP="003607BC">
            <w:pPr>
              <w:suppressAutoHyphens/>
              <w:spacing w:before="0" w:after="0"/>
              <w:rPr>
                <w:rFonts w:cs="Arial"/>
              </w:rPr>
            </w:pPr>
            <w:r w:rsidRPr="00A13F7B">
              <w:rPr>
                <w:rFonts w:cs="Arial"/>
              </w:rPr>
              <w:t xml:space="preserve">Baseline; </w:t>
            </w:r>
          </w:p>
          <w:p w14:paraId="345FCA66" w14:textId="77777777" w:rsidR="00A13F7B" w:rsidRPr="00A13F7B" w:rsidRDefault="00A13F7B" w:rsidP="003607BC">
            <w:pPr>
              <w:suppressAutoHyphens/>
              <w:spacing w:before="0" w:after="0"/>
              <w:rPr>
                <w:rFonts w:cs="Arial"/>
              </w:rPr>
            </w:pPr>
            <w:r w:rsidRPr="00A13F7B">
              <w:rPr>
                <w:rFonts w:cs="Arial"/>
              </w:rPr>
              <w:t xml:space="preserve">Mid-intervention (5 weeks); </w:t>
            </w:r>
          </w:p>
          <w:p w14:paraId="59E484E4" w14:textId="77777777" w:rsidR="00A13F7B" w:rsidRPr="00A13F7B" w:rsidRDefault="00A13F7B" w:rsidP="003607BC">
            <w:pPr>
              <w:suppressAutoHyphens/>
              <w:spacing w:before="0" w:after="0"/>
              <w:rPr>
                <w:rFonts w:cs="Arial"/>
              </w:rPr>
            </w:pPr>
            <w:r w:rsidRPr="00A13F7B">
              <w:rPr>
                <w:rFonts w:cs="Arial"/>
              </w:rPr>
              <w:t>Post-intervention (10 weeks)</w:t>
            </w:r>
          </w:p>
        </w:tc>
        <w:tc>
          <w:tcPr>
            <w:tcW w:w="5385" w:type="dxa"/>
          </w:tcPr>
          <w:p w14:paraId="2ECB16DD" w14:textId="77777777" w:rsidR="00A13F7B" w:rsidRPr="00A13F7B" w:rsidRDefault="00A13F7B" w:rsidP="003607BC">
            <w:pPr>
              <w:suppressAutoHyphens/>
              <w:spacing w:before="0" w:after="0"/>
              <w:rPr>
                <w:rFonts w:cs="Arial"/>
              </w:rPr>
            </w:pPr>
            <w:r w:rsidRPr="00A13F7B">
              <w:rPr>
                <w:rFonts w:cs="Arial"/>
              </w:rPr>
              <w:t xml:space="preserve">No evidence of a difference between groups for parenting stress. </w:t>
            </w:r>
          </w:p>
        </w:tc>
      </w:tr>
      <w:tr w:rsidR="00A13F7B" w:rsidRPr="00A13F7B" w14:paraId="407B2BC3" w14:textId="77777777" w:rsidTr="005F6B45">
        <w:trPr>
          <w:cnfStyle w:val="000000100000" w:firstRow="0" w:lastRow="0" w:firstColumn="0" w:lastColumn="0" w:oddVBand="0" w:evenVBand="0" w:oddHBand="1" w:evenHBand="0" w:firstRowFirstColumn="0" w:firstRowLastColumn="0" w:lastRowFirstColumn="0" w:lastRowLastColumn="0"/>
          <w:trHeight w:val="340"/>
        </w:trPr>
        <w:tc>
          <w:tcPr>
            <w:tcW w:w="1350" w:type="dxa"/>
            <w:vMerge/>
            <w:tcBorders>
              <w:top w:val="nil"/>
              <w:bottom w:val="single" w:sz="4" w:space="0" w:color="auto"/>
            </w:tcBorders>
          </w:tcPr>
          <w:p w14:paraId="6435BC12" w14:textId="77777777" w:rsidR="00A13F7B" w:rsidRPr="00A13F7B" w:rsidRDefault="00A13F7B" w:rsidP="003607BC">
            <w:pPr>
              <w:suppressAutoHyphens/>
              <w:spacing w:before="0" w:after="0"/>
              <w:rPr>
                <w:rFonts w:cs="Arial"/>
                <w:b/>
              </w:rPr>
            </w:pPr>
          </w:p>
        </w:tc>
        <w:tc>
          <w:tcPr>
            <w:tcW w:w="1361" w:type="dxa"/>
            <w:vMerge/>
            <w:tcBorders>
              <w:top w:val="nil"/>
              <w:bottom w:val="single" w:sz="4" w:space="0" w:color="auto"/>
            </w:tcBorders>
          </w:tcPr>
          <w:p w14:paraId="7C7CF0A7" w14:textId="77777777" w:rsidR="00A13F7B" w:rsidRPr="00A13F7B" w:rsidRDefault="00A13F7B" w:rsidP="003607BC">
            <w:pPr>
              <w:suppressAutoHyphens/>
              <w:spacing w:before="0" w:after="0"/>
              <w:rPr>
                <w:rFonts w:cs="Arial"/>
              </w:rPr>
            </w:pPr>
          </w:p>
        </w:tc>
        <w:tc>
          <w:tcPr>
            <w:tcW w:w="1383" w:type="dxa"/>
            <w:vMerge/>
            <w:tcBorders>
              <w:top w:val="nil"/>
              <w:bottom w:val="single" w:sz="4" w:space="0" w:color="auto"/>
            </w:tcBorders>
          </w:tcPr>
          <w:p w14:paraId="60292902" w14:textId="77777777" w:rsidR="00A13F7B" w:rsidRPr="00A13F7B" w:rsidRDefault="00A13F7B" w:rsidP="003607BC">
            <w:pPr>
              <w:suppressAutoHyphens/>
              <w:spacing w:before="0" w:after="0"/>
              <w:rPr>
                <w:rFonts w:cs="Arial"/>
              </w:rPr>
            </w:pPr>
          </w:p>
        </w:tc>
        <w:tc>
          <w:tcPr>
            <w:tcW w:w="2175" w:type="dxa"/>
            <w:tcBorders>
              <w:bottom w:val="single" w:sz="4" w:space="0" w:color="auto"/>
            </w:tcBorders>
          </w:tcPr>
          <w:p w14:paraId="2617129C" w14:textId="77777777" w:rsidR="00A13F7B" w:rsidRPr="00A13F7B" w:rsidRDefault="00A13F7B" w:rsidP="003607BC">
            <w:pPr>
              <w:suppressAutoHyphens/>
              <w:spacing w:before="0" w:after="0"/>
              <w:rPr>
                <w:rFonts w:cs="Arial"/>
              </w:rPr>
            </w:pPr>
            <w:r w:rsidRPr="00A13F7B">
              <w:rPr>
                <w:rFonts w:cs="Arial"/>
              </w:rPr>
              <w:t>Parent Sense of Competence Scale (PSOC)</w:t>
            </w:r>
          </w:p>
        </w:tc>
        <w:tc>
          <w:tcPr>
            <w:tcW w:w="2096" w:type="dxa"/>
            <w:tcBorders>
              <w:bottom w:val="single" w:sz="4" w:space="0" w:color="auto"/>
            </w:tcBorders>
          </w:tcPr>
          <w:p w14:paraId="5E31BF31" w14:textId="77777777" w:rsidR="00A13F7B" w:rsidRPr="00A13F7B" w:rsidRDefault="00A13F7B" w:rsidP="003607BC">
            <w:pPr>
              <w:suppressAutoHyphens/>
              <w:spacing w:before="0" w:after="0"/>
              <w:rPr>
                <w:rFonts w:cs="Arial"/>
              </w:rPr>
            </w:pPr>
            <w:r w:rsidRPr="00A13F7B">
              <w:rPr>
                <w:rFonts w:cs="Arial"/>
              </w:rPr>
              <w:t>As above</w:t>
            </w:r>
          </w:p>
        </w:tc>
        <w:tc>
          <w:tcPr>
            <w:tcW w:w="5385" w:type="dxa"/>
            <w:tcBorders>
              <w:bottom w:val="single" w:sz="4" w:space="0" w:color="auto"/>
            </w:tcBorders>
          </w:tcPr>
          <w:p w14:paraId="35809072" w14:textId="77777777" w:rsidR="00A13F7B" w:rsidRPr="00A13F7B" w:rsidRDefault="00A13F7B" w:rsidP="003607BC">
            <w:pPr>
              <w:suppressAutoHyphens/>
              <w:spacing w:before="0" w:after="0"/>
              <w:rPr>
                <w:rFonts w:cs="Arial"/>
              </w:rPr>
            </w:pPr>
            <w:r w:rsidRPr="00A13F7B">
              <w:rPr>
                <w:rFonts w:cs="Arial"/>
              </w:rPr>
              <w:t xml:space="preserve">Evidence of improvements in parenting self-efficacy over time the SPT group. </w:t>
            </w:r>
          </w:p>
          <w:p w14:paraId="2032307F" w14:textId="77777777" w:rsidR="00A13F7B" w:rsidRPr="00A13F7B" w:rsidRDefault="00A13F7B" w:rsidP="003607BC">
            <w:pPr>
              <w:suppressAutoHyphens/>
              <w:spacing w:before="0" w:after="0"/>
              <w:rPr>
                <w:rFonts w:cs="Arial"/>
              </w:rPr>
            </w:pPr>
          </w:p>
        </w:tc>
      </w:tr>
    </w:tbl>
    <w:p w14:paraId="1111BDA2" w14:textId="551BDB51" w:rsidR="00A13F7B" w:rsidRPr="006478C1" w:rsidRDefault="005F6B45" w:rsidP="00B23D6D">
      <w:pPr>
        <w:rPr>
          <w:rFonts w:cs="Arial"/>
          <w:color w:val="000000" w:themeColor="text1"/>
          <w:sz w:val="20"/>
          <w:szCs w:val="20"/>
          <w:lang w:val="en-US"/>
        </w:rPr>
      </w:pPr>
      <w:r w:rsidRPr="006478C1">
        <w:rPr>
          <w:rFonts w:cs="Arial"/>
          <w:color w:val="000000" w:themeColor="text1"/>
          <w:sz w:val="20"/>
          <w:szCs w:val="20"/>
          <w:lang w:val="en-US"/>
        </w:rPr>
        <w:t>Note: N= sample size at baseline for the group reported; cf = compared with; BAU = business as usual; SAU = services as usual; CS = Community services; ATM = Autism Training Modules; other acronyms defined in the table row.</w:t>
      </w:r>
    </w:p>
    <w:p w14:paraId="754BF013" w14:textId="77777777" w:rsidR="005F6B45" w:rsidRDefault="005F6B45" w:rsidP="00B23D6D">
      <w:pPr>
        <w:rPr>
          <w:rFonts w:cs="Arial"/>
          <w:color w:val="000000" w:themeColor="text1"/>
          <w:lang w:val="en-US"/>
        </w:rPr>
      </w:pPr>
    </w:p>
    <w:p w14:paraId="0D5A3DDB" w14:textId="77777777" w:rsidR="009A33EB" w:rsidRPr="009A33EB" w:rsidRDefault="009A33EB" w:rsidP="009A33EB">
      <w:pPr>
        <w:rPr>
          <w:rFonts w:cs="Arial"/>
          <w:b/>
          <w:bCs/>
          <w:color w:val="000000" w:themeColor="text1"/>
          <w:lang w:val="en-US"/>
        </w:rPr>
      </w:pPr>
      <w:r w:rsidRPr="009A33EB">
        <w:rPr>
          <w:rFonts w:cs="Arial"/>
          <w:b/>
          <w:bCs/>
          <w:color w:val="000000" w:themeColor="text1"/>
          <w:lang w:val="en-US"/>
        </w:rPr>
        <w:t>Outcomes for practitioners and organisations</w:t>
      </w:r>
    </w:p>
    <w:p w14:paraId="5CCAAED3" w14:textId="4CBE2292" w:rsidR="009A33EB" w:rsidRPr="009A33EB" w:rsidRDefault="009A33EB" w:rsidP="009A33EB">
      <w:pPr>
        <w:rPr>
          <w:rFonts w:cs="Arial"/>
          <w:color w:val="000000" w:themeColor="text1"/>
          <w:lang w:val="en-US"/>
        </w:rPr>
      </w:pPr>
      <w:r w:rsidRPr="009A33EB">
        <w:rPr>
          <w:rFonts w:cs="Arial"/>
          <w:color w:val="000000" w:themeColor="text1"/>
          <w:lang w:val="en-US"/>
        </w:rPr>
        <w:t xml:space="preserve">Four RCTs were included that reported outcomes for practitioners and/or organisations (see </w:t>
      </w:r>
      <w:r w:rsidR="00B5106F">
        <w:rPr>
          <w:rFonts w:cs="Arial"/>
          <w:color w:val="000000" w:themeColor="text1"/>
          <w:lang w:val="en-US"/>
        </w:rPr>
        <w:fldChar w:fldCharType="begin"/>
      </w:r>
      <w:r w:rsidR="00B5106F">
        <w:rPr>
          <w:rFonts w:cs="Arial"/>
          <w:color w:val="000000" w:themeColor="text1"/>
          <w:lang w:val="en-US"/>
        </w:rPr>
        <w:instrText xml:space="preserve"> REF _Ref177725114 \h </w:instrText>
      </w:r>
      <w:r w:rsidR="00B5106F">
        <w:rPr>
          <w:rFonts w:cs="Arial"/>
          <w:color w:val="000000" w:themeColor="text1"/>
          <w:lang w:val="en-US"/>
        </w:rPr>
      </w:r>
      <w:r w:rsidR="00B5106F">
        <w:rPr>
          <w:rFonts w:cs="Arial"/>
          <w:color w:val="000000" w:themeColor="text1"/>
          <w:lang w:val="en-US"/>
        </w:rPr>
        <w:fldChar w:fldCharType="separate"/>
      </w:r>
      <w:r w:rsidR="00303407" w:rsidRPr="00B5106F">
        <w:rPr>
          <w:b/>
          <w:bCs/>
        </w:rPr>
        <w:t xml:space="preserve">Table </w:t>
      </w:r>
      <w:r w:rsidR="00303407">
        <w:rPr>
          <w:b/>
          <w:bCs/>
          <w:noProof/>
        </w:rPr>
        <w:t>13</w:t>
      </w:r>
      <w:r w:rsidR="00B5106F">
        <w:rPr>
          <w:rFonts w:cs="Arial"/>
          <w:color w:val="000000" w:themeColor="text1"/>
          <w:lang w:val="en-US"/>
        </w:rPr>
        <w:fldChar w:fldCharType="end"/>
      </w:r>
      <w:r w:rsidRPr="009A33EB">
        <w:rPr>
          <w:rFonts w:cs="Arial"/>
          <w:color w:val="000000" w:themeColor="text1"/>
          <w:lang w:val="en-US"/>
        </w:rPr>
        <w:t xml:space="preserve">). Professional outcomes related to knowledge, self-efficacy or confidence to deliver an intervention, job-related wellbeing and perceived support from supervisors. Organisational outcomes related to service use, staff absenteeism and costs.  </w:t>
      </w:r>
    </w:p>
    <w:p w14:paraId="00264199" w14:textId="66A1CC16" w:rsidR="005F6B45" w:rsidRDefault="009A33EB" w:rsidP="009A33EB">
      <w:pPr>
        <w:rPr>
          <w:rFonts w:cs="Arial"/>
          <w:color w:val="000000" w:themeColor="text1"/>
          <w:lang w:val="en-US"/>
        </w:rPr>
      </w:pPr>
      <w:r w:rsidRPr="009A33EB">
        <w:rPr>
          <w:rFonts w:cs="Arial"/>
          <w:color w:val="000000" w:themeColor="text1"/>
          <w:lang w:val="en-US"/>
        </w:rPr>
        <w:t xml:space="preserve">The evidence available from RCTs on professional and organisational outcomes is very limited. One study demonstrating improved knowledge following professional development related to a specific intervention (shared book reading), and one study demonstrating increased perceptions of supervisor support for practitioners implementing a parent/caregiver wellbeing intervention.   </w:t>
      </w:r>
    </w:p>
    <w:p w14:paraId="0CDE9CAA" w14:textId="77777777" w:rsidR="006478C1" w:rsidRDefault="006478C1" w:rsidP="009A33EB">
      <w:pPr>
        <w:rPr>
          <w:rFonts w:cs="Arial"/>
          <w:color w:val="000000" w:themeColor="text1"/>
          <w:lang w:val="en-US"/>
        </w:rPr>
      </w:pPr>
    </w:p>
    <w:p w14:paraId="7B90B937" w14:textId="77777777" w:rsidR="006478C1" w:rsidRDefault="006478C1" w:rsidP="009A33EB">
      <w:pPr>
        <w:rPr>
          <w:rFonts w:cs="Arial"/>
          <w:color w:val="000000" w:themeColor="text1"/>
          <w:lang w:val="en-US"/>
        </w:rPr>
      </w:pPr>
    </w:p>
    <w:p w14:paraId="7B279B69" w14:textId="77777777" w:rsidR="006478C1" w:rsidRDefault="006478C1" w:rsidP="009A33EB">
      <w:pPr>
        <w:rPr>
          <w:rFonts w:cs="Arial"/>
          <w:color w:val="000000" w:themeColor="text1"/>
          <w:lang w:val="en-US"/>
        </w:rPr>
      </w:pPr>
    </w:p>
    <w:p w14:paraId="4AF4BE5B" w14:textId="77777777" w:rsidR="006478C1" w:rsidRDefault="006478C1" w:rsidP="009A33EB">
      <w:pPr>
        <w:rPr>
          <w:rFonts w:cs="Arial"/>
          <w:color w:val="000000" w:themeColor="text1"/>
          <w:lang w:val="en-US"/>
        </w:rPr>
      </w:pPr>
    </w:p>
    <w:p w14:paraId="4AAA77F6" w14:textId="59AF4936" w:rsidR="009A33EB" w:rsidRPr="00A44F61" w:rsidRDefault="00A44F61" w:rsidP="00A44F61">
      <w:pPr>
        <w:pStyle w:val="Caption"/>
        <w:keepNext/>
      </w:pPr>
      <w:bookmarkStart w:id="110" w:name="_Toc177725012"/>
      <w:bookmarkStart w:id="111" w:name="_Toc177727332"/>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14</w:t>
      </w:r>
      <w:r w:rsidR="00627239" w:rsidRPr="00B5106F">
        <w:rPr>
          <w:b/>
          <w:bCs/>
          <w:noProof/>
        </w:rPr>
        <w:fldChar w:fldCharType="end"/>
      </w:r>
      <w:r w:rsidRPr="00B5106F">
        <w:rPr>
          <w:b/>
          <w:bCs/>
        </w:rPr>
        <w:t>.</w:t>
      </w:r>
      <w:r w:rsidRPr="00B94129">
        <w:t xml:space="preserve"> Outcomes for practitioners and organisations</w:t>
      </w:r>
      <w:bookmarkEnd w:id="110"/>
      <w:bookmarkEnd w:id="111"/>
    </w:p>
    <w:tbl>
      <w:tblPr>
        <w:tblStyle w:val="UniofMelTable36"/>
        <w:tblW w:w="5002" w:type="pct"/>
        <w:tblLook w:val="04A0" w:firstRow="1" w:lastRow="0" w:firstColumn="1" w:lastColumn="0" w:noHBand="0" w:noVBand="1"/>
      </w:tblPr>
      <w:tblGrid>
        <w:gridCol w:w="1439"/>
        <w:gridCol w:w="1361"/>
        <w:gridCol w:w="1383"/>
        <w:gridCol w:w="1732"/>
        <w:gridCol w:w="2170"/>
        <w:gridCol w:w="5879"/>
      </w:tblGrid>
      <w:tr w:rsidR="007914B9" w:rsidRPr="00587691" w14:paraId="49F2EF1A" w14:textId="77777777" w:rsidTr="00DB6646">
        <w:trPr>
          <w:cnfStyle w:val="100000000000" w:firstRow="1" w:lastRow="0" w:firstColumn="0" w:lastColumn="0" w:oddVBand="0" w:evenVBand="0" w:oddHBand="0" w:evenHBand="0" w:firstRowFirstColumn="0" w:firstRowLastColumn="0" w:lastRowFirstColumn="0" w:lastRowLastColumn="0"/>
          <w:trHeight w:val="340"/>
        </w:trPr>
        <w:tc>
          <w:tcPr>
            <w:tcW w:w="1439" w:type="dxa"/>
            <w:shd w:val="clear" w:color="auto" w:fill="082A75"/>
          </w:tcPr>
          <w:p w14:paraId="27AB618D" w14:textId="77777777" w:rsidR="007914B9" w:rsidRPr="007914B9" w:rsidRDefault="007914B9">
            <w:pPr>
              <w:suppressAutoHyphens/>
              <w:spacing w:before="40" w:after="40" w:line="200" w:lineRule="atLeast"/>
              <w:rPr>
                <w:rFonts w:cs="Arial"/>
                <w:b/>
                <w:color w:val="FFFFFF"/>
              </w:rPr>
            </w:pPr>
            <w:r w:rsidRPr="007914B9">
              <w:rPr>
                <w:rFonts w:cs="Arial"/>
                <w:b/>
                <w:color w:val="FFFFFF"/>
              </w:rPr>
              <w:t xml:space="preserve">Author Year </w:t>
            </w:r>
          </w:p>
        </w:tc>
        <w:tc>
          <w:tcPr>
            <w:tcW w:w="1361" w:type="dxa"/>
            <w:shd w:val="clear" w:color="auto" w:fill="082A75"/>
          </w:tcPr>
          <w:p w14:paraId="74CA3330" w14:textId="77777777" w:rsidR="007914B9" w:rsidRPr="007914B9" w:rsidRDefault="007914B9">
            <w:pPr>
              <w:suppressAutoHyphens/>
              <w:spacing w:before="40" w:after="40" w:line="200" w:lineRule="atLeast"/>
              <w:rPr>
                <w:rFonts w:cs="Arial"/>
                <w:b/>
              </w:rPr>
            </w:pPr>
            <w:r w:rsidRPr="007914B9">
              <w:rPr>
                <w:rFonts w:cs="Arial"/>
                <w:b/>
              </w:rPr>
              <w:t xml:space="preserve">Intervention in focus  </w:t>
            </w:r>
          </w:p>
        </w:tc>
        <w:tc>
          <w:tcPr>
            <w:tcW w:w="1383" w:type="dxa"/>
            <w:shd w:val="clear" w:color="auto" w:fill="082A75"/>
          </w:tcPr>
          <w:p w14:paraId="0C1AB7E5" w14:textId="77777777" w:rsidR="007914B9" w:rsidRPr="007914B9" w:rsidRDefault="007914B9">
            <w:pPr>
              <w:suppressAutoHyphens/>
              <w:spacing w:before="40" w:after="40" w:line="200" w:lineRule="atLeast"/>
              <w:rPr>
                <w:rFonts w:cs="Arial"/>
                <w:b/>
              </w:rPr>
            </w:pPr>
            <w:r w:rsidRPr="007914B9">
              <w:rPr>
                <w:rFonts w:cs="Arial"/>
                <w:b/>
              </w:rPr>
              <w:t xml:space="preserve">Comparison </w:t>
            </w:r>
          </w:p>
        </w:tc>
        <w:tc>
          <w:tcPr>
            <w:tcW w:w="1732" w:type="dxa"/>
            <w:shd w:val="clear" w:color="auto" w:fill="082A75"/>
          </w:tcPr>
          <w:p w14:paraId="780D7E9D" w14:textId="77777777" w:rsidR="007914B9" w:rsidRPr="007914B9" w:rsidRDefault="007914B9">
            <w:pPr>
              <w:suppressAutoHyphens/>
              <w:spacing w:before="40" w:after="40" w:line="200" w:lineRule="atLeast"/>
              <w:rPr>
                <w:rFonts w:cs="Arial"/>
                <w:b/>
              </w:rPr>
            </w:pPr>
            <w:r w:rsidRPr="007914B9">
              <w:rPr>
                <w:rFonts w:cs="Arial"/>
                <w:b/>
              </w:rPr>
              <w:t xml:space="preserve">Measure </w:t>
            </w:r>
          </w:p>
        </w:tc>
        <w:tc>
          <w:tcPr>
            <w:tcW w:w="2170" w:type="dxa"/>
            <w:shd w:val="clear" w:color="auto" w:fill="082A75"/>
          </w:tcPr>
          <w:p w14:paraId="38BF569B" w14:textId="77777777" w:rsidR="007914B9" w:rsidRPr="007914B9" w:rsidRDefault="007914B9">
            <w:pPr>
              <w:suppressAutoHyphens/>
              <w:spacing w:before="40" w:after="40" w:line="200" w:lineRule="atLeast"/>
              <w:rPr>
                <w:rFonts w:cs="Arial"/>
                <w:b/>
              </w:rPr>
            </w:pPr>
            <w:r w:rsidRPr="007914B9">
              <w:rPr>
                <w:rFonts w:cs="Arial"/>
                <w:b/>
              </w:rPr>
              <w:t>Timepoints</w:t>
            </w:r>
          </w:p>
        </w:tc>
        <w:tc>
          <w:tcPr>
            <w:tcW w:w="5879" w:type="dxa"/>
            <w:shd w:val="clear" w:color="auto" w:fill="082A75"/>
          </w:tcPr>
          <w:p w14:paraId="1F6A3EAB" w14:textId="77777777" w:rsidR="007914B9" w:rsidRPr="007914B9" w:rsidRDefault="007914B9">
            <w:pPr>
              <w:suppressAutoHyphens/>
              <w:spacing w:before="40" w:after="40" w:line="200" w:lineRule="atLeast"/>
              <w:rPr>
                <w:rFonts w:cs="Arial"/>
                <w:b/>
              </w:rPr>
            </w:pPr>
            <w:r w:rsidRPr="007914B9">
              <w:rPr>
                <w:rFonts w:cs="Arial"/>
                <w:b/>
              </w:rPr>
              <w:t xml:space="preserve">Summary </w:t>
            </w:r>
          </w:p>
        </w:tc>
      </w:tr>
      <w:tr w:rsidR="007914B9" w:rsidRPr="00587691" w14:paraId="273F11A0" w14:textId="77777777" w:rsidTr="00DB6646">
        <w:trPr>
          <w:cnfStyle w:val="000000100000" w:firstRow="0" w:lastRow="0" w:firstColumn="0" w:lastColumn="0" w:oddVBand="0" w:evenVBand="0" w:oddHBand="1" w:evenHBand="0" w:firstRowFirstColumn="0" w:firstRowLastColumn="0" w:lastRowFirstColumn="0" w:lastRowLastColumn="0"/>
          <w:trHeight w:val="340"/>
        </w:trPr>
        <w:tc>
          <w:tcPr>
            <w:tcW w:w="13964" w:type="dxa"/>
            <w:gridSpan w:val="6"/>
            <w:shd w:val="clear" w:color="auto" w:fill="96ADB8"/>
          </w:tcPr>
          <w:p w14:paraId="07CB8F24" w14:textId="77777777" w:rsidR="007914B9" w:rsidRPr="007914B9" w:rsidRDefault="007914B9">
            <w:pPr>
              <w:suppressAutoHyphens/>
              <w:spacing w:before="40" w:after="40" w:line="200" w:lineRule="atLeast"/>
              <w:rPr>
                <w:rFonts w:cs="Arial"/>
                <w:b/>
              </w:rPr>
            </w:pPr>
            <w:r w:rsidRPr="007914B9">
              <w:rPr>
                <w:rFonts w:cs="Arial"/>
                <w:b/>
              </w:rPr>
              <w:t>PRACTIONER-LEVEL OUTCOMES</w:t>
            </w:r>
          </w:p>
        </w:tc>
      </w:tr>
      <w:tr w:rsidR="007914B9" w:rsidRPr="00587691" w14:paraId="7B15F682" w14:textId="77777777" w:rsidTr="00DB6646">
        <w:trPr>
          <w:cnfStyle w:val="000000010000" w:firstRow="0" w:lastRow="0" w:firstColumn="0" w:lastColumn="0" w:oddVBand="0" w:evenVBand="0" w:oddHBand="0" w:evenHBand="1" w:firstRowFirstColumn="0" w:firstRowLastColumn="0" w:lastRowFirstColumn="0" w:lastRowLastColumn="0"/>
          <w:trHeight w:val="340"/>
        </w:trPr>
        <w:tc>
          <w:tcPr>
            <w:tcW w:w="13964" w:type="dxa"/>
            <w:gridSpan w:val="6"/>
            <w:shd w:val="clear" w:color="auto" w:fill="DAE2E6"/>
          </w:tcPr>
          <w:p w14:paraId="3993EDC8" w14:textId="77777777" w:rsidR="007914B9" w:rsidRPr="007914B9" w:rsidRDefault="007914B9">
            <w:pPr>
              <w:suppressAutoHyphens/>
              <w:spacing w:before="40" w:after="40" w:line="200" w:lineRule="atLeast"/>
              <w:rPr>
                <w:rFonts w:cs="Arial"/>
                <w:b/>
              </w:rPr>
            </w:pPr>
            <w:r w:rsidRPr="007914B9">
              <w:rPr>
                <w:rFonts w:cs="Arial"/>
                <w:b/>
              </w:rPr>
              <w:t>EA-CP professional development (EA-CP PD)</w:t>
            </w:r>
          </w:p>
        </w:tc>
      </w:tr>
      <w:tr w:rsidR="007914B9" w:rsidRPr="00587691" w14:paraId="75E92A21" w14:textId="77777777" w:rsidTr="00DB6646">
        <w:trPr>
          <w:cnfStyle w:val="000000100000" w:firstRow="0" w:lastRow="0" w:firstColumn="0" w:lastColumn="0" w:oddVBand="0" w:evenVBand="0" w:oddHBand="1" w:evenHBand="0" w:firstRowFirstColumn="0" w:firstRowLastColumn="0" w:lastRowFirstColumn="0" w:lastRowLastColumn="0"/>
          <w:trHeight w:val="340"/>
        </w:trPr>
        <w:tc>
          <w:tcPr>
            <w:tcW w:w="1439" w:type="dxa"/>
          </w:tcPr>
          <w:p w14:paraId="149EC5CD" w14:textId="77777777" w:rsidR="007914B9" w:rsidRPr="007914B9" w:rsidRDefault="007914B9">
            <w:pPr>
              <w:suppressAutoHyphens/>
              <w:spacing w:before="40" w:after="40" w:line="200" w:lineRule="atLeast"/>
              <w:rPr>
                <w:rFonts w:cs="Arial"/>
                <w:b/>
              </w:rPr>
            </w:pPr>
            <w:r w:rsidRPr="007914B9">
              <w:rPr>
                <w:rFonts w:cs="Arial"/>
                <w:b/>
              </w:rPr>
              <w:t xml:space="preserve">Landa </w:t>
            </w:r>
          </w:p>
          <w:p w14:paraId="2A170498" w14:textId="77777777" w:rsidR="007914B9" w:rsidRPr="007914B9" w:rsidRDefault="007914B9">
            <w:pPr>
              <w:suppressAutoHyphens/>
              <w:spacing w:before="40" w:after="40" w:line="200" w:lineRule="atLeast"/>
              <w:rPr>
                <w:rFonts w:cs="Arial"/>
                <w:b/>
              </w:rPr>
            </w:pPr>
            <w:r w:rsidRPr="007914B9">
              <w:rPr>
                <w:rFonts w:cs="Arial"/>
                <w:b/>
              </w:rPr>
              <w:t>2024</w:t>
            </w:r>
          </w:p>
        </w:tc>
        <w:tc>
          <w:tcPr>
            <w:tcW w:w="1361" w:type="dxa"/>
          </w:tcPr>
          <w:p w14:paraId="5017FAC2" w14:textId="77777777" w:rsidR="007914B9" w:rsidRPr="007914B9" w:rsidRDefault="007914B9">
            <w:pPr>
              <w:suppressAutoHyphens/>
              <w:spacing w:before="40" w:after="40" w:line="200" w:lineRule="atLeast"/>
              <w:rPr>
                <w:rFonts w:cs="Arial"/>
              </w:rPr>
            </w:pPr>
            <w:r w:rsidRPr="007914B9">
              <w:rPr>
                <w:rFonts w:cs="Arial"/>
              </w:rPr>
              <w:t xml:space="preserve">EA-CP PD </w:t>
            </w:r>
          </w:p>
          <w:p w14:paraId="42FBBF84" w14:textId="77777777" w:rsidR="007914B9" w:rsidRPr="007914B9" w:rsidRDefault="007914B9">
            <w:pPr>
              <w:suppressAutoHyphens/>
              <w:spacing w:before="40" w:after="40" w:line="200" w:lineRule="atLeast"/>
              <w:rPr>
                <w:rFonts w:cs="Arial"/>
              </w:rPr>
            </w:pPr>
            <w:r w:rsidRPr="007914B9">
              <w:rPr>
                <w:rFonts w:cs="Arial"/>
              </w:rPr>
              <w:t>(n=55)</w:t>
            </w:r>
          </w:p>
        </w:tc>
        <w:tc>
          <w:tcPr>
            <w:tcW w:w="1383" w:type="dxa"/>
          </w:tcPr>
          <w:p w14:paraId="4EEEF907" w14:textId="77777777" w:rsidR="007914B9" w:rsidRPr="007914B9" w:rsidRDefault="007914B9">
            <w:pPr>
              <w:suppressAutoHyphens/>
              <w:spacing w:before="40" w:after="40" w:line="200" w:lineRule="atLeast"/>
              <w:rPr>
                <w:rFonts w:cs="Arial"/>
              </w:rPr>
            </w:pPr>
            <w:r w:rsidRPr="007914B9">
              <w:rPr>
                <w:rFonts w:cs="Arial"/>
              </w:rPr>
              <w:t>BAU</w:t>
            </w:r>
          </w:p>
          <w:p w14:paraId="40D465B9" w14:textId="77777777" w:rsidR="007914B9" w:rsidRPr="007914B9" w:rsidRDefault="007914B9">
            <w:pPr>
              <w:suppressAutoHyphens/>
              <w:spacing w:before="40" w:after="40" w:line="200" w:lineRule="atLeast"/>
              <w:rPr>
                <w:rFonts w:cs="Arial"/>
              </w:rPr>
            </w:pPr>
            <w:r w:rsidRPr="007914B9">
              <w:rPr>
                <w:rFonts w:cs="Arial"/>
              </w:rPr>
              <w:t>(n=60)</w:t>
            </w:r>
          </w:p>
        </w:tc>
        <w:tc>
          <w:tcPr>
            <w:tcW w:w="1732" w:type="dxa"/>
          </w:tcPr>
          <w:p w14:paraId="2F4F3E6E" w14:textId="77777777" w:rsidR="007914B9" w:rsidRPr="007914B9" w:rsidRDefault="007914B9">
            <w:pPr>
              <w:suppressAutoHyphens/>
              <w:spacing w:before="40" w:after="40" w:line="200" w:lineRule="atLeast"/>
              <w:rPr>
                <w:rFonts w:cs="Arial"/>
              </w:rPr>
            </w:pPr>
            <w:r w:rsidRPr="007914B9">
              <w:rPr>
                <w:rFonts w:cs="Arial"/>
              </w:rPr>
              <w:t>Knowledge and Self-efficacy (study specific tool)</w:t>
            </w:r>
          </w:p>
        </w:tc>
        <w:tc>
          <w:tcPr>
            <w:tcW w:w="2170" w:type="dxa"/>
          </w:tcPr>
          <w:p w14:paraId="0E1ABBBC" w14:textId="77777777" w:rsidR="007914B9" w:rsidRPr="007914B9" w:rsidRDefault="007914B9">
            <w:pPr>
              <w:suppressAutoHyphens/>
              <w:spacing w:before="40" w:after="40" w:line="200" w:lineRule="atLeast"/>
              <w:rPr>
                <w:rFonts w:cs="Arial"/>
              </w:rPr>
            </w:pPr>
            <w:r w:rsidRPr="007914B9">
              <w:rPr>
                <w:rFonts w:cs="Arial"/>
              </w:rPr>
              <w:t>Baseline;</w:t>
            </w:r>
          </w:p>
          <w:p w14:paraId="32A0D07F" w14:textId="77777777" w:rsidR="007914B9" w:rsidRPr="007914B9" w:rsidRDefault="007914B9">
            <w:pPr>
              <w:suppressAutoHyphens/>
              <w:spacing w:before="40" w:after="40" w:line="200" w:lineRule="atLeast"/>
              <w:rPr>
                <w:rFonts w:cs="Arial"/>
              </w:rPr>
            </w:pPr>
            <w:r w:rsidRPr="007914B9">
              <w:rPr>
                <w:rFonts w:cs="Arial"/>
              </w:rPr>
              <w:t>Post-intervention</w:t>
            </w:r>
          </w:p>
        </w:tc>
        <w:tc>
          <w:tcPr>
            <w:tcW w:w="5879" w:type="dxa"/>
          </w:tcPr>
          <w:p w14:paraId="5E6B70A0" w14:textId="77777777" w:rsidR="007914B9" w:rsidRPr="007914B9" w:rsidRDefault="007914B9">
            <w:pPr>
              <w:suppressAutoHyphens/>
              <w:spacing w:before="40" w:after="40" w:line="200" w:lineRule="atLeast"/>
              <w:rPr>
                <w:rFonts w:cs="Arial"/>
              </w:rPr>
            </w:pPr>
            <w:r w:rsidRPr="007914B9">
              <w:rPr>
                <w:rFonts w:cs="Arial"/>
              </w:rPr>
              <w:t xml:space="preserve">No evidence of a difference between groups for providers’ knowledge and self-efficacy from pre- to post-training between groups. </w:t>
            </w:r>
          </w:p>
          <w:p w14:paraId="5ACC97D2" w14:textId="77777777" w:rsidR="007914B9" w:rsidRPr="007914B9" w:rsidRDefault="007914B9">
            <w:pPr>
              <w:suppressAutoHyphens/>
              <w:spacing w:before="40" w:after="40" w:line="200" w:lineRule="atLeast"/>
              <w:rPr>
                <w:rFonts w:cs="Arial"/>
              </w:rPr>
            </w:pPr>
            <w:r w:rsidRPr="007914B9">
              <w:rPr>
                <w:rFonts w:cs="Arial"/>
              </w:rPr>
              <w:t xml:space="preserve">Evidence of increased providers’ knowledge and self-efficacy group by time, for the EA-CP group. </w:t>
            </w:r>
          </w:p>
        </w:tc>
      </w:tr>
      <w:tr w:rsidR="007914B9" w:rsidRPr="00587691" w14:paraId="25D8CD29" w14:textId="77777777" w:rsidTr="00DB6646">
        <w:trPr>
          <w:cnfStyle w:val="000000010000" w:firstRow="0" w:lastRow="0" w:firstColumn="0" w:lastColumn="0" w:oddVBand="0" w:evenVBand="0" w:oddHBand="0" w:evenHBand="1" w:firstRowFirstColumn="0" w:firstRowLastColumn="0" w:lastRowFirstColumn="0" w:lastRowLastColumn="0"/>
          <w:trHeight w:val="340"/>
        </w:trPr>
        <w:tc>
          <w:tcPr>
            <w:tcW w:w="13964" w:type="dxa"/>
            <w:gridSpan w:val="6"/>
            <w:shd w:val="clear" w:color="auto" w:fill="DAE2E6"/>
          </w:tcPr>
          <w:p w14:paraId="0D0221D6" w14:textId="77777777" w:rsidR="007914B9" w:rsidRPr="007914B9" w:rsidRDefault="007914B9">
            <w:pPr>
              <w:suppressAutoHyphens/>
              <w:spacing w:before="40" w:after="40" w:line="200" w:lineRule="atLeast"/>
              <w:rPr>
                <w:rFonts w:cs="Arial"/>
                <w:b/>
              </w:rPr>
            </w:pPr>
            <w:r w:rsidRPr="007914B9">
              <w:rPr>
                <w:rFonts w:cs="Arial"/>
                <w:b/>
              </w:rPr>
              <w:t>Pursuit of Wellbeing (PWP)</w:t>
            </w:r>
          </w:p>
        </w:tc>
      </w:tr>
      <w:tr w:rsidR="007914B9" w:rsidRPr="00587691" w14:paraId="73D6C0D9" w14:textId="77777777" w:rsidTr="00DB6646">
        <w:trPr>
          <w:cnfStyle w:val="000000100000" w:firstRow="0" w:lastRow="0" w:firstColumn="0" w:lastColumn="0" w:oddVBand="0" w:evenVBand="0" w:oddHBand="1" w:evenHBand="0" w:firstRowFirstColumn="0" w:firstRowLastColumn="0" w:lastRowFirstColumn="0" w:lastRowLastColumn="0"/>
          <w:trHeight w:val="340"/>
        </w:trPr>
        <w:tc>
          <w:tcPr>
            <w:tcW w:w="1439" w:type="dxa"/>
            <w:vMerge w:val="restart"/>
          </w:tcPr>
          <w:p w14:paraId="09435D23" w14:textId="77777777" w:rsidR="007914B9" w:rsidRPr="007914B9" w:rsidRDefault="007914B9">
            <w:pPr>
              <w:suppressAutoHyphens/>
              <w:spacing w:before="40" w:after="40" w:line="200" w:lineRule="atLeast"/>
              <w:rPr>
                <w:rFonts w:cs="Arial"/>
                <w:b/>
              </w:rPr>
            </w:pPr>
            <w:r w:rsidRPr="007914B9">
              <w:rPr>
                <w:rFonts w:cs="Arial"/>
                <w:b/>
              </w:rPr>
              <w:t xml:space="preserve">Young </w:t>
            </w:r>
          </w:p>
          <w:p w14:paraId="7858C6E0" w14:textId="77777777" w:rsidR="007914B9" w:rsidRPr="007914B9" w:rsidRDefault="007914B9">
            <w:pPr>
              <w:suppressAutoHyphens/>
              <w:spacing w:before="40" w:after="40" w:line="200" w:lineRule="atLeast"/>
              <w:rPr>
                <w:rFonts w:cs="Arial"/>
                <w:b/>
              </w:rPr>
            </w:pPr>
            <w:r w:rsidRPr="007914B9">
              <w:rPr>
                <w:rFonts w:cs="Arial"/>
                <w:b/>
              </w:rPr>
              <w:t>2023</w:t>
            </w:r>
          </w:p>
        </w:tc>
        <w:tc>
          <w:tcPr>
            <w:tcW w:w="1361" w:type="dxa"/>
            <w:vMerge w:val="restart"/>
          </w:tcPr>
          <w:p w14:paraId="00D2844D" w14:textId="77777777" w:rsidR="007914B9" w:rsidRPr="007914B9" w:rsidRDefault="007914B9">
            <w:pPr>
              <w:suppressAutoHyphens/>
              <w:spacing w:before="40" w:after="40" w:line="200" w:lineRule="atLeast"/>
              <w:rPr>
                <w:rFonts w:cs="Arial"/>
              </w:rPr>
            </w:pPr>
            <w:r w:rsidRPr="007914B9">
              <w:rPr>
                <w:rFonts w:cs="Arial"/>
              </w:rPr>
              <w:t xml:space="preserve">PWP </w:t>
            </w:r>
          </w:p>
          <w:p w14:paraId="272A3A4B" w14:textId="77777777" w:rsidR="007914B9" w:rsidRPr="007914B9" w:rsidRDefault="007914B9">
            <w:pPr>
              <w:suppressAutoHyphens/>
              <w:spacing w:before="40" w:after="40" w:line="200" w:lineRule="atLeast"/>
              <w:rPr>
                <w:rFonts w:cs="Arial"/>
              </w:rPr>
            </w:pPr>
            <w:r w:rsidRPr="007914B9">
              <w:rPr>
                <w:rFonts w:cs="Arial"/>
              </w:rPr>
              <w:t>(n=42)</w:t>
            </w:r>
          </w:p>
        </w:tc>
        <w:tc>
          <w:tcPr>
            <w:tcW w:w="1383" w:type="dxa"/>
            <w:vMerge w:val="restart"/>
          </w:tcPr>
          <w:p w14:paraId="1A0B0B31" w14:textId="77777777" w:rsidR="007914B9" w:rsidRPr="007914B9" w:rsidRDefault="007914B9">
            <w:pPr>
              <w:suppressAutoHyphens/>
              <w:spacing w:before="40" w:after="40" w:line="200" w:lineRule="atLeast"/>
              <w:rPr>
                <w:rFonts w:cs="Arial"/>
              </w:rPr>
            </w:pPr>
            <w:r w:rsidRPr="007914B9">
              <w:rPr>
                <w:rFonts w:cs="Arial"/>
              </w:rPr>
              <w:t xml:space="preserve">Control </w:t>
            </w:r>
          </w:p>
          <w:p w14:paraId="34B921C4" w14:textId="77777777" w:rsidR="007914B9" w:rsidRPr="007914B9" w:rsidRDefault="007914B9">
            <w:pPr>
              <w:suppressAutoHyphens/>
              <w:spacing w:before="40" w:after="40" w:line="200" w:lineRule="atLeast"/>
              <w:rPr>
                <w:rFonts w:cs="Arial"/>
              </w:rPr>
            </w:pPr>
            <w:r w:rsidRPr="007914B9">
              <w:rPr>
                <w:rFonts w:cs="Arial"/>
              </w:rPr>
              <w:t>(n=NR)</w:t>
            </w:r>
          </w:p>
        </w:tc>
        <w:tc>
          <w:tcPr>
            <w:tcW w:w="1732" w:type="dxa"/>
          </w:tcPr>
          <w:p w14:paraId="3D513EEC" w14:textId="77777777" w:rsidR="007914B9" w:rsidRPr="007914B9" w:rsidRDefault="007914B9">
            <w:pPr>
              <w:suppressAutoHyphens/>
              <w:spacing w:before="40" w:after="40" w:line="200" w:lineRule="atLeast"/>
              <w:rPr>
                <w:rFonts w:cs="Arial"/>
              </w:rPr>
            </w:pPr>
            <w:r w:rsidRPr="007914B9">
              <w:rPr>
                <w:rFonts w:cs="Arial"/>
              </w:rPr>
              <w:t>Key Worker Confidence Scale (KWC)</w:t>
            </w:r>
          </w:p>
        </w:tc>
        <w:tc>
          <w:tcPr>
            <w:tcW w:w="2170" w:type="dxa"/>
          </w:tcPr>
          <w:p w14:paraId="70E7B657" w14:textId="77777777" w:rsidR="007914B9" w:rsidRPr="007914B9" w:rsidRDefault="007914B9">
            <w:pPr>
              <w:suppressAutoHyphens/>
              <w:spacing w:before="40" w:after="40" w:line="200" w:lineRule="atLeast"/>
              <w:rPr>
                <w:rFonts w:cs="Arial"/>
              </w:rPr>
            </w:pPr>
            <w:r w:rsidRPr="007914B9">
              <w:rPr>
                <w:rFonts w:cs="Arial"/>
              </w:rPr>
              <w:t>Baseline;</w:t>
            </w:r>
          </w:p>
          <w:p w14:paraId="044B1E98" w14:textId="77777777" w:rsidR="007914B9" w:rsidRPr="007914B9" w:rsidRDefault="007914B9">
            <w:pPr>
              <w:suppressAutoHyphens/>
              <w:spacing w:before="40" w:after="40" w:line="200" w:lineRule="atLeast"/>
              <w:rPr>
                <w:rFonts w:cs="Arial"/>
              </w:rPr>
            </w:pPr>
            <w:r w:rsidRPr="007914B9">
              <w:rPr>
                <w:rFonts w:cs="Arial"/>
              </w:rPr>
              <w:t>Follow up (3 months); Follow up (8 months); Follow up (12 months).</w:t>
            </w:r>
          </w:p>
        </w:tc>
        <w:tc>
          <w:tcPr>
            <w:tcW w:w="5879" w:type="dxa"/>
          </w:tcPr>
          <w:p w14:paraId="50E171C7" w14:textId="77777777" w:rsidR="007914B9" w:rsidRPr="007914B9" w:rsidRDefault="007914B9">
            <w:pPr>
              <w:suppressAutoHyphens/>
              <w:spacing w:before="40" w:after="40" w:line="200" w:lineRule="atLeast"/>
              <w:rPr>
                <w:rFonts w:cs="Arial"/>
              </w:rPr>
            </w:pPr>
            <w:r w:rsidRPr="007914B9">
              <w:rPr>
                <w:rFonts w:cs="Arial"/>
                <w:color w:val="242424"/>
              </w:rPr>
              <w:t>No evidence of a difference between groups for self-efficacy throughout the intervention period.</w:t>
            </w:r>
          </w:p>
        </w:tc>
      </w:tr>
      <w:tr w:rsidR="007914B9" w:rsidRPr="00587691" w14:paraId="1C63B12F" w14:textId="77777777" w:rsidTr="00DB6646">
        <w:trPr>
          <w:cnfStyle w:val="000000010000" w:firstRow="0" w:lastRow="0" w:firstColumn="0" w:lastColumn="0" w:oddVBand="0" w:evenVBand="0" w:oddHBand="0" w:evenHBand="1" w:firstRowFirstColumn="0" w:firstRowLastColumn="0" w:lastRowFirstColumn="0" w:lastRowLastColumn="0"/>
          <w:trHeight w:val="340"/>
        </w:trPr>
        <w:tc>
          <w:tcPr>
            <w:tcW w:w="1439" w:type="dxa"/>
            <w:vMerge/>
          </w:tcPr>
          <w:p w14:paraId="10B131B5" w14:textId="77777777" w:rsidR="007914B9" w:rsidRPr="007914B9" w:rsidRDefault="007914B9">
            <w:pPr>
              <w:suppressAutoHyphens/>
              <w:spacing w:before="40" w:after="40" w:line="200" w:lineRule="atLeast"/>
              <w:rPr>
                <w:rFonts w:cs="Arial"/>
              </w:rPr>
            </w:pPr>
          </w:p>
        </w:tc>
        <w:tc>
          <w:tcPr>
            <w:tcW w:w="1361" w:type="dxa"/>
            <w:vMerge/>
          </w:tcPr>
          <w:p w14:paraId="78CC9D61" w14:textId="77777777" w:rsidR="007914B9" w:rsidRPr="007914B9" w:rsidRDefault="007914B9">
            <w:pPr>
              <w:suppressAutoHyphens/>
              <w:spacing w:before="40" w:after="40" w:line="200" w:lineRule="atLeast"/>
              <w:rPr>
                <w:rFonts w:cs="Arial"/>
              </w:rPr>
            </w:pPr>
          </w:p>
        </w:tc>
        <w:tc>
          <w:tcPr>
            <w:tcW w:w="1383" w:type="dxa"/>
            <w:vMerge/>
          </w:tcPr>
          <w:p w14:paraId="5CBE8E05" w14:textId="77777777" w:rsidR="007914B9" w:rsidRPr="007914B9" w:rsidRDefault="007914B9">
            <w:pPr>
              <w:suppressAutoHyphens/>
              <w:spacing w:before="40" w:after="40" w:line="200" w:lineRule="atLeast"/>
              <w:rPr>
                <w:rFonts w:cs="Arial"/>
              </w:rPr>
            </w:pPr>
          </w:p>
        </w:tc>
        <w:tc>
          <w:tcPr>
            <w:tcW w:w="1732" w:type="dxa"/>
          </w:tcPr>
          <w:p w14:paraId="155B325B" w14:textId="77777777" w:rsidR="007914B9" w:rsidRPr="007914B9" w:rsidRDefault="007914B9">
            <w:pPr>
              <w:suppressAutoHyphens/>
              <w:spacing w:before="40" w:after="40" w:line="200" w:lineRule="atLeast"/>
              <w:rPr>
                <w:rFonts w:cs="Arial"/>
              </w:rPr>
            </w:pPr>
            <w:r w:rsidRPr="007914B9">
              <w:rPr>
                <w:rFonts w:cs="Arial"/>
              </w:rPr>
              <w:t>WARR Scale of Job-related Affective Well-being (WARR)</w:t>
            </w:r>
          </w:p>
        </w:tc>
        <w:tc>
          <w:tcPr>
            <w:tcW w:w="2170" w:type="dxa"/>
          </w:tcPr>
          <w:p w14:paraId="66A78D0C" w14:textId="77777777" w:rsidR="007914B9" w:rsidRPr="007914B9" w:rsidRDefault="007914B9">
            <w:pPr>
              <w:suppressAutoHyphens/>
              <w:spacing w:before="40" w:after="40" w:line="200" w:lineRule="atLeast"/>
              <w:rPr>
                <w:rFonts w:cs="Arial"/>
              </w:rPr>
            </w:pPr>
            <w:r w:rsidRPr="007914B9">
              <w:rPr>
                <w:rFonts w:cs="Arial"/>
              </w:rPr>
              <w:t>As above</w:t>
            </w:r>
          </w:p>
        </w:tc>
        <w:tc>
          <w:tcPr>
            <w:tcW w:w="5879" w:type="dxa"/>
          </w:tcPr>
          <w:p w14:paraId="44DAE3D8" w14:textId="77777777" w:rsidR="007914B9" w:rsidRPr="007914B9" w:rsidRDefault="007914B9">
            <w:pPr>
              <w:suppressAutoHyphens/>
              <w:spacing w:before="40" w:after="40" w:line="200" w:lineRule="atLeast"/>
              <w:rPr>
                <w:rFonts w:cs="Arial"/>
              </w:rPr>
            </w:pPr>
            <w:r w:rsidRPr="007914B9">
              <w:rPr>
                <w:rFonts w:cs="Arial"/>
                <w:color w:val="242424"/>
              </w:rPr>
              <w:t xml:space="preserve">No evidence of a difference between groups for </w:t>
            </w:r>
            <w:r w:rsidRPr="007914B9">
              <w:rPr>
                <w:rFonts w:cs="Arial"/>
              </w:rPr>
              <w:t xml:space="preserve">job-related affective wellbeing </w:t>
            </w:r>
            <w:r w:rsidRPr="007914B9">
              <w:rPr>
                <w:rFonts w:cs="Arial"/>
                <w:color w:val="242424"/>
              </w:rPr>
              <w:t>throughout the intervention period.</w:t>
            </w:r>
            <w:r w:rsidRPr="007914B9">
              <w:rPr>
                <w:rFonts w:cs="Arial"/>
              </w:rPr>
              <w:t xml:space="preserve">  </w:t>
            </w:r>
          </w:p>
        </w:tc>
      </w:tr>
      <w:tr w:rsidR="007914B9" w:rsidRPr="00587691" w14:paraId="143ED2F8" w14:textId="77777777" w:rsidTr="00DB6646">
        <w:trPr>
          <w:cnfStyle w:val="000000100000" w:firstRow="0" w:lastRow="0" w:firstColumn="0" w:lastColumn="0" w:oddVBand="0" w:evenVBand="0" w:oddHBand="1" w:evenHBand="0" w:firstRowFirstColumn="0" w:firstRowLastColumn="0" w:lastRowFirstColumn="0" w:lastRowLastColumn="0"/>
          <w:trHeight w:val="340"/>
        </w:trPr>
        <w:tc>
          <w:tcPr>
            <w:tcW w:w="1439" w:type="dxa"/>
            <w:vMerge/>
          </w:tcPr>
          <w:p w14:paraId="37911824" w14:textId="77777777" w:rsidR="007914B9" w:rsidRPr="007914B9" w:rsidRDefault="007914B9">
            <w:pPr>
              <w:suppressAutoHyphens/>
              <w:spacing w:before="40" w:after="40" w:line="200" w:lineRule="atLeast"/>
              <w:rPr>
                <w:rFonts w:cs="Arial"/>
              </w:rPr>
            </w:pPr>
          </w:p>
        </w:tc>
        <w:tc>
          <w:tcPr>
            <w:tcW w:w="1361" w:type="dxa"/>
            <w:vMerge/>
          </w:tcPr>
          <w:p w14:paraId="5457DC2B" w14:textId="77777777" w:rsidR="007914B9" w:rsidRPr="007914B9" w:rsidRDefault="007914B9">
            <w:pPr>
              <w:suppressAutoHyphens/>
              <w:spacing w:before="40" w:after="40" w:line="200" w:lineRule="atLeast"/>
              <w:rPr>
                <w:rFonts w:cs="Arial"/>
              </w:rPr>
            </w:pPr>
          </w:p>
        </w:tc>
        <w:tc>
          <w:tcPr>
            <w:tcW w:w="1383" w:type="dxa"/>
            <w:vMerge/>
          </w:tcPr>
          <w:p w14:paraId="49A63536" w14:textId="77777777" w:rsidR="007914B9" w:rsidRPr="007914B9" w:rsidRDefault="007914B9">
            <w:pPr>
              <w:suppressAutoHyphens/>
              <w:spacing w:before="40" w:after="40" w:line="200" w:lineRule="atLeast"/>
              <w:rPr>
                <w:rFonts w:cs="Arial"/>
              </w:rPr>
            </w:pPr>
          </w:p>
        </w:tc>
        <w:tc>
          <w:tcPr>
            <w:tcW w:w="1732" w:type="dxa"/>
          </w:tcPr>
          <w:p w14:paraId="08543F6C" w14:textId="77777777" w:rsidR="007914B9" w:rsidRPr="007914B9" w:rsidRDefault="007914B9">
            <w:pPr>
              <w:suppressAutoHyphens/>
              <w:spacing w:before="40" w:after="40" w:line="200" w:lineRule="atLeast"/>
              <w:rPr>
                <w:rFonts w:cs="Arial"/>
              </w:rPr>
            </w:pPr>
            <w:r w:rsidRPr="007914B9">
              <w:rPr>
                <w:rFonts w:cs="Arial"/>
              </w:rPr>
              <w:t>Eisenberg’s Perceived Supervisor Support (PSS)</w:t>
            </w:r>
          </w:p>
        </w:tc>
        <w:tc>
          <w:tcPr>
            <w:tcW w:w="2170" w:type="dxa"/>
          </w:tcPr>
          <w:p w14:paraId="2311CDCE" w14:textId="77777777" w:rsidR="007914B9" w:rsidRPr="007914B9" w:rsidRDefault="007914B9">
            <w:pPr>
              <w:suppressAutoHyphens/>
              <w:spacing w:before="40" w:after="40" w:line="200" w:lineRule="atLeast"/>
              <w:rPr>
                <w:rFonts w:cs="Arial"/>
              </w:rPr>
            </w:pPr>
            <w:r w:rsidRPr="007914B9">
              <w:rPr>
                <w:rFonts w:cs="Arial"/>
              </w:rPr>
              <w:t>As above</w:t>
            </w:r>
          </w:p>
        </w:tc>
        <w:tc>
          <w:tcPr>
            <w:tcW w:w="5879" w:type="dxa"/>
          </w:tcPr>
          <w:p w14:paraId="7D111AD2" w14:textId="77777777" w:rsidR="007914B9" w:rsidRPr="007914B9" w:rsidRDefault="007914B9">
            <w:pPr>
              <w:suppressAutoHyphens/>
              <w:spacing w:before="40" w:after="40" w:line="200" w:lineRule="atLeast"/>
              <w:rPr>
                <w:rFonts w:cs="Arial"/>
              </w:rPr>
            </w:pPr>
            <w:r w:rsidRPr="007914B9">
              <w:rPr>
                <w:rFonts w:cs="Arial"/>
                <w:color w:val="242424"/>
              </w:rPr>
              <w:t xml:space="preserve">Evidence of improvements in perceived supervisor support for the first two items </w:t>
            </w:r>
            <w:r w:rsidRPr="007914B9">
              <w:rPr>
                <w:rFonts w:cs="Arial"/>
              </w:rPr>
              <w:t>(a. ‘Goals and values’, and b. ‘Help is available’)</w:t>
            </w:r>
            <w:r w:rsidRPr="007914B9">
              <w:rPr>
                <w:rFonts w:cs="Arial"/>
                <w:color w:val="242424"/>
              </w:rPr>
              <w:t xml:space="preserve"> were observed throughout the intervention period for all staff </w:t>
            </w:r>
            <w:r w:rsidRPr="007914B9">
              <w:rPr>
                <w:rFonts w:cs="Arial"/>
              </w:rPr>
              <w:t xml:space="preserve">and for analyses restricted to key workers. </w:t>
            </w:r>
          </w:p>
        </w:tc>
      </w:tr>
      <w:tr w:rsidR="007914B9" w:rsidRPr="00587691" w14:paraId="5600AE01" w14:textId="77777777" w:rsidTr="00DB6646">
        <w:trPr>
          <w:cnfStyle w:val="000000010000" w:firstRow="0" w:lastRow="0" w:firstColumn="0" w:lastColumn="0" w:oddVBand="0" w:evenVBand="0" w:oddHBand="0" w:evenHBand="1" w:firstRowFirstColumn="0" w:firstRowLastColumn="0" w:lastRowFirstColumn="0" w:lastRowLastColumn="0"/>
          <w:trHeight w:val="340"/>
        </w:trPr>
        <w:tc>
          <w:tcPr>
            <w:tcW w:w="13964" w:type="dxa"/>
            <w:gridSpan w:val="6"/>
            <w:shd w:val="clear" w:color="auto" w:fill="96ADB8"/>
          </w:tcPr>
          <w:p w14:paraId="49301E21" w14:textId="77777777" w:rsidR="007914B9" w:rsidRPr="007914B9" w:rsidRDefault="007914B9">
            <w:pPr>
              <w:suppressAutoHyphens/>
              <w:spacing w:before="40" w:after="40" w:line="200" w:lineRule="atLeast"/>
              <w:rPr>
                <w:rFonts w:cs="Arial"/>
                <w:b/>
              </w:rPr>
            </w:pPr>
            <w:r w:rsidRPr="007914B9">
              <w:rPr>
                <w:rFonts w:cs="Arial"/>
                <w:b/>
              </w:rPr>
              <w:t xml:space="preserve">ORGANISATION-LEVEL OUTCOMES </w:t>
            </w:r>
          </w:p>
        </w:tc>
      </w:tr>
      <w:tr w:rsidR="007914B9" w:rsidRPr="00587691" w14:paraId="38CE97E7" w14:textId="77777777" w:rsidTr="00DB6646">
        <w:trPr>
          <w:cnfStyle w:val="000000100000" w:firstRow="0" w:lastRow="0" w:firstColumn="0" w:lastColumn="0" w:oddVBand="0" w:evenVBand="0" w:oddHBand="1" w:evenHBand="0" w:firstRowFirstColumn="0" w:firstRowLastColumn="0" w:lastRowFirstColumn="0" w:lastRowLastColumn="0"/>
          <w:trHeight w:val="340"/>
        </w:trPr>
        <w:tc>
          <w:tcPr>
            <w:tcW w:w="13964" w:type="dxa"/>
            <w:gridSpan w:val="6"/>
            <w:shd w:val="clear" w:color="auto" w:fill="DAE2E6"/>
          </w:tcPr>
          <w:p w14:paraId="73204A48" w14:textId="77777777" w:rsidR="007914B9" w:rsidRPr="007914B9" w:rsidRDefault="007914B9">
            <w:pPr>
              <w:suppressAutoHyphens/>
              <w:spacing w:before="40" w:after="40" w:line="200" w:lineRule="atLeast"/>
              <w:rPr>
                <w:rFonts w:cs="Arial"/>
              </w:rPr>
            </w:pPr>
            <w:r w:rsidRPr="007914B9">
              <w:rPr>
                <w:rFonts w:cs="Arial"/>
                <w:b/>
              </w:rPr>
              <w:t xml:space="preserve">Preschool Autism Communication Trial Therapy (PACT) </w:t>
            </w:r>
          </w:p>
        </w:tc>
      </w:tr>
      <w:tr w:rsidR="007914B9" w:rsidRPr="00587691" w14:paraId="5CF85873" w14:textId="77777777" w:rsidTr="00DB6646">
        <w:trPr>
          <w:cnfStyle w:val="000000010000" w:firstRow="0" w:lastRow="0" w:firstColumn="0" w:lastColumn="0" w:oddVBand="0" w:evenVBand="0" w:oddHBand="0" w:evenHBand="1" w:firstRowFirstColumn="0" w:firstRowLastColumn="0" w:lastRowFirstColumn="0" w:lastRowLastColumn="0"/>
          <w:trHeight w:val="340"/>
        </w:trPr>
        <w:tc>
          <w:tcPr>
            <w:tcW w:w="1439" w:type="dxa"/>
            <w:vMerge w:val="restart"/>
          </w:tcPr>
          <w:p w14:paraId="68A65A66" w14:textId="77777777" w:rsidR="007914B9" w:rsidRPr="007914B9" w:rsidRDefault="007914B9">
            <w:pPr>
              <w:suppressAutoHyphens/>
              <w:spacing w:before="40" w:after="40" w:line="200" w:lineRule="atLeast"/>
              <w:rPr>
                <w:rFonts w:cs="Arial"/>
                <w:b/>
              </w:rPr>
            </w:pPr>
            <w:r w:rsidRPr="007914B9">
              <w:rPr>
                <w:rFonts w:cs="Arial"/>
                <w:b/>
              </w:rPr>
              <w:t xml:space="preserve">Byford </w:t>
            </w:r>
          </w:p>
          <w:p w14:paraId="50E6E0F5" w14:textId="77777777" w:rsidR="007914B9" w:rsidRPr="007914B9" w:rsidRDefault="007914B9">
            <w:pPr>
              <w:suppressAutoHyphens/>
              <w:spacing w:before="40" w:after="40" w:line="200" w:lineRule="atLeast"/>
              <w:rPr>
                <w:rFonts w:cs="Arial"/>
                <w:b/>
              </w:rPr>
            </w:pPr>
            <w:r w:rsidRPr="007914B9">
              <w:rPr>
                <w:rFonts w:cs="Arial"/>
                <w:b/>
              </w:rPr>
              <w:t>2015</w:t>
            </w:r>
          </w:p>
        </w:tc>
        <w:tc>
          <w:tcPr>
            <w:tcW w:w="1361" w:type="dxa"/>
            <w:vMerge w:val="restart"/>
          </w:tcPr>
          <w:p w14:paraId="4450F20B" w14:textId="77777777" w:rsidR="007914B9" w:rsidRPr="007914B9" w:rsidRDefault="007914B9">
            <w:pPr>
              <w:suppressAutoHyphens/>
              <w:spacing w:before="40" w:after="40" w:line="200" w:lineRule="atLeast"/>
              <w:rPr>
                <w:rFonts w:cs="Arial"/>
              </w:rPr>
            </w:pPr>
            <w:r w:rsidRPr="007914B9">
              <w:rPr>
                <w:rFonts w:cs="Arial"/>
              </w:rPr>
              <w:t xml:space="preserve">PACT </w:t>
            </w:r>
          </w:p>
          <w:p w14:paraId="70625E12" w14:textId="77777777" w:rsidR="007914B9" w:rsidRPr="007914B9" w:rsidRDefault="007914B9">
            <w:pPr>
              <w:suppressAutoHyphens/>
              <w:spacing w:before="40" w:after="40" w:line="200" w:lineRule="atLeast"/>
              <w:rPr>
                <w:rFonts w:cs="Arial"/>
              </w:rPr>
            </w:pPr>
            <w:r w:rsidRPr="007914B9">
              <w:rPr>
                <w:rFonts w:cs="Arial"/>
              </w:rPr>
              <w:t>(n=74)</w:t>
            </w:r>
          </w:p>
        </w:tc>
        <w:tc>
          <w:tcPr>
            <w:tcW w:w="1383" w:type="dxa"/>
            <w:vMerge w:val="restart"/>
          </w:tcPr>
          <w:p w14:paraId="08BFBCB9" w14:textId="77777777" w:rsidR="007914B9" w:rsidRPr="007914B9" w:rsidRDefault="007914B9">
            <w:pPr>
              <w:suppressAutoHyphens/>
              <w:spacing w:before="40" w:after="40" w:line="200" w:lineRule="atLeast"/>
              <w:rPr>
                <w:rFonts w:cs="Arial"/>
              </w:rPr>
            </w:pPr>
            <w:r w:rsidRPr="007914B9">
              <w:rPr>
                <w:rFonts w:cs="Arial"/>
              </w:rPr>
              <w:t xml:space="preserve">TAU </w:t>
            </w:r>
          </w:p>
          <w:p w14:paraId="3EB7B323" w14:textId="77777777" w:rsidR="007914B9" w:rsidRPr="007914B9" w:rsidRDefault="007914B9">
            <w:pPr>
              <w:suppressAutoHyphens/>
              <w:spacing w:before="40" w:after="40" w:line="200" w:lineRule="atLeast"/>
              <w:rPr>
                <w:rFonts w:cs="Arial"/>
              </w:rPr>
            </w:pPr>
            <w:r w:rsidRPr="007914B9">
              <w:rPr>
                <w:rFonts w:cs="Arial"/>
              </w:rPr>
              <w:t>(n=69)</w:t>
            </w:r>
          </w:p>
        </w:tc>
        <w:tc>
          <w:tcPr>
            <w:tcW w:w="1732" w:type="dxa"/>
          </w:tcPr>
          <w:p w14:paraId="28602CD1" w14:textId="77777777" w:rsidR="007914B9" w:rsidRPr="007914B9" w:rsidRDefault="007914B9">
            <w:pPr>
              <w:suppressAutoHyphens/>
              <w:spacing w:before="40" w:after="40" w:line="200" w:lineRule="atLeast"/>
              <w:rPr>
                <w:rFonts w:cs="Arial"/>
              </w:rPr>
            </w:pPr>
            <w:r w:rsidRPr="007914B9">
              <w:rPr>
                <w:rFonts w:cs="Arial"/>
              </w:rPr>
              <w:t xml:space="preserve">Carer Service Use Schedule (CA-SUS); </w:t>
            </w:r>
          </w:p>
          <w:p w14:paraId="0CA4255F" w14:textId="77777777" w:rsidR="007914B9" w:rsidRPr="007914B9" w:rsidRDefault="007914B9">
            <w:pPr>
              <w:suppressAutoHyphens/>
              <w:spacing w:before="40" w:after="40" w:line="200" w:lineRule="atLeast"/>
              <w:rPr>
                <w:rFonts w:cs="Arial"/>
              </w:rPr>
            </w:pPr>
            <w:r w:rsidRPr="007914B9">
              <w:rPr>
                <w:rFonts w:cs="Arial"/>
              </w:rPr>
              <w:t>Child and Adolescent Service Use Schedule (CARER-SUS)</w:t>
            </w:r>
          </w:p>
        </w:tc>
        <w:tc>
          <w:tcPr>
            <w:tcW w:w="2170" w:type="dxa"/>
          </w:tcPr>
          <w:p w14:paraId="103A6004" w14:textId="77777777" w:rsidR="007914B9" w:rsidRPr="007914B9" w:rsidRDefault="007914B9">
            <w:pPr>
              <w:suppressAutoHyphens/>
              <w:spacing w:before="40" w:after="40" w:line="200" w:lineRule="atLeast"/>
              <w:rPr>
                <w:rFonts w:cs="Arial"/>
              </w:rPr>
            </w:pPr>
            <w:r w:rsidRPr="007914B9">
              <w:rPr>
                <w:rFonts w:cs="Arial"/>
              </w:rPr>
              <w:t xml:space="preserve">Baseline; </w:t>
            </w:r>
          </w:p>
          <w:p w14:paraId="2A823D44" w14:textId="77777777" w:rsidR="007914B9" w:rsidRPr="007914B9" w:rsidRDefault="007914B9">
            <w:pPr>
              <w:suppressAutoHyphens/>
              <w:spacing w:before="40" w:after="40" w:line="200" w:lineRule="atLeast"/>
              <w:rPr>
                <w:rFonts w:cs="Arial"/>
              </w:rPr>
            </w:pPr>
            <w:r w:rsidRPr="007914B9">
              <w:rPr>
                <w:rFonts w:cs="Arial"/>
              </w:rPr>
              <w:t xml:space="preserve">Mid-intervention (7 months); </w:t>
            </w:r>
          </w:p>
          <w:p w14:paraId="61751BF0" w14:textId="77777777" w:rsidR="007914B9" w:rsidRPr="007914B9" w:rsidRDefault="007914B9">
            <w:pPr>
              <w:suppressAutoHyphens/>
              <w:spacing w:before="40" w:after="40" w:line="200" w:lineRule="atLeast"/>
              <w:rPr>
                <w:rFonts w:cs="Arial"/>
              </w:rPr>
            </w:pPr>
            <w:r w:rsidRPr="007914B9">
              <w:rPr>
                <w:rFonts w:cs="Arial"/>
              </w:rPr>
              <w:t>Post-intervention (13 months)</w:t>
            </w:r>
          </w:p>
        </w:tc>
        <w:tc>
          <w:tcPr>
            <w:tcW w:w="5879" w:type="dxa"/>
          </w:tcPr>
          <w:p w14:paraId="64BDB5E7" w14:textId="77777777" w:rsidR="007914B9" w:rsidRPr="007914B9" w:rsidRDefault="007914B9">
            <w:pPr>
              <w:suppressAutoHyphens/>
              <w:spacing w:before="40" w:after="40" w:line="200" w:lineRule="atLeast"/>
              <w:rPr>
                <w:rFonts w:cs="Arial"/>
              </w:rPr>
            </w:pPr>
            <w:r w:rsidRPr="007914B9">
              <w:rPr>
                <w:rFonts w:cs="Arial"/>
                <w:color w:val="242424"/>
              </w:rPr>
              <w:t>No evidence of a difference between groups for carer service use throughout the intervention period.</w:t>
            </w:r>
          </w:p>
        </w:tc>
      </w:tr>
      <w:tr w:rsidR="007914B9" w:rsidRPr="00587691" w14:paraId="1103D500" w14:textId="77777777" w:rsidTr="00DB6646">
        <w:trPr>
          <w:cnfStyle w:val="000000100000" w:firstRow="0" w:lastRow="0" w:firstColumn="0" w:lastColumn="0" w:oddVBand="0" w:evenVBand="0" w:oddHBand="1" w:evenHBand="0" w:firstRowFirstColumn="0" w:firstRowLastColumn="0" w:lastRowFirstColumn="0" w:lastRowLastColumn="0"/>
          <w:trHeight w:val="340"/>
        </w:trPr>
        <w:tc>
          <w:tcPr>
            <w:tcW w:w="1439" w:type="dxa"/>
            <w:vMerge/>
          </w:tcPr>
          <w:p w14:paraId="3E662572" w14:textId="77777777" w:rsidR="007914B9" w:rsidRPr="007914B9" w:rsidRDefault="007914B9">
            <w:pPr>
              <w:suppressAutoHyphens/>
              <w:spacing w:before="40" w:after="40" w:line="200" w:lineRule="atLeast"/>
              <w:rPr>
                <w:rFonts w:cs="Arial"/>
                <w:b/>
              </w:rPr>
            </w:pPr>
          </w:p>
        </w:tc>
        <w:tc>
          <w:tcPr>
            <w:tcW w:w="1361" w:type="dxa"/>
            <w:vMerge/>
          </w:tcPr>
          <w:p w14:paraId="6FB74EF1" w14:textId="77777777" w:rsidR="007914B9" w:rsidRPr="007914B9" w:rsidRDefault="007914B9">
            <w:pPr>
              <w:suppressAutoHyphens/>
              <w:spacing w:before="40" w:after="40" w:line="200" w:lineRule="atLeast"/>
              <w:rPr>
                <w:rFonts w:cs="Arial"/>
              </w:rPr>
            </w:pPr>
          </w:p>
        </w:tc>
        <w:tc>
          <w:tcPr>
            <w:tcW w:w="1383" w:type="dxa"/>
            <w:vMerge/>
          </w:tcPr>
          <w:p w14:paraId="665C6D28" w14:textId="77777777" w:rsidR="007914B9" w:rsidRPr="007914B9" w:rsidRDefault="007914B9">
            <w:pPr>
              <w:suppressAutoHyphens/>
              <w:spacing w:before="40" w:after="40" w:line="200" w:lineRule="atLeast"/>
              <w:rPr>
                <w:rFonts w:cs="Arial"/>
              </w:rPr>
            </w:pPr>
          </w:p>
        </w:tc>
        <w:tc>
          <w:tcPr>
            <w:tcW w:w="1732" w:type="dxa"/>
          </w:tcPr>
          <w:p w14:paraId="02D4903F" w14:textId="77777777" w:rsidR="007914B9" w:rsidRPr="007914B9" w:rsidRDefault="007914B9">
            <w:pPr>
              <w:suppressAutoHyphens/>
              <w:spacing w:before="40" w:after="40" w:line="200" w:lineRule="atLeast"/>
              <w:rPr>
                <w:rFonts w:cs="Arial"/>
              </w:rPr>
            </w:pPr>
            <w:r w:rsidRPr="007914B9">
              <w:rPr>
                <w:rFonts w:cs="Arial"/>
              </w:rPr>
              <w:t>Service Costs</w:t>
            </w:r>
          </w:p>
        </w:tc>
        <w:tc>
          <w:tcPr>
            <w:tcW w:w="2170" w:type="dxa"/>
          </w:tcPr>
          <w:p w14:paraId="2FAE65E7" w14:textId="77777777" w:rsidR="007914B9" w:rsidRPr="007914B9" w:rsidRDefault="007914B9">
            <w:pPr>
              <w:suppressAutoHyphens/>
              <w:spacing w:before="40" w:after="40" w:line="200" w:lineRule="atLeast"/>
              <w:rPr>
                <w:rFonts w:cs="Arial"/>
              </w:rPr>
            </w:pPr>
            <w:r w:rsidRPr="007914B9">
              <w:rPr>
                <w:rFonts w:cs="Arial"/>
              </w:rPr>
              <w:t>As above</w:t>
            </w:r>
          </w:p>
        </w:tc>
        <w:tc>
          <w:tcPr>
            <w:tcW w:w="5879" w:type="dxa"/>
          </w:tcPr>
          <w:p w14:paraId="50881E6B" w14:textId="77777777" w:rsidR="007914B9" w:rsidRPr="007914B9" w:rsidRDefault="007914B9">
            <w:pPr>
              <w:suppressAutoHyphens/>
              <w:spacing w:before="40" w:after="40" w:line="200" w:lineRule="atLeast"/>
              <w:rPr>
                <w:rFonts w:cs="Arial"/>
                <w:color w:val="242424"/>
              </w:rPr>
            </w:pPr>
            <w:r w:rsidRPr="007914B9">
              <w:rPr>
                <w:rFonts w:cs="Arial"/>
                <w:color w:val="242424"/>
              </w:rPr>
              <w:t>Evidence of increased service costs over time for the PACT + TAU group compared with TAU.</w:t>
            </w:r>
          </w:p>
        </w:tc>
      </w:tr>
      <w:tr w:rsidR="007914B9" w:rsidRPr="00587691" w14:paraId="6FE157D7" w14:textId="77777777" w:rsidTr="00DB6646">
        <w:trPr>
          <w:cnfStyle w:val="000000010000" w:firstRow="0" w:lastRow="0" w:firstColumn="0" w:lastColumn="0" w:oddVBand="0" w:evenVBand="0" w:oddHBand="0" w:evenHBand="1" w:firstRowFirstColumn="0" w:firstRowLastColumn="0" w:lastRowFirstColumn="0" w:lastRowLastColumn="0"/>
          <w:trHeight w:val="340"/>
        </w:trPr>
        <w:tc>
          <w:tcPr>
            <w:tcW w:w="13964" w:type="dxa"/>
            <w:gridSpan w:val="6"/>
            <w:shd w:val="clear" w:color="auto" w:fill="DAE2E6"/>
          </w:tcPr>
          <w:p w14:paraId="5B0F2A94" w14:textId="77777777" w:rsidR="007914B9" w:rsidRPr="007914B9" w:rsidRDefault="007914B9">
            <w:pPr>
              <w:suppressAutoHyphens/>
              <w:spacing w:before="40" w:after="40" w:line="200" w:lineRule="atLeast"/>
              <w:rPr>
                <w:rFonts w:cs="Arial"/>
                <w:b/>
              </w:rPr>
            </w:pPr>
            <w:r w:rsidRPr="007914B9">
              <w:rPr>
                <w:rFonts w:cs="Arial"/>
                <w:b/>
              </w:rPr>
              <w:t>Pursuit of Wellbeing (PWP)</w:t>
            </w:r>
          </w:p>
        </w:tc>
      </w:tr>
      <w:tr w:rsidR="007914B9" w:rsidRPr="00587691" w14:paraId="1295DBE7" w14:textId="77777777" w:rsidTr="00DB6646">
        <w:trPr>
          <w:cnfStyle w:val="000000100000" w:firstRow="0" w:lastRow="0" w:firstColumn="0" w:lastColumn="0" w:oddVBand="0" w:evenVBand="0" w:oddHBand="1" w:evenHBand="0" w:firstRowFirstColumn="0" w:firstRowLastColumn="0" w:lastRowFirstColumn="0" w:lastRowLastColumn="0"/>
          <w:trHeight w:val="340"/>
        </w:trPr>
        <w:tc>
          <w:tcPr>
            <w:tcW w:w="1439" w:type="dxa"/>
            <w:vMerge w:val="restart"/>
          </w:tcPr>
          <w:p w14:paraId="32F3B869" w14:textId="77777777" w:rsidR="007914B9" w:rsidRPr="007914B9" w:rsidRDefault="007914B9">
            <w:pPr>
              <w:suppressAutoHyphens/>
              <w:spacing w:before="40" w:after="40" w:line="200" w:lineRule="atLeast"/>
              <w:rPr>
                <w:rFonts w:cs="Arial"/>
                <w:b/>
              </w:rPr>
            </w:pPr>
            <w:r w:rsidRPr="007914B9">
              <w:rPr>
                <w:rFonts w:cs="Arial"/>
                <w:b/>
              </w:rPr>
              <w:t xml:space="preserve">Young </w:t>
            </w:r>
          </w:p>
          <w:p w14:paraId="4AF65DCC" w14:textId="77777777" w:rsidR="007914B9" w:rsidRPr="007914B9" w:rsidRDefault="007914B9">
            <w:pPr>
              <w:suppressAutoHyphens/>
              <w:spacing w:before="40" w:after="40" w:line="200" w:lineRule="atLeast"/>
              <w:rPr>
                <w:rFonts w:cs="Arial"/>
                <w:b/>
              </w:rPr>
            </w:pPr>
            <w:r w:rsidRPr="007914B9">
              <w:rPr>
                <w:rFonts w:cs="Arial"/>
                <w:b/>
              </w:rPr>
              <w:t>2023</w:t>
            </w:r>
          </w:p>
        </w:tc>
        <w:tc>
          <w:tcPr>
            <w:tcW w:w="1361" w:type="dxa"/>
            <w:vMerge w:val="restart"/>
          </w:tcPr>
          <w:p w14:paraId="68794A27" w14:textId="77777777" w:rsidR="007914B9" w:rsidRPr="007914B9" w:rsidRDefault="007914B9">
            <w:pPr>
              <w:suppressAutoHyphens/>
              <w:spacing w:before="40" w:after="40" w:line="200" w:lineRule="atLeast"/>
              <w:rPr>
                <w:rFonts w:cs="Arial"/>
              </w:rPr>
            </w:pPr>
            <w:r w:rsidRPr="007914B9">
              <w:rPr>
                <w:rFonts w:cs="Arial"/>
              </w:rPr>
              <w:t>PWP (n=42)</w:t>
            </w:r>
          </w:p>
        </w:tc>
        <w:tc>
          <w:tcPr>
            <w:tcW w:w="1383" w:type="dxa"/>
            <w:vMerge w:val="restart"/>
          </w:tcPr>
          <w:p w14:paraId="101E9B5A" w14:textId="77777777" w:rsidR="007914B9" w:rsidRPr="007914B9" w:rsidRDefault="007914B9">
            <w:pPr>
              <w:suppressAutoHyphens/>
              <w:spacing w:before="40" w:after="40" w:line="200" w:lineRule="atLeast"/>
              <w:rPr>
                <w:rFonts w:cs="Arial"/>
              </w:rPr>
            </w:pPr>
            <w:r w:rsidRPr="007914B9">
              <w:rPr>
                <w:rFonts w:cs="Arial"/>
              </w:rPr>
              <w:t xml:space="preserve">Control (n=NR) </w:t>
            </w:r>
          </w:p>
        </w:tc>
        <w:tc>
          <w:tcPr>
            <w:tcW w:w="1732" w:type="dxa"/>
          </w:tcPr>
          <w:p w14:paraId="013A95BB" w14:textId="77777777" w:rsidR="007914B9" w:rsidRPr="007914B9" w:rsidRDefault="007914B9">
            <w:pPr>
              <w:suppressAutoHyphens/>
              <w:spacing w:before="40" w:after="40" w:line="200" w:lineRule="atLeast"/>
              <w:rPr>
                <w:rFonts w:cs="Arial"/>
              </w:rPr>
            </w:pPr>
            <w:r w:rsidRPr="007914B9">
              <w:rPr>
                <w:rFonts w:cs="Arial"/>
              </w:rPr>
              <w:t xml:space="preserve">Study-specific tool </w:t>
            </w:r>
          </w:p>
        </w:tc>
        <w:tc>
          <w:tcPr>
            <w:tcW w:w="2170" w:type="dxa"/>
          </w:tcPr>
          <w:p w14:paraId="3F8EC5BB" w14:textId="77777777" w:rsidR="007914B9" w:rsidRPr="007914B9" w:rsidRDefault="007914B9">
            <w:pPr>
              <w:suppressAutoHyphens/>
              <w:spacing w:before="40" w:after="40" w:line="200" w:lineRule="atLeast"/>
              <w:rPr>
                <w:rFonts w:cs="Arial"/>
              </w:rPr>
            </w:pPr>
            <w:r w:rsidRPr="007914B9">
              <w:rPr>
                <w:rFonts w:cs="Arial"/>
              </w:rPr>
              <w:t xml:space="preserve">Baseline; </w:t>
            </w:r>
          </w:p>
          <w:p w14:paraId="63446382" w14:textId="77777777" w:rsidR="007914B9" w:rsidRPr="007914B9" w:rsidRDefault="007914B9">
            <w:pPr>
              <w:suppressAutoHyphens/>
              <w:spacing w:before="40" w:after="40" w:line="200" w:lineRule="atLeast"/>
              <w:rPr>
                <w:rFonts w:cs="Arial"/>
              </w:rPr>
            </w:pPr>
            <w:r w:rsidRPr="007914B9">
              <w:rPr>
                <w:rFonts w:cs="Arial"/>
              </w:rPr>
              <w:t>Post-intervention</w:t>
            </w:r>
          </w:p>
        </w:tc>
        <w:tc>
          <w:tcPr>
            <w:tcW w:w="5879" w:type="dxa"/>
          </w:tcPr>
          <w:p w14:paraId="51AA6FF5" w14:textId="77777777" w:rsidR="007914B9" w:rsidRPr="007914B9" w:rsidRDefault="007914B9">
            <w:pPr>
              <w:suppressAutoHyphens/>
              <w:spacing w:before="40" w:after="40" w:line="200" w:lineRule="atLeast"/>
              <w:rPr>
                <w:rFonts w:cs="Arial"/>
              </w:rPr>
            </w:pPr>
            <w:r w:rsidRPr="007914B9">
              <w:rPr>
                <w:rFonts w:cs="Arial"/>
                <w:color w:val="242424"/>
              </w:rPr>
              <w:t xml:space="preserve">No evidence of a difference between groups for </w:t>
            </w:r>
            <w:r w:rsidRPr="007914B9">
              <w:rPr>
                <w:rFonts w:cs="Arial"/>
              </w:rPr>
              <w:t>staff absenteeism</w:t>
            </w:r>
            <w:r w:rsidRPr="007914B9">
              <w:rPr>
                <w:rFonts w:cs="Arial"/>
                <w:color w:val="242424"/>
              </w:rPr>
              <w:t xml:space="preserve"> throughout the intervention period</w:t>
            </w:r>
          </w:p>
        </w:tc>
      </w:tr>
      <w:tr w:rsidR="007914B9" w:rsidRPr="00587691" w14:paraId="110DEC47" w14:textId="77777777" w:rsidTr="00DB6646">
        <w:trPr>
          <w:cnfStyle w:val="000000010000" w:firstRow="0" w:lastRow="0" w:firstColumn="0" w:lastColumn="0" w:oddVBand="0" w:evenVBand="0" w:oddHBand="0" w:evenHBand="1" w:firstRowFirstColumn="0" w:firstRowLastColumn="0" w:lastRowFirstColumn="0" w:lastRowLastColumn="0"/>
          <w:trHeight w:val="340"/>
        </w:trPr>
        <w:tc>
          <w:tcPr>
            <w:tcW w:w="1439" w:type="dxa"/>
            <w:vMerge/>
            <w:tcBorders>
              <w:bottom w:val="single" w:sz="4" w:space="0" w:color="auto"/>
            </w:tcBorders>
          </w:tcPr>
          <w:p w14:paraId="1A21F4DA" w14:textId="77777777" w:rsidR="007914B9" w:rsidRPr="007914B9" w:rsidRDefault="007914B9">
            <w:pPr>
              <w:suppressAutoHyphens/>
              <w:spacing w:before="40" w:after="40" w:line="200" w:lineRule="atLeast"/>
              <w:rPr>
                <w:rFonts w:cs="Arial"/>
              </w:rPr>
            </w:pPr>
          </w:p>
        </w:tc>
        <w:tc>
          <w:tcPr>
            <w:tcW w:w="1361" w:type="dxa"/>
            <w:vMerge/>
            <w:tcBorders>
              <w:bottom w:val="single" w:sz="4" w:space="0" w:color="auto"/>
            </w:tcBorders>
          </w:tcPr>
          <w:p w14:paraId="23BB110F" w14:textId="77777777" w:rsidR="007914B9" w:rsidRPr="007914B9" w:rsidRDefault="007914B9">
            <w:pPr>
              <w:suppressAutoHyphens/>
              <w:spacing w:before="40" w:after="40" w:line="200" w:lineRule="atLeast"/>
              <w:rPr>
                <w:rFonts w:cs="Arial"/>
              </w:rPr>
            </w:pPr>
          </w:p>
        </w:tc>
        <w:tc>
          <w:tcPr>
            <w:tcW w:w="1383" w:type="dxa"/>
            <w:vMerge/>
            <w:tcBorders>
              <w:bottom w:val="single" w:sz="4" w:space="0" w:color="auto"/>
            </w:tcBorders>
          </w:tcPr>
          <w:p w14:paraId="5A8A3953" w14:textId="77777777" w:rsidR="007914B9" w:rsidRPr="007914B9" w:rsidRDefault="007914B9">
            <w:pPr>
              <w:suppressAutoHyphens/>
              <w:spacing w:before="40" w:after="40" w:line="200" w:lineRule="atLeast"/>
              <w:rPr>
                <w:rFonts w:cs="Arial"/>
              </w:rPr>
            </w:pPr>
          </w:p>
        </w:tc>
        <w:tc>
          <w:tcPr>
            <w:tcW w:w="1732" w:type="dxa"/>
            <w:tcBorders>
              <w:bottom w:val="single" w:sz="4" w:space="0" w:color="auto"/>
            </w:tcBorders>
          </w:tcPr>
          <w:p w14:paraId="03C60CEF" w14:textId="77777777" w:rsidR="007914B9" w:rsidRPr="007914B9" w:rsidRDefault="007914B9">
            <w:pPr>
              <w:suppressAutoHyphens/>
              <w:spacing w:before="40" w:after="40" w:line="200" w:lineRule="atLeast"/>
              <w:rPr>
                <w:rFonts w:cs="Arial"/>
              </w:rPr>
            </w:pPr>
            <w:r w:rsidRPr="007914B9">
              <w:rPr>
                <w:rFonts w:cs="Arial"/>
              </w:rPr>
              <w:t xml:space="preserve">Study-specific tool </w:t>
            </w:r>
          </w:p>
        </w:tc>
        <w:tc>
          <w:tcPr>
            <w:tcW w:w="2170" w:type="dxa"/>
            <w:tcBorders>
              <w:bottom w:val="single" w:sz="4" w:space="0" w:color="auto"/>
            </w:tcBorders>
          </w:tcPr>
          <w:p w14:paraId="5FEACFE4" w14:textId="77777777" w:rsidR="007914B9" w:rsidRPr="007914B9" w:rsidRDefault="007914B9">
            <w:pPr>
              <w:suppressAutoHyphens/>
              <w:spacing w:before="40" w:after="40" w:line="200" w:lineRule="atLeast"/>
              <w:rPr>
                <w:rFonts w:cs="Arial"/>
              </w:rPr>
            </w:pPr>
            <w:r w:rsidRPr="007914B9">
              <w:rPr>
                <w:rFonts w:cs="Arial"/>
              </w:rPr>
              <w:t>As above</w:t>
            </w:r>
          </w:p>
        </w:tc>
        <w:tc>
          <w:tcPr>
            <w:tcW w:w="5879" w:type="dxa"/>
            <w:tcBorders>
              <w:bottom w:val="single" w:sz="4" w:space="0" w:color="auto"/>
            </w:tcBorders>
          </w:tcPr>
          <w:p w14:paraId="4E3637F7" w14:textId="77777777" w:rsidR="007914B9" w:rsidRPr="007914B9" w:rsidRDefault="007914B9">
            <w:pPr>
              <w:suppressAutoHyphens/>
              <w:spacing w:before="40" w:after="40" w:line="200" w:lineRule="atLeast"/>
              <w:rPr>
                <w:rFonts w:cs="Arial"/>
              </w:rPr>
            </w:pPr>
            <w:r w:rsidRPr="007914B9">
              <w:rPr>
                <w:rFonts w:cs="Arial"/>
              </w:rPr>
              <w:t>No difference between groups for health services used throughout the intervention period.</w:t>
            </w:r>
          </w:p>
        </w:tc>
      </w:tr>
    </w:tbl>
    <w:p w14:paraId="430B6841" w14:textId="4C37E9F3" w:rsidR="007914B9" w:rsidRPr="006478C1" w:rsidRDefault="00DB6646" w:rsidP="009A33EB">
      <w:pPr>
        <w:rPr>
          <w:rFonts w:cs="Arial"/>
          <w:color w:val="000000" w:themeColor="text1"/>
          <w:sz w:val="20"/>
          <w:szCs w:val="20"/>
          <w:lang w:val="en-US"/>
        </w:rPr>
      </w:pPr>
      <w:r w:rsidRPr="006478C1">
        <w:rPr>
          <w:rFonts w:cs="Arial"/>
          <w:color w:val="000000" w:themeColor="text1"/>
          <w:sz w:val="20"/>
          <w:szCs w:val="20"/>
          <w:lang w:val="en-US"/>
        </w:rPr>
        <w:t>Note: N= sample size at baseline for the group reported; cf = compared with; BAU = business as usual; SAU = services as usual; ATM = Autism Training Modules; all other acronyms defined in the table row.</w:t>
      </w:r>
    </w:p>
    <w:p w14:paraId="444CFACD" w14:textId="77777777" w:rsidR="00DB6646" w:rsidRDefault="00DB6646" w:rsidP="009A33EB">
      <w:pPr>
        <w:rPr>
          <w:rFonts w:cs="Arial"/>
          <w:color w:val="000000" w:themeColor="text1"/>
          <w:lang w:val="en-US"/>
        </w:rPr>
      </w:pPr>
    </w:p>
    <w:p w14:paraId="6B2E1328" w14:textId="77777777" w:rsidR="00DB6646" w:rsidRDefault="00DB6646" w:rsidP="009A33EB">
      <w:pPr>
        <w:rPr>
          <w:rFonts w:cs="Arial"/>
          <w:color w:val="000000" w:themeColor="text1"/>
          <w:lang w:val="en-US"/>
        </w:rPr>
      </w:pPr>
    </w:p>
    <w:p w14:paraId="1EE00F62" w14:textId="77777777" w:rsidR="00C00596" w:rsidRDefault="00C00596" w:rsidP="009A33EB">
      <w:pPr>
        <w:rPr>
          <w:rFonts w:cs="Arial"/>
          <w:color w:val="000000" w:themeColor="text1"/>
          <w:lang w:val="en-US"/>
        </w:rPr>
      </w:pPr>
    </w:p>
    <w:p w14:paraId="322DD0B8" w14:textId="77777777" w:rsidR="00C00596" w:rsidRDefault="00C00596" w:rsidP="009A33EB">
      <w:pPr>
        <w:rPr>
          <w:rFonts w:cs="Arial"/>
          <w:color w:val="000000" w:themeColor="text1"/>
          <w:lang w:val="en-US"/>
        </w:rPr>
      </w:pPr>
    </w:p>
    <w:p w14:paraId="605E2324" w14:textId="77777777" w:rsidR="00C00596" w:rsidRDefault="00C00596" w:rsidP="009A33EB">
      <w:pPr>
        <w:rPr>
          <w:rFonts w:cs="Arial"/>
          <w:color w:val="000000" w:themeColor="text1"/>
          <w:lang w:val="en-US"/>
        </w:rPr>
      </w:pPr>
    </w:p>
    <w:p w14:paraId="71C7105C" w14:textId="77777777" w:rsidR="00C00596" w:rsidRDefault="00C00596" w:rsidP="009A33EB">
      <w:pPr>
        <w:rPr>
          <w:rFonts w:cs="Arial"/>
          <w:color w:val="000000" w:themeColor="text1"/>
          <w:lang w:val="en-US"/>
        </w:rPr>
      </w:pPr>
    </w:p>
    <w:p w14:paraId="2A445BB3" w14:textId="77777777" w:rsidR="00C00596" w:rsidRDefault="00C00596" w:rsidP="009A33EB">
      <w:pPr>
        <w:rPr>
          <w:rFonts w:cs="Arial"/>
          <w:color w:val="000000" w:themeColor="text1"/>
          <w:lang w:val="en-US"/>
        </w:rPr>
      </w:pPr>
    </w:p>
    <w:p w14:paraId="67420D98" w14:textId="77777777" w:rsidR="00C00596" w:rsidRDefault="00C00596" w:rsidP="009A33EB">
      <w:pPr>
        <w:rPr>
          <w:rFonts w:cs="Arial"/>
          <w:color w:val="000000" w:themeColor="text1"/>
          <w:lang w:val="en-US"/>
        </w:rPr>
      </w:pPr>
    </w:p>
    <w:p w14:paraId="4F5249F5" w14:textId="77777777" w:rsidR="00C00596" w:rsidRDefault="00C00596" w:rsidP="009A33EB">
      <w:pPr>
        <w:rPr>
          <w:rFonts w:cs="Arial"/>
          <w:color w:val="000000" w:themeColor="text1"/>
          <w:lang w:val="en-US"/>
        </w:rPr>
      </w:pPr>
    </w:p>
    <w:p w14:paraId="58FA2F84" w14:textId="77777777" w:rsidR="00C00596" w:rsidRDefault="00C00596" w:rsidP="009A33EB">
      <w:pPr>
        <w:rPr>
          <w:rFonts w:cs="Arial"/>
          <w:color w:val="000000" w:themeColor="text1"/>
          <w:lang w:val="en-US"/>
        </w:rPr>
      </w:pPr>
    </w:p>
    <w:p w14:paraId="7063DD89" w14:textId="77777777" w:rsidR="00C00596" w:rsidRDefault="00C00596" w:rsidP="009A33EB">
      <w:pPr>
        <w:rPr>
          <w:rFonts w:cs="Arial"/>
          <w:color w:val="000000" w:themeColor="text1"/>
          <w:lang w:val="en-US"/>
        </w:rPr>
      </w:pPr>
    </w:p>
    <w:p w14:paraId="4AA2C1B9" w14:textId="77777777" w:rsidR="00C00596" w:rsidRDefault="00C00596" w:rsidP="009A33EB">
      <w:pPr>
        <w:rPr>
          <w:rFonts w:cs="Arial"/>
          <w:color w:val="000000" w:themeColor="text1"/>
          <w:lang w:val="en-US"/>
        </w:rPr>
      </w:pPr>
    </w:p>
    <w:p w14:paraId="12794989" w14:textId="77777777" w:rsidR="00C00596" w:rsidRDefault="00C00596" w:rsidP="00C00596">
      <w:pPr>
        <w:rPr>
          <w:rFonts w:cs="Arial"/>
          <w:color w:val="000000" w:themeColor="text1"/>
          <w:lang w:val="en-US"/>
        </w:rPr>
        <w:sectPr w:rsidR="00C00596" w:rsidSect="00945C50">
          <w:pgSz w:w="16838" w:h="11906" w:orient="landscape"/>
          <w:pgMar w:top="1440" w:right="1440" w:bottom="1440" w:left="1440" w:header="709" w:footer="709" w:gutter="0"/>
          <w:cols w:space="708"/>
          <w:titlePg/>
          <w:docGrid w:linePitch="360"/>
        </w:sectPr>
      </w:pPr>
    </w:p>
    <w:p w14:paraId="029DB6B7" w14:textId="77777777" w:rsidR="00C00596" w:rsidRPr="00C00596" w:rsidRDefault="00C00596" w:rsidP="00B51FB9">
      <w:pPr>
        <w:rPr>
          <w:rFonts w:cs="Arial"/>
          <w:color w:val="000000" w:themeColor="text1"/>
          <w:lang w:val="en-US"/>
        </w:rPr>
      </w:pPr>
      <w:r w:rsidRPr="00C00596">
        <w:rPr>
          <w:rFonts w:cs="Arial"/>
          <w:color w:val="000000" w:themeColor="text1"/>
          <w:lang w:val="en-US"/>
        </w:rPr>
        <w:t xml:space="preserve">Risk of bias assessment for the included RCTs is summarised in Table 14. Studies are ordered from newest to oldest. </w:t>
      </w:r>
    </w:p>
    <w:p w14:paraId="77772B25" w14:textId="77777777" w:rsidR="00C00596" w:rsidRPr="00C00596" w:rsidRDefault="00C00596" w:rsidP="00B51FB9">
      <w:pPr>
        <w:rPr>
          <w:rFonts w:cs="Arial"/>
          <w:color w:val="000000" w:themeColor="text1"/>
          <w:lang w:val="en-US"/>
        </w:rPr>
      </w:pPr>
    </w:p>
    <w:p w14:paraId="36B7FFCF" w14:textId="29DFF4B7" w:rsidR="00C00596" w:rsidRPr="004F3F37" w:rsidRDefault="004F3F37" w:rsidP="004F3F37">
      <w:pPr>
        <w:pStyle w:val="Caption"/>
        <w:keepNext/>
      </w:pPr>
      <w:bookmarkStart w:id="112" w:name="_Toc177725013"/>
      <w:bookmarkStart w:id="113" w:name="_Toc177727333"/>
      <w:r w:rsidRPr="00B5106F">
        <w:rPr>
          <w:b/>
          <w:bCs/>
        </w:rPr>
        <w:t xml:space="preserve">Table </w:t>
      </w:r>
      <w:r w:rsidR="00627239" w:rsidRPr="00B5106F">
        <w:rPr>
          <w:b/>
          <w:bCs/>
        </w:rPr>
        <w:fldChar w:fldCharType="begin"/>
      </w:r>
      <w:r w:rsidR="00627239" w:rsidRPr="00B5106F">
        <w:rPr>
          <w:b/>
          <w:bCs/>
        </w:rPr>
        <w:instrText xml:space="preserve"> SEQ Table \* ARABIC </w:instrText>
      </w:r>
      <w:r w:rsidR="00627239" w:rsidRPr="00B5106F">
        <w:rPr>
          <w:b/>
          <w:bCs/>
        </w:rPr>
        <w:fldChar w:fldCharType="separate"/>
      </w:r>
      <w:r w:rsidR="00303407">
        <w:rPr>
          <w:b/>
          <w:bCs/>
          <w:noProof/>
        </w:rPr>
        <w:t>15</w:t>
      </w:r>
      <w:r w:rsidR="00627239" w:rsidRPr="00B5106F">
        <w:rPr>
          <w:b/>
          <w:bCs/>
          <w:noProof/>
        </w:rPr>
        <w:fldChar w:fldCharType="end"/>
      </w:r>
      <w:r w:rsidRPr="00B5106F">
        <w:rPr>
          <w:b/>
          <w:bCs/>
        </w:rPr>
        <w:t>.</w:t>
      </w:r>
      <w:r w:rsidRPr="000576F2">
        <w:t xml:space="preserve"> Risk of bias in included RCTs</w:t>
      </w:r>
      <w:bookmarkEnd w:id="112"/>
      <w:bookmarkEnd w:id="113"/>
    </w:p>
    <w:tbl>
      <w:tblPr>
        <w:tblW w:w="10339" w:type="dxa"/>
        <w:tblLayout w:type="fixed"/>
        <w:tblLook w:val="04A0" w:firstRow="1" w:lastRow="0" w:firstColumn="1" w:lastColumn="0" w:noHBand="0" w:noVBand="1"/>
      </w:tblPr>
      <w:tblGrid>
        <w:gridCol w:w="1699"/>
        <w:gridCol w:w="576"/>
        <w:gridCol w:w="576"/>
        <w:gridCol w:w="576"/>
        <w:gridCol w:w="576"/>
        <w:gridCol w:w="576"/>
        <w:gridCol w:w="576"/>
        <w:gridCol w:w="576"/>
        <w:gridCol w:w="576"/>
        <w:gridCol w:w="576"/>
        <w:gridCol w:w="576"/>
        <w:gridCol w:w="576"/>
        <w:gridCol w:w="576"/>
        <w:gridCol w:w="576"/>
        <w:gridCol w:w="576"/>
        <w:gridCol w:w="576"/>
      </w:tblGrid>
      <w:tr w:rsidR="00B51FB9" w:rsidRPr="00A740F1" w14:paraId="6D56A6D5" w14:textId="77777777" w:rsidTr="00B51FB9">
        <w:trPr>
          <w:trHeight w:val="362"/>
        </w:trPr>
        <w:tc>
          <w:tcPr>
            <w:tcW w:w="1699" w:type="dxa"/>
            <w:tcBorders>
              <w:top w:val="single" w:sz="4" w:space="0" w:color="auto"/>
            </w:tcBorders>
            <w:shd w:val="clear" w:color="auto" w:fill="082A75"/>
          </w:tcPr>
          <w:p w14:paraId="466876B9" w14:textId="77777777" w:rsidR="00B51FB9" w:rsidRPr="00B51FB9" w:rsidRDefault="00B51FB9">
            <w:pPr>
              <w:spacing w:after="0" w:line="276" w:lineRule="auto"/>
              <w:rPr>
                <w:rFonts w:eastAsia="Segoe UI" w:cs="Arial"/>
                <w:b/>
                <w:bCs/>
                <w:color w:val="FFFFFF"/>
                <w:sz w:val="20"/>
                <w:szCs w:val="20"/>
                <w:lang w:val="en-US"/>
              </w:rPr>
            </w:pPr>
          </w:p>
        </w:tc>
        <w:tc>
          <w:tcPr>
            <w:tcW w:w="8640" w:type="dxa"/>
            <w:gridSpan w:val="15"/>
            <w:tcBorders>
              <w:top w:val="single" w:sz="4" w:space="0" w:color="auto"/>
            </w:tcBorders>
            <w:shd w:val="clear" w:color="auto" w:fill="082A75"/>
          </w:tcPr>
          <w:p w14:paraId="309F60F0" w14:textId="77777777" w:rsidR="00B51FB9" w:rsidRPr="00B51FB9" w:rsidRDefault="00B51FB9">
            <w:pPr>
              <w:spacing w:after="0" w:line="276" w:lineRule="auto"/>
              <w:jc w:val="center"/>
              <w:rPr>
                <w:rFonts w:eastAsia="Segoe UI" w:cs="Arial"/>
                <w:b/>
                <w:bCs/>
                <w:color w:val="FFFFFF"/>
                <w:sz w:val="20"/>
                <w:szCs w:val="20"/>
                <w:lang w:val="en-US"/>
              </w:rPr>
            </w:pPr>
            <w:r w:rsidRPr="00B51FB9">
              <w:rPr>
                <w:rFonts w:eastAsia="Segoe UI" w:cs="Arial"/>
                <w:b/>
                <w:bCs/>
                <w:color w:val="FFFFFF"/>
                <w:sz w:val="20"/>
                <w:szCs w:val="20"/>
                <w:lang w:val="en-US"/>
              </w:rPr>
              <w:t>CLEAR-NPT RoB Item Numbers</w:t>
            </w:r>
          </w:p>
        </w:tc>
      </w:tr>
      <w:tr w:rsidR="00B51FB9" w:rsidRPr="00A740F1" w14:paraId="11E4065D" w14:textId="77777777" w:rsidTr="00B51FB9">
        <w:trPr>
          <w:trHeight w:val="330"/>
        </w:trPr>
        <w:tc>
          <w:tcPr>
            <w:tcW w:w="1699" w:type="dxa"/>
            <w:tcBorders>
              <w:bottom w:val="single" w:sz="4" w:space="0" w:color="auto"/>
            </w:tcBorders>
            <w:shd w:val="clear" w:color="auto" w:fill="082A75"/>
          </w:tcPr>
          <w:p w14:paraId="304B3CCE"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 xml:space="preserve">Author  </w:t>
            </w:r>
          </w:p>
          <w:p w14:paraId="5168753D"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Year</w:t>
            </w:r>
          </w:p>
        </w:tc>
        <w:tc>
          <w:tcPr>
            <w:tcW w:w="576" w:type="dxa"/>
            <w:tcBorders>
              <w:bottom w:val="single" w:sz="4" w:space="0" w:color="auto"/>
            </w:tcBorders>
            <w:shd w:val="clear" w:color="auto" w:fill="082A75"/>
          </w:tcPr>
          <w:p w14:paraId="2F668D29"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1</w:t>
            </w:r>
          </w:p>
        </w:tc>
        <w:tc>
          <w:tcPr>
            <w:tcW w:w="576" w:type="dxa"/>
            <w:tcBorders>
              <w:bottom w:val="single" w:sz="4" w:space="0" w:color="auto"/>
            </w:tcBorders>
            <w:shd w:val="clear" w:color="auto" w:fill="082A75"/>
          </w:tcPr>
          <w:p w14:paraId="0C423C3C"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 xml:space="preserve">2 </w:t>
            </w:r>
          </w:p>
        </w:tc>
        <w:tc>
          <w:tcPr>
            <w:tcW w:w="576" w:type="dxa"/>
            <w:tcBorders>
              <w:bottom w:val="single" w:sz="4" w:space="0" w:color="auto"/>
            </w:tcBorders>
            <w:shd w:val="clear" w:color="auto" w:fill="082A75"/>
          </w:tcPr>
          <w:p w14:paraId="640D7135"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 xml:space="preserve">3 </w:t>
            </w:r>
          </w:p>
        </w:tc>
        <w:tc>
          <w:tcPr>
            <w:tcW w:w="576" w:type="dxa"/>
            <w:tcBorders>
              <w:bottom w:val="single" w:sz="4" w:space="0" w:color="auto"/>
            </w:tcBorders>
            <w:shd w:val="clear" w:color="auto" w:fill="082A75"/>
          </w:tcPr>
          <w:p w14:paraId="72BCECEC" w14:textId="77777777" w:rsidR="00B51FB9" w:rsidRPr="00B51FB9" w:rsidRDefault="00B51FB9">
            <w:pPr>
              <w:spacing w:after="0" w:line="276" w:lineRule="auto"/>
              <w:jc w:val="center"/>
              <w:rPr>
                <w:rFonts w:eastAsia="Segoe UI" w:cs="Arial"/>
                <w:b/>
                <w:bCs/>
                <w:color w:val="FFFFFF"/>
                <w:sz w:val="20"/>
                <w:szCs w:val="20"/>
                <w:lang w:val="en-US"/>
              </w:rPr>
            </w:pPr>
            <w:r w:rsidRPr="00B51FB9">
              <w:rPr>
                <w:rFonts w:eastAsia="Segoe UI" w:cs="Arial"/>
                <w:b/>
                <w:bCs/>
                <w:color w:val="FFFFFF"/>
                <w:sz w:val="20"/>
                <w:szCs w:val="20"/>
                <w:lang w:val="en-US"/>
              </w:rPr>
              <w:t>4</w:t>
            </w:r>
          </w:p>
        </w:tc>
        <w:tc>
          <w:tcPr>
            <w:tcW w:w="576" w:type="dxa"/>
            <w:tcBorders>
              <w:bottom w:val="single" w:sz="4" w:space="0" w:color="auto"/>
            </w:tcBorders>
            <w:shd w:val="clear" w:color="auto" w:fill="082A75"/>
          </w:tcPr>
          <w:p w14:paraId="54D9FE70"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5</w:t>
            </w:r>
          </w:p>
        </w:tc>
        <w:tc>
          <w:tcPr>
            <w:tcW w:w="576" w:type="dxa"/>
            <w:tcBorders>
              <w:bottom w:val="single" w:sz="4" w:space="0" w:color="auto"/>
            </w:tcBorders>
            <w:shd w:val="clear" w:color="auto" w:fill="082A75"/>
          </w:tcPr>
          <w:p w14:paraId="4A02ED52"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6</w:t>
            </w:r>
          </w:p>
        </w:tc>
        <w:tc>
          <w:tcPr>
            <w:tcW w:w="576" w:type="dxa"/>
            <w:tcBorders>
              <w:bottom w:val="single" w:sz="4" w:space="0" w:color="auto"/>
            </w:tcBorders>
            <w:shd w:val="clear" w:color="auto" w:fill="082A75"/>
          </w:tcPr>
          <w:p w14:paraId="6D574C6F"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6.1.1</w:t>
            </w:r>
          </w:p>
        </w:tc>
        <w:tc>
          <w:tcPr>
            <w:tcW w:w="576" w:type="dxa"/>
            <w:tcBorders>
              <w:bottom w:val="single" w:sz="4" w:space="0" w:color="auto"/>
            </w:tcBorders>
            <w:shd w:val="clear" w:color="auto" w:fill="082A75"/>
          </w:tcPr>
          <w:p w14:paraId="491C42DF"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6.1.2</w:t>
            </w:r>
          </w:p>
        </w:tc>
        <w:tc>
          <w:tcPr>
            <w:tcW w:w="576" w:type="dxa"/>
            <w:tcBorders>
              <w:bottom w:val="single" w:sz="4" w:space="0" w:color="auto"/>
            </w:tcBorders>
            <w:shd w:val="clear" w:color="auto" w:fill="082A75"/>
          </w:tcPr>
          <w:p w14:paraId="5C3E4B4A"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7</w:t>
            </w:r>
          </w:p>
        </w:tc>
        <w:tc>
          <w:tcPr>
            <w:tcW w:w="576" w:type="dxa"/>
            <w:tcBorders>
              <w:bottom w:val="single" w:sz="4" w:space="0" w:color="auto"/>
            </w:tcBorders>
            <w:shd w:val="clear" w:color="auto" w:fill="082A75"/>
          </w:tcPr>
          <w:p w14:paraId="5CDB2D66"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7.1.1</w:t>
            </w:r>
          </w:p>
        </w:tc>
        <w:tc>
          <w:tcPr>
            <w:tcW w:w="576" w:type="dxa"/>
            <w:tcBorders>
              <w:bottom w:val="single" w:sz="4" w:space="0" w:color="auto"/>
            </w:tcBorders>
            <w:shd w:val="clear" w:color="auto" w:fill="082A75"/>
          </w:tcPr>
          <w:p w14:paraId="5F6981E3"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7.1.2</w:t>
            </w:r>
          </w:p>
        </w:tc>
        <w:tc>
          <w:tcPr>
            <w:tcW w:w="576" w:type="dxa"/>
            <w:tcBorders>
              <w:bottom w:val="single" w:sz="4" w:space="0" w:color="auto"/>
            </w:tcBorders>
            <w:shd w:val="clear" w:color="auto" w:fill="082A75"/>
          </w:tcPr>
          <w:p w14:paraId="6DA8C784"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8</w:t>
            </w:r>
          </w:p>
        </w:tc>
        <w:tc>
          <w:tcPr>
            <w:tcW w:w="576" w:type="dxa"/>
            <w:tcBorders>
              <w:bottom w:val="single" w:sz="4" w:space="0" w:color="auto"/>
            </w:tcBorders>
            <w:shd w:val="clear" w:color="auto" w:fill="082A75"/>
          </w:tcPr>
          <w:p w14:paraId="7EFAFBED"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8.1</w:t>
            </w:r>
          </w:p>
        </w:tc>
        <w:tc>
          <w:tcPr>
            <w:tcW w:w="576" w:type="dxa"/>
            <w:tcBorders>
              <w:bottom w:val="single" w:sz="4" w:space="0" w:color="auto"/>
            </w:tcBorders>
            <w:shd w:val="clear" w:color="auto" w:fill="082A75"/>
          </w:tcPr>
          <w:p w14:paraId="7D9F9F5E"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9</w:t>
            </w:r>
          </w:p>
        </w:tc>
        <w:tc>
          <w:tcPr>
            <w:tcW w:w="576" w:type="dxa"/>
            <w:tcBorders>
              <w:bottom w:val="single" w:sz="4" w:space="0" w:color="auto"/>
            </w:tcBorders>
            <w:shd w:val="clear" w:color="auto" w:fill="082A75"/>
          </w:tcPr>
          <w:p w14:paraId="6FB1C51E" w14:textId="77777777" w:rsidR="00B51FB9" w:rsidRPr="00B51FB9" w:rsidRDefault="00B51FB9">
            <w:pPr>
              <w:spacing w:after="0" w:line="276" w:lineRule="auto"/>
              <w:rPr>
                <w:rFonts w:eastAsia="Segoe UI" w:cs="Arial"/>
                <w:b/>
                <w:bCs/>
                <w:color w:val="FFFFFF"/>
                <w:sz w:val="20"/>
                <w:szCs w:val="20"/>
                <w:lang w:val="en-US"/>
              </w:rPr>
            </w:pPr>
            <w:r w:rsidRPr="00B51FB9">
              <w:rPr>
                <w:rFonts w:eastAsia="Segoe UI" w:cs="Arial"/>
                <w:b/>
                <w:bCs/>
                <w:color w:val="FFFFFF"/>
                <w:sz w:val="20"/>
                <w:szCs w:val="20"/>
                <w:lang w:val="en-US"/>
              </w:rPr>
              <w:t>10</w:t>
            </w:r>
          </w:p>
        </w:tc>
      </w:tr>
      <w:tr w:rsidR="00B51FB9" w:rsidRPr="00A740F1" w14:paraId="5CB6BA62" w14:textId="77777777" w:rsidTr="00B51FB9">
        <w:trPr>
          <w:trHeight w:val="300"/>
        </w:trPr>
        <w:tc>
          <w:tcPr>
            <w:tcW w:w="1699" w:type="dxa"/>
            <w:tcBorders>
              <w:top w:val="single" w:sz="4" w:space="0" w:color="auto"/>
              <w:left w:val="single" w:sz="8" w:space="0" w:color="000000"/>
              <w:bottom w:val="single" w:sz="8" w:space="0" w:color="000000"/>
              <w:right w:val="single" w:sz="8" w:space="0" w:color="000000"/>
            </w:tcBorders>
            <w:vAlign w:val="bottom"/>
          </w:tcPr>
          <w:p w14:paraId="73D4D800"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Landa 2024</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476F7D5F"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1B298BA4"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FFC000"/>
            <w:vAlign w:val="bottom"/>
          </w:tcPr>
          <w:p w14:paraId="23DEDC2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37B0D29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158C699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FFC7CE"/>
            <w:vAlign w:val="bottom"/>
          </w:tcPr>
          <w:p w14:paraId="46BC75B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46FBCFF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4566B15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FFC7CE"/>
            <w:vAlign w:val="bottom"/>
          </w:tcPr>
          <w:p w14:paraId="0FAF2D2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4E6502D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142BF19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FFC000"/>
            <w:vAlign w:val="bottom"/>
          </w:tcPr>
          <w:p w14:paraId="74DFF9C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4F7D616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180E11F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4" w:space="0" w:color="auto"/>
              <w:left w:val="single" w:sz="8" w:space="0" w:color="000000"/>
              <w:bottom w:val="single" w:sz="8" w:space="0" w:color="000000"/>
              <w:right w:val="single" w:sz="8" w:space="0" w:color="000000"/>
            </w:tcBorders>
            <w:shd w:val="clear" w:color="auto" w:fill="92D050"/>
            <w:vAlign w:val="bottom"/>
          </w:tcPr>
          <w:p w14:paraId="6ED42C5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69015385"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69193045"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Ostrosky 2024</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65DABC6"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2938333"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01D252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9280D8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09C009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4BD03F9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F24FC7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18F6554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D3305F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977FDB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B4E19E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E45398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0BD55E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A96230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CCBFEF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4D60D135"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72EE1704"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Gulsrud 2024</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2F5DE67"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D61E91E"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038D34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F0D36A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8F6C74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E47355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CD57EC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156D790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23C8C82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68B2518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BEDD8E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EA7906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4D5BA1E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F5DDBC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EC52D1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4C0BB08B"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1646BB05"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Bagner 2023</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2815D59"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7E6F175"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1C9CBF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5A311A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BEA349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52EFC89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3F0076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3A57CDA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55789EE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F7623E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24CDA3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95B724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643AE30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224855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E1B655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3F9F6701"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77809A96"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Johnson 2023</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BB76162"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51FADDD"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B5DD92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A601C7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430A14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8A8D6E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049EE4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F48069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932C4E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BB87BC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F7255E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056E82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0115A4B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65C09C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3F0956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45B67CCF"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613F771D"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Rollins 2023</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AC98700"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04CE152"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206CC3D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7A283D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00A800A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482E000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7C4D67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563FC6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27D5DFB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2F45E7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3D83BF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9824D6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36E1136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3B166B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77BDC18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1478D0EC"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04DEFB87"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Roberts 2023</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96413DA"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F5A79AD"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1CFA8F7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35F2CE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54ACE9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21E38E6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1DAFDA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942C42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516B814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44C5A3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02DB16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13FB392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7CB346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9A61A9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4574ED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0615FA10"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79F3AB66"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Young 2023</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40354B4"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ED53F67"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5EE2D3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D4A0FF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D53674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3ADBB8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AFFEE7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76BABC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8A9269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C3A450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276CCA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5296C5F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7D365D2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9A00CF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C1D2B6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2CC1F814"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1426F8C7"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Guthrie 2023</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622B047"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6BD1604B"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A68088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41C9A8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8612BA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02D53E4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9C2E6A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516C19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50D046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F6E179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D8BDC9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99A536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307FCD9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1FE4AC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388A8D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21820081"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2856E50B"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Panganiban 2022</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89D9F4E"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1F531AD"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67F987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809905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1F2EB1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F30AB0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91D890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D1DA8F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25E77E5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CE5D5F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84F790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BE379E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60C97E9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D0B677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98D019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621359AF"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135A0CC3"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Whitehouse 2021</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0A85BA7"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55D0BBBB"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3BED94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BA1CCF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940C93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25751B2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189E7F0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37C18A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ACB2BE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F5FA68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383E3E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5CA04F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722DEDA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702B25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D7FFCD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0B956473"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1B647468"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Rollins 2021</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7D2677C"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DD8F89B"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7C6363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A19AE2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63AB21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4CDC38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4D25F2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599C1A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76A6CCA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8060A3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AC2E13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1477B0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E46EF1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250214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718558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25F17250"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7D3B4BCB"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Rogers 2021</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6D7978A"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7DD7F71"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076F0AF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A0545D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754BF8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943FB3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008C1F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B063D4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4968D19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53E363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EB204E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E735C4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AA8C0E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6FD29F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93FF6F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0F6CB6C6"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3ABB3D28"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Klein 2021</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C25F60F"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75D5EB7"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4074DF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7472BD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0699D9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4ED066F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C0A6D1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707EC0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75F6151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C930F2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0BA480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56A192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025484A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F71C21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A2F30B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6227AB60"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58AC78AF"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Fidler 2021</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B9EB899"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31CBC6B"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07531D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B06885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4A9F72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77C7DB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DF0E0B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CEA1F5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CC0B89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876B2A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CB182A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0EEC29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12AB3CD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E491FC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6654E6D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1A9745E6"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26E67EB5"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Wainer 2021</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397B0C1"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1D64D580"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05F4CD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314B16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BE74EB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23C4354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93B9F8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3F630E1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5620C70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280FBC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94750F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FF9E77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132F62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B1B5D6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3DC6EE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491D1BDF"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386141F3"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Barrett 2020</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62BE65D"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D314484"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61E67C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77FFF6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4750E0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9A7B13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146EEF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94B2F7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4697E2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E18F99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F2C709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6E772E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382F9D9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5BCD6D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88A9FB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2F09B2FD"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7CC31A4B"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Hielkema 2020</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3D498BE"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DF4A7A2"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DCFE04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ADC936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4B0FE7C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C3BA5D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7552BA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7979632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40DD270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F2E43C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2CEB112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0FD88D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2977762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6FB712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731DD7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3525EE06"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22245374"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Feuerstein 2020</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6A23DD0"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792A48FF"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663F692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9B2DE0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DFBB37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4C20B3A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D99A65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A8F8E8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605AD37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76F459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2CD5EA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BB56B1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39D90D5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6E1BC3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CFE5C4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7BEDF669"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0B292FCE"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Engelstad 2020</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61B9A39"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BF852E0"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09030D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6AF982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96CF26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39C11E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7568163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528745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C0461A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7F23566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9B593B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5F1A50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725508E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343A6C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15626CA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1FC470B1"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73131480"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Wilcox 2019</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E06642B"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163D8E3B"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286214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EB7BBA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9A77A4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590A792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1D720C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510D73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21E4FC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FE73F2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56E043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08A5B94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8C0E0A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A786CE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8F6666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2C6CFB8D"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4E23EAFA"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Vivanti 2019</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2FA46E5"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67EA35E"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34E47B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D22B11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6EFB4B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4F58F2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B81928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4DE0F5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5FF6A7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2A3A28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AA0073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840A1F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7292764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7D0F4D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64E7F0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77E5B835"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6BFB244A"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Rogers 2019</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CAC2372"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12D889EF"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18304E2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1033B83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B2FD63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53A2F4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434D08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79315A3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755E8AC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6FFDBB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609D2EC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918A20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110D75B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C69884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79EF33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184E0544"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42D8B5AD"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Rogers 2019</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EBE8165"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D76C779"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0CF474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AED110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3B23A6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776DEE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6511B6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30952B1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5A1ED3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015254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1642E7C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FC2D43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10537BA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DBA6D7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406148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0DF6B44D"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042CB81B"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Sgandurra 2019</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29F9257"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EBDE5B9"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622ED6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14FA8AB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6AA889C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5EBBC9A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533E46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2CD5FD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BE2859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C2B941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EDD5D5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D53DAB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44FA196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9ACB75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2017BC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193E9671"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4C6F9F21"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Buzhardt 2018</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1388575"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2064DCDB"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879811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8595C4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735768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4911842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0083F0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766245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448C032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A62C7B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A938BD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1967CBD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E0299D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4D4BE8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09EDAD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1AAC07AC"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111E3E34"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Schertz 2018</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044F980"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1248E94"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27E668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630540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714C06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225EEE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44A282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5BF3F22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89EB29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B36299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27E569E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71DA98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37FD604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E62910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661A2B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01CE45AA"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54AF0602"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Morgan 2018</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986613A"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134CDA7F"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666E73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4C21CB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5D3DD7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7BE2E66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AAEF48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34E7044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D9CFF7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B00B3D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54FF5F5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3F9ADE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7C9239B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0BCC21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46E2D5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5DAFDEAF"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6153432D"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Sgandurra 2017</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2450CEF"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E0E19C5"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DFF787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CBCC47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0CA10A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22ECAC9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CA59D8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899363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8C26EB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61F4BC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9AB32E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7CD0D3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008067B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916EF6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FEB372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29457CFC"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3EFEC1A8"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Harrop 2017</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E581AF4"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50EE313"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72A20F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63FDED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4B5433D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7855D49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FC966A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C738DD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3815A9B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21D33F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5604E9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AB312D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42E6160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FE8ABB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C0F7D4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18968B35"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69D89CF2"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Pickles 2016</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609E21B"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3433F8C1"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8DAE0E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FF1C64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4950173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2096694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5517E4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266D13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D763B1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BC6066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6F13CF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FBDBB5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2CC97F2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91FE6F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7ED605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1417EF9B"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6267254D"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Kasari 2015</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A0EEBE4"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97C5968"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27E9A8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DFA621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6992DA2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41C838C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936002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7AFDEC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10294F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B19C0A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6011A0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350DB2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5FF3779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A40170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7C0375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23901A00"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754FCF78"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Byford 2015</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1D71759"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3A76244"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7716F4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5C6761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9AE44C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7D904A2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37969D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3DD8B3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5325C0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58004D7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EA94D9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0124E8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395B857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71CA3DE"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0C7298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55A5D519"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6A422746"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Solomon 2014</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6E987E4"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80EF90A"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174CBD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8BD2E2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CA084B6"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050FE06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4D20C8A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DBE847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10EC7BE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B595ED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E988B31"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D20A0E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37C9B06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F81749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463043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785D1D24"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55ED0A7B"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Wetherby 2014</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1B7E7D4"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7456D03"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D73BA0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BB44FE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3F6A832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74359D9B"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7EC3B4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CAA989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47ABA5A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EFDD8B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B70E74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0564C0F2"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D2F1EF"/>
            <w:vAlign w:val="bottom"/>
          </w:tcPr>
          <w:p w14:paraId="054AC1F5"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FFF96C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2B47B0F9"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r>
      <w:tr w:rsidR="00B51FB9" w:rsidRPr="00A740F1" w14:paraId="35599925" w14:textId="77777777" w:rsidTr="00B51FB9">
        <w:trPr>
          <w:trHeight w:val="300"/>
        </w:trPr>
        <w:tc>
          <w:tcPr>
            <w:tcW w:w="1699" w:type="dxa"/>
            <w:tcBorders>
              <w:top w:val="single" w:sz="8" w:space="0" w:color="000000"/>
              <w:left w:val="single" w:sz="8" w:space="0" w:color="000000"/>
              <w:bottom w:val="single" w:sz="8" w:space="0" w:color="000000"/>
              <w:right w:val="single" w:sz="8" w:space="0" w:color="000000"/>
            </w:tcBorders>
            <w:vAlign w:val="bottom"/>
          </w:tcPr>
          <w:p w14:paraId="2733E25E" w14:textId="77777777" w:rsidR="00B51FB9" w:rsidRPr="00B51FB9" w:rsidRDefault="00B51FB9">
            <w:pPr>
              <w:spacing w:after="0" w:line="276" w:lineRule="auto"/>
              <w:rPr>
                <w:rFonts w:eastAsia="Calibri" w:cs="Arial"/>
                <w:bCs/>
                <w:color w:val="000000"/>
                <w:sz w:val="20"/>
                <w:szCs w:val="20"/>
                <w:lang w:val="en-US"/>
              </w:rPr>
            </w:pPr>
            <w:r w:rsidRPr="00B51FB9">
              <w:rPr>
                <w:rFonts w:eastAsia="Calibri" w:cs="Arial"/>
                <w:bCs/>
                <w:color w:val="000000"/>
                <w:sz w:val="20"/>
                <w:szCs w:val="20"/>
                <w:lang w:val="en-US"/>
              </w:rPr>
              <w:t>Estes 2014</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0C800665"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268206CB" w14:textId="77777777" w:rsidR="00B51FB9" w:rsidRPr="00B51FB9" w:rsidRDefault="00B51FB9">
            <w:pPr>
              <w:spacing w:after="0" w:line="276" w:lineRule="auto"/>
              <w:rPr>
                <w:rFonts w:eastAsia="Segoe UI" w:cs="Arial"/>
                <w:b/>
                <w:color w:val="082A75"/>
                <w:sz w:val="20"/>
                <w:szCs w:val="20"/>
                <w:lang w:val="en-US"/>
              </w:rPr>
            </w:pPr>
            <w:r w:rsidRPr="00B51FB9">
              <w:rPr>
                <w:rFonts w:eastAsia="Segoe UI"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654B52C4"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15B30BD0"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0D8DF8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6B0474B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24FE8A8A"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5415A5ED"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5D8B4E1C"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4440804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000"/>
            <w:vAlign w:val="bottom"/>
          </w:tcPr>
          <w:p w14:paraId="79862A83"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C7CE"/>
            <w:vAlign w:val="bottom"/>
          </w:tcPr>
          <w:p w14:paraId="2B19D40F"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FF0000"/>
            <w:vAlign w:val="bottom"/>
          </w:tcPr>
          <w:p w14:paraId="18E90FA7"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400A4918" w14:textId="77777777" w:rsidR="00B51FB9" w:rsidRPr="00B51FB9" w:rsidRDefault="00B51FB9">
            <w:pPr>
              <w:spacing w:after="0" w:line="276" w:lineRule="auto"/>
              <w:rPr>
                <w:rFonts w:eastAsia="Times New Roman" w:cs="Arial"/>
                <w:b/>
                <w:color w:val="082A75"/>
                <w:sz w:val="20"/>
                <w:szCs w:val="20"/>
                <w:lang w:val="en-US"/>
              </w:rPr>
            </w:pPr>
            <w:r w:rsidRPr="00B51FB9">
              <w:rPr>
                <w:rFonts w:eastAsia="Times New Roman" w:cs="Arial"/>
                <w:b/>
                <w:color w:val="082A75"/>
                <w:sz w:val="20"/>
                <w:szCs w:val="20"/>
                <w:lang w:val="en-US"/>
              </w:rP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65A2E5DF" w14:textId="77777777" w:rsidR="00B51FB9" w:rsidRPr="00B51FB9" w:rsidRDefault="00B51FB9">
            <w:pPr>
              <w:spacing w:after="0" w:line="276" w:lineRule="auto"/>
              <w:rPr>
                <w:rFonts w:eastAsia="Times New Roman" w:cs="Arial"/>
                <w:b/>
                <w:color w:val="082A75"/>
                <w:sz w:val="20"/>
                <w:szCs w:val="20"/>
                <w:lang w:val="en-US"/>
              </w:rPr>
            </w:pPr>
          </w:p>
        </w:tc>
      </w:tr>
    </w:tbl>
    <w:p w14:paraId="79BB6894"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Notes: RoB = risk of bias; CLEAR-NPT = Checklist to Evaluate a Report of a Nonpharmacological Trial and item numbers relate to the quality assessment metric items as below:</w:t>
      </w:r>
    </w:p>
    <w:p w14:paraId="25A7E45D"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1. Was the generation of allocation sequences adequate? </w:t>
      </w:r>
    </w:p>
    <w:p w14:paraId="34F07B28"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2. Was the treatment allocation concealed? </w:t>
      </w:r>
    </w:p>
    <w:p w14:paraId="08B1904A"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3.  Were details of the intervention administered to each group made available? </w:t>
      </w:r>
    </w:p>
    <w:p w14:paraId="1EF929CC"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4. Were care providers' experience or skill in each arm appropriate? </w:t>
      </w:r>
    </w:p>
    <w:p w14:paraId="57C53274"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5. Was participant adherence assessed quantitatively? </w:t>
      </w:r>
    </w:p>
    <w:p w14:paraId="432D6096"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6. Were participants adequately blinded? </w:t>
      </w:r>
    </w:p>
    <w:p w14:paraId="3EDF292B" w14:textId="77777777" w:rsidR="009E4BED" w:rsidRPr="006478C1" w:rsidRDefault="009E4BED" w:rsidP="009E4BED">
      <w:pPr>
        <w:ind w:left="720"/>
        <w:rPr>
          <w:rFonts w:cs="Arial"/>
          <w:color w:val="000000" w:themeColor="text1"/>
          <w:sz w:val="20"/>
          <w:szCs w:val="20"/>
          <w:lang w:val="en-US"/>
        </w:rPr>
      </w:pPr>
      <w:r w:rsidRPr="006478C1">
        <w:rPr>
          <w:rFonts w:cs="Arial"/>
          <w:color w:val="000000" w:themeColor="text1"/>
          <w:sz w:val="20"/>
          <w:szCs w:val="20"/>
          <w:lang w:val="en-US"/>
        </w:rPr>
        <w:t xml:space="preserve">6.1.1 If participants not blinded, were all other treatments and care (i.e., cointerventions) the same in each randomized group? </w:t>
      </w:r>
    </w:p>
    <w:p w14:paraId="123B25D3" w14:textId="77777777" w:rsidR="009E4BED" w:rsidRPr="006478C1" w:rsidRDefault="009E4BED" w:rsidP="009E4BED">
      <w:pPr>
        <w:ind w:left="720"/>
        <w:rPr>
          <w:rFonts w:cs="Arial"/>
          <w:color w:val="000000" w:themeColor="text1"/>
          <w:sz w:val="20"/>
          <w:szCs w:val="20"/>
          <w:lang w:val="en-US"/>
        </w:rPr>
      </w:pPr>
      <w:r w:rsidRPr="006478C1">
        <w:rPr>
          <w:rFonts w:cs="Arial"/>
          <w:color w:val="000000" w:themeColor="text1"/>
          <w:sz w:val="20"/>
          <w:szCs w:val="20"/>
          <w:lang w:val="en-US"/>
        </w:rPr>
        <w:t xml:space="preserve">6.1.2 If participants were not blinded, were withdrawals and lost to follow-up the same in each randomized group? </w:t>
      </w:r>
    </w:p>
    <w:p w14:paraId="0226C2E8"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7. Were care providers or persons caring for the participants adequately blinded? </w:t>
      </w:r>
    </w:p>
    <w:p w14:paraId="240FFB0D" w14:textId="77777777" w:rsidR="009E4BED" w:rsidRPr="006478C1" w:rsidRDefault="009E4BED" w:rsidP="009E4BED">
      <w:pPr>
        <w:ind w:left="720"/>
        <w:rPr>
          <w:rFonts w:cs="Arial"/>
          <w:color w:val="000000" w:themeColor="text1"/>
          <w:sz w:val="20"/>
          <w:szCs w:val="20"/>
          <w:lang w:val="en-US"/>
        </w:rPr>
      </w:pPr>
      <w:r w:rsidRPr="006478C1">
        <w:rPr>
          <w:rFonts w:cs="Arial"/>
          <w:color w:val="000000" w:themeColor="text1"/>
          <w:sz w:val="20"/>
          <w:szCs w:val="20"/>
          <w:lang w:val="en-US"/>
        </w:rPr>
        <w:t xml:space="preserve">7.1.1. If providers not blinded, were all other treatments and care (i.e., cointerventions) the same in each randomized group? </w:t>
      </w:r>
    </w:p>
    <w:p w14:paraId="141EE11E" w14:textId="77777777" w:rsidR="009E4BED" w:rsidRPr="006478C1" w:rsidRDefault="009E4BED" w:rsidP="009E4BED">
      <w:pPr>
        <w:ind w:left="720"/>
        <w:rPr>
          <w:rFonts w:cs="Arial"/>
          <w:color w:val="000000" w:themeColor="text1"/>
          <w:sz w:val="20"/>
          <w:szCs w:val="20"/>
          <w:lang w:val="en-US"/>
        </w:rPr>
      </w:pPr>
      <w:r w:rsidRPr="006478C1">
        <w:rPr>
          <w:rFonts w:cs="Arial"/>
          <w:color w:val="000000" w:themeColor="text1"/>
          <w:sz w:val="20"/>
          <w:szCs w:val="20"/>
          <w:lang w:val="en-US"/>
        </w:rPr>
        <w:t>7.1.2. If providers were not blinded, were withdrawals and lost to follow-up the same in each randomized group?</w:t>
      </w:r>
    </w:p>
    <w:p w14:paraId="7FAEF9A3"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8. Were outcome assessors adequately blinded to assess the primary outcomes? </w:t>
      </w:r>
    </w:p>
    <w:p w14:paraId="76ABD5D4" w14:textId="77777777" w:rsidR="009E4BED" w:rsidRPr="006478C1" w:rsidRDefault="009E4BED" w:rsidP="009E4BED">
      <w:pPr>
        <w:ind w:left="720"/>
        <w:rPr>
          <w:rFonts w:cs="Arial"/>
          <w:color w:val="000000" w:themeColor="text1"/>
          <w:sz w:val="20"/>
          <w:szCs w:val="20"/>
          <w:lang w:val="en-US"/>
        </w:rPr>
      </w:pPr>
      <w:r w:rsidRPr="006478C1">
        <w:rPr>
          <w:rFonts w:cs="Arial"/>
          <w:color w:val="000000" w:themeColor="text1"/>
          <w:sz w:val="20"/>
          <w:szCs w:val="20"/>
          <w:lang w:val="en-US"/>
        </w:rPr>
        <w:t xml:space="preserve">8.1. If outcome assessors were not blinded, were specific methods used to avoid ascertainment bias (systematic differences in outcome assessment)? </w:t>
      </w:r>
    </w:p>
    <w:p w14:paraId="39370A58"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9. Was the follow-up schedule the same in each group? </w:t>
      </w:r>
    </w:p>
    <w:p w14:paraId="0F94B434"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 xml:space="preserve">10. Were the main outcomes analyzed according to the intention-to-treat principle? </w:t>
      </w:r>
    </w:p>
    <w:p w14:paraId="56D1E763" w14:textId="77777777" w:rsidR="009E4BED" w:rsidRPr="006478C1" w:rsidRDefault="009E4BED" w:rsidP="009E4BED">
      <w:pPr>
        <w:rPr>
          <w:rFonts w:cs="Arial"/>
          <w:color w:val="000000" w:themeColor="text1"/>
          <w:sz w:val="20"/>
          <w:szCs w:val="20"/>
          <w:lang w:val="en-US"/>
        </w:rPr>
      </w:pPr>
      <w:r w:rsidRPr="006478C1">
        <w:rPr>
          <w:rFonts w:cs="Arial"/>
          <w:color w:val="000000" w:themeColor="text1"/>
          <w:sz w:val="20"/>
          <w:szCs w:val="20"/>
          <w:lang w:val="en-US"/>
        </w:rPr>
        <w:t>Colour code: Red = ‘No’ or ‘No, although item is feasible’; Pink = ‘No, not feasible’; Orange = ‘Unclear’; Green = ‘Yes’; and Pale blue = ‘Not Applicable’.</w:t>
      </w:r>
    </w:p>
    <w:p w14:paraId="4DA69928" w14:textId="77777777" w:rsidR="009E4BED" w:rsidRPr="009E4BED" w:rsidRDefault="009E4BED" w:rsidP="009E4BED">
      <w:pPr>
        <w:rPr>
          <w:rFonts w:cs="Arial"/>
          <w:color w:val="000000" w:themeColor="text1"/>
          <w:lang w:val="en-US"/>
        </w:rPr>
      </w:pPr>
    </w:p>
    <w:p w14:paraId="0709E849" w14:textId="77777777" w:rsidR="009E4BED" w:rsidRDefault="009E4BED" w:rsidP="009E4BED">
      <w:pPr>
        <w:rPr>
          <w:rFonts w:cs="Arial"/>
          <w:color w:val="000000" w:themeColor="text1"/>
          <w:lang w:val="en-US"/>
        </w:rPr>
        <w:sectPr w:rsidR="009E4BED" w:rsidSect="00B51FB9">
          <w:pgSz w:w="11906" w:h="16838"/>
          <w:pgMar w:top="1440" w:right="1134" w:bottom="1440" w:left="1134" w:header="709" w:footer="709" w:gutter="0"/>
          <w:cols w:space="708"/>
          <w:titlePg/>
          <w:docGrid w:linePitch="360"/>
        </w:sectPr>
      </w:pPr>
    </w:p>
    <w:p w14:paraId="0B4E655B" w14:textId="77777777" w:rsidR="009E4BED" w:rsidRPr="009E4BED" w:rsidRDefault="009E4BED" w:rsidP="009E4BED">
      <w:pPr>
        <w:rPr>
          <w:rFonts w:cs="Arial"/>
          <w:color w:val="000000" w:themeColor="text1"/>
          <w:lang w:val="en-US"/>
        </w:rPr>
      </w:pPr>
      <w:r w:rsidRPr="009E4BED">
        <w:rPr>
          <w:rFonts w:cs="Arial"/>
          <w:color w:val="000000" w:themeColor="text1"/>
          <w:lang w:val="en-US"/>
        </w:rPr>
        <w:t xml:space="preserve">Overall, the quality of the included RCTs is moderate to high. It is common in non-pharmacological interventions that blinding of assessors (item 6) and interventionists (item 7) is not possible, and approximately 50% of the RCTs took appropriate steps to account for these risks (items 6.1.1, 6.1.2, 7.1.1, 7.1.2). Common risks that could be managed better include the lack of concealment of randomisation (item 2), provision of adequate description of all interventions delivered (item 3), participant adherence to the interventions delivered (item 5) and intention to treat analysis (item 10).  </w:t>
      </w:r>
    </w:p>
    <w:p w14:paraId="59931505" w14:textId="77777777" w:rsidR="009E4BED" w:rsidRPr="00D37C27" w:rsidRDefault="009E4BED" w:rsidP="009E4BED">
      <w:pPr>
        <w:rPr>
          <w:rFonts w:cs="Arial"/>
          <w:b/>
          <w:bCs/>
          <w:color w:val="000000" w:themeColor="text1"/>
          <w:lang w:val="en-US"/>
        </w:rPr>
      </w:pPr>
      <w:r w:rsidRPr="00D37C27">
        <w:rPr>
          <w:rFonts w:cs="Arial"/>
          <w:b/>
          <w:bCs/>
          <w:color w:val="000000" w:themeColor="text1"/>
          <w:lang w:val="en-US"/>
        </w:rPr>
        <w:t xml:space="preserve">Meta analysis  </w:t>
      </w:r>
    </w:p>
    <w:p w14:paraId="0C8F10C3" w14:textId="67182A9B" w:rsidR="009E4BED" w:rsidRPr="009E4BED" w:rsidRDefault="009E4BED" w:rsidP="009E4BED">
      <w:pPr>
        <w:rPr>
          <w:rFonts w:cs="Arial"/>
          <w:color w:val="000000" w:themeColor="text1"/>
          <w:lang w:val="en-US"/>
        </w:rPr>
      </w:pPr>
      <w:r w:rsidRPr="009E4BED">
        <w:rPr>
          <w:rFonts w:cs="Arial"/>
          <w:color w:val="000000" w:themeColor="text1"/>
          <w:lang w:val="en-US"/>
        </w:rPr>
        <w:t xml:space="preserve">Based on the criteria for including meta-analyses, none were conducted. Key rationale for not undertaking a meta-analysis included that, with the exception of ESDM, fewer than four studies of the same intervention were available that also collected data on the same outcomes (SCERTS n=3; Pathways n = 2; JASPER n = 2, remainder &lt;2). For ESDM, an existing systematic review with meta-analysis was available (Wang et al., 2021), that did not meet overall inclusion criteria as more than 50% (6/11) of included studies were out of jurisdiction, providing data from China. Wang et al. included meta-analysis for child-related outcomes of for autism symptoms, cognition, social communication, and language development. Pooled effects from meta-analyses showed small positive effects on autism symptoms, cognition and language, with no evidence of a pooled effect on social communication. On each outcome, there was a strong moderating effect of county (Asian vs Western) with evidence of larger effects in studies from Asian than Western countries, with outcomes in Western countries showing very small effect sizes. </w:t>
      </w:r>
    </w:p>
    <w:p w14:paraId="6782CDD9" w14:textId="77777777" w:rsidR="009E4BED" w:rsidRPr="00D37C27" w:rsidRDefault="009E4BED" w:rsidP="009E4BED">
      <w:pPr>
        <w:rPr>
          <w:rFonts w:cs="Arial"/>
          <w:b/>
          <w:bCs/>
          <w:color w:val="000000" w:themeColor="text1"/>
          <w:lang w:val="en-US"/>
        </w:rPr>
      </w:pPr>
      <w:r w:rsidRPr="00D37C27">
        <w:rPr>
          <w:rFonts w:cs="Arial"/>
          <w:b/>
          <w:bCs/>
          <w:color w:val="000000" w:themeColor="text1"/>
          <w:lang w:val="en-US"/>
        </w:rPr>
        <w:t>Instruments used to measure outcomes in trials</w:t>
      </w:r>
    </w:p>
    <w:p w14:paraId="024DFFE4" w14:textId="7A4A14B9" w:rsidR="009E4BED" w:rsidRPr="009E4BED" w:rsidRDefault="009E4BED" w:rsidP="009E4BED">
      <w:pPr>
        <w:rPr>
          <w:rFonts w:cs="Arial"/>
          <w:color w:val="000000" w:themeColor="text1"/>
          <w:lang w:val="en-US"/>
        </w:rPr>
      </w:pPr>
      <w:r w:rsidRPr="009E4BED">
        <w:rPr>
          <w:rFonts w:cs="Arial"/>
          <w:color w:val="000000" w:themeColor="text1"/>
          <w:lang w:val="en-US"/>
        </w:rPr>
        <w:t xml:space="preserve">The following tables provide a list of instruments used to measure outcomes in the included RCTs. Measurement approaches that were identified as study-specific, or video-coded behaviours are not listed. For children, instruments are mapped according to their primary focus according to whether they were diagnostic, assessing body functions, activity, participation level outcomes or a measure of quality of life. This mapping was done at a broad conceptual level, using the International Classification of Functioning Disability and Health (ICF) (WHO 2001) framework, and it is possible that some measures tap across more than one domain of the ICF. </w:t>
      </w:r>
    </w:p>
    <w:p w14:paraId="2E607B57" w14:textId="055E80A2" w:rsidR="00B51FB9" w:rsidRDefault="009E4BED" w:rsidP="009E4BED">
      <w:pPr>
        <w:rPr>
          <w:rFonts w:cs="Arial"/>
          <w:color w:val="000000" w:themeColor="text1"/>
          <w:lang w:val="en-US"/>
        </w:rPr>
      </w:pPr>
      <w:r w:rsidRPr="009E4BED">
        <w:rPr>
          <w:rFonts w:cs="Arial"/>
          <w:color w:val="000000" w:themeColor="text1"/>
          <w:lang w:val="en-US"/>
        </w:rPr>
        <w:t xml:space="preserve">Instruments for parents/caregivers are mapped according to whether they measure outcomes for the individual parent/caregiver or are family level measures. We had intended to map measures of the context/environment to the Environmental Chapters of the ICF to organise outcomes related to services, systems or policies, however, no RCTs included a measure of the environment.  </w:t>
      </w:r>
    </w:p>
    <w:p w14:paraId="6F69C64C" w14:textId="77777777" w:rsidR="00D37C27" w:rsidRDefault="00D37C27" w:rsidP="009E4BED">
      <w:pPr>
        <w:rPr>
          <w:rFonts w:cs="Arial"/>
          <w:color w:val="000000" w:themeColor="text1"/>
          <w:lang w:val="en-US"/>
        </w:rPr>
      </w:pPr>
    </w:p>
    <w:p w14:paraId="5A062BFD" w14:textId="77777777" w:rsidR="00D37C27" w:rsidRDefault="00D37C27" w:rsidP="009E4BED">
      <w:pPr>
        <w:rPr>
          <w:rFonts w:cs="Arial"/>
          <w:color w:val="000000" w:themeColor="text1"/>
          <w:lang w:val="en-US"/>
        </w:rPr>
      </w:pPr>
    </w:p>
    <w:p w14:paraId="57488FBD" w14:textId="77777777" w:rsidR="00D37C27" w:rsidRDefault="00D37C27" w:rsidP="009E4BED">
      <w:pPr>
        <w:rPr>
          <w:rFonts w:cs="Arial"/>
          <w:color w:val="000000" w:themeColor="text1"/>
          <w:lang w:val="en-US"/>
        </w:rPr>
      </w:pPr>
    </w:p>
    <w:p w14:paraId="638F3BFC" w14:textId="77777777" w:rsidR="00D37C27" w:rsidRDefault="00D37C27" w:rsidP="009E4BED">
      <w:pPr>
        <w:rPr>
          <w:rFonts w:cs="Arial"/>
          <w:color w:val="000000" w:themeColor="text1"/>
          <w:lang w:val="en-US"/>
        </w:rPr>
      </w:pPr>
    </w:p>
    <w:p w14:paraId="7157C689" w14:textId="77777777" w:rsidR="00D37C27" w:rsidRDefault="00D37C27" w:rsidP="009E4BED">
      <w:pPr>
        <w:rPr>
          <w:rFonts w:cs="Arial"/>
          <w:color w:val="000000" w:themeColor="text1"/>
          <w:lang w:val="en-US"/>
        </w:rPr>
      </w:pPr>
    </w:p>
    <w:p w14:paraId="74774F27" w14:textId="77777777" w:rsidR="00D37C27" w:rsidRDefault="00D37C27" w:rsidP="009E4BED">
      <w:pPr>
        <w:rPr>
          <w:rFonts w:cs="Arial"/>
          <w:color w:val="000000" w:themeColor="text1"/>
          <w:lang w:val="en-US"/>
        </w:rPr>
      </w:pPr>
    </w:p>
    <w:p w14:paraId="34E3EE9B" w14:textId="049510A0" w:rsidR="00D37C27" w:rsidRPr="004F3F37" w:rsidRDefault="004F3F37" w:rsidP="004F3F37">
      <w:pPr>
        <w:pStyle w:val="Caption"/>
        <w:keepNext/>
      </w:pPr>
      <w:bookmarkStart w:id="114" w:name="_Toc177725014"/>
      <w:bookmarkStart w:id="115" w:name="_Toc177727334"/>
      <w:r w:rsidRPr="00C36F4E">
        <w:rPr>
          <w:b/>
          <w:bCs/>
        </w:rPr>
        <w:t xml:space="preserve">Table </w:t>
      </w:r>
      <w:r w:rsidR="00627239" w:rsidRPr="00C36F4E">
        <w:rPr>
          <w:b/>
          <w:bCs/>
        </w:rPr>
        <w:fldChar w:fldCharType="begin"/>
      </w:r>
      <w:r w:rsidR="00627239" w:rsidRPr="00C36F4E">
        <w:rPr>
          <w:b/>
          <w:bCs/>
        </w:rPr>
        <w:instrText xml:space="preserve"> SEQ Table \* ARABIC </w:instrText>
      </w:r>
      <w:r w:rsidR="00627239" w:rsidRPr="00C36F4E">
        <w:rPr>
          <w:b/>
          <w:bCs/>
        </w:rPr>
        <w:fldChar w:fldCharType="separate"/>
      </w:r>
      <w:r w:rsidR="00303407">
        <w:rPr>
          <w:b/>
          <w:bCs/>
          <w:noProof/>
        </w:rPr>
        <w:t>16</w:t>
      </w:r>
      <w:r w:rsidR="00627239" w:rsidRPr="00C36F4E">
        <w:rPr>
          <w:b/>
          <w:bCs/>
          <w:noProof/>
        </w:rPr>
        <w:fldChar w:fldCharType="end"/>
      </w:r>
      <w:r w:rsidRPr="00C36F4E">
        <w:rPr>
          <w:b/>
          <w:bCs/>
        </w:rPr>
        <w:t>.</w:t>
      </w:r>
      <w:r w:rsidRPr="00234D11">
        <w:t xml:space="preserve">  Instruments used to measure outcomes for children</w:t>
      </w:r>
      <w:bookmarkEnd w:id="114"/>
      <w:bookmarkEnd w:id="115"/>
    </w:p>
    <w:tbl>
      <w:tblPr>
        <w:tblStyle w:val="UniofMelTable39"/>
        <w:tblW w:w="5206" w:type="pct"/>
        <w:tblLayout w:type="fixed"/>
        <w:tblLook w:val="04A0" w:firstRow="1" w:lastRow="0" w:firstColumn="1" w:lastColumn="0" w:noHBand="0" w:noVBand="1"/>
      </w:tblPr>
      <w:tblGrid>
        <w:gridCol w:w="4854"/>
        <w:gridCol w:w="1008"/>
        <w:gridCol w:w="1136"/>
        <w:gridCol w:w="1136"/>
        <w:gridCol w:w="1264"/>
      </w:tblGrid>
      <w:tr w:rsidR="00C40344" w:rsidRPr="0001351D" w14:paraId="2A621D77" w14:textId="77777777" w:rsidTr="00E13EB9">
        <w:trPr>
          <w:cnfStyle w:val="100000000000" w:firstRow="1" w:lastRow="0" w:firstColumn="0" w:lastColumn="0" w:oddVBand="0" w:evenVBand="0" w:oddHBand="0" w:evenHBand="0" w:firstRowFirstColumn="0" w:firstRowLastColumn="0" w:lastRowFirstColumn="0" w:lastRowLastColumn="0"/>
          <w:trHeight w:val="338"/>
        </w:trPr>
        <w:tc>
          <w:tcPr>
            <w:tcW w:w="4854" w:type="dxa"/>
            <w:shd w:val="clear" w:color="auto" w:fill="082A75"/>
          </w:tcPr>
          <w:p w14:paraId="394D503B" w14:textId="77777777" w:rsidR="00C40344" w:rsidRPr="00C40344" w:rsidRDefault="00C40344">
            <w:pPr>
              <w:suppressAutoHyphens/>
              <w:spacing w:before="40" w:after="40" w:line="200" w:lineRule="atLeast"/>
              <w:rPr>
                <w:rFonts w:eastAsia="Times New Roman" w:cs="Arial"/>
                <w:b/>
                <w:color w:val="082A75"/>
              </w:rPr>
            </w:pPr>
            <w:r w:rsidRPr="00C40344">
              <w:rPr>
                <w:rFonts w:eastAsia="Times New Roman" w:cs="Arial"/>
                <w:b/>
              </w:rPr>
              <w:t xml:space="preserve">Name of tool </w:t>
            </w:r>
          </w:p>
        </w:tc>
        <w:tc>
          <w:tcPr>
            <w:tcW w:w="1008" w:type="dxa"/>
            <w:shd w:val="clear" w:color="auto" w:fill="082A75"/>
          </w:tcPr>
          <w:p w14:paraId="660BB1C3" w14:textId="77777777" w:rsidR="00C40344" w:rsidRPr="00C40344" w:rsidRDefault="00C40344">
            <w:pPr>
              <w:suppressAutoHyphens/>
              <w:spacing w:before="40" w:after="40" w:line="200" w:lineRule="atLeast"/>
              <w:rPr>
                <w:rFonts w:eastAsia="Times New Roman" w:cs="Arial"/>
                <w:b/>
              </w:rPr>
            </w:pPr>
            <w:r w:rsidRPr="00C40344">
              <w:rPr>
                <w:rFonts w:eastAsia="Times New Roman" w:cs="Arial"/>
                <w:b/>
              </w:rPr>
              <w:t>Diagnostic</w:t>
            </w:r>
          </w:p>
        </w:tc>
        <w:tc>
          <w:tcPr>
            <w:tcW w:w="1136" w:type="dxa"/>
            <w:shd w:val="clear" w:color="auto" w:fill="082A75"/>
          </w:tcPr>
          <w:p w14:paraId="69AF66DF" w14:textId="77777777" w:rsidR="00C40344" w:rsidRPr="00C40344" w:rsidRDefault="00C40344">
            <w:pPr>
              <w:suppressAutoHyphens/>
              <w:spacing w:before="40" w:after="40" w:line="200" w:lineRule="atLeast"/>
              <w:rPr>
                <w:rFonts w:eastAsia="Times New Roman" w:cs="Arial"/>
                <w:b/>
              </w:rPr>
            </w:pPr>
            <w:r w:rsidRPr="00C40344">
              <w:rPr>
                <w:rFonts w:eastAsia="Times New Roman" w:cs="Arial"/>
                <w:b/>
              </w:rPr>
              <w:t>Body Functions</w:t>
            </w:r>
          </w:p>
        </w:tc>
        <w:tc>
          <w:tcPr>
            <w:tcW w:w="1136" w:type="dxa"/>
            <w:shd w:val="clear" w:color="auto" w:fill="082A75"/>
          </w:tcPr>
          <w:p w14:paraId="090A5B79" w14:textId="77777777" w:rsidR="00C40344" w:rsidRPr="00C40344" w:rsidRDefault="00C40344">
            <w:pPr>
              <w:suppressAutoHyphens/>
              <w:spacing w:before="40" w:after="40" w:line="200" w:lineRule="atLeast"/>
              <w:rPr>
                <w:rFonts w:eastAsia="Times New Roman" w:cs="Arial"/>
                <w:b/>
              </w:rPr>
            </w:pPr>
            <w:r w:rsidRPr="00C40344">
              <w:rPr>
                <w:rFonts w:eastAsia="Times New Roman" w:cs="Arial"/>
                <w:b/>
              </w:rPr>
              <w:t>Activity</w:t>
            </w:r>
          </w:p>
        </w:tc>
        <w:tc>
          <w:tcPr>
            <w:tcW w:w="1264" w:type="dxa"/>
            <w:shd w:val="clear" w:color="auto" w:fill="082A75"/>
          </w:tcPr>
          <w:p w14:paraId="6D63D7FE" w14:textId="77777777" w:rsidR="00C40344" w:rsidRPr="00C40344" w:rsidRDefault="00C40344">
            <w:pPr>
              <w:suppressAutoHyphens/>
              <w:spacing w:before="40" w:after="40" w:line="200" w:lineRule="atLeast"/>
              <w:rPr>
                <w:rFonts w:eastAsia="Times New Roman" w:cs="Arial"/>
                <w:b/>
              </w:rPr>
            </w:pPr>
            <w:r w:rsidRPr="00C40344">
              <w:rPr>
                <w:rFonts w:eastAsia="Times New Roman" w:cs="Arial"/>
                <w:b/>
              </w:rPr>
              <w:t>Participation or QoL</w:t>
            </w:r>
          </w:p>
        </w:tc>
      </w:tr>
      <w:tr w:rsidR="00C40344" w:rsidRPr="0001351D" w14:paraId="78F615BD"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1111312E" w14:textId="77777777" w:rsidR="00C40344" w:rsidRPr="00C40344" w:rsidRDefault="00C40344">
            <w:pPr>
              <w:suppressAutoHyphens/>
              <w:spacing w:before="40" w:after="40" w:line="200" w:lineRule="atLeast"/>
              <w:rPr>
                <w:rFonts w:eastAsia="Times New Roman" w:cs="Arial"/>
              </w:rPr>
            </w:pPr>
            <w:r w:rsidRPr="00C40344">
              <w:rPr>
                <w:rFonts w:cs="Arial"/>
              </w:rPr>
              <w:t>Aberrant Behavior Checklist (ABC)</w:t>
            </w:r>
          </w:p>
        </w:tc>
        <w:tc>
          <w:tcPr>
            <w:tcW w:w="1008" w:type="dxa"/>
          </w:tcPr>
          <w:p w14:paraId="5B98681C" w14:textId="77777777" w:rsidR="00C40344" w:rsidRPr="00C40344" w:rsidRDefault="00C40344">
            <w:pPr>
              <w:suppressAutoHyphens/>
              <w:spacing w:before="40" w:after="40" w:line="200" w:lineRule="atLeast"/>
              <w:rPr>
                <w:rFonts w:eastAsia="Times New Roman" w:cs="Arial"/>
              </w:rPr>
            </w:pPr>
          </w:p>
        </w:tc>
        <w:tc>
          <w:tcPr>
            <w:tcW w:w="1136" w:type="dxa"/>
          </w:tcPr>
          <w:p w14:paraId="00DECF12" w14:textId="77777777" w:rsidR="00C40344" w:rsidRPr="00C40344" w:rsidRDefault="00C40344">
            <w:pPr>
              <w:suppressAutoHyphens/>
              <w:spacing w:before="40" w:after="40" w:line="200" w:lineRule="atLeast"/>
              <w:rPr>
                <w:rFonts w:eastAsia="Times New Roman" w:cs="Arial"/>
              </w:rPr>
            </w:pPr>
          </w:p>
        </w:tc>
        <w:tc>
          <w:tcPr>
            <w:tcW w:w="1136" w:type="dxa"/>
          </w:tcPr>
          <w:p w14:paraId="7EBA914B" w14:textId="77777777" w:rsidR="00C40344" w:rsidRPr="00C40344" w:rsidRDefault="00C40344" w:rsidP="003B0B17">
            <w:pPr>
              <w:numPr>
                <w:ilvl w:val="0"/>
                <w:numId w:val="220"/>
              </w:numPr>
              <w:suppressAutoHyphens/>
              <w:spacing w:before="40" w:after="40" w:line="200" w:lineRule="atLeast"/>
              <w:contextualSpacing/>
              <w:rPr>
                <w:rFonts w:eastAsia="Times New Roman" w:cs="Arial"/>
              </w:rPr>
            </w:pPr>
          </w:p>
        </w:tc>
        <w:tc>
          <w:tcPr>
            <w:tcW w:w="1264" w:type="dxa"/>
          </w:tcPr>
          <w:p w14:paraId="5664ED72" w14:textId="77777777" w:rsidR="00C40344" w:rsidRPr="00C40344" w:rsidRDefault="00C40344">
            <w:pPr>
              <w:suppressAutoHyphens/>
              <w:spacing w:before="40" w:after="40" w:line="200" w:lineRule="atLeast"/>
              <w:rPr>
                <w:rFonts w:eastAsia="Times New Roman" w:cs="Arial"/>
              </w:rPr>
            </w:pPr>
          </w:p>
        </w:tc>
      </w:tr>
      <w:tr w:rsidR="00C40344" w:rsidRPr="0001351D" w14:paraId="02EAC266"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13ACE002" w14:textId="77777777" w:rsidR="00C40344" w:rsidRPr="00C40344" w:rsidRDefault="00C40344">
            <w:pPr>
              <w:suppressAutoHyphens/>
              <w:spacing w:before="40" w:after="40" w:line="200" w:lineRule="atLeast"/>
              <w:rPr>
                <w:rFonts w:eastAsia="Times New Roman" w:cs="Arial"/>
              </w:rPr>
            </w:pPr>
            <w:r w:rsidRPr="00C40344">
              <w:rPr>
                <w:rFonts w:cs="Arial"/>
              </w:rPr>
              <w:t>Actigraph</w:t>
            </w:r>
          </w:p>
        </w:tc>
        <w:tc>
          <w:tcPr>
            <w:tcW w:w="1008" w:type="dxa"/>
          </w:tcPr>
          <w:p w14:paraId="6A1A793A" w14:textId="77777777" w:rsidR="00C40344" w:rsidRPr="00C40344" w:rsidRDefault="00C40344">
            <w:pPr>
              <w:suppressAutoHyphens/>
              <w:spacing w:before="40" w:after="40" w:line="200" w:lineRule="atLeast"/>
              <w:rPr>
                <w:rFonts w:eastAsia="Times New Roman" w:cs="Arial"/>
              </w:rPr>
            </w:pPr>
          </w:p>
        </w:tc>
        <w:tc>
          <w:tcPr>
            <w:tcW w:w="1136" w:type="dxa"/>
          </w:tcPr>
          <w:p w14:paraId="14A9915F" w14:textId="77777777" w:rsidR="00C40344" w:rsidRPr="00C40344" w:rsidRDefault="00C40344" w:rsidP="003B0B17">
            <w:pPr>
              <w:numPr>
                <w:ilvl w:val="0"/>
                <w:numId w:val="219"/>
              </w:numPr>
              <w:suppressAutoHyphens/>
              <w:spacing w:before="40" w:after="40" w:line="200" w:lineRule="atLeast"/>
              <w:contextualSpacing/>
              <w:rPr>
                <w:rFonts w:eastAsia="Times New Roman" w:cs="Arial"/>
              </w:rPr>
            </w:pPr>
          </w:p>
        </w:tc>
        <w:tc>
          <w:tcPr>
            <w:tcW w:w="1136" w:type="dxa"/>
          </w:tcPr>
          <w:p w14:paraId="483AA12F" w14:textId="77777777" w:rsidR="00C40344" w:rsidRPr="00C40344" w:rsidRDefault="00C40344">
            <w:pPr>
              <w:suppressAutoHyphens/>
              <w:spacing w:before="40" w:after="40" w:line="200" w:lineRule="atLeast"/>
              <w:rPr>
                <w:rFonts w:eastAsia="Times New Roman" w:cs="Arial"/>
              </w:rPr>
            </w:pPr>
          </w:p>
        </w:tc>
        <w:tc>
          <w:tcPr>
            <w:tcW w:w="1264" w:type="dxa"/>
          </w:tcPr>
          <w:p w14:paraId="0C466058" w14:textId="77777777" w:rsidR="00C40344" w:rsidRPr="00C40344" w:rsidRDefault="00C40344">
            <w:pPr>
              <w:suppressAutoHyphens/>
              <w:spacing w:before="40" w:after="40" w:line="200" w:lineRule="atLeast"/>
              <w:rPr>
                <w:rFonts w:eastAsia="Times New Roman" w:cs="Arial"/>
              </w:rPr>
            </w:pPr>
          </w:p>
        </w:tc>
      </w:tr>
      <w:tr w:rsidR="00C40344" w:rsidRPr="0001351D" w14:paraId="408CDB7D"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03307FE7" w14:textId="77777777" w:rsidR="00C40344" w:rsidRPr="00C40344" w:rsidRDefault="00C40344">
            <w:pPr>
              <w:suppressAutoHyphens/>
              <w:spacing w:before="40" w:after="40" w:line="200" w:lineRule="atLeast"/>
              <w:rPr>
                <w:rFonts w:eastAsia="Times New Roman" w:cs="Arial"/>
              </w:rPr>
            </w:pPr>
            <w:r w:rsidRPr="00C40344">
              <w:rPr>
                <w:rFonts w:cs="Arial"/>
              </w:rPr>
              <w:t>Alberta Infant Motor Scale (AIMS)</w:t>
            </w:r>
          </w:p>
        </w:tc>
        <w:tc>
          <w:tcPr>
            <w:tcW w:w="1008" w:type="dxa"/>
          </w:tcPr>
          <w:p w14:paraId="76A760E9" w14:textId="77777777" w:rsidR="00C40344" w:rsidRPr="00C40344" w:rsidRDefault="00C40344">
            <w:pPr>
              <w:suppressAutoHyphens/>
              <w:spacing w:before="40" w:after="40" w:line="200" w:lineRule="atLeast"/>
              <w:rPr>
                <w:rFonts w:eastAsia="Times New Roman" w:cs="Arial"/>
              </w:rPr>
            </w:pPr>
          </w:p>
        </w:tc>
        <w:tc>
          <w:tcPr>
            <w:tcW w:w="1136" w:type="dxa"/>
          </w:tcPr>
          <w:p w14:paraId="0E3DD0FD" w14:textId="77777777" w:rsidR="00C40344" w:rsidRPr="00C40344" w:rsidRDefault="00C40344" w:rsidP="003B0B17">
            <w:pPr>
              <w:numPr>
                <w:ilvl w:val="0"/>
                <w:numId w:val="218"/>
              </w:numPr>
              <w:suppressAutoHyphens/>
              <w:spacing w:before="40" w:after="40" w:line="200" w:lineRule="atLeast"/>
              <w:contextualSpacing/>
              <w:rPr>
                <w:rFonts w:eastAsia="Times New Roman" w:cs="Arial"/>
              </w:rPr>
            </w:pPr>
          </w:p>
        </w:tc>
        <w:tc>
          <w:tcPr>
            <w:tcW w:w="1136" w:type="dxa"/>
          </w:tcPr>
          <w:p w14:paraId="74873FF7" w14:textId="77777777" w:rsidR="00C40344" w:rsidRPr="00C40344" w:rsidRDefault="00C40344">
            <w:pPr>
              <w:suppressAutoHyphens/>
              <w:spacing w:before="40" w:after="40" w:line="200" w:lineRule="atLeast"/>
              <w:ind w:left="1440"/>
              <w:contextualSpacing/>
              <w:rPr>
                <w:rFonts w:eastAsia="Times New Roman" w:cs="Arial"/>
              </w:rPr>
            </w:pPr>
          </w:p>
        </w:tc>
        <w:tc>
          <w:tcPr>
            <w:tcW w:w="1264" w:type="dxa"/>
          </w:tcPr>
          <w:p w14:paraId="03ADE091" w14:textId="77777777" w:rsidR="00C40344" w:rsidRPr="00C40344" w:rsidRDefault="00C40344">
            <w:pPr>
              <w:suppressAutoHyphens/>
              <w:spacing w:before="40" w:after="40" w:line="200" w:lineRule="atLeast"/>
              <w:ind w:left="1440"/>
              <w:contextualSpacing/>
              <w:rPr>
                <w:rFonts w:eastAsia="Times New Roman" w:cs="Arial"/>
              </w:rPr>
            </w:pPr>
          </w:p>
        </w:tc>
      </w:tr>
      <w:tr w:rsidR="00C40344" w:rsidRPr="0001351D" w14:paraId="270FC5C1"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76CD28D1" w14:textId="77777777" w:rsidR="00C40344" w:rsidRPr="00C40344" w:rsidRDefault="00C40344">
            <w:pPr>
              <w:suppressAutoHyphens/>
              <w:spacing w:before="40" w:after="40" w:line="200" w:lineRule="atLeast"/>
              <w:rPr>
                <w:rFonts w:eastAsia="Times New Roman" w:cs="Arial"/>
              </w:rPr>
            </w:pPr>
            <w:r w:rsidRPr="00C40344">
              <w:rPr>
                <w:rFonts w:cs="Arial"/>
              </w:rPr>
              <w:t>Autism Diagnostic Observation Schedule (ADOS, ADOS-G, ADOS-2, ADOS-T)</w:t>
            </w:r>
          </w:p>
        </w:tc>
        <w:tc>
          <w:tcPr>
            <w:tcW w:w="1008" w:type="dxa"/>
          </w:tcPr>
          <w:p w14:paraId="37A3D509"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136" w:type="dxa"/>
          </w:tcPr>
          <w:p w14:paraId="23307E88" w14:textId="77777777" w:rsidR="00C40344" w:rsidRPr="00C40344" w:rsidRDefault="00C40344">
            <w:pPr>
              <w:suppressAutoHyphens/>
              <w:spacing w:before="40" w:after="40" w:line="200" w:lineRule="atLeast"/>
              <w:rPr>
                <w:rFonts w:eastAsia="Times New Roman" w:cs="Arial"/>
              </w:rPr>
            </w:pPr>
          </w:p>
        </w:tc>
        <w:tc>
          <w:tcPr>
            <w:tcW w:w="1136" w:type="dxa"/>
          </w:tcPr>
          <w:p w14:paraId="1672ED18" w14:textId="77777777" w:rsidR="00C40344" w:rsidRPr="00C40344" w:rsidRDefault="00C40344">
            <w:pPr>
              <w:suppressAutoHyphens/>
              <w:spacing w:before="40" w:after="40" w:line="200" w:lineRule="atLeast"/>
              <w:rPr>
                <w:rFonts w:eastAsia="Times New Roman" w:cs="Arial"/>
              </w:rPr>
            </w:pPr>
          </w:p>
        </w:tc>
        <w:tc>
          <w:tcPr>
            <w:tcW w:w="1264" w:type="dxa"/>
          </w:tcPr>
          <w:p w14:paraId="51FE6259" w14:textId="77777777" w:rsidR="00C40344" w:rsidRPr="00C40344" w:rsidRDefault="00C40344">
            <w:pPr>
              <w:suppressAutoHyphens/>
              <w:spacing w:before="40" w:after="40" w:line="200" w:lineRule="atLeast"/>
              <w:rPr>
                <w:rFonts w:eastAsia="Times New Roman" w:cs="Arial"/>
              </w:rPr>
            </w:pPr>
          </w:p>
        </w:tc>
      </w:tr>
      <w:tr w:rsidR="00C40344" w:rsidRPr="0001351D" w14:paraId="79FBA751"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2322334A" w14:textId="77777777" w:rsidR="00C40344" w:rsidRPr="00C40344" w:rsidRDefault="00C40344">
            <w:pPr>
              <w:suppressAutoHyphens/>
              <w:spacing w:before="40" w:after="40" w:line="200" w:lineRule="atLeast"/>
              <w:rPr>
                <w:rFonts w:eastAsia="Times New Roman" w:cs="Arial"/>
              </w:rPr>
            </w:pPr>
            <w:r w:rsidRPr="00C40344">
              <w:rPr>
                <w:rFonts w:cs="Arial"/>
              </w:rPr>
              <w:t>Behavior Rating Inventory of Executive Function (BRIEF)</w:t>
            </w:r>
          </w:p>
        </w:tc>
        <w:tc>
          <w:tcPr>
            <w:tcW w:w="1008" w:type="dxa"/>
          </w:tcPr>
          <w:p w14:paraId="72165DDE" w14:textId="77777777" w:rsidR="00C40344" w:rsidRPr="00C40344" w:rsidRDefault="00C40344">
            <w:pPr>
              <w:suppressAutoHyphens/>
              <w:spacing w:before="40" w:after="40" w:line="200" w:lineRule="atLeast"/>
              <w:rPr>
                <w:rFonts w:eastAsia="Times New Roman" w:cs="Arial"/>
              </w:rPr>
            </w:pPr>
          </w:p>
        </w:tc>
        <w:tc>
          <w:tcPr>
            <w:tcW w:w="1136" w:type="dxa"/>
          </w:tcPr>
          <w:p w14:paraId="5F1C127F"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136" w:type="dxa"/>
          </w:tcPr>
          <w:p w14:paraId="52FE6DEC" w14:textId="77777777" w:rsidR="00C40344" w:rsidRPr="00C40344" w:rsidRDefault="00C40344">
            <w:pPr>
              <w:suppressAutoHyphens/>
              <w:spacing w:before="40" w:after="40" w:line="200" w:lineRule="atLeast"/>
              <w:rPr>
                <w:rFonts w:eastAsia="Times New Roman" w:cs="Arial"/>
              </w:rPr>
            </w:pPr>
          </w:p>
        </w:tc>
        <w:tc>
          <w:tcPr>
            <w:tcW w:w="1264" w:type="dxa"/>
          </w:tcPr>
          <w:p w14:paraId="05CBE422" w14:textId="77777777" w:rsidR="00C40344" w:rsidRPr="00C40344" w:rsidRDefault="00C40344">
            <w:pPr>
              <w:suppressAutoHyphens/>
              <w:spacing w:before="40" w:after="40" w:line="200" w:lineRule="atLeast"/>
              <w:rPr>
                <w:rFonts w:eastAsia="Times New Roman" w:cs="Arial"/>
              </w:rPr>
            </w:pPr>
          </w:p>
        </w:tc>
      </w:tr>
      <w:tr w:rsidR="00C40344" w:rsidRPr="0001351D" w14:paraId="1480F366"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464ECCC1" w14:textId="77777777" w:rsidR="00C40344" w:rsidRPr="00C40344" w:rsidRDefault="00C40344">
            <w:pPr>
              <w:suppressAutoHyphens/>
              <w:spacing w:before="40" w:after="40" w:line="200" w:lineRule="atLeast"/>
              <w:rPr>
                <w:rFonts w:eastAsia="Times New Roman" w:cs="Arial"/>
              </w:rPr>
            </w:pPr>
            <w:r w:rsidRPr="00C40344">
              <w:rPr>
                <w:rFonts w:cs="Arial"/>
              </w:rPr>
              <w:t>Brief Observation of Social Communication Change (BOSCC)</w:t>
            </w:r>
          </w:p>
        </w:tc>
        <w:tc>
          <w:tcPr>
            <w:tcW w:w="1008" w:type="dxa"/>
          </w:tcPr>
          <w:p w14:paraId="5811EB64" w14:textId="77777777" w:rsidR="00C40344" w:rsidRPr="00C40344" w:rsidRDefault="00C40344">
            <w:pPr>
              <w:suppressAutoHyphens/>
              <w:spacing w:before="40" w:after="40" w:line="200" w:lineRule="atLeast"/>
              <w:rPr>
                <w:rFonts w:eastAsia="Times New Roman" w:cs="Arial"/>
              </w:rPr>
            </w:pPr>
          </w:p>
        </w:tc>
        <w:tc>
          <w:tcPr>
            <w:tcW w:w="1136" w:type="dxa"/>
          </w:tcPr>
          <w:p w14:paraId="42804F04" w14:textId="77777777" w:rsidR="00C40344" w:rsidRPr="00C40344" w:rsidRDefault="00C40344">
            <w:pPr>
              <w:suppressAutoHyphens/>
              <w:spacing w:before="40" w:after="40" w:line="200" w:lineRule="atLeast"/>
              <w:ind w:left="720"/>
              <w:contextualSpacing/>
              <w:rPr>
                <w:rFonts w:eastAsia="Times New Roman" w:cs="Arial"/>
              </w:rPr>
            </w:pPr>
          </w:p>
        </w:tc>
        <w:tc>
          <w:tcPr>
            <w:tcW w:w="1136" w:type="dxa"/>
          </w:tcPr>
          <w:p w14:paraId="4F6437AD"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264" w:type="dxa"/>
          </w:tcPr>
          <w:p w14:paraId="52B8BEEA" w14:textId="77777777" w:rsidR="00C40344" w:rsidRPr="00C40344" w:rsidRDefault="00C40344">
            <w:pPr>
              <w:suppressAutoHyphens/>
              <w:spacing w:before="40" w:after="40" w:line="200" w:lineRule="atLeast"/>
              <w:rPr>
                <w:rFonts w:eastAsia="Times New Roman" w:cs="Arial"/>
              </w:rPr>
            </w:pPr>
          </w:p>
        </w:tc>
      </w:tr>
      <w:tr w:rsidR="00C40344" w:rsidRPr="0001351D" w14:paraId="559962B0"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3206421C" w14:textId="77777777" w:rsidR="00C40344" w:rsidRPr="00C40344" w:rsidRDefault="00C40344">
            <w:pPr>
              <w:suppressAutoHyphens/>
              <w:spacing w:before="40" w:after="40" w:line="200" w:lineRule="atLeast"/>
              <w:rPr>
                <w:rFonts w:eastAsia="Times New Roman" w:cs="Arial"/>
              </w:rPr>
            </w:pPr>
            <w:r w:rsidRPr="00C40344">
              <w:rPr>
                <w:rFonts w:cs="Arial"/>
              </w:rPr>
              <w:t xml:space="preserve">Caregiver-Child Play Interaction (CCX) </w:t>
            </w:r>
          </w:p>
        </w:tc>
        <w:tc>
          <w:tcPr>
            <w:tcW w:w="1008" w:type="dxa"/>
          </w:tcPr>
          <w:p w14:paraId="3522EC89" w14:textId="77777777" w:rsidR="00C40344" w:rsidRPr="00C40344" w:rsidRDefault="00C40344">
            <w:pPr>
              <w:suppressAutoHyphens/>
              <w:spacing w:before="40" w:after="40" w:line="200" w:lineRule="atLeast"/>
              <w:rPr>
                <w:rFonts w:eastAsia="Times New Roman" w:cs="Arial"/>
              </w:rPr>
            </w:pPr>
          </w:p>
        </w:tc>
        <w:tc>
          <w:tcPr>
            <w:tcW w:w="1136" w:type="dxa"/>
          </w:tcPr>
          <w:p w14:paraId="17D91EBC" w14:textId="77777777" w:rsidR="00C40344" w:rsidRPr="00C40344" w:rsidRDefault="00C40344">
            <w:pPr>
              <w:suppressAutoHyphens/>
              <w:spacing w:before="40" w:after="40" w:line="200" w:lineRule="atLeast"/>
              <w:rPr>
                <w:rFonts w:eastAsia="Times New Roman" w:cs="Arial"/>
              </w:rPr>
            </w:pPr>
          </w:p>
        </w:tc>
        <w:tc>
          <w:tcPr>
            <w:tcW w:w="1136" w:type="dxa"/>
          </w:tcPr>
          <w:p w14:paraId="7F7CD966"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264" w:type="dxa"/>
          </w:tcPr>
          <w:p w14:paraId="73AD2CB7" w14:textId="77777777" w:rsidR="00C40344" w:rsidRPr="00C40344" w:rsidRDefault="00C40344">
            <w:pPr>
              <w:suppressAutoHyphens/>
              <w:spacing w:before="40" w:after="40" w:line="200" w:lineRule="atLeast"/>
              <w:rPr>
                <w:rFonts w:eastAsia="Times New Roman" w:cs="Arial"/>
              </w:rPr>
            </w:pPr>
          </w:p>
        </w:tc>
      </w:tr>
      <w:tr w:rsidR="00C40344" w:rsidRPr="0001351D" w14:paraId="55B1A7E3"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786BDDAA" w14:textId="77777777" w:rsidR="00C40344" w:rsidRPr="00C40344" w:rsidRDefault="00C40344">
            <w:pPr>
              <w:suppressAutoHyphens/>
              <w:spacing w:before="40" w:after="40" w:line="200" w:lineRule="atLeast"/>
              <w:rPr>
                <w:rFonts w:eastAsia="Times New Roman" w:cs="Arial"/>
              </w:rPr>
            </w:pPr>
            <w:r w:rsidRPr="00C40344">
              <w:rPr>
                <w:rFonts w:cs="Arial"/>
              </w:rPr>
              <w:t>CHAMPPS Observer Impression Scale (CHOIS)</w:t>
            </w:r>
          </w:p>
        </w:tc>
        <w:tc>
          <w:tcPr>
            <w:tcW w:w="1008" w:type="dxa"/>
          </w:tcPr>
          <w:p w14:paraId="5D23B9E4" w14:textId="77777777" w:rsidR="00C40344" w:rsidRPr="00C40344" w:rsidRDefault="00C40344">
            <w:pPr>
              <w:suppressAutoHyphens/>
              <w:spacing w:before="40" w:after="40" w:line="200" w:lineRule="atLeast"/>
              <w:rPr>
                <w:rFonts w:eastAsia="Times New Roman" w:cs="Arial"/>
              </w:rPr>
            </w:pPr>
          </w:p>
        </w:tc>
        <w:tc>
          <w:tcPr>
            <w:tcW w:w="1136" w:type="dxa"/>
          </w:tcPr>
          <w:p w14:paraId="3E9F58B0"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136" w:type="dxa"/>
          </w:tcPr>
          <w:p w14:paraId="021A3142" w14:textId="77777777" w:rsidR="00C40344" w:rsidRPr="00C40344" w:rsidRDefault="00C40344">
            <w:pPr>
              <w:suppressAutoHyphens/>
              <w:spacing w:before="40" w:after="40" w:line="200" w:lineRule="atLeast"/>
              <w:rPr>
                <w:rFonts w:eastAsia="Times New Roman" w:cs="Arial"/>
              </w:rPr>
            </w:pPr>
          </w:p>
        </w:tc>
        <w:tc>
          <w:tcPr>
            <w:tcW w:w="1264" w:type="dxa"/>
          </w:tcPr>
          <w:p w14:paraId="41E051DF" w14:textId="77777777" w:rsidR="00C40344" w:rsidRPr="00C40344" w:rsidRDefault="00C40344">
            <w:pPr>
              <w:suppressAutoHyphens/>
              <w:spacing w:before="40" w:after="40" w:line="200" w:lineRule="atLeast"/>
              <w:rPr>
                <w:rFonts w:eastAsia="Times New Roman" w:cs="Arial"/>
              </w:rPr>
            </w:pPr>
          </w:p>
        </w:tc>
      </w:tr>
      <w:tr w:rsidR="00C40344" w:rsidRPr="0001351D" w14:paraId="69CAEE44"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1B829213" w14:textId="77777777" w:rsidR="00C40344" w:rsidRPr="00C40344" w:rsidRDefault="00C40344">
            <w:pPr>
              <w:suppressAutoHyphens/>
              <w:spacing w:before="40" w:after="40" w:line="200" w:lineRule="atLeast"/>
              <w:rPr>
                <w:rFonts w:eastAsia="Times New Roman" w:cs="Arial"/>
              </w:rPr>
            </w:pPr>
            <w:r w:rsidRPr="00C40344">
              <w:rPr>
                <w:rFonts w:cs="Arial"/>
              </w:rPr>
              <w:t>Child Behavior Rating Scale (CBRS)</w:t>
            </w:r>
          </w:p>
        </w:tc>
        <w:tc>
          <w:tcPr>
            <w:tcW w:w="1008" w:type="dxa"/>
          </w:tcPr>
          <w:p w14:paraId="7B2A97E0" w14:textId="77777777" w:rsidR="00C40344" w:rsidRPr="00C40344" w:rsidRDefault="00C40344">
            <w:pPr>
              <w:suppressAutoHyphens/>
              <w:spacing w:before="40" w:after="40" w:line="200" w:lineRule="atLeast"/>
              <w:rPr>
                <w:rFonts w:eastAsia="Times New Roman" w:cs="Arial"/>
              </w:rPr>
            </w:pPr>
          </w:p>
        </w:tc>
        <w:tc>
          <w:tcPr>
            <w:tcW w:w="1136" w:type="dxa"/>
          </w:tcPr>
          <w:p w14:paraId="2C115653" w14:textId="77777777" w:rsidR="00C40344" w:rsidRPr="00C40344" w:rsidRDefault="00C40344">
            <w:pPr>
              <w:suppressAutoHyphens/>
              <w:spacing w:before="40" w:after="40" w:line="200" w:lineRule="atLeast"/>
              <w:rPr>
                <w:rFonts w:eastAsia="Times New Roman" w:cs="Arial"/>
              </w:rPr>
            </w:pPr>
          </w:p>
        </w:tc>
        <w:tc>
          <w:tcPr>
            <w:tcW w:w="1136" w:type="dxa"/>
          </w:tcPr>
          <w:p w14:paraId="302981D9"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264" w:type="dxa"/>
          </w:tcPr>
          <w:p w14:paraId="4367378D" w14:textId="77777777" w:rsidR="00C40344" w:rsidRPr="00C40344" w:rsidRDefault="00C40344">
            <w:pPr>
              <w:suppressAutoHyphens/>
              <w:spacing w:before="40" w:after="40" w:line="200" w:lineRule="atLeast"/>
              <w:rPr>
                <w:rFonts w:eastAsia="Times New Roman" w:cs="Arial"/>
              </w:rPr>
            </w:pPr>
          </w:p>
        </w:tc>
      </w:tr>
      <w:tr w:rsidR="00C40344" w:rsidRPr="0001351D" w14:paraId="7E73FFBE"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2923A2F0" w14:textId="77777777" w:rsidR="00C40344" w:rsidRPr="00C40344" w:rsidRDefault="00C40344">
            <w:pPr>
              <w:suppressAutoHyphens/>
              <w:spacing w:before="40" w:after="40" w:line="200" w:lineRule="atLeast"/>
              <w:rPr>
                <w:rFonts w:eastAsia="Times New Roman" w:cs="Arial"/>
              </w:rPr>
            </w:pPr>
            <w:r w:rsidRPr="00C40344">
              <w:rPr>
                <w:rFonts w:cs="Arial"/>
              </w:rPr>
              <w:t>Child Behaviour Checklist (CBCL)</w:t>
            </w:r>
          </w:p>
        </w:tc>
        <w:tc>
          <w:tcPr>
            <w:tcW w:w="1008" w:type="dxa"/>
          </w:tcPr>
          <w:p w14:paraId="572E8ACE" w14:textId="77777777" w:rsidR="00C40344" w:rsidRPr="00C40344" w:rsidRDefault="00C40344">
            <w:pPr>
              <w:suppressAutoHyphens/>
              <w:spacing w:before="40" w:after="40" w:line="200" w:lineRule="atLeast"/>
              <w:rPr>
                <w:rFonts w:eastAsia="Times New Roman" w:cs="Arial"/>
              </w:rPr>
            </w:pPr>
          </w:p>
        </w:tc>
        <w:tc>
          <w:tcPr>
            <w:tcW w:w="1136" w:type="dxa"/>
          </w:tcPr>
          <w:p w14:paraId="2F8FF4D4" w14:textId="77777777" w:rsidR="00C40344" w:rsidRPr="00C40344" w:rsidRDefault="00C40344">
            <w:pPr>
              <w:suppressAutoHyphens/>
              <w:spacing w:before="40" w:after="40" w:line="200" w:lineRule="atLeast"/>
              <w:rPr>
                <w:rFonts w:eastAsia="Times New Roman" w:cs="Arial"/>
              </w:rPr>
            </w:pPr>
          </w:p>
        </w:tc>
        <w:tc>
          <w:tcPr>
            <w:tcW w:w="1136" w:type="dxa"/>
          </w:tcPr>
          <w:p w14:paraId="40B02363"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264" w:type="dxa"/>
          </w:tcPr>
          <w:p w14:paraId="404A538C" w14:textId="77777777" w:rsidR="00C40344" w:rsidRPr="00C40344" w:rsidRDefault="00C40344">
            <w:pPr>
              <w:suppressAutoHyphens/>
              <w:spacing w:before="40" w:after="40" w:line="200" w:lineRule="atLeast"/>
              <w:rPr>
                <w:rFonts w:eastAsia="Times New Roman" w:cs="Arial"/>
              </w:rPr>
            </w:pPr>
          </w:p>
        </w:tc>
      </w:tr>
      <w:tr w:rsidR="00C40344" w:rsidRPr="0001351D" w14:paraId="200A74F1"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43270CB7" w14:textId="77777777" w:rsidR="00C40344" w:rsidRPr="00C40344" w:rsidRDefault="00C40344">
            <w:pPr>
              <w:suppressAutoHyphens/>
              <w:spacing w:before="40" w:after="40" w:line="200" w:lineRule="atLeast"/>
              <w:rPr>
                <w:rFonts w:eastAsia="Times New Roman" w:cs="Arial"/>
              </w:rPr>
            </w:pPr>
            <w:r w:rsidRPr="00C40344">
              <w:rPr>
                <w:rFonts w:cs="Arial"/>
              </w:rPr>
              <w:t>Classroom Measure of Active Engagement (CMAE)</w:t>
            </w:r>
          </w:p>
        </w:tc>
        <w:tc>
          <w:tcPr>
            <w:tcW w:w="1008" w:type="dxa"/>
          </w:tcPr>
          <w:p w14:paraId="4C1FA983" w14:textId="77777777" w:rsidR="00C40344" w:rsidRPr="00C40344" w:rsidRDefault="00C40344">
            <w:pPr>
              <w:suppressAutoHyphens/>
              <w:spacing w:before="40" w:after="40" w:line="200" w:lineRule="atLeast"/>
              <w:rPr>
                <w:rFonts w:eastAsia="Times New Roman" w:cs="Arial"/>
              </w:rPr>
            </w:pPr>
          </w:p>
        </w:tc>
        <w:tc>
          <w:tcPr>
            <w:tcW w:w="1136" w:type="dxa"/>
          </w:tcPr>
          <w:p w14:paraId="75B6E90B" w14:textId="77777777" w:rsidR="00C40344" w:rsidRPr="00C40344" w:rsidRDefault="00C40344">
            <w:pPr>
              <w:suppressAutoHyphens/>
              <w:spacing w:before="40" w:after="40" w:line="200" w:lineRule="atLeast"/>
              <w:rPr>
                <w:rFonts w:eastAsia="Times New Roman" w:cs="Arial"/>
              </w:rPr>
            </w:pPr>
          </w:p>
        </w:tc>
        <w:tc>
          <w:tcPr>
            <w:tcW w:w="1136" w:type="dxa"/>
          </w:tcPr>
          <w:p w14:paraId="05173EC4" w14:textId="77777777" w:rsidR="00C40344" w:rsidRPr="00C40344" w:rsidRDefault="00C40344">
            <w:pPr>
              <w:suppressAutoHyphens/>
              <w:spacing w:before="40" w:after="40" w:line="200" w:lineRule="atLeast"/>
              <w:rPr>
                <w:rFonts w:eastAsia="Times New Roman" w:cs="Arial"/>
              </w:rPr>
            </w:pPr>
          </w:p>
        </w:tc>
        <w:tc>
          <w:tcPr>
            <w:tcW w:w="1264" w:type="dxa"/>
          </w:tcPr>
          <w:p w14:paraId="67CF8ABD"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r>
      <w:tr w:rsidR="00C40344" w:rsidRPr="0001351D" w14:paraId="19B1C1FC"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4C34F3D4" w14:textId="77777777" w:rsidR="00C40344" w:rsidRPr="00C40344" w:rsidRDefault="00C40344">
            <w:pPr>
              <w:suppressAutoHyphens/>
              <w:spacing w:before="40" w:after="40" w:line="200" w:lineRule="atLeast"/>
              <w:rPr>
                <w:rFonts w:eastAsia="Times New Roman" w:cs="Arial"/>
              </w:rPr>
            </w:pPr>
            <w:r w:rsidRPr="00C40344">
              <w:rPr>
                <w:rFonts w:cs="Arial"/>
              </w:rPr>
              <w:t>Clinical Evaluation of Language Fundamentals (CELF, CELF-2, CELF-4)</w:t>
            </w:r>
          </w:p>
        </w:tc>
        <w:tc>
          <w:tcPr>
            <w:tcW w:w="1008" w:type="dxa"/>
          </w:tcPr>
          <w:p w14:paraId="267AE149" w14:textId="77777777" w:rsidR="00C40344" w:rsidRPr="00C40344" w:rsidRDefault="00C40344">
            <w:pPr>
              <w:suppressAutoHyphens/>
              <w:spacing w:before="40" w:after="40" w:line="200" w:lineRule="atLeast"/>
              <w:rPr>
                <w:rFonts w:eastAsia="Times New Roman" w:cs="Arial"/>
              </w:rPr>
            </w:pPr>
          </w:p>
        </w:tc>
        <w:tc>
          <w:tcPr>
            <w:tcW w:w="1136" w:type="dxa"/>
          </w:tcPr>
          <w:p w14:paraId="53217C1E" w14:textId="77777777" w:rsidR="00C40344" w:rsidRPr="00C40344" w:rsidRDefault="00C40344">
            <w:pPr>
              <w:suppressAutoHyphens/>
              <w:spacing w:before="40" w:after="40" w:line="200" w:lineRule="atLeast"/>
              <w:rPr>
                <w:rFonts w:eastAsia="Times New Roman" w:cs="Arial"/>
              </w:rPr>
            </w:pPr>
          </w:p>
        </w:tc>
        <w:tc>
          <w:tcPr>
            <w:tcW w:w="1136" w:type="dxa"/>
          </w:tcPr>
          <w:p w14:paraId="46A3797E" w14:textId="77777777" w:rsidR="00C40344" w:rsidRPr="00C40344" w:rsidRDefault="00C40344" w:rsidP="003B0B17">
            <w:pPr>
              <w:numPr>
                <w:ilvl w:val="0"/>
                <w:numId w:val="216"/>
              </w:numPr>
              <w:suppressAutoHyphens/>
              <w:spacing w:before="40" w:after="40" w:line="200" w:lineRule="atLeast"/>
              <w:contextualSpacing/>
              <w:rPr>
                <w:rFonts w:eastAsia="Times New Roman" w:cs="Arial"/>
              </w:rPr>
            </w:pPr>
          </w:p>
        </w:tc>
        <w:tc>
          <w:tcPr>
            <w:tcW w:w="1264" w:type="dxa"/>
          </w:tcPr>
          <w:p w14:paraId="0878B483" w14:textId="77777777" w:rsidR="00C40344" w:rsidRPr="00C40344" w:rsidRDefault="00C40344">
            <w:pPr>
              <w:suppressAutoHyphens/>
              <w:spacing w:before="40" w:after="40" w:line="200" w:lineRule="atLeast"/>
              <w:rPr>
                <w:rFonts w:eastAsia="Times New Roman" w:cs="Arial"/>
              </w:rPr>
            </w:pPr>
          </w:p>
        </w:tc>
      </w:tr>
      <w:tr w:rsidR="00C40344" w:rsidRPr="0001351D" w14:paraId="7D063D5C"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536BA375" w14:textId="77777777" w:rsidR="00C40344" w:rsidRPr="00C40344" w:rsidRDefault="00C40344">
            <w:pPr>
              <w:suppressAutoHyphens/>
              <w:spacing w:before="40" w:after="40" w:line="200" w:lineRule="atLeast"/>
              <w:rPr>
                <w:rFonts w:eastAsia="Times New Roman" w:cs="Arial"/>
              </w:rPr>
            </w:pPr>
            <w:r w:rsidRPr="00C40344">
              <w:rPr>
                <w:rFonts w:cs="Arial"/>
              </w:rPr>
              <w:t>Communication and Symbolic Behavior Scales (CSBS)</w:t>
            </w:r>
          </w:p>
        </w:tc>
        <w:tc>
          <w:tcPr>
            <w:tcW w:w="1008" w:type="dxa"/>
          </w:tcPr>
          <w:p w14:paraId="636AA135" w14:textId="77777777" w:rsidR="00C40344" w:rsidRPr="00C40344" w:rsidRDefault="00C40344">
            <w:pPr>
              <w:suppressAutoHyphens/>
              <w:spacing w:before="40" w:after="40" w:line="200" w:lineRule="atLeast"/>
              <w:rPr>
                <w:rFonts w:eastAsia="Times New Roman" w:cs="Arial"/>
              </w:rPr>
            </w:pPr>
          </w:p>
        </w:tc>
        <w:tc>
          <w:tcPr>
            <w:tcW w:w="1136" w:type="dxa"/>
          </w:tcPr>
          <w:p w14:paraId="0CB76911" w14:textId="77777777" w:rsidR="00C40344" w:rsidRPr="00C40344" w:rsidRDefault="00C40344">
            <w:pPr>
              <w:suppressAutoHyphens/>
              <w:spacing w:before="40" w:after="40" w:line="200" w:lineRule="atLeast"/>
              <w:rPr>
                <w:rFonts w:eastAsia="Times New Roman" w:cs="Arial"/>
              </w:rPr>
            </w:pPr>
          </w:p>
        </w:tc>
        <w:tc>
          <w:tcPr>
            <w:tcW w:w="1136" w:type="dxa"/>
          </w:tcPr>
          <w:p w14:paraId="7346597C" w14:textId="77777777" w:rsidR="00C40344" w:rsidRPr="00C40344" w:rsidRDefault="00C40344" w:rsidP="003B0B17">
            <w:pPr>
              <w:numPr>
                <w:ilvl w:val="0"/>
                <w:numId w:val="215"/>
              </w:numPr>
              <w:suppressAutoHyphens/>
              <w:spacing w:before="40" w:after="40" w:line="200" w:lineRule="atLeast"/>
              <w:contextualSpacing/>
              <w:rPr>
                <w:rFonts w:eastAsia="Times New Roman" w:cs="Arial"/>
              </w:rPr>
            </w:pPr>
          </w:p>
        </w:tc>
        <w:tc>
          <w:tcPr>
            <w:tcW w:w="1264" w:type="dxa"/>
          </w:tcPr>
          <w:p w14:paraId="6CE3DF9B" w14:textId="77777777" w:rsidR="00C40344" w:rsidRPr="00C40344" w:rsidRDefault="00C40344">
            <w:pPr>
              <w:suppressAutoHyphens/>
              <w:spacing w:before="40" w:after="40" w:line="200" w:lineRule="atLeast"/>
              <w:rPr>
                <w:rFonts w:eastAsia="Times New Roman" w:cs="Arial"/>
              </w:rPr>
            </w:pPr>
          </w:p>
        </w:tc>
      </w:tr>
      <w:tr w:rsidR="00C40344" w:rsidRPr="0001351D" w14:paraId="28A26436"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736CDC98" w14:textId="77777777" w:rsidR="00C40344" w:rsidRPr="00C40344" w:rsidRDefault="00C40344">
            <w:pPr>
              <w:suppressAutoHyphens/>
              <w:spacing w:before="40" w:after="40" w:line="200" w:lineRule="atLeast"/>
              <w:rPr>
                <w:rFonts w:eastAsia="Times New Roman" w:cs="Arial"/>
              </w:rPr>
            </w:pPr>
            <w:r w:rsidRPr="00C40344">
              <w:rPr>
                <w:rFonts w:cs="Arial"/>
              </w:rPr>
              <w:t>Diagnostic and Statistical Manual of Mental Disorders (DSM-5)</w:t>
            </w:r>
          </w:p>
        </w:tc>
        <w:tc>
          <w:tcPr>
            <w:tcW w:w="1008" w:type="dxa"/>
          </w:tcPr>
          <w:p w14:paraId="32579BE5"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136" w:type="dxa"/>
          </w:tcPr>
          <w:p w14:paraId="66047096" w14:textId="77777777" w:rsidR="00C40344" w:rsidRPr="00C40344" w:rsidRDefault="00C40344">
            <w:pPr>
              <w:suppressAutoHyphens/>
              <w:spacing w:before="40" w:after="40" w:line="200" w:lineRule="atLeast"/>
              <w:rPr>
                <w:rFonts w:eastAsia="Times New Roman" w:cs="Arial"/>
              </w:rPr>
            </w:pPr>
          </w:p>
        </w:tc>
        <w:tc>
          <w:tcPr>
            <w:tcW w:w="1136" w:type="dxa"/>
          </w:tcPr>
          <w:p w14:paraId="536026DF" w14:textId="77777777" w:rsidR="00C40344" w:rsidRPr="00C40344" w:rsidRDefault="00C40344">
            <w:pPr>
              <w:suppressAutoHyphens/>
              <w:spacing w:before="40" w:after="40" w:line="200" w:lineRule="atLeast"/>
              <w:rPr>
                <w:rFonts w:eastAsia="Times New Roman" w:cs="Arial"/>
              </w:rPr>
            </w:pPr>
          </w:p>
        </w:tc>
        <w:tc>
          <w:tcPr>
            <w:tcW w:w="1264" w:type="dxa"/>
          </w:tcPr>
          <w:p w14:paraId="2AC026EF" w14:textId="77777777" w:rsidR="00C40344" w:rsidRPr="00C40344" w:rsidRDefault="00C40344">
            <w:pPr>
              <w:suppressAutoHyphens/>
              <w:spacing w:before="40" w:after="40" w:line="200" w:lineRule="atLeast"/>
              <w:rPr>
                <w:rFonts w:eastAsia="Times New Roman" w:cs="Arial"/>
              </w:rPr>
            </w:pPr>
          </w:p>
        </w:tc>
      </w:tr>
      <w:tr w:rsidR="00C40344" w:rsidRPr="0001351D" w14:paraId="7B355083"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78EB26BC" w14:textId="77777777" w:rsidR="00C40344" w:rsidRPr="00C40344" w:rsidRDefault="00C40344">
            <w:pPr>
              <w:suppressAutoHyphens/>
              <w:spacing w:before="40" w:after="40" w:line="200" w:lineRule="atLeast"/>
              <w:rPr>
                <w:rFonts w:eastAsia="Times New Roman" w:cs="Arial"/>
              </w:rPr>
            </w:pPr>
            <w:r w:rsidRPr="00C40344">
              <w:rPr>
                <w:rFonts w:cs="Arial"/>
              </w:rPr>
              <w:t>Dyadic Communication Measure for Autism (DCMA)</w:t>
            </w:r>
          </w:p>
        </w:tc>
        <w:tc>
          <w:tcPr>
            <w:tcW w:w="1008" w:type="dxa"/>
          </w:tcPr>
          <w:p w14:paraId="7039E032" w14:textId="77777777" w:rsidR="00C40344" w:rsidRPr="00C40344" w:rsidRDefault="00C40344">
            <w:pPr>
              <w:suppressAutoHyphens/>
              <w:spacing w:before="40" w:after="40" w:line="200" w:lineRule="atLeast"/>
              <w:rPr>
                <w:rFonts w:eastAsia="Times New Roman" w:cs="Arial"/>
              </w:rPr>
            </w:pPr>
          </w:p>
        </w:tc>
        <w:tc>
          <w:tcPr>
            <w:tcW w:w="1136" w:type="dxa"/>
          </w:tcPr>
          <w:p w14:paraId="775ADF90" w14:textId="77777777" w:rsidR="00C40344" w:rsidRPr="00C40344" w:rsidRDefault="00C40344">
            <w:pPr>
              <w:suppressAutoHyphens/>
              <w:spacing w:before="40" w:after="40" w:line="200" w:lineRule="atLeast"/>
              <w:rPr>
                <w:rFonts w:eastAsia="Times New Roman" w:cs="Arial"/>
              </w:rPr>
            </w:pPr>
          </w:p>
        </w:tc>
        <w:tc>
          <w:tcPr>
            <w:tcW w:w="1136" w:type="dxa"/>
          </w:tcPr>
          <w:p w14:paraId="743F8BD3" w14:textId="77777777" w:rsidR="00C40344" w:rsidRPr="00C40344" w:rsidRDefault="00C40344" w:rsidP="003B0B17">
            <w:pPr>
              <w:numPr>
                <w:ilvl w:val="0"/>
                <w:numId w:val="214"/>
              </w:numPr>
              <w:suppressAutoHyphens/>
              <w:spacing w:before="40" w:after="40" w:line="200" w:lineRule="atLeast"/>
              <w:contextualSpacing/>
              <w:rPr>
                <w:rFonts w:eastAsia="Times New Roman" w:cs="Arial"/>
              </w:rPr>
            </w:pPr>
          </w:p>
        </w:tc>
        <w:tc>
          <w:tcPr>
            <w:tcW w:w="1264" w:type="dxa"/>
          </w:tcPr>
          <w:p w14:paraId="44E408E0" w14:textId="77777777" w:rsidR="00C40344" w:rsidRPr="00C40344" w:rsidRDefault="00C40344">
            <w:pPr>
              <w:suppressAutoHyphens/>
              <w:spacing w:before="40" w:after="40" w:line="200" w:lineRule="atLeast"/>
              <w:rPr>
                <w:rFonts w:eastAsia="Times New Roman" w:cs="Arial"/>
              </w:rPr>
            </w:pPr>
          </w:p>
        </w:tc>
      </w:tr>
      <w:tr w:rsidR="00C40344" w:rsidRPr="0001351D" w14:paraId="484CD30E"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475EBB4F" w14:textId="77777777" w:rsidR="00C40344" w:rsidRPr="00C40344" w:rsidRDefault="00C40344">
            <w:pPr>
              <w:suppressAutoHyphens/>
              <w:spacing w:before="40" w:after="40" w:line="200" w:lineRule="atLeast"/>
              <w:rPr>
                <w:rFonts w:eastAsia="Times New Roman" w:cs="Arial"/>
              </w:rPr>
            </w:pPr>
            <w:r w:rsidRPr="00C40344">
              <w:rPr>
                <w:rFonts w:cs="Arial"/>
              </w:rPr>
              <w:t>Dyadic Parent-Child Interaction Coding System (DPICS-4)</w:t>
            </w:r>
          </w:p>
        </w:tc>
        <w:tc>
          <w:tcPr>
            <w:tcW w:w="1008" w:type="dxa"/>
          </w:tcPr>
          <w:p w14:paraId="184499FF" w14:textId="77777777" w:rsidR="00C40344" w:rsidRPr="00C40344" w:rsidRDefault="00C40344">
            <w:pPr>
              <w:suppressAutoHyphens/>
              <w:spacing w:before="40" w:after="40" w:line="200" w:lineRule="atLeast"/>
              <w:rPr>
                <w:rFonts w:eastAsia="Times New Roman" w:cs="Arial"/>
              </w:rPr>
            </w:pPr>
          </w:p>
        </w:tc>
        <w:tc>
          <w:tcPr>
            <w:tcW w:w="1136" w:type="dxa"/>
          </w:tcPr>
          <w:p w14:paraId="1AD48C61" w14:textId="77777777" w:rsidR="00C40344" w:rsidRPr="00C40344" w:rsidRDefault="00C40344">
            <w:pPr>
              <w:suppressAutoHyphens/>
              <w:spacing w:before="40" w:after="40" w:line="200" w:lineRule="atLeast"/>
              <w:rPr>
                <w:rFonts w:eastAsia="Times New Roman" w:cs="Arial"/>
              </w:rPr>
            </w:pPr>
          </w:p>
        </w:tc>
        <w:tc>
          <w:tcPr>
            <w:tcW w:w="1136" w:type="dxa"/>
          </w:tcPr>
          <w:p w14:paraId="671A1650" w14:textId="77777777" w:rsidR="00C40344" w:rsidRPr="00C40344" w:rsidRDefault="00C40344" w:rsidP="003B0B17">
            <w:pPr>
              <w:numPr>
                <w:ilvl w:val="0"/>
                <w:numId w:val="213"/>
              </w:numPr>
              <w:suppressAutoHyphens/>
              <w:spacing w:before="40" w:after="40" w:line="200" w:lineRule="atLeast"/>
              <w:contextualSpacing/>
              <w:rPr>
                <w:rFonts w:eastAsia="Times New Roman" w:cs="Arial"/>
              </w:rPr>
            </w:pPr>
          </w:p>
        </w:tc>
        <w:tc>
          <w:tcPr>
            <w:tcW w:w="1264" w:type="dxa"/>
          </w:tcPr>
          <w:p w14:paraId="6ED6FA4A" w14:textId="77777777" w:rsidR="00C40344" w:rsidRPr="00C40344" w:rsidRDefault="00C40344">
            <w:pPr>
              <w:suppressAutoHyphens/>
              <w:spacing w:before="40" w:after="40" w:line="200" w:lineRule="atLeast"/>
              <w:rPr>
                <w:rFonts w:eastAsia="Times New Roman" w:cs="Arial"/>
              </w:rPr>
            </w:pPr>
          </w:p>
        </w:tc>
      </w:tr>
      <w:tr w:rsidR="00C40344" w:rsidRPr="0001351D" w14:paraId="47B740E4"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4649A8C3" w14:textId="77777777" w:rsidR="00C40344" w:rsidRPr="00C40344" w:rsidRDefault="00C40344">
            <w:pPr>
              <w:suppressAutoHyphens/>
              <w:spacing w:before="40" w:after="40" w:line="200" w:lineRule="atLeast"/>
              <w:rPr>
                <w:rFonts w:cs="Arial"/>
              </w:rPr>
            </w:pPr>
            <w:r w:rsidRPr="00C40344">
              <w:rPr>
                <w:rFonts w:cs="Arial"/>
              </w:rPr>
              <w:t>Early Childhood Index (ECI)</w:t>
            </w:r>
          </w:p>
        </w:tc>
        <w:tc>
          <w:tcPr>
            <w:tcW w:w="1008" w:type="dxa"/>
          </w:tcPr>
          <w:p w14:paraId="12DC112B" w14:textId="77777777" w:rsidR="00C40344" w:rsidRPr="00C40344" w:rsidRDefault="00C40344">
            <w:pPr>
              <w:suppressAutoHyphens/>
              <w:spacing w:before="40" w:after="40" w:line="200" w:lineRule="atLeast"/>
              <w:rPr>
                <w:rFonts w:eastAsia="Times New Roman" w:cs="Arial"/>
              </w:rPr>
            </w:pPr>
          </w:p>
        </w:tc>
        <w:tc>
          <w:tcPr>
            <w:tcW w:w="1136" w:type="dxa"/>
          </w:tcPr>
          <w:p w14:paraId="1F8B474F" w14:textId="77777777" w:rsidR="00C40344" w:rsidRPr="00C40344" w:rsidRDefault="00C40344">
            <w:pPr>
              <w:suppressAutoHyphens/>
              <w:spacing w:before="40" w:after="40" w:line="200" w:lineRule="atLeast"/>
              <w:rPr>
                <w:rFonts w:eastAsia="Times New Roman" w:cs="Arial"/>
              </w:rPr>
            </w:pPr>
          </w:p>
        </w:tc>
        <w:tc>
          <w:tcPr>
            <w:tcW w:w="1136" w:type="dxa"/>
          </w:tcPr>
          <w:p w14:paraId="3D3B6D61" w14:textId="77777777" w:rsidR="00C40344" w:rsidRPr="00C40344" w:rsidRDefault="00C40344" w:rsidP="003B0B17">
            <w:pPr>
              <w:numPr>
                <w:ilvl w:val="0"/>
                <w:numId w:val="212"/>
              </w:numPr>
              <w:suppressAutoHyphens/>
              <w:spacing w:before="40" w:after="40" w:line="200" w:lineRule="atLeast"/>
              <w:contextualSpacing/>
              <w:rPr>
                <w:rFonts w:eastAsia="Times New Roman" w:cs="Arial"/>
              </w:rPr>
            </w:pPr>
          </w:p>
        </w:tc>
        <w:tc>
          <w:tcPr>
            <w:tcW w:w="1264" w:type="dxa"/>
          </w:tcPr>
          <w:p w14:paraId="2BDFE740" w14:textId="77777777" w:rsidR="00C40344" w:rsidRPr="00C40344" w:rsidRDefault="00C40344">
            <w:pPr>
              <w:suppressAutoHyphens/>
              <w:spacing w:before="40" w:after="40" w:line="200" w:lineRule="atLeast"/>
              <w:rPr>
                <w:rFonts w:eastAsia="Times New Roman" w:cs="Arial"/>
              </w:rPr>
            </w:pPr>
          </w:p>
        </w:tc>
      </w:tr>
      <w:tr w:rsidR="00C40344" w:rsidRPr="0001351D" w14:paraId="4D143E6C"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5C413EF9" w14:textId="77777777" w:rsidR="00C40344" w:rsidRPr="00C40344" w:rsidRDefault="00C40344">
            <w:pPr>
              <w:suppressAutoHyphens/>
              <w:spacing w:before="40" w:after="40" w:line="200" w:lineRule="atLeast"/>
              <w:rPr>
                <w:rFonts w:eastAsia="Times New Roman" w:cs="Arial"/>
              </w:rPr>
            </w:pPr>
            <w:r w:rsidRPr="00C40344">
              <w:rPr>
                <w:rFonts w:cs="Arial"/>
              </w:rPr>
              <w:t>Early Social Communication Scale (ESCS)</w:t>
            </w:r>
          </w:p>
        </w:tc>
        <w:tc>
          <w:tcPr>
            <w:tcW w:w="1008" w:type="dxa"/>
          </w:tcPr>
          <w:p w14:paraId="4E19AF9F" w14:textId="77777777" w:rsidR="00C40344" w:rsidRPr="00C40344" w:rsidRDefault="00C40344">
            <w:pPr>
              <w:suppressAutoHyphens/>
              <w:spacing w:before="40" w:after="40" w:line="200" w:lineRule="atLeast"/>
              <w:rPr>
                <w:rFonts w:eastAsia="Times New Roman" w:cs="Arial"/>
              </w:rPr>
            </w:pPr>
          </w:p>
        </w:tc>
        <w:tc>
          <w:tcPr>
            <w:tcW w:w="1136" w:type="dxa"/>
          </w:tcPr>
          <w:p w14:paraId="4A734672" w14:textId="77777777" w:rsidR="00C40344" w:rsidRPr="00C40344" w:rsidRDefault="00C40344">
            <w:pPr>
              <w:suppressAutoHyphens/>
              <w:spacing w:before="40" w:after="40" w:line="200" w:lineRule="atLeast"/>
              <w:rPr>
                <w:rFonts w:eastAsia="Times New Roman" w:cs="Arial"/>
              </w:rPr>
            </w:pPr>
          </w:p>
        </w:tc>
        <w:tc>
          <w:tcPr>
            <w:tcW w:w="1136" w:type="dxa"/>
          </w:tcPr>
          <w:p w14:paraId="43625B88" w14:textId="77777777" w:rsidR="00C40344" w:rsidRPr="00C40344" w:rsidRDefault="00C40344" w:rsidP="003B0B17">
            <w:pPr>
              <w:numPr>
                <w:ilvl w:val="0"/>
                <w:numId w:val="211"/>
              </w:numPr>
              <w:suppressAutoHyphens/>
              <w:spacing w:before="40" w:after="40" w:line="200" w:lineRule="atLeast"/>
              <w:contextualSpacing/>
              <w:rPr>
                <w:rFonts w:eastAsia="Times New Roman" w:cs="Arial"/>
              </w:rPr>
            </w:pPr>
          </w:p>
        </w:tc>
        <w:tc>
          <w:tcPr>
            <w:tcW w:w="1264" w:type="dxa"/>
          </w:tcPr>
          <w:p w14:paraId="2F5E3B43" w14:textId="77777777" w:rsidR="00C40344" w:rsidRPr="00C40344" w:rsidRDefault="00C40344">
            <w:pPr>
              <w:suppressAutoHyphens/>
              <w:spacing w:before="40" w:after="40" w:line="200" w:lineRule="atLeast"/>
              <w:rPr>
                <w:rFonts w:eastAsia="Times New Roman" w:cs="Arial"/>
              </w:rPr>
            </w:pPr>
          </w:p>
        </w:tc>
      </w:tr>
      <w:tr w:rsidR="00C40344" w:rsidRPr="0001351D" w14:paraId="561D06D8"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1CABA135" w14:textId="77777777" w:rsidR="00C40344" w:rsidRPr="00C40344" w:rsidRDefault="00C40344">
            <w:pPr>
              <w:suppressAutoHyphens/>
              <w:spacing w:before="40" w:after="40" w:line="200" w:lineRule="atLeast"/>
              <w:rPr>
                <w:rFonts w:eastAsia="Times New Roman" w:cs="Arial"/>
              </w:rPr>
            </w:pPr>
            <w:r w:rsidRPr="00C40344">
              <w:rPr>
                <w:rFonts w:cs="Arial"/>
              </w:rPr>
              <w:t>Expressive One-Word Vocabulary Picture Test (EOWPVT)</w:t>
            </w:r>
          </w:p>
        </w:tc>
        <w:tc>
          <w:tcPr>
            <w:tcW w:w="1008" w:type="dxa"/>
          </w:tcPr>
          <w:p w14:paraId="7F543E46" w14:textId="77777777" w:rsidR="00C40344" w:rsidRPr="00C40344" w:rsidRDefault="00C40344">
            <w:pPr>
              <w:suppressAutoHyphens/>
              <w:spacing w:before="40" w:after="40" w:line="200" w:lineRule="atLeast"/>
              <w:rPr>
                <w:rFonts w:eastAsia="Times New Roman" w:cs="Arial"/>
              </w:rPr>
            </w:pPr>
          </w:p>
        </w:tc>
        <w:tc>
          <w:tcPr>
            <w:tcW w:w="1136" w:type="dxa"/>
          </w:tcPr>
          <w:p w14:paraId="5DE60355" w14:textId="77777777" w:rsidR="00C40344" w:rsidRPr="00C40344" w:rsidRDefault="00C40344">
            <w:pPr>
              <w:suppressAutoHyphens/>
              <w:spacing w:before="40" w:after="40" w:line="200" w:lineRule="atLeast"/>
              <w:rPr>
                <w:rFonts w:eastAsia="Times New Roman" w:cs="Arial"/>
              </w:rPr>
            </w:pPr>
          </w:p>
        </w:tc>
        <w:tc>
          <w:tcPr>
            <w:tcW w:w="1136" w:type="dxa"/>
          </w:tcPr>
          <w:p w14:paraId="5C1AB01D" w14:textId="77777777" w:rsidR="00C40344" w:rsidRPr="00C40344" w:rsidRDefault="00C40344" w:rsidP="003B0B17">
            <w:pPr>
              <w:numPr>
                <w:ilvl w:val="0"/>
                <w:numId w:val="210"/>
              </w:numPr>
              <w:suppressAutoHyphens/>
              <w:spacing w:before="40" w:after="40" w:line="200" w:lineRule="atLeast"/>
              <w:contextualSpacing/>
              <w:rPr>
                <w:rFonts w:eastAsia="Times New Roman" w:cs="Arial"/>
              </w:rPr>
            </w:pPr>
          </w:p>
        </w:tc>
        <w:tc>
          <w:tcPr>
            <w:tcW w:w="1264" w:type="dxa"/>
          </w:tcPr>
          <w:p w14:paraId="06E33962" w14:textId="77777777" w:rsidR="00C40344" w:rsidRPr="00C40344" w:rsidRDefault="00C40344">
            <w:pPr>
              <w:suppressAutoHyphens/>
              <w:spacing w:before="40" w:after="40" w:line="200" w:lineRule="atLeast"/>
              <w:rPr>
                <w:rFonts w:eastAsia="Times New Roman" w:cs="Arial"/>
              </w:rPr>
            </w:pPr>
          </w:p>
        </w:tc>
      </w:tr>
      <w:tr w:rsidR="00C40344" w:rsidRPr="0001351D" w14:paraId="15F9FEAD"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329C66AF" w14:textId="77777777" w:rsidR="00C40344" w:rsidRPr="00C40344" w:rsidRDefault="00C40344">
            <w:pPr>
              <w:suppressAutoHyphens/>
              <w:spacing w:before="40" w:after="40" w:line="200" w:lineRule="atLeast"/>
              <w:rPr>
                <w:rFonts w:eastAsia="Times New Roman" w:cs="Arial"/>
              </w:rPr>
            </w:pPr>
            <w:r w:rsidRPr="00C40344">
              <w:rPr>
                <w:rFonts w:cs="Arial"/>
              </w:rPr>
              <w:t>Expressive Vocabulary Assessment (EVA)</w:t>
            </w:r>
          </w:p>
        </w:tc>
        <w:tc>
          <w:tcPr>
            <w:tcW w:w="1008" w:type="dxa"/>
          </w:tcPr>
          <w:p w14:paraId="351C15BA" w14:textId="77777777" w:rsidR="00C40344" w:rsidRPr="00C40344" w:rsidRDefault="00C40344">
            <w:pPr>
              <w:suppressAutoHyphens/>
              <w:spacing w:before="40" w:after="40" w:line="200" w:lineRule="atLeast"/>
              <w:rPr>
                <w:rFonts w:eastAsia="Times New Roman" w:cs="Arial"/>
              </w:rPr>
            </w:pPr>
          </w:p>
        </w:tc>
        <w:tc>
          <w:tcPr>
            <w:tcW w:w="1136" w:type="dxa"/>
          </w:tcPr>
          <w:p w14:paraId="117A455C" w14:textId="77777777" w:rsidR="00C40344" w:rsidRPr="00C40344" w:rsidRDefault="00C40344">
            <w:pPr>
              <w:suppressAutoHyphens/>
              <w:spacing w:before="40" w:after="40" w:line="200" w:lineRule="atLeast"/>
              <w:rPr>
                <w:rFonts w:eastAsia="Times New Roman" w:cs="Arial"/>
              </w:rPr>
            </w:pPr>
          </w:p>
        </w:tc>
        <w:tc>
          <w:tcPr>
            <w:tcW w:w="1136" w:type="dxa"/>
          </w:tcPr>
          <w:p w14:paraId="1AC38429" w14:textId="77777777" w:rsidR="00C40344" w:rsidRPr="00C40344" w:rsidRDefault="00C40344" w:rsidP="003B0B17">
            <w:pPr>
              <w:numPr>
                <w:ilvl w:val="0"/>
                <w:numId w:val="209"/>
              </w:numPr>
              <w:suppressAutoHyphens/>
              <w:spacing w:before="40" w:after="40" w:line="200" w:lineRule="atLeast"/>
              <w:contextualSpacing/>
              <w:rPr>
                <w:rFonts w:eastAsia="Times New Roman" w:cs="Arial"/>
              </w:rPr>
            </w:pPr>
          </w:p>
        </w:tc>
        <w:tc>
          <w:tcPr>
            <w:tcW w:w="1264" w:type="dxa"/>
          </w:tcPr>
          <w:p w14:paraId="59B1D30A" w14:textId="77777777" w:rsidR="00C40344" w:rsidRPr="00C40344" w:rsidRDefault="00C40344">
            <w:pPr>
              <w:suppressAutoHyphens/>
              <w:spacing w:before="40" w:after="40" w:line="200" w:lineRule="atLeast"/>
              <w:rPr>
                <w:rFonts w:eastAsia="Times New Roman" w:cs="Arial"/>
              </w:rPr>
            </w:pPr>
          </w:p>
        </w:tc>
      </w:tr>
      <w:tr w:rsidR="00C40344" w:rsidRPr="0001351D" w14:paraId="128A605C"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32ABF6BC" w14:textId="77777777" w:rsidR="00C40344" w:rsidRPr="00C40344" w:rsidRDefault="00C40344">
            <w:pPr>
              <w:suppressAutoHyphens/>
              <w:spacing w:before="40" w:after="40" w:line="200" w:lineRule="atLeast"/>
              <w:rPr>
                <w:rFonts w:eastAsia="Times New Roman" w:cs="Arial"/>
              </w:rPr>
            </w:pPr>
            <w:r w:rsidRPr="00C40344">
              <w:rPr>
                <w:rFonts w:cs="Arial"/>
              </w:rPr>
              <w:t>Functional Emotional Assessment Scale (FEAS)</w:t>
            </w:r>
          </w:p>
        </w:tc>
        <w:tc>
          <w:tcPr>
            <w:tcW w:w="1008" w:type="dxa"/>
          </w:tcPr>
          <w:p w14:paraId="0A255381" w14:textId="77777777" w:rsidR="00C40344" w:rsidRPr="00C40344" w:rsidRDefault="00C40344">
            <w:pPr>
              <w:suppressAutoHyphens/>
              <w:spacing w:before="40" w:after="40" w:line="200" w:lineRule="atLeast"/>
              <w:rPr>
                <w:rFonts w:eastAsia="Times New Roman" w:cs="Arial"/>
              </w:rPr>
            </w:pPr>
          </w:p>
        </w:tc>
        <w:tc>
          <w:tcPr>
            <w:tcW w:w="1136" w:type="dxa"/>
          </w:tcPr>
          <w:p w14:paraId="55014119" w14:textId="77777777" w:rsidR="00C40344" w:rsidRPr="00C40344" w:rsidRDefault="00C40344">
            <w:pPr>
              <w:suppressAutoHyphens/>
              <w:spacing w:before="40" w:after="40" w:line="200" w:lineRule="atLeast"/>
              <w:rPr>
                <w:rFonts w:eastAsia="Times New Roman" w:cs="Arial"/>
              </w:rPr>
            </w:pPr>
          </w:p>
        </w:tc>
        <w:tc>
          <w:tcPr>
            <w:tcW w:w="1136" w:type="dxa"/>
          </w:tcPr>
          <w:p w14:paraId="2C2B2FA1" w14:textId="77777777" w:rsidR="00C40344" w:rsidRPr="00C40344" w:rsidRDefault="00C40344" w:rsidP="003B0B17">
            <w:pPr>
              <w:numPr>
                <w:ilvl w:val="0"/>
                <w:numId w:val="208"/>
              </w:numPr>
              <w:suppressAutoHyphens/>
              <w:spacing w:before="40" w:after="40" w:line="200" w:lineRule="atLeast"/>
              <w:contextualSpacing/>
              <w:rPr>
                <w:rFonts w:eastAsia="Times New Roman" w:cs="Arial"/>
              </w:rPr>
            </w:pPr>
          </w:p>
        </w:tc>
        <w:tc>
          <w:tcPr>
            <w:tcW w:w="1264" w:type="dxa"/>
          </w:tcPr>
          <w:p w14:paraId="0FCEFB46" w14:textId="77777777" w:rsidR="00C40344" w:rsidRPr="00C40344" w:rsidRDefault="00C40344">
            <w:pPr>
              <w:suppressAutoHyphens/>
              <w:spacing w:before="40" w:after="40" w:line="200" w:lineRule="atLeast"/>
              <w:rPr>
                <w:rFonts w:eastAsia="Times New Roman" w:cs="Arial"/>
              </w:rPr>
            </w:pPr>
          </w:p>
        </w:tc>
      </w:tr>
      <w:tr w:rsidR="00C40344" w:rsidRPr="0001351D" w14:paraId="7F4766D3"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619F582D" w14:textId="77777777" w:rsidR="00C40344" w:rsidRPr="00C40344" w:rsidRDefault="00C40344">
            <w:pPr>
              <w:suppressAutoHyphens/>
              <w:spacing w:before="40" w:after="40" w:line="200" w:lineRule="atLeast"/>
              <w:rPr>
                <w:rFonts w:eastAsia="Times New Roman" w:cs="Arial"/>
              </w:rPr>
            </w:pPr>
            <w:r w:rsidRPr="00C40344">
              <w:rPr>
                <w:rFonts w:cs="Arial"/>
              </w:rPr>
              <w:t>Global Clinical Impression (GCI-S, GCI-I)</w:t>
            </w:r>
          </w:p>
        </w:tc>
        <w:tc>
          <w:tcPr>
            <w:tcW w:w="1008" w:type="dxa"/>
          </w:tcPr>
          <w:p w14:paraId="39069D60" w14:textId="77777777" w:rsidR="00C40344" w:rsidRPr="00C40344" w:rsidRDefault="00C40344">
            <w:pPr>
              <w:suppressAutoHyphens/>
              <w:spacing w:before="40" w:after="40" w:line="200" w:lineRule="atLeast"/>
              <w:rPr>
                <w:rFonts w:eastAsia="Times New Roman" w:cs="Arial"/>
              </w:rPr>
            </w:pPr>
          </w:p>
        </w:tc>
        <w:tc>
          <w:tcPr>
            <w:tcW w:w="1136" w:type="dxa"/>
          </w:tcPr>
          <w:p w14:paraId="4DD03C59"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136" w:type="dxa"/>
          </w:tcPr>
          <w:p w14:paraId="48A7FF51" w14:textId="77777777" w:rsidR="00C40344" w:rsidRPr="00C40344" w:rsidRDefault="00C40344">
            <w:pPr>
              <w:suppressAutoHyphens/>
              <w:spacing w:before="40" w:after="40" w:line="200" w:lineRule="atLeast"/>
              <w:rPr>
                <w:rFonts w:eastAsia="Times New Roman" w:cs="Arial"/>
              </w:rPr>
            </w:pPr>
          </w:p>
        </w:tc>
        <w:tc>
          <w:tcPr>
            <w:tcW w:w="1264" w:type="dxa"/>
          </w:tcPr>
          <w:p w14:paraId="6FFAB039" w14:textId="77777777" w:rsidR="00C40344" w:rsidRPr="00C40344" w:rsidRDefault="00C40344">
            <w:pPr>
              <w:suppressAutoHyphens/>
              <w:spacing w:before="40" w:after="40" w:line="200" w:lineRule="atLeast"/>
              <w:rPr>
                <w:rFonts w:eastAsia="Times New Roman" w:cs="Arial"/>
              </w:rPr>
            </w:pPr>
          </w:p>
        </w:tc>
      </w:tr>
      <w:tr w:rsidR="00C40344" w:rsidRPr="0001351D" w14:paraId="2D529A29"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7140B10C" w14:textId="77777777" w:rsidR="00C40344" w:rsidRPr="00C40344" w:rsidRDefault="00C40344">
            <w:pPr>
              <w:suppressAutoHyphens/>
              <w:spacing w:before="40" w:after="40" w:line="200" w:lineRule="atLeast"/>
              <w:rPr>
                <w:rFonts w:eastAsia="Times New Roman" w:cs="Arial"/>
              </w:rPr>
            </w:pPr>
            <w:r w:rsidRPr="00C40344">
              <w:rPr>
                <w:rFonts w:cs="Arial"/>
              </w:rPr>
              <w:t>Infant and Toddler Quality of Life Questionnaire (ITQL)</w:t>
            </w:r>
          </w:p>
        </w:tc>
        <w:tc>
          <w:tcPr>
            <w:tcW w:w="1008" w:type="dxa"/>
          </w:tcPr>
          <w:p w14:paraId="59D51810" w14:textId="77777777" w:rsidR="00C40344" w:rsidRPr="00C40344" w:rsidRDefault="00C40344">
            <w:pPr>
              <w:suppressAutoHyphens/>
              <w:spacing w:before="40" w:after="40" w:line="200" w:lineRule="atLeast"/>
              <w:rPr>
                <w:rFonts w:eastAsia="Times New Roman" w:cs="Arial"/>
              </w:rPr>
            </w:pPr>
          </w:p>
        </w:tc>
        <w:tc>
          <w:tcPr>
            <w:tcW w:w="1136" w:type="dxa"/>
          </w:tcPr>
          <w:p w14:paraId="5F08FDA5" w14:textId="77777777" w:rsidR="00C40344" w:rsidRPr="00C40344" w:rsidRDefault="00C40344">
            <w:pPr>
              <w:suppressAutoHyphens/>
              <w:spacing w:before="40" w:after="40" w:line="200" w:lineRule="atLeast"/>
              <w:rPr>
                <w:rFonts w:eastAsia="Times New Roman" w:cs="Arial"/>
              </w:rPr>
            </w:pPr>
          </w:p>
        </w:tc>
        <w:tc>
          <w:tcPr>
            <w:tcW w:w="1136" w:type="dxa"/>
          </w:tcPr>
          <w:p w14:paraId="76F788FE" w14:textId="77777777" w:rsidR="00C40344" w:rsidRPr="00C40344" w:rsidRDefault="00C40344">
            <w:pPr>
              <w:suppressAutoHyphens/>
              <w:spacing w:before="40" w:after="40" w:line="200" w:lineRule="atLeast"/>
              <w:rPr>
                <w:rFonts w:eastAsia="Times New Roman" w:cs="Arial"/>
              </w:rPr>
            </w:pPr>
          </w:p>
        </w:tc>
        <w:tc>
          <w:tcPr>
            <w:tcW w:w="1264" w:type="dxa"/>
          </w:tcPr>
          <w:p w14:paraId="114F6140"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r>
      <w:tr w:rsidR="00C40344" w:rsidRPr="0001351D" w14:paraId="28BEEF5A"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54F0DC6D" w14:textId="77777777" w:rsidR="00C40344" w:rsidRPr="00C40344" w:rsidRDefault="00C40344">
            <w:pPr>
              <w:suppressAutoHyphens/>
              <w:spacing w:before="40" w:after="40" w:line="200" w:lineRule="atLeast"/>
              <w:rPr>
                <w:rFonts w:eastAsia="Times New Roman" w:cs="Arial"/>
              </w:rPr>
            </w:pPr>
            <w:r w:rsidRPr="00C40344">
              <w:rPr>
                <w:rFonts w:cs="Arial"/>
              </w:rPr>
              <w:t>Infant Motor Profile (IMP)</w:t>
            </w:r>
          </w:p>
        </w:tc>
        <w:tc>
          <w:tcPr>
            <w:tcW w:w="1008" w:type="dxa"/>
          </w:tcPr>
          <w:p w14:paraId="37453104" w14:textId="77777777" w:rsidR="00C40344" w:rsidRPr="00C40344" w:rsidRDefault="00C40344">
            <w:pPr>
              <w:suppressAutoHyphens/>
              <w:spacing w:before="40" w:after="40" w:line="200" w:lineRule="atLeast"/>
              <w:rPr>
                <w:rFonts w:eastAsia="Times New Roman" w:cs="Arial"/>
              </w:rPr>
            </w:pPr>
          </w:p>
        </w:tc>
        <w:tc>
          <w:tcPr>
            <w:tcW w:w="1136" w:type="dxa"/>
          </w:tcPr>
          <w:p w14:paraId="7476441C" w14:textId="77777777" w:rsidR="00C40344" w:rsidRPr="00C40344" w:rsidRDefault="00C40344">
            <w:pPr>
              <w:suppressAutoHyphens/>
              <w:spacing w:before="40" w:after="40" w:line="200" w:lineRule="atLeast"/>
              <w:rPr>
                <w:rFonts w:eastAsia="Times New Roman" w:cs="Arial"/>
              </w:rPr>
            </w:pPr>
          </w:p>
        </w:tc>
        <w:tc>
          <w:tcPr>
            <w:tcW w:w="1136" w:type="dxa"/>
          </w:tcPr>
          <w:p w14:paraId="781FE852" w14:textId="77777777" w:rsidR="00C40344" w:rsidRPr="00C40344" w:rsidRDefault="00C40344" w:rsidP="003B0B17">
            <w:pPr>
              <w:numPr>
                <w:ilvl w:val="0"/>
                <w:numId w:val="207"/>
              </w:numPr>
              <w:suppressAutoHyphens/>
              <w:spacing w:before="40" w:after="40" w:line="200" w:lineRule="atLeast"/>
              <w:contextualSpacing/>
              <w:rPr>
                <w:rFonts w:eastAsia="Times New Roman" w:cs="Arial"/>
              </w:rPr>
            </w:pPr>
          </w:p>
        </w:tc>
        <w:tc>
          <w:tcPr>
            <w:tcW w:w="1264" w:type="dxa"/>
          </w:tcPr>
          <w:p w14:paraId="7B207F42" w14:textId="77777777" w:rsidR="00C40344" w:rsidRPr="00C40344" w:rsidRDefault="00C40344">
            <w:pPr>
              <w:suppressAutoHyphens/>
              <w:spacing w:before="40" w:after="40" w:line="200" w:lineRule="atLeast"/>
              <w:rPr>
                <w:rFonts w:eastAsia="Times New Roman" w:cs="Arial"/>
              </w:rPr>
            </w:pPr>
          </w:p>
        </w:tc>
      </w:tr>
      <w:tr w:rsidR="00C40344" w:rsidRPr="0001351D" w14:paraId="23D5AD87"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3FF12A95" w14:textId="77777777" w:rsidR="00C40344" w:rsidRPr="00C40344" w:rsidRDefault="00C40344">
            <w:pPr>
              <w:suppressAutoHyphens/>
              <w:spacing w:before="40" w:after="40" w:line="200" w:lineRule="atLeast"/>
              <w:rPr>
                <w:rFonts w:eastAsia="Times New Roman" w:cs="Arial"/>
              </w:rPr>
            </w:pPr>
            <w:r w:rsidRPr="00C40344">
              <w:rPr>
                <w:rFonts w:cs="Arial"/>
              </w:rPr>
              <w:t>Language ENvironment Analysis (LENA)</w:t>
            </w:r>
          </w:p>
        </w:tc>
        <w:tc>
          <w:tcPr>
            <w:tcW w:w="1008" w:type="dxa"/>
          </w:tcPr>
          <w:p w14:paraId="21FB7CA2" w14:textId="77777777" w:rsidR="00C40344" w:rsidRPr="00C40344" w:rsidRDefault="00C40344">
            <w:pPr>
              <w:suppressAutoHyphens/>
              <w:spacing w:before="40" w:after="40" w:line="200" w:lineRule="atLeast"/>
              <w:rPr>
                <w:rFonts w:eastAsia="Times New Roman" w:cs="Arial"/>
              </w:rPr>
            </w:pPr>
          </w:p>
        </w:tc>
        <w:tc>
          <w:tcPr>
            <w:tcW w:w="1136" w:type="dxa"/>
          </w:tcPr>
          <w:p w14:paraId="47E918E9" w14:textId="77777777" w:rsidR="00C40344" w:rsidRPr="00C40344" w:rsidRDefault="00C40344">
            <w:pPr>
              <w:suppressAutoHyphens/>
              <w:spacing w:before="40" w:after="40" w:line="200" w:lineRule="atLeast"/>
              <w:rPr>
                <w:rFonts w:eastAsia="Times New Roman" w:cs="Arial"/>
              </w:rPr>
            </w:pPr>
          </w:p>
        </w:tc>
        <w:tc>
          <w:tcPr>
            <w:tcW w:w="1136" w:type="dxa"/>
          </w:tcPr>
          <w:p w14:paraId="546D761D" w14:textId="77777777" w:rsidR="00C40344" w:rsidRPr="00C40344" w:rsidRDefault="00C40344" w:rsidP="003B0B17">
            <w:pPr>
              <w:numPr>
                <w:ilvl w:val="0"/>
                <w:numId w:val="206"/>
              </w:numPr>
              <w:suppressAutoHyphens/>
              <w:spacing w:before="40" w:after="40" w:line="200" w:lineRule="atLeast"/>
              <w:contextualSpacing/>
              <w:rPr>
                <w:rFonts w:eastAsia="Times New Roman" w:cs="Arial"/>
              </w:rPr>
            </w:pPr>
          </w:p>
        </w:tc>
        <w:tc>
          <w:tcPr>
            <w:tcW w:w="1264" w:type="dxa"/>
          </w:tcPr>
          <w:p w14:paraId="06591DB7" w14:textId="77777777" w:rsidR="00C40344" w:rsidRPr="00C40344" w:rsidRDefault="00C40344">
            <w:pPr>
              <w:suppressAutoHyphens/>
              <w:spacing w:before="40" w:after="40" w:line="200" w:lineRule="atLeast"/>
              <w:rPr>
                <w:rFonts w:eastAsia="Times New Roman" w:cs="Arial"/>
              </w:rPr>
            </w:pPr>
          </w:p>
        </w:tc>
      </w:tr>
      <w:tr w:rsidR="00C40344" w:rsidRPr="0001351D" w14:paraId="1C3261AC"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576EE8C9" w14:textId="77777777" w:rsidR="00C40344" w:rsidRPr="00C40344" w:rsidRDefault="00C40344">
            <w:pPr>
              <w:suppressAutoHyphens/>
              <w:spacing w:before="40" w:after="40" w:line="200" w:lineRule="atLeast"/>
              <w:rPr>
                <w:rFonts w:eastAsia="Times New Roman" w:cs="Arial"/>
              </w:rPr>
            </w:pPr>
            <w:r w:rsidRPr="00C40344">
              <w:rPr>
                <w:rFonts w:cs="Arial"/>
              </w:rPr>
              <w:t>Manchester Assessment of Caregiver-Infant Interaction (MACI)</w:t>
            </w:r>
          </w:p>
        </w:tc>
        <w:tc>
          <w:tcPr>
            <w:tcW w:w="1008" w:type="dxa"/>
          </w:tcPr>
          <w:p w14:paraId="54E55191" w14:textId="77777777" w:rsidR="00C40344" w:rsidRPr="00C40344" w:rsidRDefault="00C40344">
            <w:pPr>
              <w:suppressAutoHyphens/>
              <w:spacing w:before="40" w:after="40" w:line="200" w:lineRule="atLeast"/>
              <w:rPr>
                <w:rFonts w:eastAsia="Times New Roman" w:cs="Arial"/>
              </w:rPr>
            </w:pPr>
          </w:p>
        </w:tc>
        <w:tc>
          <w:tcPr>
            <w:tcW w:w="1136" w:type="dxa"/>
          </w:tcPr>
          <w:p w14:paraId="7C770CC0" w14:textId="77777777" w:rsidR="00C40344" w:rsidRPr="00C40344" w:rsidRDefault="00C40344">
            <w:pPr>
              <w:suppressAutoHyphens/>
              <w:spacing w:before="40" w:after="40" w:line="200" w:lineRule="atLeast"/>
              <w:rPr>
                <w:rFonts w:eastAsia="Times New Roman" w:cs="Arial"/>
              </w:rPr>
            </w:pPr>
          </w:p>
        </w:tc>
        <w:tc>
          <w:tcPr>
            <w:tcW w:w="1136" w:type="dxa"/>
          </w:tcPr>
          <w:p w14:paraId="7E312339" w14:textId="77777777" w:rsidR="00C40344" w:rsidRPr="00C40344" w:rsidRDefault="00C40344" w:rsidP="003B0B17">
            <w:pPr>
              <w:numPr>
                <w:ilvl w:val="0"/>
                <w:numId w:val="205"/>
              </w:numPr>
              <w:suppressAutoHyphens/>
              <w:spacing w:before="40" w:after="40" w:line="200" w:lineRule="atLeast"/>
              <w:contextualSpacing/>
              <w:rPr>
                <w:rFonts w:eastAsia="Times New Roman" w:cs="Arial"/>
              </w:rPr>
            </w:pPr>
          </w:p>
        </w:tc>
        <w:tc>
          <w:tcPr>
            <w:tcW w:w="1264" w:type="dxa"/>
          </w:tcPr>
          <w:p w14:paraId="3E213D1D" w14:textId="77777777" w:rsidR="00C40344" w:rsidRPr="00C40344" w:rsidRDefault="00C40344">
            <w:pPr>
              <w:suppressAutoHyphens/>
              <w:spacing w:before="40" w:after="40" w:line="200" w:lineRule="atLeast"/>
              <w:rPr>
                <w:rFonts w:eastAsia="Times New Roman" w:cs="Arial"/>
              </w:rPr>
            </w:pPr>
          </w:p>
        </w:tc>
      </w:tr>
      <w:tr w:rsidR="00C40344" w:rsidRPr="0001351D" w14:paraId="32AB0199"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53D9B8AF" w14:textId="77777777" w:rsidR="00C40344" w:rsidRPr="00C40344" w:rsidRDefault="00C40344">
            <w:pPr>
              <w:suppressAutoHyphens/>
              <w:spacing w:before="40" w:after="40" w:line="200" w:lineRule="atLeast"/>
              <w:rPr>
                <w:rFonts w:eastAsia="Times New Roman" w:cs="Arial"/>
              </w:rPr>
            </w:pPr>
            <w:r w:rsidRPr="00C40344">
              <w:rPr>
                <w:rFonts w:cs="Arial"/>
              </w:rPr>
              <w:t xml:space="preserve">MacArthur Communicative Development Inventories (MCDI) </w:t>
            </w:r>
          </w:p>
        </w:tc>
        <w:tc>
          <w:tcPr>
            <w:tcW w:w="1008" w:type="dxa"/>
          </w:tcPr>
          <w:p w14:paraId="628EEA10" w14:textId="77777777" w:rsidR="00C40344" w:rsidRPr="00C40344" w:rsidRDefault="00C40344">
            <w:pPr>
              <w:suppressAutoHyphens/>
              <w:spacing w:before="40" w:after="40" w:line="200" w:lineRule="atLeast"/>
              <w:rPr>
                <w:rFonts w:eastAsia="Times New Roman" w:cs="Arial"/>
              </w:rPr>
            </w:pPr>
          </w:p>
        </w:tc>
        <w:tc>
          <w:tcPr>
            <w:tcW w:w="1136" w:type="dxa"/>
          </w:tcPr>
          <w:p w14:paraId="1FB65583" w14:textId="77777777" w:rsidR="00C40344" w:rsidRPr="00C40344" w:rsidRDefault="00C40344">
            <w:pPr>
              <w:suppressAutoHyphens/>
              <w:spacing w:before="40" w:after="40" w:line="200" w:lineRule="atLeast"/>
              <w:rPr>
                <w:rFonts w:eastAsia="Times New Roman" w:cs="Arial"/>
              </w:rPr>
            </w:pPr>
          </w:p>
        </w:tc>
        <w:tc>
          <w:tcPr>
            <w:tcW w:w="1136" w:type="dxa"/>
          </w:tcPr>
          <w:p w14:paraId="30FB3312" w14:textId="77777777" w:rsidR="00C40344" w:rsidRPr="00C40344" w:rsidRDefault="00C40344" w:rsidP="003B0B17">
            <w:pPr>
              <w:numPr>
                <w:ilvl w:val="0"/>
                <w:numId w:val="204"/>
              </w:numPr>
              <w:suppressAutoHyphens/>
              <w:spacing w:before="40" w:after="40" w:line="200" w:lineRule="atLeast"/>
              <w:contextualSpacing/>
              <w:rPr>
                <w:rFonts w:eastAsia="Times New Roman" w:cs="Arial"/>
              </w:rPr>
            </w:pPr>
          </w:p>
        </w:tc>
        <w:tc>
          <w:tcPr>
            <w:tcW w:w="1264" w:type="dxa"/>
          </w:tcPr>
          <w:p w14:paraId="2FE30106" w14:textId="77777777" w:rsidR="00C40344" w:rsidRPr="00C40344" w:rsidRDefault="00C40344">
            <w:pPr>
              <w:suppressAutoHyphens/>
              <w:spacing w:before="40" w:after="40" w:line="200" w:lineRule="atLeast"/>
              <w:rPr>
                <w:rFonts w:eastAsia="Times New Roman" w:cs="Arial"/>
              </w:rPr>
            </w:pPr>
          </w:p>
        </w:tc>
      </w:tr>
      <w:tr w:rsidR="00C40344" w:rsidRPr="0001351D" w14:paraId="3E0E1526"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656909D2" w14:textId="77777777" w:rsidR="00C40344" w:rsidRPr="00C40344" w:rsidRDefault="00C40344">
            <w:pPr>
              <w:suppressAutoHyphens/>
              <w:spacing w:before="40" w:after="40" w:line="200" w:lineRule="atLeast"/>
              <w:rPr>
                <w:rFonts w:eastAsia="Times New Roman" w:cs="Arial"/>
              </w:rPr>
            </w:pPr>
            <w:r w:rsidRPr="00C40344">
              <w:rPr>
                <w:rFonts w:cs="Arial"/>
              </w:rPr>
              <w:t>Maternal Behavior Rating Scale (MBRS, MBRS-R)</w:t>
            </w:r>
          </w:p>
        </w:tc>
        <w:tc>
          <w:tcPr>
            <w:tcW w:w="1008" w:type="dxa"/>
          </w:tcPr>
          <w:p w14:paraId="09AAA2D2" w14:textId="77777777" w:rsidR="00C40344" w:rsidRPr="00C40344" w:rsidRDefault="00C40344">
            <w:pPr>
              <w:suppressAutoHyphens/>
              <w:spacing w:before="40" w:after="40" w:line="200" w:lineRule="atLeast"/>
              <w:rPr>
                <w:rFonts w:eastAsia="Times New Roman" w:cs="Arial"/>
              </w:rPr>
            </w:pPr>
          </w:p>
        </w:tc>
        <w:tc>
          <w:tcPr>
            <w:tcW w:w="1136" w:type="dxa"/>
          </w:tcPr>
          <w:p w14:paraId="72350A7C" w14:textId="77777777" w:rsidR="00C40344" w:rsidRPr="00C40344" w:rsidRDefault="00C40344">
            <w:pPr>
              <w:suppressAutoHyphens/>
              <w:spacing w:before="40" w:after="40" w:line="200" w:lineRule="atLeast"/>
              <w:rPr>
                <w:rFonts w:eastAsia="Times New Roman" w:cs="Arial"/>
              </w:rPr>
            </w:pPr>
          </w:p>
        </w:tc>
        <w:tc>
          <w:tcPr>
            <w:tcW w:w="1136" w:type="dxa"/>
          </w:tcPr>
          <w:p w14:paraId="77E019B9" w14:textId="77777777" w:rsidR="00C40344" w:rsidRPr="00C40344" w:rsidRDefault="00C40344" w:rsidP="003B0B17">
            <w:pPr>
              <w:numPr>
                <w:ilvl w:val="0"/>
                <w:numId w:val="203"/>
              </w:numPr>
              <w:suppressAutoHyphens/>
              <w:spacing w:before="40" w:after="40" w:line="200" w:lineRule="atLeast"/>
              <w:contextualSpacing/>
              <w:rPr>
                <w:rFonts w:eastAsia="Times New Roman" w:cs="Arial"/>
              </w:rPr>
            </w:pPr>
          </w:p>
        </w:tc>
        <w:tc>
          <w:tcPr>
            <w:tcW w:w="1264" w:type="dxa"/>
          </w:tcPr>
          <w:p w14:paraId="6B47D6F3" w14:textId="77777777" w:rsidR="00C40344" w:rsidRPr="00C40344" w:rsidRDefault="00C40344">
            <w:pPr>
              <w:suppressAutoHyphens/>
              <w:spacing w:before="40" w:after="40" w:line="200" w:lineRule="atLeast"/>
              <w:rPr>
                <w:rFonts w:eastAsia="Times New Roman" w:cs="Arial"/>
              </w:rPr>
            </w:pPr>
          </w:p>
        </w:tc>
      </w:tr>
      <w:tr w:rsidR="00C40344" w:rsidRPr="0001351D" w14:paraId="73C2F134"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3D4E29CC" w14:textId="77777777" w:rsidR="00C40344" w:rsidRPr="00C40344" w:rsidRDefault="00C40344">
            <w:pPr>
              <w:suppressAutoHyphens/>
              <w:spacing w:before="40" w:after="40" w:line="200" w:lineRule="atLeast"/>
              <w:rPr>
                <w:rFonts w:eastAsia="Times New Roman" w:cs="Arial"/>
              </w:rPr>
            </w:pPr>
            <w:r w:rsidRPr="00C40344">
              <w:rPr>
                <w:rFonts w:cs="Arial"/>
              </w:rPr>
              <w:t>Modified Classroom Observation Schedule to Measure Intentional Communication (M-COSMIC)</w:t>
            </w:r>
          </w:p>
        </w:tc>
        <w:tc>
          <w:tcPr>
            <w:tcW w:w="1008" w:type="dxa"/>
          </w:tcPr>
          <w:p w14:paraId="7AA64C86" w14:textId="77777777" w:rsidR="00C40344" w:rsidRPr="00C40344" w:rsidRDefault="00C40344">
            <w:pPr>
              <w:suppressAutoHyphens/>
              <w:spacing w:before="40" w:after="40" w:line="200" w:lineRule="atLeast"/>
              <w:rPr>
                <w:rFonts w:eastAsia="Times New Roman" w:cs="Arial"/>
              </w:rPr>
            </w:pPr>
          </w:p>
        </w:tc>
        <w:tc>
          <w:tcPr>
            <w:tcW w:w="1136" w:type="dxa"/>
          </w:tcPr>
          <w:p w14:paraId="58D2B394" w14:textId="77777777" w:rsidR="00C40344" w:rsidRPr="00C40344" w:rsidRDefault="00C40344">
            <w:pPr>
              <w:suppressAutoHyphens/>
              <w:spacing w:before="40" w:after="40" w:line="200" w:lineRule="atLeast"/>
              <w:rPr>
                <w:rFonts w:eastAsia="Times New Roman" w:cs="Arial"/>
              </w:rPr>
            </w:pPr>
          </w:p>
        </w:tc>
        <w:tc>
          <w:tcPr>
            <w:tcW w:w="1136" w:type="dxa"/>
          </w:tcPr>
          <w:p w14:paraId="26401B32" w14:textId="77777777" w:rsidR="00C40344" w:rsidRPr="00C40344" w:rsidRDefault="00C40344" w:rsidP="003B0B17">
            <w:pPr>
              <w:numPr>
                <w:ilvl w:val="0"/>
                <w:numId w:val="202"/>
              </w:numPr>
              <w:suppressAutoHyphens/>
              <w:spacing w:before="40" w:after="40" w:line="200" w:lineRule="atLeast"/>
              <w:contextualSpacing/>
              <w:rPr>
                <w:rFonts w:eastAsia="Times New Roman" w:cs="Arial"/>
              </w:rPr>
            </w:pPr>
          </w:p>
        </w:tc>
        <w:tc>
          <w:tcPr>
            <w:tcW w:w="1264" w:type="dxa"/>
          </w:tcPr>
          <w:p w14:paraId="04600C42" w14:textId="77777777" w:rsidR="00C40344" w:rsidRPr="00C40344" w:rsidRDefault="00C40344">
            <w:pPr>
              <w:suppressAutoHyphens/>
              <w:spacing w:before="40" w:after="40" w:line="200" w:lineRule="atLeast"/>
              <w:rPr>
                <w:rFonts w:eastAsia="Times New Roman" w:cs="Arial"/>
              </w:rPr>
            </w:pPr>
          </w:p>
        </w:tc>
      </w:tr>
      <w:tr w:rsidR="00C40344" w:rsidRPr="0001351D" w14:paraId="5E8089F0"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18AC3EB2" w14:textId="77777777" w:rsidR="00C40344" w:rsidRPr="00C40344" w:rsidRDefault="00C40344">
            <w:pPr>
              <w:suppressAutoHyphens/>
              <w:spacing w:before="40" w:after="40" w:line="200" w:lineRule="atLeast"/>
              <w:rPr>
                <w:rFonts w:eastAsia="Times New Roman" w:cs="Arial"/>
              </w:rPr>
            </w:pPr>
            <w:r w:rsidRPr="00C40344">
              <w:rPr>
                <w:rFonts w:cs="Arial"/>
              </w:rPr>
              <w:t>Modified Simonds &amp; Parraga Sleep Questionnaire-Composite Sleep Index (MSPSQ – CSI)</w:t>
            </w:r>
          </w:p>
        </w:tc>
        <w:tc>
          <w:tcPr>
            <w:tcW w:w="1008" w:type="dxa"/>
          </w:tcPr>
          <w:p w14:paraId="22EDEE3C" w14:textId="77777777" w:rsidR="00C40344" w:rsidRPr="00C40344" w:rsidRDefault="00C40344">
            <w:pPr>
              <w:suppressAutoHyphens/>
              <w:spacing w:before="40" w:after="40" w:line="200" w:lineRule="atLeast"/>
              <w:rPr>
                <w:rFonts w:eastAsia="Times New Roman" w:cs="Arial"/>
              </w:rPr>
            </w:pPr>
          </w:p>
        </w:tc>
        <w:tc>
          <w:tcPr>
            <w:tcW w:w="1136" w:type="dxa"/>
          </w:tcPr>
          <w:p w14:paraId="1CD936C9"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136" w:type="dxa"/>
          </w:tcPr>
          <w:p w14:paraId="54177F55" w14:textId="77777777" w:rsidR="00C40344" w:rsidRPr="00C40344" w:rsidRDefault="00C40344">
            <w:pPr>
              <w:suppressAutoHyphens/>
              <w:spacing w:before="40" w:after="40" w:line="200" w:lineRule="atLeast"/>
              <w:rPr>
                <w:rFonts w:eastAsia="Times New Roman" w:cs="Arial"/>
              </w:rPr>
            </w:pPr>
          </w:p>
        </w:tc>
        <w:tc>
          <w:tcPr>
            <w:tcW w:w="1264" w:type="dxa"/>
          </w:tcPr>
          <w:p w14:paraId="247CB034" w14:textId="77777777" w:rsidR="00C40344" w:rsidRPr="00C40344" w:rsidRDefault="00C40344">
            <w:pPr>
              <w:suppressAutoHyphens/>
              <w:spacing w:before="40" w:after="40" w:line="200" w:lineRule="atLeast"/>
              <w:rPr>
                <w:rFonts w:eastAsia="Times New Roman" w:cs="Arial"/>
              </w:rPr>
            </w:pPr>
          </w:p>
        </w:tc>
      </w:tr>
      <w:tr w:rsidR="00C40344" w:rsidRPr="0001351D" w14:paraId="6CB46843"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0438AE3B" w14:textId="77777777" w:rsidR="00C40344" w:rsidRPr="00C40344" w:rsidRDefault="00C40344">
            <w:pPr>
              <w:suppressAutoHyphens/>
              <w:spacing w:before="40" w:after="40" w:line="200" w:lineRule="atLeast"/>
              <w:rPr>
                <w:rFonts w:eastAsia="Times New Roman" w:cs="Arial"/>
              </w:rPr>
            </w:pPr>
            <w:r w:rsidRPr="00C40344">
              <w:rPr>
                <w:rFonts w:cs="Arial"/>
              </w:rPr>
              <w:t>Mullen Scales of Early Learning (MSEL)</w:t>
            </w:r>
          </w:p>
        </w:tc>
        <w:tc>
          <w:tcPr>
            <w:tcW w:w="1008" w:type="dxa"/>
          </w:tcPr>
          <w:p w14:paraId="0D80D272" w14:textId="77777777" w:rsidR="00C40344" w:rsidRPr="00C40344" w:rsidRDefault="00C40344">
            <w:pPr>
              <w:suppressAutoHyphens/>
              <w:spacing w:before="40" w:after="40" w:line="200" w:lineRule="atLeast"/>
              <w:rPr>
                <w:rFonts w:eastAsia="Times New Roman" w:cs="Arial"/>
              </w:rPr>
            </w:pPr>
          </w:p>
        </w:tc>
        <w:tc>
          <w:tcPr>
            <w:tcW w:w="1136" w:type="dxa"/>
          </w:tcPr>
          <w:p w14:paraId="22161E0E" w14:textId="77777777" w:rsidR="00C40344" w:rsidRPr="00C40344" w:rsidRDefault="00C40344">
            <w:pPr>
              <w:suppressAutoHyphens/>
              <w:spacing w:before="40" w:after="40" w:line="200" w:lineRule="atLeast"/>
              <w:ind w:left="720"/>
              <w:contextualSpacing/>
              <w:rPr>
                <w:rFonts w:eastAsia="Times New Roman" w:cs="Arial"/>
              </w:rPr>
            </w:pPr>
          </w:p>
        </w:tc>
        <w:tc>
          <w:tcPr>
            <w:tcW w:w="1136" w:type="dxa"/>
          </w:tcPr>
          <w:p w14:paraId="458BD33B" w14:textId="77777777" w:rsidR="00C40344" w:rsidRPr="00C40344" w:rsidRDefault="00C40344" w:rsidP="003B0B17">
            <w:pPr>
              <w:numPr>
                <w:ilvl w:val="0"/>
                <w:numId w:val="201"/>
              </w:numPr>
              <w:suppressAutoHyphens/>
              <w:spacing w:before="40" w:after="40" w:line="200" w:lineRule="atLeast"/>
              <w:contextualSpacing/>
              <w:rPr>
                <w:rFonts w:eastAsia="Times New Roman" w:cs="Arial"/>
              </w:rPr>
            </w:pPr>
          </w:p>
        </w:tc>
        <w:tc>
          <w:tcPr>
            <w:tcW w:w="1264" w:type="dxa"/>
          </w:tcPr>
          <w:p w14:paraId="2033579A" w14:textId="77777777" w:rsidR="00C40344" w:rsidRPr="00C40344" w:rsidRDefault="00C40344">
            <w:pPr>
              <w:suppressAutoHyphens/>
              <w:spacing w:before="40" w:after="40" w:line="200" w:lineRule="atLeast"/>
              <w:rPr>
                <w:rFonts w:eastAsia="Times New Roman" w:cs="Arial"/>
              </w:rPr>
            </w:pPr>
          </w:p>
        </w:tc>
      </w:tr>
      <w:tr w:rsidR="00C40344" w:rsidRPr="0001351D" w14:paraId="0DFE2010"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6010D0D1" w14:textId="77777777" w:rsidR="00C40344" w:rsidRPr="00C40344" w:rsidRDefault="00C40344">
            <w:pPr>
              <w:suppressAutoHyphens/>
              <w:spacing w:before="40" w:after="40" w:line="200" w:lineRule="atLeast"/>
              <w:rPr>
                <w:rFonts w:eastAsia="Times New Roman" w:cs="Arial"/>
              </w:rPr>
            </w:pPr>
            <w:r w:rsidRPr="00C40344">
              <w:rPr>
                <w:rFonts w:cs="Arial"/>
              </w:rPr>
              <w:t>PATH Curriculum Checklist (PATH CC)</w:t>
            </w:r>
          </w:p>
        </w:tc>
        <w:tc>
          <w:tcPr>
            <w:tcW w:w="1008" w:type="dxa"/>
          </w:tcPr>
          <w:p w14:paraId="0027D326" w14:textId="77777777" w:rsidR="00C40344" w:rsidRPr="00C40344" w:rsidRDefault="00C40344">
            <w:pPr>
              <w:suppressAutoHyphens/>
              <w:spacing w:before="40" w:after="40" w:line="200" w:lineRule="atLeast"/>
              <w:rPr>
                <w:rFonts w:eastAsia="Times New Roman" w:cs="Arial"/>
              </w:rPr>
            </w:pPr>
          </w:p>
        </w:tc>
        <w:tc>
          <w:tcPr>
            <w:tcW w:w="1136" w:type="dxa"/>
          </w:tcPr>
          <w:p w14:paraId="12DBF787" w14:textId="77777777" w:rsidR="00C40344" w:rsidRPr="00C40344" w:rsidRDefault="00C40344">
            <w:pPr>
              <w:suppressAutoHyphens/>
              <w:spacing w:before="40" w:after="40" w:line="200" w:lineRule="atLeast"/>
              <w:rPr>
                <w:rFonts w:eastAsia="Times New Roman" w:cs="Arial"/>
              </w:rPr>
            </w:pPr>
          </w:p>
        </w:tc>
        <w:tc>
          <w:tcPr>
            <w:tcW w:w="1136" w:type="dxa"/>
          </w:tcPr>
          <w:p w14:paraId="1BB3BBA8" w14:textId="77777777" w:rsidR="00C40344" w:rsidRPr="00C40344" w:rsidRDefault="00C40344" w:rsidP="003B0B17">
            <w:pPr>
              <w:numPr>
                <w:ilvl w:val="0"/>
                <w:numId w:val="200"/>
              </w:numPr>
              <w:suppressAutoHyphens/>
              <w:spacing w:before="40" w:after="40" w:line="200" w:lineRule="atLeast"/>
              <w:contextualSpacing/>
              <w:rPr>
                <w:rFonts w:eastAsia="Times New Roman" w:cs="Arial"/>
              </w:rPr>
            </w:pPr>
          </w:p>
        </w:tc>
        <w:tc>
          <w:tcPr>
            <w:tcW w:w="1264" w:type="dxa"/>
          </w:tcPr>
          <w:p w14:paraId="5932D40F" w14:textId="77777777" w:rsidR="00C40344" w:rsidRPr="00C40344" w:rsidRDefault="00C40344">
            <w:pPr>
              <w:suppressAutoHyphens/>
              <w:spacing w:before="40" w:after="40" w:line="200" w:lineRule="atLeast"/>
              <w:rPr>
                <w:rFonts w:eastAsia="Times New Roman" w:cs="Arial"/>
              </w:rPr>
            </w:pPr>
          </w:p>
        </w:tc>
      </w:tr>
      <w:tr w:rsidR="00C40344" w:rsidRPr="0001351D" w14:paraId="7AE1CA42"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6920CCC4" w14:textId="77777777" w:rsidR="00C40344" w:rsidRPr="00C40344" w:rsidRDefault="00C40344">
            <w:pPr>
              <w:suppressAutoHyphens/>
              <w:spacing w:before="40" w:after="40" w:line="200" w:lineRule="atLeast"/>
              <w:rPr>
                <w:rFonts w:eastAsia="Times New Roman" w:cs="Arial"/>
              </w:rPr>
            </w:pPr>
            <w:r w:rsidRPr="00C40344">
              <w:rPr>
                <w:rFonts w:cs="Arial"/>
              </w:rPr>
              <w:t>Peabody Picture Vocabulary Test (PPVT)</w:t>
            </w:r>
          </w:p>
        </w:tc>
        <w:tc>
          <w:tcPr>
            <w:tcW w:w="1008" w:type="dxa"/>
          </w:tcPr>
          <w:p w14:paraId="2A5C7BEE" w14:textId="77777777" w:rsidR="00C40344" w:rsidRPr="00C40344" w:rsidRDefault="00C40344">
            <w:pPr>
              <w:suppressAutoHyphens/>
              <w:spacing w:before="40" w:after="40" w:line="200" w:lineRule="atLeast"/>
              <w:rPr>
                <w:rFonts w:eastAsia="Times New Roman" w:cs="Arial"/>
              </w:rPr>
            </w:pPr>
          </w:p>
        </w:tc>
        <w:tc>
          <w:tcPr>
            <w:tcW w:w="1136" w:type="dxa"/>
          </w:tcPr>
          <w:p w14:paraId="390B358C" w14:textId="77777777" w:rsidR="00C40344" w:rsidRPr="00C40344" w:rsidRDefault="00C40344">
            <w:pPr>
              <w:suppressAutoHyphens/>
              <w:spacing w:before="40" w:after="40" w:line="200" w:lineRule="atLeast"/>
              <w:rPr>
                <w:rFonts w:eastAsia="Times New Roman" w:cs="Arial"/>
              </w:rPr>
            </w:pPr>
          </w:p>
        </w:tc>
        <w:tc>
          <w:tcPr>
            <w:tcW w:w="1136" w:type="dxa"/>
          </w:tcPr>
          <w:p w14:paraId="7E121EC3" w14:textId="77777777" w:rsidR="00C40344" w:rsidRPr="00C40344" w:rsidRDefault="00C40344" w:rsidP="003B0B17">
            <w:pPr>
              <w:numPr>
                <w:ilvl w:val="0"/>
                <w:numId w:val="182"/>
              </w:numPr>
              <w:suppressAutoHyphens/>
              <w:spacing w:before="40" w:after="40" w:line="200" w:lineRule="atLeast"/>
              <w:contextualSpacing/>
              <w:rPr>
                <w:rFonts w:eastAsia="Times New Roman" w:cs="Arial"/>
              </w:rPr>
            </w:pPr>
          </w:p>
        </w:tc>
        <w:tc>
          <w:tcPr>
            <w:tcW w:w="1264" w:type="dxa"/>
          </w:tcPr>
          <w:p w14:paraId="1833160E" w14:textId="77777777" w:rsidR="00C40344" w:rsidRPr="00C40344" w:rsidRDefault="00C40344">
            <w:pPr>
              <w:suppressAutoHyphens/>
              <w:spacing w:before="40" w:after="40" w:line="200" w:lineRule="atLeast"/>
              <w:rPr>
                <w:rFonts w:eastAsia="Times New Roman" w:cs="Arial"/>
              </w:rPr>
            </w:pPr>
          </w:p>
        </w:tc>
      </w:tr>
      <w:tr w:rsidR="00C40344" w:rsidRPr="0001351D" w14:paraId="30F1CFB1"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43194880" w14:textId="77777777" w:rsidR="00C40344" w:rsidRPr="00C40344" w:rsidRDefault="00C40344">
            <w:pPr>
              <w:suppressAutoHyphens/>
              <w:spacing w:before="40" w:after="40" w:line="200" w:lineRule="atLeast"/>
              <w:rPr>
                <w:rFonts w:eastAsia="Times New Roman" w:cs="Arial"/>
              </w:rPr>
            </w:pPr>
            <w:r w:rsidRPr="00C40344">
              <w:rPr>
                <w:rFonts w:cs="Arial"/>
              </w:rPr>
              <w:t>Pediatric Evaluation of Disability Index (PEDI)</w:t>
            </w:r>
          </w:p>
        </w:tc>
        <w:tc>
          <w:tcPr>
            <w:tcW w:w="1008" w:type="dxa"/>
          </w:tcPr>
          <w:p w14:paraId="3BFF4060" w14:textId="77777777" w:rsidR="00C40344" w:rsidRPr="00C40344" w:rsidRDefault="00C40344">
            <w:pPr>
              <w:suppressAutoHyphens/>
              <w:spacing w:before="40" w:after="40" w:line="200" w:lineRule="atLeast"/>
              <w:rPr>
                <w:rFonts w:eastAsia="Times New Roman" w:cs="Arial"/>
              </w:rPr>
            </w:pPr>
          </w:p>
        </w:tc>
        <w:tc>
          <w:tcPr>
            <w:tcW w:w="1136" w:type="dxa"/>
          </w:tcPr>
          <w:p w14:paraId="4A556F9A" w14:textId="77777777" w:rsidR="00C40344" w:rsidRPr="00C40344" w:rsidRDefault="00C40344">
            <w:pPr>
              <w:suppressAutoHyphens/>
              <w:spacing w:before="40" w:after="40" w:line="200" w:lineRule="atLeast"/>
              <w:rPr>
                <w:rFonts w:eastAsia="Times New Roman" w:cs="Arial"/>
              </w:rPr>
            </w:pPr>
          </w:p>
        </w:tc>
        <w:tc>
          <w:tcPr>
            <w:tcW w:w="1136" w:type="dxa"/>
          </w:tcPr>
          <w:p w14:paraId="4AA740C9" w14:textId="77777777" w:rsidR="00C40344" w:rsidRPr="00C40344" w:rsidRDefault="00C40344" w:rsidP="003B0B17">
            <w:pPr>
              <w:numPr>
                <w:ilvl w:val="0"/>
                <w:numId w:val="181"/>
              </w:numPr>
              <w:suppressAutoHyphens/>
              <w:spacing w:before="40" w:after="40" w:line="200" w:lineRule="atLeast"/>
              <w:contextualSpacing/>
              <w:rPr>
                <w:rFonts w:eastAsia="Times New Roman" w:cs="Arial"/>
              </w:rPr>
            </w:pPr>
          </w:p>
        </w:tc>
        <w:tc>
          <w:tcPr>
            <w:tcW w:w="1264" w:type="dxa"/>
          </w:tcPr>
          <w:p w14:paraId="0D6D30B2" w14:textId="77777777" w:rsidR="00C40344" w:rsidRPr="00C40344" w:rsidRDefault="00C40344">
            <w:pPr>
              <w:suppressAutoHyphens/>
              <w:spacing w:before="40" w:after="40" w:line="200" w:lineRule="atLeast"/>
              <w:rPr>
                <w:rFonts w:eastAsia="Times New Roman" w:cs="Arial"/>
              </w:rPr>
            </w:pPr>
          </w:p>
        </w:tc>
      </w:tr>
      <w:tr w:rsidR="00C40344" w:rsidRPr="0001351D" w14:paraId="5CC51AD5"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47B98787" w14:textId="77777777" w:rsidR="00C40344" w:rsidRPr="00C40344" w:rsidRDefault="00C40344">
            <w:pPr>
              <w:suppressAutoHyphens/>
              <w:spacing w:before="40" w:after="40" w:line="200" w:lineRule="atLeast"/>
              <w:rPr>
                <w:rFonts w:eastAsia="Times New Roman" w:cs="Arial"/>
              </w:rPr>
            </w:pPr>
            <w:r w:rsidRPr="00C40344">
              <w:rPr>
                <w:rFonts w:cs="Arial"/>
              </w:rPr>
              <w:t>Pervasive Developmental Disorder Behavior Inventory (PDDB-I)</w:t>
            </w:r>
          </w:p>
        </w:tc>
        <w:tc>
          <w:tcPr>
            <w:tcW w:w="1008" w:type="dxa"/>
          </w:tcPr>
          <w:p w14:paraId="339111CC" w14:textId="77777777" w:rsidR="00C40344" w:rsidRPr="00C40344" w:rsidRDefault="00C40344">
            <w:pPr>
              <w:suppressAutoHyphens/>
              <w:spacing w:before="40" w:after="40" w:line="200" w:lineRule="atLeast"/>
              <w:rPr>
                <w:rFonts w:eastAsia="Times New Roman" w:cs="Arial"/>
              </w:rPr>
            </w:pPr>
          </w:p>
        </w:tc>
        <w:tc>
          <w:tcPr>
            <w:tcW w:w="1136" w:type="dxa"/>
          </w:tcPr>
          <w:p w14:paraId="5F648B16" w14:textId="77777777" w:rsidR="00C40344" w:rsidRPr="00C40344" w:rsidRDefault="00C40344">
            <w:pPr>
              <w:suppressAutoHyphens/>
              <w:spacing w:before="40" w:after="40" w:line="200" w:lineRule="atLeast"/>
              <w:rPr>
                <w:rFonts w:eastAsia="Times New Roman" w:cs="Arial"/>
              </w:rPr>
            </w:pPr>
          </w:p>
        </w:tc>
        <w:tc>
          <w:tcPr>
            <w:tcW w:w="1136" w:type="dxa"/>
          </w:tcPr>
          <w:p w14:paraId="2F38ABE0" w14:textId="77777777" w:rsidR="00C40344" w:rsidRPr="00C40344" w:rsidRDefault="00C40344" w:rsidP="003B0B17">
            <w:pPr>
              <w:numPr>
                <w:ilvl w:val="0"/>
                <w:numId w:val="199"/>
              </w:numPr>
              <w:suppressAutoHyphens/>
              <w:spacing w:before="40" w:after="40" w:line="200" w:lineRule="atLeast"/>
              <w:contextualSpacing/>
              <w:rPr>
                <w:rFonts w:eastAsia="Times New Roman" w:cs="Arial"/>
              </w:rPr>
            </w:pPr>
          </w:p>
        </w:tc>
        <w:tc>
          <w:tcPr>
            <w:tcW w:w="1264" w:type="dxa"/>
          </w:tcPr>
          <w:p w14:paraId="2C2684E5" w14:textId="77777777" w:rsidR="00C40344" w:rsidRPr="00C40344" w:rsidRDefault="00C40344">
            <w:pPr>
              <w:suppressAutoHyphens/>
              <w:spacing w:before="40" w:after="40" w:line="200" w:lineRule="atLeast"/>
              <w:rPr>
                <w:rFonts w:eastAsia="Times New Roman" w:cs="Arial"/>
              </w:rPr>
            </w:pPr>
          </w:p>
        </w:tc>
      </w:tr>
      <w:tr w:rsidR="00C40344" w:rsidRPr="0001351D" w14:paraId="76E78760"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10A34ED3" w14:textId="77777777" w:rsidR="00C40344" w:rsidRPr="00C40344" w:rsidRDefault="00C40344">
            <w:pPr>
              <w:suppressAutoHyphens/>
              <w:spacing w:before="40" w:after="40" w:line="200" w:lineRule="atLeast"/>
              <w:rPr>
                <w:rFonts w:eastAsia="Times New Roman" w:cs="Arial"/>
              </w:rPr>
            </w:pPr>
            <w:r w:rsidRPr="00C40344">
              <w:rPr>
                <w:rFonts w:cs="Arial"/>
              </w:rPr>
              <w:t>Phonological Awareness and Literacy Screening PreK (PALS-K)</w:t>
            </w:r>
          </w:p>
        </w:tc>
        <w:tc>
          <w:tcPr>
            <w:tcW w:w="1008" w:type="dxa"/>
          </w:tcPr>
          <w:p w14:paraId="6413A847" w14:textId="77777777" w:rsidR="00C40344" w:rsidRPr="00C40344" w:rsidRDefault="00C40344">
            <w:pPr>
              <w:suppressAutoHyphens/>
              <w:spacing w:before="40" w:after="40" w:line="200" w:lineRule="atLeast"/>
              <w:rPr>
                <w:rFonts w:eastAsia="Times New Roman" w:cs="Arial"/>
              </w:rPr>
            </w:pPr>
          </w:p>
        </w:tc>
        <w:tc>
          <w:tcPr>
            <w:tcW w:w="1136" w:type="dxa"/>
          </w:tcPr>
          <w:p w14:paraId="612B8B66" w14:textId="77777777" w:rsidR="00C40344" w:rsidRPr="00C40344" w:rsidRDefault="00C40344">
            <w:pPr>
              <w:suppressAutoHyphens/>
              <w:spacing w:before="40" w:after="40" w:line="200" w:lineRule="atLeast"/>
              <w:rPr>
                <w:rFonts w:eastAsia="Times New Roman" w:cs="Arial"/>
              </w:rPr>
            </w:pPr>
          </w:p>
        </w:tc>
        <w:tc>
          <w:tcPr>
            <w:tcW w:w="1136" w:type="dxa"/>
          </w:tcPr>
          <w:p w14:paraId="5E8FBF90" w14:textId="77777777" w:rsidR="00C40344" w:rsidRPr="00C40344" w:rsidRDefault="00C40344" w:rsidP="003B0B17">
            <w:pPr>
              <w:numPr>
                <w:ilvl w:val="0"/>
                <w:numId w:val="198"/>
              </w:numPr>
              <w:suppressAutoHyphens/>
              <w:spacing w:before="40" w:after="40" w:line="200" w:lineRule="atLeast"/>
              <w:contextualSpacing/>
              <w:rPr>
                <w:rFonts w:eastAsia="Times New Roman" w:cs="Arial"/>
              </w:rPr>
            </w:pPr>
          </w:p>
        </w:tc>
        <w:tc>
          <w:tcPr>
            <w:tcW w:w="1264" w:type="dxa"/>
          </w:tcPr>
          <w:p w14:paraId="4BB4ECA6" w14:textId="77777777" w:rsidR="00C40344" w:rsidRPr="00C40344" w:rsidRDefault="00C40344">
            <w:pPr>
              <w:suppressAutoHyphens/>
              <w:spacing w:before="40" w:after="40" w:line="200" w:lineRule="atLeast"/>
              <w:rPr>
                <w:rFonts w:eastAsia="Times New Roman" w:cs="Arial"/>
              </w:rPr>
            </w:pPr>
          </w:p>
        </w:tc>
      </w:tr>
      <w:tr w:rsidR="00C40344" w:rsidRPr="0001351D" w14:paraId="4A494562"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2B415D5F" w14:textId="77777777" w:rsidR="00C40344" w:rsidRPr="00C40344" w:rsidRDefault="00C40344">
            <w:pPr>
              <w:suppressAutoHyphens/>
              <w:spacing w:before="40" w:after="40" w:line="200" w:lineRule="atLeast"/>
              <w:rPr>
                <w:rFonts w:eastAsia="Times New Roman" w:cs="Arial"/>
              </w:rPr>
            </w:pPr>
            <w:r w:rsidRPr="00C40344">
              <w:rPr>
                <w:rFonts w:cs="Arial"/>
              </w:rPr>
              <w:t xml:space="preserve">Precursors of Joint Attention Measure (PJAM) </w:t>
            </w:r>
          </w:p>
        </w:tc>
        <w:tc>
          <w:tcPr>
            <w:tcW w:w="1008" w:type="dxa"/>
          </w:tcPr>
          <w:p w14:paraId="05A7C3C8" w14:textId="77777777" w:rsidR="00C40344" w:rsidRPr="00C40344" w:rsidRDefault="00C40344">
            <w:pPr>
              <w:suppressAutoHyphens/>
              <w:spacing w:before="40" w:after="40" w:line="200" w:lineRule="atLeast"/>
              <w:rPr>
                <w:rFonts w:eastAsia="Times New Roman" w:cs="Arial"/>
              </w:rPr>
            </w:pPr>
          </w:p>
        </w:tc>
        <w:tc>
          <w:tcPr>
            <w:tcW w:w="1136" w:type="dxa"/>
          </w:tcPr>
          <w:p w14:paraId="100E80F6" w14:textId="77777777" w:rsidR="00C40344" w:rsidRPr="00C40344" w:rsidRDefault="00C40344">
            <w:pPr>
              <w:suppressAutoHyphens/>
              <w:spacing w:before="40" w:after="40" w:line="200" w:lineRule="atLeast"/>
              <w:rPr>
                <w:rFonts w:eastAsia="Times New Roman" w:cs="Arial"/>
              </w:rPr>
            </w:pPr>
          </w:p>
        </w:tc>
        <w:tc>
          <w:tcPr>
            <w:tcW w:w="1136" w:type="dxa"/>
          </w:tcPr>
          <w:p w14:paraId="177624C7" w14:textId="77777777" w:rsidR="00C40344" w:rsidRPr="00C40344" w:rsidRDefault="00C40344" w:rsidP="003B0B17">
            <w:pPr>
              <w:numPr>
                <w:ilvl w:val="0"/>
                <w:numId w:val="197"/>
              </w:numPr>
              <w:suppressAutoHyphens/>
              <w:spacing w:before="40" w:after="40" w:line="200" w:lineRule="atLeast"/>
              <w:contextualSpacing/>
              <w:rPr>
                <w:rFonts w:eastAsia="Times New Roman" w:cs="Arial"/>
              </w:rPr>
            </w:pPr>
          </w:p>
        </w:tc>
        <w:tc>
          <w:tcPr>
            <w:tcW w:w="1264" w:type="dxa"/>
          </w:tcPr>
          <w:p w14:paraId="2A6D9DBE" w14:textId="77777777" w:rsidR="00C40344" w:rsidRPr="00C40344" w:rsidRDefault="00C40344">
            <w:pPr>
              <w:suppressAutoHyphens/>
              <w:spacing w:before="40" w:after="40" w:line="200" w:lineRule="atLeast"/>
              <w:rPr>
                <w:rFonts w:eastAsia="Times New Roman" w:cs="Arial"/>
              </w:rPr>
            </w:pPr>
          </w:p>
        </w:tc>
      </w:tr>
      <w:tr w:rsidR="00C40344" w:rsidRPr="0001351D" w14:paraId="12B31C96"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77F7A5C0" w14:textId="77777777" w:rsidR="00C40344" w:rsidRPr="00C40344" w:rsidRDefault="00C40344">
            <w:pPr>
              <w:suppressAutoHyphens/>
              <w:spacing w:before="40" w:after="40" w:line="200" w:lineRule="atLeast"/>
              <w:rPr>
                <w:rFonts w:eastAsia="Times New Roman" w:cs="Arial"/>
              </w:rPr>
            </w:pPr>
            <w:r w:rsidRPr="00C40344">
              <w:rPr>
                <w:rFonts w:cs="Arial"/>
              </w:rPr>
              <w:t>Receptive One-Word Picture Vocabulary Test-4 (ROWPVT-4)</w:t>
            </w:r>
          </w:p>
        </w:tc>
        <w:tc>
          <w:tcPr>
            <w:tcW w:w="1008" w:type="dxa"/>
          </w:tcPr>
          <w:p w14:paraId="729EBF31" w14:textId="77777777" w:rsidR="00C40344" w:rsidRPr="00C40344" w:rsidRDefault="00C40344">
            <w:pPr>
              <w:suppressAutoHyphens/>
              <w:spacing w:before="40" w:after="40" w:line="200" w:lineRule="atLeast"/>
              <w:rPr>
                <w:rFonts w:eastAsia="Times New Roman" w:cs="Arial"/>
              </w:rPr>
            </w:pPr>
          </w:p>
        </w:tc>
        <w:tc>
          <w:tcPr>
            <w:tcW w:w="1136" w:type="dxa"/>
          </w:tcPr>
          <w:p w14:paraId="4F19B229" w14:textId="77777777" w:rsidR="00C40344" w:rsidRPr="00C40344" w:rsidRDefault="00C40344">
            <w:pPr>
              <w:suppressAutoHyphens/>
              <w:spacing w:before="40" w:after="40" w:line="200" w:lineRule="atLeast"/>
              <w:rPr>
                <w:rFonts w:eastAsia="Times New Roman" w:cs="Arial"/>
              </w:rPr>
            </w:pPr>
          </w:p>
        </w:tc>
        <w:tc>
          <w:tcPr>
            <w:tcW w:w="1136" w:type="dxa"/>
          </w:tcPr>
          <w:p w14:paraId="27D4B65F" w14:textId="77777777" w:rsidR="00C40344" w:rsidRPr="00C40344" w:rsidRDefault="00C40344" w:rsidP="003B0B17">
            <w:pPr>
              <w:numPr>
                <w:ilvl w:val="0"/>
                <w:numId w:val="196"/>
              </w:numPr>
              <w:suppressAutoHyphens/>
              <w:spacing w:before="40" w:after="40" w:line="200" w:lineRule="atLeast"/>
              <w:contextualSpacing/>
              <w:rPr>
                <w:rFonts w:eastAsia="Times New Roman" w:cs="Arial"/>
              </w:rPr>
            </w:pPr>
          </w:p>
        </w:tc>
        <w:tc>
          <w:tcPr>
            <w:tcW w:w="1264" w:type="dxa"/>
          </w:tcPr>
          <w:p w14:paraId="26652E6F" w14:textId="77777777" w:rsidR="00C40344" w:rsidRPr="00C40344" w:rsidRDefault="00C40344">
            <w:pPr>
              <w:suppressAutoHyphens/>
              <w:spacing w:before="40" w:after="40" w:line="200" w:lineRule="atLeast"/>
              <w:rPr>
                <w:rFonts w:eastAsia="Times New Roman" w:cs="Arial"/>
              </w:rPr>
            </w:pPr>
          </w:p>
        </w:tc>
      </w:tr>
      <w:tr w:rsidR="00C40344" w:rsidRPr="0001351D" w14:paraId="2D92FE48"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7C5C6C2C" w14:textId="77777777" w:rsidR="00C40344" w:rsidRPr="00C40344" w:rsidRDefault="00C40344">
            <w:pPr>
              <w:suppressAutoHyphens/>
              <w:spacing w:before="40" w:after="40" w:line="200" w:lineRule="atLeast"/>
              <w:rPr>
                <w:rFonts w:eastAsia="Times New Roman" w:cs="Arial"/>
              </w:rPr>
            </w:pPr>
            <w:r w:rsidRPr="00C40344">
              <w:rPr>
                <w:rFonts w:cs="Arial"/>
              </w:rPr>
              <w:t>Repetitive Behaviour Questionnaire (RBQ)</w:t>
            </w:r>
          </w:p>
        </w:tc>
        <w:tc>
          <w:tcPr>
            <w:tcW w:w="1008" w:type="dxa"/>
          </w:tcPr>
          <w:p w14:paraId="00AED158" w14:textId="77777777" w:rsidR="00C40344" w:rsidRPr="00C40344" w:rsidRDefault="00C40344">
            <w:pPr>
              <w:suppressAutoHyphens/>
              <w:spacing w:before="40" w:after="40" w:line="200" w:lineRule="atLeast"/>
              <w:rPr>
                <w:rFonts w:eastAsia="Times New Roman" w:cs="Arial"/>
              </w:rPr>
            </w:pPr>
          </w:p>
        </w:tc>
        <w:tc>
          <w:tcPr>
            <w:tcW w:w="1136" w:type="dxa"/>
          </w:tcPr>
          <w:p w14:paraId="4DA1CC19" w14:textId="77777777" w:rsidR="00C40344" w:rsidRPr="00C40344" w:rsidRDefault="00C40344">
            <w:pPr>
              <w:suppressAutoHyphens/>
              <w:spacing w:before="40" w:after="40" w:line="200" w:lineRule="atLeast"/>
              <w:rPr>
                <w:rFonts w:eastAsia="Times New Roman" w:cs="Arial"/>
              </w:rPr>
            </w:pPr>
          </w:p>
        </w:tc>
        <w:tc>
          <w:tcPr>
            <w:tcW w:w="1136" w:type="dxa"/>
          </w:tcPr>
          <w:p w14:paraId="531FBE96" w14:textId="77777777" w:rsidR="00C40344" w:rsidRPr="00C40344" w:rsidRDefault="00C40344" w:rsidP="003B0B17">
            <w:pPr>
              <w:numPr>
                <w:ilvl w:val="0"/>
                <w:numId w:val="195"/>
              </w:numPr>
              <w:suppressAutoHyphens/>
              <w:spacing w:before="40" w:after="40" w:line="200" w:lineRule="atLeast"/>
              <w:contextualSpacing/>
              <w:rPr>
                <w:rFonts w:eastAsia="Times New Roman" w:cs="Arial"/>
              </w:rPr>
            </w:pPr>
          </w:p>
        </w:tc>
        <w:tc>
          <w:tcPr>
            <w:tcW w:w="1264" w:type="dxa"/>
          </w:tcPr>
          <w:p w14:paraId="03DF6E31" w14:textId="77777777" w:rsidR="00C40344" w:rsidRPr="00C40344" w:rsidRDefault="00C40344">
            <w:pPr>
              <w:suppressAutoHyphens/>
              <w:spacing w:before="40" w:after="40" w:line="200" w:lineRule="atLeast"/>
              <w:rPr>
                <w:rFonts w:eastAsia="Times New Roman" w:cs="Arial"/>
              </w:rPr>
            </w:pPr>
          </w:p>
        </w:tc>
      </w:tr>
      <w:tr w:rsidR="00C40344" w:rsidRPr="0001351D" w14:paraId="16292235"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7B31D7A2" w14:textId="77777777" w:rsidR="00C40344" w:rsidRPr="00C40344" w:rsidRDefault="00C40344">
            <w:pPr>
              <w:suppressAutoHyphens/>
              <w:spacing w:before="40" w:after="40" w:line="200" w:lineRule="atLeast"/>
              <w:rPr>
                <w:rFonts w:eastAsia="Times New Roman" w:cs="Arial"/>
              </w:rPr>
            </w:pPr>
            <w:r w:rsidRPr="00C40344">
              <w:rPr>
                <w:rFonts w:cs="Arial"/>
              </w:rPr>
              <w:t xml:space="preserve">Repetitive Behaviour Scale, Revised (RBS-R) </w:t>
            </w:r>
          </w:p>
        </w:tc>
        <w:tc>
          <w:tcPr>
            <w:tcW w:w="1008" w:type="dxa"/>
          </w:tcPr>
          <w:p w14:paraId="422A6CFE" w14:textId="77777777" w:rsidR="00C40344" w:rsidRPr="00C40344" w:rsidRDefault="00C40344">
            <w:pPr>
              <w:suppressAutoHyphens/>
              <w:spacing w:before="40" w:after="40" w:line="200" w:lineRule="atLeast"/>
              <w:rPr>
                <w:rFonts w:eastAsia="Times New Roman" w:cs="Arial"/>
              </w:rPr>
            </w:pPr>
          </w:p>
        </w:tc>
        <w:tc>
          <w:tcPr>
            <w:tcW w:w="1136" w:type="dxa"/>
          </w:tcPr>
          <w:p w14:paraId="70A431F3" w14:textId="77777777" w:rsidR="00C40344" w:rsidRPr="00C40344" w:rsidRDefault="00C40344">
            <w:pPr>
              <w:suppressAutoHyphens/>
              <w:spacing w:before="40" w:after="40" w:line="200" w:lineRule="atLeast"/>
              <w:rPr>
                <w:rFonts w:eastAsia="Times New Roman" w:cs="Arial"/>
              </w:rPr>
            </w:pPr>
          </w:p>
        </w:tc>
        <w:tc>
          <w:tcPr>
            <w:tcW w:w="1136" w:type="dxa"/>
          </w:tcPr>
          <w:p w14:paraId="661D23C6" w14:textId="77777777" w:rsidR="00C40344" w:rsidRPr="00C40344" w:rsidRDefault="00C40344" w:rsidP="003B0B17">
            <w:pPr>
              <w:numPr>
                <w:ilvl w:val="0"/>
                <w:numId w:val="194"/>
              </w:numPr>
              <w:suppressAutoHyphens/>
              <w:spacing w:before="40" w:after="40" w:line="200" w:lineRule="atLeast"/>
              <w:contextualSpacing/>
              <w:rPr>
                <w:rFonts w:eastAsia="Times New Roman" w:cs="Arial"/>
              </w:rPr>
            </w:pPr>
          </w:p>
        </w:tc>
        <w:tc>
          <w:tcPr>
            <w:tcW w:w="1264" w:type="dxa"/>
          </w:tcPr>
          <w:p w14:paraId="06F23D5F" w14:textId="77777777" w:rsidR="00C40344" w:rsidRPr="00C40344" w:rsidRDefault="00C40344">
            <w:pPr>
              <w:suppressAutoHyphens/>
              <w:spacing w:before="40" w:after="40" w:line="200" w:lineRule="atLeast"/>
              <w:rPr>
                <w:rFonts w:eastAsia="Times New Roman" w:cs="Arial"/>
              </w:rPr>
            </w:pPr>
          </w:p>
        </w:tc>
      </w:tr>
      <w:tr w:rsidR="00C40344" w:rsidRPr="0001351D" w14:paraId="748D5BF3"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431203AD" w14:textId="77777777" w:rsidR="00C40344" w:rsidRPr="00C40344" w:rsidRDefault="00C40344">
            <w:pPr>
              <w:suppressAutoHyphens/>
              <w:spacing w:before="40" w:after="40" w:line="200" w:lineRule="atLeast"/>
              <w:rPr>
                <w:rFonts w:cs="Arial"/>
              </w:rPr>
            </w:pPr>
            <w:r w:rsidRPr="00C40344">
              <w:rPr>
                <w:rFonts w:cs="Arial"/>
              </w:rPr>
              <w:t>Reynell Developmental Language Scales (RDLS)</w:t>
            </w:r>
          </w:p>
        </w:tc>
        <w:tc>
          <w:tcPr>
            <w:tcW w:w="1008" w:type="dxa"/>
          </w:tcPr>
          <w:p w14:paraId="2523D512" w14:textId="77777777" w:rsidR="00C40344" w:rsidRPr="00C40344" w:rsidRDefault="00C40344">
            <w:pPr>
              <w:suppressAutoHyphens/>
              <w:spacing w:before="40" w:after="40" w:line="200" w:lineRule="atLeast"/>
              <w:rPr>
                <w:rFonts w:eastAsia="Times New Roman" w:cs="Arial"/>
              </w:rPr>
            </w:pPr>
          </w:p>
        </w:tc>
        <w:tc>
          <w:tcPr>
            <w:tcW w:w="1136" w:type="dxa"/>
          </w:tcPr>
          <w:p w14:paraId="6AB1E97B" w14:textId="77777777" w:rsidR="00C40344" w:rsidRPr="00C40344" w:rsidRDefault="00C40344">
            <w:pPr>
              <w:suppressAutoHyphens/>
              <w:spacing w:before="40" w:after="40" w:line="200" w:lineRule="atLeast"/>
              <w:rPr>
                <w:rFonts w:eastAsia="Times New Roman" w:cs="Arial"/>
              </w:rPr>
            </w:pPr>
          </w:p>
        </w:tc>
        <w:tc>
          <w:tcPr>
            <w:tcW w:w="1136" w:type="dxa"/>
          </w:tcPr>
          <w:p w14:paraId="4656FAA3" w14:textId="77777777" w:rsidR="00C40344" w:rsidRPr="00C40344" w:rsidRDefault="00C40344" w:rsidP="003B0B17">
            <w:pPr>
              <w:numPr>
                <w:ilvl w:val="0"/>
                <w:numId w:val="193"/>
              </w:numPr>
              <w:suppressAutoHyphens/>
              <w:spacing w:before="40" w:after="40" w:line="200" w:lineRule="atLeast"/>
              <w:contextualSpacing/>
              <w:rPr>
                <w:rFonts w:eastAsia="Times New Roman" w:cs="Arial"/>
              </w:rPr>
            </w:pPr>
          </w:p>
        </w:tc>
        <w:tc>
          <w:tcPr>
            <w:tcW w:w="1264" w:type="dxa"/>
          </w:tcPr>
          <w:p w14:paraId="11DA08B9" w14:textId="77777777" w:rsidR="00C40344" w:rsidRPr="00C40344" w:rsidRDefault="00C40344">
            <w:pPr>
              <w:suppressAutoHyphens/>
              <w:spacing w:before="40" w:after="40" w:line="200" w:lineRule="atLeast"/>
              <w:rPr>
                <w:rFonts w:eastAsia="Times New Roman" w:cs="Arial"/>
              </w:rPr>
            </w:pPr>
          </w:p>
        </w:tc>
      </w:tr>
      <w:tr w:rsidR="00C40344" w:rsidRPr="0001351D" w14:paraId="022373F8"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6E0D62B3" w14:textId="77777777" w:rsidR="00C40344" w:rsidRPr="00C40344" w:rsidRDefault="00C40344">
            <w:pPr>
              <w:suppressAutoHyphens/>
              <w:spacing w:before="40" w:after="40" w:line="200" w:lineRule="atLeast"/>
              <w:rPr>
                <w:rFonts w:cs="Arial"/>
              </w:rPr>
            </w:pPr>
            <w:r w:rsidRPr="00C40344">
              <w:rPr>
                <w:rFonts w:cs="Arial"/>
              </w:rPr>
              <w:t>Social Communication Assessment in Book Sharing (SABS)</w:t>
            </w:r>
          </w:p>
        </w:tc>
        <w:tc>
          <w:tcPr>
            <w:tcW w:w="1008" w:type="dxa"/>
          </w:tcPr>
          <w:p w14:paraId="12905CC0" w14:textId="77777777" w:rsidR="00C40344" w:rsidRPr="00C40344" w:rsidRDefault="00C40344">
            <w:pPr>
              <w:suppressAutoHyphens/>
              <w:spacing w:before="40" w:after="40" w:line="200" w:lineRule="atLeast"/>
              <w:rPr>
                <w:rFonts w:eastAsia="Times New Roman" w:cs="Arial"/>
              </w:rPr>
            </w:pPr>
          </w:p>
        </w:tc>
        <w:tc>
          <w:tcPr>
            <w:tcW w:w="1136" w:type="dxa"/>
          </w:tcPr>
          <w:p w14:paraId="4742DEA2" w14:textId="77777777" w:rsidR="00C40344" w:rsidRPr="00C40344" w:rsidRDefault="00C40344">
            <w:pPr>
              <w:suppressAutoHyphens/>
              <w:spacing w:before="40" w:after="40" w:line="200" w:lineRule="atLeast"/>
              <w:rPr>
                <w:rFonts w:eastAsia="Times New Roman" w:cs="Arial"/>
              </w:rPr>
            </w:pPr>
          </w:p>
        </w:tc>
        <w:tc>
          <w:tcPr>
            <w:tcW w:w="1136" w:type="dxa"/>
          </w:tcPr>
          <w:p w14:paraId="6B63BF1F" w14:textId="77777777" w:rsidR="00C40344" w:rsidRPr="00C40344" w:rsidRDefault="00C40344" w:rsidP="003B0B17">
            <w:pPr>
              <w:numPr>
                <w:ilvl w:val="0"/>
                <w:numId w:val="192"/>
              </w:numPr>
              <w:suppressAutoHyphens/>
              <w:spacing w:before="40" w:after="40" w:line="200" w:lineRule="atLeast"/>
              <w:contextualSpacing/>
              <w:rPr>
                <w:rFonts w:eastAsia="Times New Roman" w:cs="Arial"/>
              </w:rPr>
            </w:pPr>
          </w:p>
        </w:tc>
        <w:tc>
          <w:tcPr>
            <w:tcW w:w="1264" w:type="dxa"/>
          </w:tcPr>
          <w:p w14:paraId="6CA7F308" w14:textId="77777777" w:rsidR="00C40344" w:rsidRPr="00C40344" w:rsidRDefault="00C40344">
            <w:pPr>
              <w:suppressAutoHyphens/>
              <w:spacing w:before="40" w:after="40" w:line="200" w:lineRule="atLeast"/>
              <w:rPr>
                <w:rFonts w:eastAsia="Times New Roman" w:cs="Arial"/>
              </w:rPr>
            </w:pPr>
          </w:p>
        </w:tc>
      </w:tr>
      <w:tr w:rsidR="00C40344" w:rsidRPr="0001351D" w14:paraId="4554796A"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2524A086" w14:textId="77777777" w:rsidR="00C40344" w:rsidRPr="00C40344" w:rsidRDefault="00C40344">
            <w:pPr>
              <w:suppressAutoHyphens/>
              <w:spacing w:before="40" w:after="40" w:line="200" w:lineRule="atLeast"/>
              <w:rPr>
                <w:rFonts w:cs="Arial"/>
              </w:rPr>
            </w:pPr>
            <w:r w:rsidRPr="00C40344">
              <w:rPr>
                <w:rFonts w:cs="Arial"/>
              </w:rPr>
              <w:t>Social Communication Checklist (SCC)</w:t>
            </w:r>
          </w:p>
        </w:tc>
        <w:tc>
          <w:tcPr>
            <w:tcW w:w="1008" w:type="dxa"/>
          </w:tcPr>
          <w:p w14:paraId="092F0DB3" w14:textId="77777777" w:rsidR="00C40344" w:rsidRPr="00C40344" w:rsidRDefault="00C40344">
            <w:pPr>
              <w:suppressAutoHyphens/>
              <w:spacing w:before="40" w:after="40" w:line="200" w:lineRule="atLeast"/>
              <w:rPr>
                <w:rFonts w:eastAsia="Times New Roman" w:cs="Arial"/>
              </w:rPr>
            </w:pPr>
          </w:p>
        </w:tc>
        <w:tc>
          <w:tcPr>
            <w:tcW w:w="1136" w:type="dxa"/>
          </w:tcPr>
          <w:p w14:paraId="6D2D4E69" w14:textId="77777777" w:rsidR="00C40344" w:rsidRPr="00C40344" w:rsidRDefault="00C40344">
            <w:pPr>
              <w:suppressAutoHyphens/>
              <w:spacing w:before="40" w:after="40" w:line="200" w:lineRule="atLeast"/>
              <w:rPr>
                <w:rFonts w:eastAsia="Times New Roman" w:cs="Arial"/>
              </w:rPr>
            </w:pPr>
          </w:p>
        </w:tc>
        <w:tc>
          <w:tcPr>
            <w:tcW w:w="1136" w:type="dxa"/>
          </w:tcPr>
          <w:p w14:paraId="7E260FCC" w14:textId="77777777" w:rsidR="00C40344" w:rsidRPr="00C40344" w:rsidRDefault="00C40344" w:rsidP="003B0B17">
            <w:pPr>
              <w:numPr>
                <w:ilvl w:val="0"/>
                <w:numId w:val="191"/>
              </w:numPr>
              <w:suppressAutoHyphens/>
              <w:spacing w:before="40" w:after="40" w:line="200" w:lineRule="atLeast"/>
              <w:contextualSpacing/>
              <w:rPr>
                <w:rFonts w:eastAsia="Times New Roman" w:cs="Arial"/>
              </w:rPr>
            </w:pPr>
          </w:p>
        </w:tc>
        <w:tc>
          <w:tcPr>
            <w:tcW w:w="1264" w:type="dxa"/>
          </w:tcPr>
          <w:p w14:paraId="1538F67B" w14:textId="77777777" w:rsidR="00C40344" w:rsidRPr="00C40344" w:rsidRDefault="00C40344">
            <w:pPr>
              <w:suppressAutoHyphens/>
              <w:spacing w:before="40" w:after="40" w:line="200" w:lineRule="atLeast"/>
              <w:rPr>
                <w:rFonts w:eastAsia="Times New Roman" w:cs="Arial"/>
              </w:rPr>
            </w:pPr>
          </w:p>
        </w:tc>
      </w:tr>
      <w:tr w:rsidR="00C40344" w:rsidRPr="0001351D" w14:paraId="15364E5A"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54C2C234" w14:textId="77777777" w:rsidR="00C40344" w:rsidRPr="00C40344" w:rsidRDefault="00C40344">
            <w:pPr>
              <w:suppressAutoHyphens/>
              <w:spacing w:before="40" w:after="40" w:line="200" w:lineRule="atLeast"/>
              <w:rPr>
                <w:rFonts w:cs="Arial"/>
              </w:rPr>
            </w:pPr>
            <w:r w:rsidRPr="00C40344">
              <w:rPr>
                <w:rFonts w:cs="Arial"/>
              </w:rPr>
              <w:t xml:space="preserve">Social Communication Questionnaire (SCQ) </w:t>
            </w:r>
          </w:p>
        </w:tc>
        <w:tc>
          <w:tcPr>
            <w:tcW w:w="1008" w:type="dxa"/>
          </w:tcPr>
          <w:p w14:paraId="4EA137E8" w14:textId="77777777" w:rsidR="00C40344" w:rsidRPr="00C40344" w:rsidRDefault="00C40344">
            <w:pPr>
              <w:suppressAutoHyphens/>
              <w:spacing w:before="40" w:after="40" w:line="200" w:lineRule="atLeast"/>
              <w:rPr>
                <w:rFonts w:eastAsia="Times New Roman" w:cs="Arial"/>
              </w:rPr>
            </w:pPr>
          </w:p>
        </w:tc>
        <w:tc>
          <w:tcPr>
            <w:tcW w:w="1136" w:type="dxa"/>
          </w:tcPr>
          <w:p w14:paraId="19EA9228" w14:textId="77777777" w:rsidR="00C40344" w:rsidRPr="00C40344" w:rsidRDefault="00C40344">
            <w:pPr>
              <w:suppressAutoHyphens/>
              <w:spacing w:before="40" w:after="40" w:line="200" w:lineRule="atLeast"/>
              <w:rPr>
                <w:rFonts w:eastAsia="Times New Roman" w:cs="Arial"/>
              </w:rPr>
            </w:pPr>
          </w:p>
        </w:tc>
        <w:tc>
          <w:tcPr>
            <w:tcW w:w="1136" w:type="dxa"/>
          </w:tcPr>
          <w:p w14:paraId="56F5B7F6" w14:textId="77777777" w:rsidR="00C40344" w:rsidRPr="00C40344" w:rsidRDefault="00C40344" w:rsidP="003B0B17">
            <w:pPr>
              <w:numPr>
                <w:ilvl w:val="0"/>
                <w:numId w:val="190"/>
              </w:numPr>
              <w:suppressAutoHyphens/>
              <w:spacing w:before="40" w:after="40" w:line="200" w:lineRule="atLeast"/>
              <w:contextualSpacing/>
              <w:rPr>
                <w:rFonts w:eastAsia="Times New Roman" w:cs="Arial"/>
              </w:rPr>
            </w:pPr>
          </w:p>
        </w:tc>
        <w:tc>
          <w:tcPr>
            <w:tcW w:w="1264" w:type="dxa"/>
          </w:tcPr>
          <w:p w14:paraId="2B9F3162" w14:textId="77777777" w:rsidR="00C40344" w:rsidRPr="00C40344" w:rsidRDefault="00C40344">
            <w:pPr>
              <w:suppressAutoHyphens/>
              <w:spacing w:before="40" w:after="40" w:line="200" w:lineRule="atLeast"/>
              <w:rPr>
                <w:rFonts w:eastAsia="Times New Roman" w:cs="Arial"/>
              </w:rPr>
            </w:pPr>
          </w:p>
        </w:tc>
      </w:tr>
      <w:tr w:rsidR="00C40344" w:rsidRPr="0001351D" w14:paraId="6C513899"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5F688CB0" w14:textId="77777777" w:rsidR="00C40344" w:rsidRPr="00C40344" w:rsidRDefault="00C40344">
            <w:pPr>
              <w:suppressAutoHyphens/>
              <w:spacing w:before="40" w:after="40" w:line="200" w:lineRule="atLeast"/>
              <w:rPr>
                <w:rFonts w:cs="Arial"/>
              </w:rPr>
            </w:pPr>
            <w:r w:rsidRPr="00C40344">
              <w:rPr>
                <w:rFonts w:cs="Arial"/>
              </w:rPr>
              <w:t>Strength and Difficulties Questionnaire (SDQ)</w:t>
            </w:r>
          </w:p>
        </w:tc>
        <w:tc>
          <w:tcPr>
            <w:tcW w:w="1008" w:type="dxa"/>
          </w:tcPr>
          <w:p w14:paraId="48EA2C68" w14:textId="77777777" w:rsidR="00C40344" w:rsidRPr="00C40344" w:rsidRDefault="00C40344">
            <w:pPr>
              <w:suppressAutoHyphens/>
              <w:spacing w:before="40" w:after="40" w:line="200" w:lineRule="atLeast"/>
              <w:rPr>
                <w:rFonts w:eastAsia="Times New Roman" w:cs="Arial"/>
              </w:rPr>
            </w:pPr>
          </w:p>
        </w:tc>
        <w:tc>
          <w:tcPr>
            <w:tcW w:w="1136" w:type="dxa"/>
          </w:tcPr>
          <w:p w14:paraId="5AB65DE8" w14:textId="77777777" w:rsidR="00C40344" w:rsidRPr="00C40344" w:rsidRDefault="00C40344">
            <w:pPr>
              <w:suppressAutoHyphens/>
              <w:spacing w:before="40" w:after="40" w:line="200" w:lineRule="atLeast"/>
              <w:rPr>
                <w:rFonts w:eastAsia="Times New Roman" w:cs="Arial"/>
              </w:rPr>
            </w:pPr>
          </w:p>
        </w:tc>
        <w:tc>
          <w:tcPr>
            <w:tcW w:w="1136" w:type="dxa"/>
          </w:tcPr>
          <w:p w14:paraId="213D7C1A" w14:textId="77777777" w:rsidR="00C40344" w:rsidRPr="00C40344" w:rsidRDefault="00C40344" w:rsidP="003B0B17">
            <w:pPr>
              <w:numPr>
                <w:ilvl w:val="0"/>
                <w:numId w:val="189"/>
              </w:numPr>
              <w:suppressAutoHyphens/>
              <w:spacing w:before="40" w:after="40" w:line="200" w:lineRule="atLeast"/>
              <w:contextualSpacing/>
              <w:rPr>
                <w:rFonts w:eastAsia="Times New Roman" w:cs="Arial"/>
              </w:rPr>
            </w:pPr>
          </w:p>
        </w:tc>
        <w:tc>
          <w:tcPr>
            <w:tcW w:w="1264" w:type="dxa"/>
          </w:tcPr>
          <w:p w14:paraId="4ECEBDB9" w14:textId="77777777" w:rsidR="00C40344" w:rsidRPr="00C40344" w:rsidRDefault="00C40344">
            <w:pPr>
              <w:suppressAutoHyphens/>
              <w:spacing w:before="40" w:after="40" w:line="200" w:lineRule="atLeast"/>
              <w:rPr>
                <w:rFonts w:eastAsia="Times New Roman" w:cs="Arial"/>
              </w:rPr>
            </w:pPr>
          </w:p>
        </w:tc>
      </w:tr>
      <w:tr w:rsidR="00C40344" w:rsidRPr="0001351D" w14:paraId="237E1AC0"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02F52FFC" w14:textId="77777777" w:rsidR="00C40344" w:rsidRPr="00C40344" w:rsidRDefault="00C40344">
            <w:pPr>
              <w:suppressAutoHyphens/>
              <w:spacing w:before="40" w:after="40" w:line="200" w:lineRule="atLeast"/>
              <w:rPr>
                <w:rFonts w:cs="Arial"/>
              </w:rPr>
            </w:pPr>
            <w:r w:rsidRPr="00C40344">
              <w:rPr>
                <w:rFonts w:cs="Arial"/>
              </w:rPr>
              <w:t>Social Skills Improvement System Rating Scales (SSIS-RS)</w:t>
            </w:r>
          </w:p>
        </w:tc>
        <w:tc>
          <w:tcPr>
            <w:tcW w:w="1008" w:type="dxa"/>
          </w:tcPr>
          <w:p w14:paraId="133E8754" w14:textId="77777777" w:rsidR="00C40344" w:rsidRPr="00C40344" w:rsidRDefault="00C40344">
            <w:pPr>
              <w:suppressAutoHyphens/>
              <w:spacing w:before="40" w:after="40" w:line="200" w:lineRule="atLeast"/>
              <w:rPr>
                <w:rFonts w:eastAsia="Times New Roman" w:cs="Arial"/>
              </w:rPr>
            </w:pPr>
          </w:p>
        </w:tc>
        <w:tc>
          <w:tcPr>
            <w:tcW w:w="1136" w:type="dxa"/>
          </w:tcPr>
          <w:p w14:paraId="60DA5E82" w14:textId="77777777" w:rsidR="00C40344" w:rsidRPr="00C40344" w:rsidRDefault="00C40344">
            <w:pPr>
              <w:suppressAutoHyphens/>
              <w:spacing w:before="40" w:after="40" w:line="200" w:lineRule="atLeast"/>
              <w:rPr>
                <w:rFonts w:eastAsia="Times New Roman" w:cs="Arial"/>
              </w:rPr>
            </w:pPr>
          </w:p>
        </w:tc>
        <w:tc>
          <w:tcPr>
            <w:tcW w:w="1136" w:type="dxa"/>
          </w:tcPr>
          <w:p w14:paraId="34688C86" w14:textId="77777777" w:rsidR="00C40344" w:rsidRPr="00C40344" w:rsidRDefault="00C40344" w:rsidP="003B0B17">
            <w:pPr>
              <w:numPr>
                <w:ilvl w:val="0"/>
                <w:numId w:val="188"/>
              </w:numPr>
              <w:suppressAutoHyphens/>
              <w:spacing w:before="40" w:after="40" w:line="200" w:lineRule="atLeast"/>
              <w:contextualSpacing/>
              <w:rPr>
                <w:rFonts w:eastAsia="Times New Roman" w:cs="Arial"/>
              </w:rPr>
            </w:pPr>
          </w:p>
        </w:tc>
        <w:tc>
          <w:tcPr>
            <w:tcW w:w="1264" w:type="dxa"/>
          </w:tcPr>
          <w:p w14:paraId="29E3CEB7" w14:textId="77777777" w:rsidR="00C40344" w:rsidRPr="00C40344" w:rsidRDefault="00C40344">
            <w:pPr>
              <w:suppressAutoHyphens/>
              <w:spacing w:before="40" w:after="40" w:line="200" w:lineRule="atLeast"/>
              <w:rPr>
                <w:rFonts w:eastAsia="Times New Roman" w:cs="Arial"/>
              </w:rPr>
            </w:pPr>
          </w:p>
        </w:tc>
      </w:tr>
      <w:tr w:rsidR="00C40344" w:rsidRPr="0001351D" w14:paraId="7E55F2C5"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37D4EA2D" w14:textId="77777777" w:rsidR="00C40344" w:rsidRPr="00C40344" w:rsidRDefault="00C40344">
            <w:pPr>
              <w:suppressAutoHyphens/>
              <w:spacing w:before="40" w:after="40" w:line="200" w:lineRule="atLeast"/>
              <w:rPr>
                <w:rFonts w:cs="Arial"/>
              </w:rPr>
            </w:pPr>
            <w:r w:rsidRPr="00C40344">
              <w:rPr>
                <w:rFonts w:cs="Arial"/>
              </w:rPr>
              <w:t>Social Skills Rating System (SSRS)</w:t>
            </w:r>
          </w:p>
        </w:tc>
        <w:tc>
          <w:tcPr>
            <w:tcW w:w="1008" w:type="dxa"/>
          </w:tcPr>
          <w:p w14:paraId="7E28A38D" w14:textId="77777777" w:rsidR="00C40344" w:rsidRPr="00C40344" w:rsidRDefault="00C40344">
            <w:pPr>
              <w:suppressAutoHyphens/>
              <w:spacing w:before="40" w:after="40" w:line="200" w:lineRule="atLeast"/>
              <w:rPr>
                <w:rFonts w:eastAsia="Times New Roman" w:cs="Arial"/>
              </w:rPr>
            </w:pPr>
          </w:p>
        </w:tc>
        <w:tc>
          <w:tcPr>
            <w:tcW w:w="1136" w:type="dxa"/>
          </w:tcPr>
          <w:p w14:paraId="781744F1" w14:textId="77777777" w:rsidR="00C40344" w:rsidRPr="00C40344" w:rsidRDefault="00C40344">
            <w:pPr>
              <w:suppressAutoHyphens/>
              <w:spacing w:before="40" w:after="40" w:line="200" w:lineRule="atLeast"/>
              <w:rPr>
                <w:rFonts w:eastAsia="Times New Roman" w:cs="Arial"/>
              </w:rPr>
            </w:pPr>
          </w:p>
        </w:tc>
        <w:tc>
          <w:tcPr>
            <w:tcW w:w="1136" w:type="dxa"/>
          </w:tcPr>
          <w:p w14:paraId="2FBCC0F8" w14:textId="77777777" w:rsidR="00C40344" w:rsidRPr="00C40344" w:rsidRDefault="00C40344" w:rsidP="003B0B17">
            <w:pPr>
              <w:numPr>
                <w:ilvl w:val="0"/>
                <w:numId w:val="187"/>
              </w:numPr>
              <w:suppressAutoHyphens/>
              <w:spacing w:before="40" w:after="40" w:line="200" w:lineRule="atLeast"/>
              <w:contextualSpacing/>
              <w:rPr>
                <w:rFonts w:eastAsia="Times New Roman" w:cs="Arial"/>
              </w:rPr>
            </w:pPr>
          </w:p>
        </w:tc>
        <w:tc>
          <w:tcPr>
            <w:tcW w:w="1264" w:type="dxa"/>
          </w:tcPr>
          <w:p w14:paraId="7743C7D3" w14:textId="77777777" w:rsidR="00C40344" w:rsidRPr="00C40344" w:rsidRDefault="00C40344">
            <w:pPr>
              <w:suppressAutoHyphens/>
              <w:spacing w:before="40" w:after="40" w:line="200" w:lineRule="atLeast"/>
              <w:rPr>
                <w:rFonts w:eastAsia="Times New Roman" w:cs="Arial"/>
              </w:rPr>
            </w:pPr>
          </w:p>
        </w:tc>
      </w:tr>
      <w:tr w:rsidR="00C40344" w:rsidRPr="0001351D" w14:paraId="1048D841"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424F58D7" w14:textId="77777777" w:rsidR="00C40344" w:rsidRPr="00C40344" w:rsidRDefault="00C40344">
            <w:pPr>
              <w:suppressAutoHyphens/>
              <w:spacing w:before="40" w:after="40" w:line="200" w:lineRule="atLeast"/>
              <w:rPr>
                <w:rFonts w:cs="Arial"/>
              </w:rPr>
            </w:pPr>
            <w:r w:rsidRPr="00C40344">
              <w:rPr>
                <w:rFonts w:cs="Arial"/>
              </w:rPr>
              <w:t xml:space="preserve">Social Responsiveness Scale (SRS) </w:t>
            </w:r>
          </w:p>
        </w:tc>
        <w:tc>
          <w:tcPr>
            <w:tcW w:w="1008" w:type="dxa"/>
          </w:tcPr>
          <w:p w14:paraId="791011E2" w14:textId="77777777" w:rsidR="00C40344" w:rsidRPr="00C40344" w:rsidRDefault="00C40344">
            <w:pPr>
              <w:suppressAutoHyphens/>
              <w:spacing w:before="40" w:after="40" w:line="200" w:lineRule="atLeast"/>
              <w:rPr>
                <w:rFonts w:eastAsia="Times New Roman" w:cs="Arial"/>
              </w:rPr>
            </w:pPr>
          </w:p>
        </w:tc>
        <w:tc>
          <w:tcPr>
            <w:tcW w:w="1136" w:type="dxa"/>
          </w:tcPr>
          <w:p w14:paraId="788B0CE0" w14:textId="77777777" w:rsidR="00C40344" w:rsidRPr="00C40344" w:rsidRDefault="00C40344">
            <w:pPr>
              <w:suppressAutoHyphens/>
              <w:spacing w:before="40" w:after="40" w:line="200" w:lineRule="atLeast"/>
              <w:rPr>
                <w:rFonts w:eastAsia="Times New Roman" w:cs="Arial"/>
              </w:rPr>
            </w:pPr>
          </w:p>
        </w:tc>
        <w:tc>
          <w:tcPr>
            <w:tcW w:w="1136" w:type="dxa"/>
          </w:tcPr>
          <w:p w14:paraId="0979DE4C" w14:textId="77777777" w:rsidR="00C40344" w:rsidRPr="00C40344" w:rsidRDefault="00C40344" w:rsidP="003B0B17">
            <w:pPr>
              <w:numPr>
                <w:ilvl w:val="0"/>
                <w:numId w:val="186"/>
              </w:numPr>
              <w:suppressAutoHyphens/>
              <w:spacing w:before="40" w:after="40" w:line="200" w:lineRule="atLeast"/>
              <w:contextualSpacing/>
              <w:rPr>
                <w:rFonts w:eastAsia="Times New Roman" w:cs="Arial"/>
              </w:rPr>
            </w:pPr>
          </w:p>
        </w:tc>
        <w:tc>
          <w:tcPr>
            <w:tcW w:w="1264" w:type="dxa"/>
          </w:tcPr>
          <w:p w14:paraId="2351B2E6" w14:textId="77777777" w:rsidR="00C40344" w:rsidRPr="00C40344" w:rsidRDefault="00C40344">
            <w:pPr>
              <w:suppressAutoHyphens/>
              <w:spacing w:before="40" w:after="40" w:line="200" w:lineRule="atLeast"/>
              <w:rPr>
                <w:rFonts w:eastAsia="Times New Roman" w:cs="Arial"/>
              </w:rPr>
            </w:pPr>
          </w:p>
        </w:tc>
      </w:tr>
      <w:tr w:rsidR="00C40344" w:rsidRPr="0001351D" w14:paraId="2D1D14F8"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559D0004" w14:textId="77777777" w:rsidR="00C40344" w:rsidRPr="00C40344" w:rsidRDefault="00C40344">
            <w:pPr>
              <w:suppressAutoHyphens/>
              <w:spacing w:before="40" w:after="40" w:line="200" w:lineRule="atLeast"/>
              <w:rPr>
                <w:rFonts w:cs="Arial"/>
              </w:rPr>
            </w:pPr>
            <w:r w:rsidRPr="00C40344">
              <w:rPr>
                <w:rFonts w:cs="Arial"/>
              </w:rPr>
              <w:t>Structured Play Assessment-Revised (SPA)</w:t>
            </w:r>
          </w:p>
        </w:tc>
        <w:tc>
          <w:tcPr>
            <w:tcW w:w="1008" w:type="dxa"/>
          </w:tcPr>
          <w:p w14:paraId="03168175" w14:textId="77777777" w:rsidR="00C40344" w:rsidRPr="00C40344" w:rsidRDefault="00C40344">
            <w:pPr>
              <w:suppressAutoHyphens/>
              <w:spacing w:before="40" w:after="40" w:line="200" w:lineRule="atLeast"/>
              <w:rPr>
                <w:rFonts w:eastAsia="Times New Roman" w:cs="Arial"/>
              </w:rPr>
            </w:pPr>
          </w:p>
        </w:tc>
        <w:tc>
          <w:tcPr>
            <w:tcW w:w="1136" w:type="dxa"/>
          </w:tcPr>
          <w:p w14:paraId="11711D7A" w14:textId="77777777" w:rsidR="00C40344" w:rsidRPr="00C40344" w:rsidRDefault="00C40344">
            <w:pPr>
              <w:suppressAutoHyphens/>
              <w:spacing w:before="40" w:after="40" w:line="200" w:lineRule="atLeast"/>
              <w:rPr>
                <w:rFonts w:eastAsia="Times New Roman" w:cs="Arial"/>
              </w:rPr>
            </w:pPr>
          </w:p>
        </w:tc>
        <w:tc>
          <w:tcPr>
            <w:tcW w:w="1136" w:type="dxa"/>
          </w:tcPr>
          <w:p w14:paraId="3B849F19" w14:textId="77777777" w:rsidR="00C40344" w:rsidRPr="00C40344" w:rsidRDefault="00C40344">
            <w:pPr>
              <w:suppressAutoHyphens/>
              <w:spacing w:before="40" w:after="40" w:line="200" w:lineRule="atLeast"/>
              <w:rPr>
                <w:rFonts w:eastAsia="Times New Roman" w:cs="Arial"/>
              </w:rPr>
            </w:pPr>
          </w:p>
        </w:tc>
        <w:tc>
          <w:tcPr>
            <w:tcW w:w="1264" w:type="dxa"/>
          </w:tcPr>
          <w:p w14:paraId="69D86163"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r>
      <w:tr w:rsidR="00C40344" w:rsidRPr="0001351D" w14:paraId="7685DB26"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4FBA2730" w14:textId="77777777" w:rsidR="00C40344" w:rsidRPr="00C40344" w:rsidRDefault="00C40344">
            <w:pPr>
              <w:suppressAutoHyphens/>
              <w:spacing w:before="40" w:after="40" w:line="200" w:lineRule="atLeast"/>
              <w:rPr>
                <w:rFonts w:cs="Arial"/>
              </w:rPr>
            </w:pPr>
            <w:r w:rsidRPr="00C40344">
              <w:rPr>
                <w:rFonts w:cs="Arial"/>
              </w:rPr>
              <w:t>Teller Acuity Cards (TAC)</w:t>
            </w:r>
          </w:p>
        </w:tc>
        <w:tc>
          <w:tcPr>
            <w:tcW w:w="1008" w:type="dxa"/>
          </w:tcPr>
          <w:p w14:paraId="337E4603" w14:textId="77777777" w:rsidR="00C40344" w:rsidRPr="00C40344" w:rsidRDefault="00C40344">
            <w:pPr>
              <w:suppressAutoHyphens/>
              <w:spacing w:before="40" w:after="40" w:line="200" w:lineRule="atLeast"/>
              <w:rPr>
                <w:rFonts w:eastAsia="Times New Roman" w:cs="Arial"/>
              </w:rPr>
            </w:pPr>
          </w:p>
        </w:tc>
        <w:tc>
          <w:tcPr>
            <w:tcW w:w="1136" w:type="dxa"/>
          </w:tcPr>
          <w:p w14:paraId="0E50B84F" w14:textId="77777777" w:rsidR="00C40344" w:rsidRPr="00C40344" w:rsidRDefault="00C40344" w:rsidP="003B0B17">
            <w:pPr>
              <w:numPr>
                <w:ilvl w:val="0"/>
                <w:numId w:val="217"/>
              </w:numPr>
              <w:suppressAutoHyphens/>
              <w:spacing w:before="40" w:after="40" w:line="200" w:lineRule="atLeast"/>
              <w:contextualSpacing/>
              <w:rPr>
                <w:rFonts w:eastAsia="Times New Roman" w:cs="Arial"/>
              </w:rPr>
            </w:pPr>
          </w:p>
        </w:tc>
        <w:tc>
          <w:tcPr>
            <w:tcW w:w="1136" w:type="dxa"/>
          </w:tcPr>
          <w:p w14:paraId="49BB72A9" w14:textId="77777777" w:rsidR="00C40344" w:rsidRPr="00C40344" w:rsidRDefault="00C40344">
            <w:pPr>
              <w:suppressAutoHyphens/>
              <w:spacing w:before="40" w:after="40" w:line="200" w:lineRule="atLeast"/>
              <w:rPr>
                <w:rFonts w:eastAsia="Times New Roman" w:cs="Arial"/>
              </w:rPr>
            </w:pPr>
          </w:p>
        </w:tc>
        <w:tc>
          <w:tcPr>
            <w:tcW w:w="1264" w:type="dxa"/>
          </w:tcPr>
          <w:p w14:paraId="372A8D92" w14:textId="77777777" w:rsidR="00C40344" w:rsidRPr="00C40344" w:rsidRDefault="00C40344">
            <w:pPr>
              <w:suppressAutoHyphens/>
              <w:spacing w:before="40" w:after="40" w:line="200" w:lineRule="atLeast"/>
              <w:rPr>
                <w:rFonts w:eastAsia="Times New Roman" w:cs="Arial"/>
              </w:rPr>
            </w:pPr>
          </w:p>
        </w:tc>
      </w:tr>
      <w:tr w:rsidR="00C40344" w:rsidRPr="0001351D" w14:paraId="6C33F63F"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08353B17" w14:textId="77777777" w:rsidR="00C40344" w:rsidRPr="00C40344" w:rsidRDefault="00C40344">
            <w:pPr>
              <w:suppressAutoHyphens/>
              <w:spacing w:before="40" w:after="40" w:line="200" w:lineRule="atLeast"/>
              <w:rPr>
                <w:rFonts w:cs="Arial"/>
              </w:rPr>
            </w:pPr>
            <w:r w:rsidRPr="00C40344">
              <w:rPr>
                <w:rFonts w:cs="Arial"/>
              </w:rPr>
              <w:t>Test of Gross Motor Development (TGMD-2, TGMD-3)</w:t>
            </w:r>
          </w:p>
        </w:tc>
        <w:tc>
          <w:tcPr>
            <w:tcW w:w="1008" w:type="dxa"/>
          </w:tcPr>
          <w:p w14:paraId="7D28A59D" w14:textId="77777777" w:rsidR="00C40344" w:rsidRPr="00C40344" w:rsidRDefault="00C40344">
            <w:pPr>
              <w:suppressAutoHyphens/>
              <w:spacing w:before="40" w:after="40" w:line="200" w:lineRule="atLeast"/>
              <w:rPr>
                <w:rFonts w:eastAsia="Times New Roman" w:cs="Arial"/>
              </w:rPr>
            </w:pPr>
          </w:p>
        </w:tc>
        <w:tc>
          <w:tcPr>
            <w:tcW w:w="1136" w:type="dxa"/>
          </w:tcPr>
          <w:p w14:paraId="1B666416" w14:textId="77777777" w:rsidR="00C40344" w:rsidRPr="00C40344" w:rsidRDefault="00C40344">
            <w:pPr>
              <w:suppressAutoHyphens/>
              <w:spacing w:before="40" w:after="40" w:line="200" w:lineRule="atLeast"/>
              <w:rPr>
                <w:rFonts w:eastAsia="Times New Roman" w:cs="Arial"/>
              </w:rPr>
            </w:pPr>
          </w:p>
        </w:tc>
        <w:tc>
          <w:tcPr>
            <w:tcW w:w="1136" w:type="dxa"/>
          </w:tcPr>
          <w:p w14:paraId="421A509F" w14:textId="77777777" w:rsidR="00C40344" w:rsidRPr="00C40344" w:rsidRDefault="00C40344" w:rsidP="003B0B17">
            <w:pPr>
              <w:numPr>
                <w:ilvl w:val="0"/>
                <w:numId w:val="185"/>
              </w:numPr>
              <w:suppressAutoHyphens/>
              <w:spacing w:before="40" w:after="40" w:line="200" w:lineRule="atLeast"/>
              <w:contextualSpacing/>
              <w:rPr>
                <w:rFonts w:eastAsia="Times New Roman" w:cs="Arial"/>
              </w:rPr>
            </w:pPr>
          </w:p>
        </w:tc>
        <w:tc>
          <w:tcPr>
            <w:tcW w:w="1264" w:type="dxa"/>
          </w:tcPr>
          <w:p w14:paraId="0693B92F" w14:textId="77777777" w:rsidR="00C40344" w:rsidRPr="00C40344" w:rsidRDefault="00C40344">
            <w:pPr>
              <w:suppressAutoHyphens/>
              <w:spacing w:before="40" w:after="40" w:line="200" w:lineRule="atLeast"/>
              <w:rPr>
                <w:rFonts w:eastAsia="Times New Roman" w:cs="Arial"/>
              </w:rPr>
            </w:pPr>
          </w:p>
        </w:tc>
      </w:tr>
      <w:tr w:rsidR="00C40344" w:rsidRPr="0001351D" w14:paraId="25F46694" w14:textId="77777777" w:rsidTr="00E13EB9">
        <w:trPr>
          <w:cnfStyle w:val="000000010000" w:firstRow="0" w:lastRow="0" w:firstColumn="0" w:lastColumn="0" w:oddVBand="0" w:evenVBand="0" w:oddHBand="0" w:evenHBand="1" w:firstRowFirstColumn="0" w:firstRowLastColumn="0" w:lastRowFirstColumn="0" w:lastRowLastColumn="0"/>
          <w:trHeight w:val="338"/>
        </w:trPr>
        <w:tc>
          <w:tcPr>
            <w:tcW w:w="4854" w:type="dxa"/>
          </w:tcPr>
          <w:p w14:paraId="207AB53E" w14:textId="77777777" w:rsidR="00C40344" w:rsidRPr="00C40344" w:rsidRDefault="00C40344">
            <w:pPr>
              <w:suppressAutoHyphens/>
              <w:spacing w:before="40" w:after="40" w:line="200" w:lineRule="atLeast"/>
              <w:rPr>
                <w:rFonts w:cs="Arial"/>
              </w:rPr>
            </w:pPr>
            <w:r w:rsidRPr="00C40344">
              <w:rPr>
                <w:rFonts w:cs="Arial"/>
              </w:rPr>
              <w:t>Test of Preschool Early Literacy (TOPEL)</w:t>
            </w:r>
          </w:p>
        </w:tc>
        <w:tc>
          <w:tcPr>
            <w:tcW w:w="1008" w:type="dxa"/>
          </w:tcPr>
          <w:p w14:paraId="1E87C3A6" w14:textId="77777777" w:rsidR="00C40344" w:rsidRPr="00C40344" w:rsidRDefault="00C40344">
            <w:pPr>
              <w:suppressAutoHyphens/>
              <w:spacing w:before="40" w:after="40" w:line="200" w:lineRule="atLeast"/>
              <w:rPr>
                <w:rFonts w:eastAsia="Times New Roman" w:cs="Arial"/>
              </w:rPr>
            </w:pPr>
          </w:p>
        </w:tc>
        <w:tc>
          <w:tcPr>
            <w:tcW w:w="1136" w:type="dxa"/>
          </w:tcPr>
          <w:p w14:paraId="59696CA7" w14:textId="77777777" w:rsidR="00C40344" w:rsidRPr="00C40344" w:rsidRDefault="00C40344">
            <w:pPr>
              <w:suppressAutoHyphens/>
              <w:spacing w:before="40" w:after="40" w:line="200" w:lineRule="atLeast"/>
              <w:rPr>
                <w:rFonts w:eastAsia="Times New Roman" w:cs="Arial"/>
              </w:rPr>
            </w:pPr>
          </w:p>
        </w:tc>
        <w:tc>
          <w:tcPr>
            <w:tcW w:w="1136" w:type="dxa"/>
          </w:tcPr>
          <w:p w14:paraId="3C7A2918" w14:textId="77777777" w:rsidR="00C40344" w:rsidRPr="00C40344" w:rsidRDefault="00C40344" w:rsidP="003B0B17">
            <w:pPr>
              <w:numPr>
                <w:ilvl w:val="0"/>
                <w:numId w:val="184"/>
              </w:numPr>
              <w:suppressAutoHyphens/>
              <w:spacing w:before="40" w:after="40" w:line="200" w:lineRule="atLeast"/>
              <w:contextualSpacing/>
              <w:rPr>
                <w:rFonts w:eastAsia="Times New Roman" w:cs="Arial"/>
              </w:rPr>
            </w:pPr>
          </w:p>
        </w:tc>
        <w:tc>
          <w:tcPr>
            <w:tcW w:w="1264" w:type="dxa"/>
          </w:tcPr>
          <w:p w14:paraId="3587632C" w14:textId="77777777" w:rsidR="00C40344" w:rsidRPr="00C40344" w:rsidRDefault="00C40344">
            <w:pPr>
              <w:suppressAutoHyphens/>
              <w:spacing w:before="40" w:after="40" w:line="200" w:lineRule="atLeast"/>
              <w:rPr>
                <w:rFonts w:eastAsia="Times New Roman" w:cs="Arial"/>
              </w:rPr>
            </w:pPr>
          </w:p>
        </w:tc>
      </w:tr>
      <w:tr w:rsidR="00C40344" w:rsidRPr="0001351D" w14:paraId="2310102A" w14:textId="77777777" w:rsidTr="00E13EB9">
        <w:trPr>
          <w:cnfStyle w:val="000000100000" w:firstRow="0" w:lastRow="0" w:firstColumn="0" w:lastColumn="0" w:oddVBand="0" w:evenVBand="0" w:oddHBand="1" w:evenHBand="0" w:firstRowFirstColumn="0" w:firstRowLastColumn="0" w:lastRowFirstColumn="0" w:lastRowLastColumn="0"/>
          <w:trHeight w:val="338"/>
        </w:trPr>
        <w:tc>
          <w:tcPr>
            <w:tcW w:w="4854" w:type="dxa"/>
          </w:tcPr>
          <w:p w14:paraId="2C0FFC35" w14:textId="77777777" w:rsidR="00C40344" w:rsidRPr="00C40344" w:rsidRDefault="00C40344">
            <w:pPr>
              <w:suppressAutoHyphens/>
              <w:spacing w:before="40" w:after="40" w:line="200" w:lineRule="atLeast"/>
              <w:rPr>
                <w:rFonts w:cs="Arial"/>
              </w:rPr>
            </w:pPr>
            <w:r w:rsidRPr="00C40344">
              <w:rPr>
                <w:rFonts w:cs="Arial"/>
              </w:rPr>
              <w:t>Vineland Adaptive Behaviour Scales (VABS, VABS-II, VABS-III, VABS-T)</w:t>
            </w:r>
          </w:p>
        </w:tc>
        <w:tc>
          <w:tcPr>
            <w:tcW w:w="1008" w:type="dxa"/>
          </w:tcPr>
          <w:p w14:paraId="7C4B38D2" w14:textId="77777777" w:rsidR="00C40344" w:rsidRPr="00C40344" w:rsidRDefault="00C40344">
            <w:pPr>
              <w:suppressAutoHyphens/>
              <w:spacing w:before="40" w:after="40" w:line="200" w:lineRule="atLeast"/>
              <w:rPr>
                <w:rFonts w:eastAsia="Times New Roman" w:cs="Arial"/>
              </w:rPr>
            </w:pPr>
          </w:p>
        </w:tc>
        <w:tc>
          <w:tcPr>
            <w:tcW w:w="1136" w:type="dxa"/>
          </w:tcPr>
          <w:p w14:paraId="6CCFB9A3" w14:textId="77777777" w:rsidR="00C40344" w:rsidRPr="00C40344" w:rsidRDefault="00C40344">
            <w:pPr>
              <w:suppressAutoHyphens/>
              <w:spacing w:before="40" w:after="40" w:line="200" w:lineRule="atLeast"/>
              <w:rPr>
                <w:rFonts w:eastAsia="Times New Roman" w:cs="Arial"/>
              </w:rPr>
            </w:pPr>
          </w:p>
        </w:tc>
        <w:tc>
          <w:tcPr>
            <w:tcW w:w="1136" w:type="dxa"/>
          </w:tcPr>
          <w:p w14:paraId="78118AE3" w14:textId="77777777" w:rsidR="00C40344" w:rsidRPr="00C40344" w:rsidRDefault="00C40344" w:rsidP="003B0B17">
            <w:pPr>
              <w:numPr>
                <w:ilvl w:val="0"/>
                <w:numId w:val="183"/>
              </w:numPr>
              <w:suppressAutoHyphens/>
              <w:spacing w:before="40" w:after="40" w:line="200" w:lineRule="atLeast"/>
              <w:contextualSpacing/>
              <w:rPr>
                <w:rFonts w:eastAsia="Times New Roman" w:cs="Arial"/>
              </w:rPr>
            </w:pPr>
          </w:p>
        </w:tc>
        <w:tc>
          <w:tcPr>
            <w:tcW w:w="1264" w:type="dxa"/>
          </w:tcPr>
          <w:p w14:paraId="540A1D3A" w14:textId="77777777" w:rsidR="00C40344" w:rsidRPr="00C40344" w:rsidRDefault="00C40344">
            <w:pPr>
              <w:suppressAutoHyphens/>
              <w:spacing w:before="40" w:after="40" w:line="200" w:lineRule="atLeast"/>
              <w:rPr>
                <w:rFonts w:eastAsia="Times New Roman" w:cs="Arial"/>
              </w:rPr>
            </w:pPr>
          </w:p>
        </w:tc>
      </w:tr>
    </w:tbl>
    <w:p w14:paraId="2D362935" w14:textId="77777777" w:rsidR="00E13EB9" w:rsidRPr="006478C1" w:rsidRDefault="00E13EB9" w:rsidP="00E13EB9">
      <w:pPr>
        <w:suppressAutoHyphens/>
        <w:spacing w:before="40" w:after="40" w:line="200" w:lineRule="atLeast"/>
        <w:rPr>
          <w:rFonts w:eastAsia="Times New Roman" w:cs="Arial"/>
          <w:sz w:val="20"/>
          <w:szCs w:val="20"/>
          <w:lang w:eastAsia="en-AU"/>
        </w:rPr>
      </w:pPr>
      <w:r w:rsidRPr="006478C1">
        <w:rPr>
          <w:rFonts w:eastAsia="Times New Roman" w:cs="Arial"/>
          <w:sz w:val="20"/>
          <w:szCs w:val="20"/>
          <w:lang w:eastAsia="en-AU"/>
        </w:rPr>
        <w:t>Note: QoL = quality of life</w:t>
      </w:r>
    </w:p>
    <w:p w14:paraId="5F904742" w14:textId="77777777" w:rsidR="006478C1" w:rsidRDefault="006478C1">
      <w:pPr>
        <w:spacing w:before="0" w:after="0"/>
        <w:rPr>
          <w:rFonts w:cs="Arial"/>
          <w:color w:val="000000" w:themeColor="text1"/>
          <w:lang w:val="en-US"/>
        </w:rPr>
      </w:pPr>
      <w:r>
        <w:rPr>
          <w:rFonts w:cs="Arial"/>
          <w:color w:val="000000" w:themeColor="text1"/>
          <w:lang w:val="en-US"/>
        </w:rPr>
        <w:br w:type="page"/>
      </w:r>
    </w:p>
    <w:p w14:paraId="21B32337" w14:textId="7A176E97" w:rsidR="00C83AA6" w:rsidRPr="004F3F37" w:rsidRDefault="004F3F37" w:rsidP="004F3F37">
      <w:pPr>
        <w:pStyle w:val="Caption"/>
        <w:keepNext/>
      </w:pPr>
      <w:bookmarkStart w:id="116" w:name="_Toc177725015"/>
      <w:bookmarkStart w:id="117" w:name="_Toc177727335"/>
      <w:r w:rsidRPr="00C36F4E">
        <w:rPr>
          <w:b/>
          <w:bCs/>
        </w:rPr>
        <w:t xml:space="preserve">Table </w:t>
      </w:r>
      <w:r w:rsidR="00627239" w:rsidRPr="00C36F4E">
        <w:rPr>
          <w:b/>
          <w:bCs/>
        </w:rPr>
        <w:fldChar w:fldCharType="begin"/>
      </w:r>
      <w:r w:rsidR="00627239" w:rsidRPr="00C36F4E">
        <w:rPr>
          <w:b/>
          <w:bCs/>
        </w:rPr>
        <w:instrText xml:space="preserve"> SEQ Table \* ARABIC </w:instrText>
      </w:r>
      <w:r w:rsidR="00627239" w:rsidRPr="00C36F4E">
        <w:rPr>
          <w:b/>
          <w:bCs/>
        </w:rPr>
        <w:fldChar w:fldCharType="separate"/>
      </w:r>
      <w:r w:rsidR="00303407">
        <w:rPr>
          <w:b/>
          <w:bCs/>
          <w:noProof/>
        </w:rPr>
        <w:t>17</w:t>
      </w:r>
      <w:r w:rsidR="00627239" w:rsidRPr="00C36F4E">
        <w:rPr>
          <w:b/>
          <w:bCs/>
          <w:noProof/>
        </w:rPr>
        <w:fldChar w:fldCharType="end"/>
      </w:r>
      <w:r w:rsidRPr="00C36F4E">
        <w:rPr>
          <w:b/>
          <w:bCs/>
        </w:rPr>
        <w:t>.</w:t>
      </w:r>
      <w:r w:rsidRPr="00583929">
        <w:t xml:space="preserve"> Instruments used to measure outcomes for parents/caregivers or families</w:t>
      </w:r>
      <w:bookmarkEnd w:id="116"/>
      <w:bookmarkEnd w:id="117"/>
    </w:p>
    <w:tbl>
      <w:tblPr>
        <w:tblStyle w:val="UniofMelTable310"/>
        <w:tblW w:w="5206" w:type="pct"/>
        <w:tblLook w:val="04A0" w:firstRow="1" w:lastRow="0" w:firstColumn="1" w:lastColumn="0" w:noHBand="0" w:noVBand="1"/>
      </w:tblPr>
      <w:tblGrid>
        <w:gridCol w:w="6297"/>
        <w:gridCol w:w="1784"/>
        <w:gridCol w:w="1317"/>
      </w:tblGrid>
      <w:tr w:rsidR="00361D12" w:rsidRPr="0001351D" w14:paraId="728A9799" w14:textId="77777777">
        <w:trPr>
          <w:cnfStyle w:val="100000000000" w:firstRow="1" w:lastRow="0" w:firstColumn="0" w:lastColumn="0" w:oddVBand="0" w:evenVBand="0" w:oddHBand="0" w:evenHBand="0" w:firstRowFirstColumn="0" w:firstRowLastColumn="0" w:lastRowFirstColumn="0" w:lastRowLastColumn="0"/>
          <w:trHeight w:val="337"/>
        </w:trPr>
        <w:tc>
          <w:tcPr>
            <w:tcW w:w="7337" w:type="dxa"/>
            <w:shd w:val="clear" w:color="auto" w:fill="082A75"/>
          </w:tcPr>
          <w:p w14:paraId="1A9A0234" w14:textId="77777777" w:rsidR="00361D12" w:rsidRPr="00361D12" w:rsidRDefault="00361D12">
            <w:pPr>
              <w:suppressAutoHyphens/>
              <w:spacing w:before="40" w:after="40" w:line="200" w:lineRule="atLeast"/>
              <w:rPr>
                <w:rFonts w:eastAsia="Times New Roman" w:cs="Arial"/>
                <w:b/>
                <w:color w:val="082A75"/>
                <w:szCs w:val="22"/>
                <w:lang w:eastAsia="en-AU"/>
              </w:rPr>
            </w:pPr>
            <w:r w:rsidRPr="00361D12">
              <w:rPr>
                <w:rFonts w:eastAsia="Times New Roman" w:cs="Arial"/>
                <w:b/>
                <w:szCs w:val="22"/>
                <w:lang w:eastAsia="en-AU"/>
              </w:rPr>
              <w:t xml:space="preserve">Name of tool </w:t>
            </w:r>
          </w:p>
        </w:tc>
        <w:tc>
          <w:tcPr>
            <w:tcW w:w="1621" w:type="dxa"/>
            <w:shd w:val="clear" w:color="auto" w:fill="082A75"/>
          </w:tcPr>
          <w:p w14:paraId="215334FF" w14:textId="77777777" w:rsidR="00361D12" w:rsidRPr="00361D12" w:rsidRDefault="00361D12">
            <w:pPr>
              <w:suppressAutoHyphens/>
              <w:spacing w:before="40" w:after="40" w:line="200" w:lineRule="atLeast"/>
              <w:jc w:val="center"/>
              <w:rPr>
                <w:rFonts w:eastAsia="Times New Roman" w:cs="Arial"/>
                <w:b/>
                <w:szCs w:val="22"/>
                <w:lang w:eastAsia="en-AU"/>
              </w:rPr>
            </w:pPr>
            <w:r w:rsidRPr="00361D12">
              <w:rPr>
                <w:rFonts w:eastAsia="Times New Roman" w:cs="Arial"/>
                <w:b/>
                <w:szCs w:val="22"/>
                <w:lang w:eastAsia="en-AU"/>
              </w:rPr>
              <w:t>Parent/caregiver focused</w:t>
            </w:r>
          </w:p>
        </w:tc>
        <w:tc>
          <w:tcPr>
            <w:tcW w:w="1389" w:type="dxa"/>
            <w:shd w:val="clear" w:color="auto" w:fill="082A75"/>
          </w:tcPr>
          <w:p w14:paraId="1024E5A5" w14:textId="77777777" w:rsidR="00361D12" w:rsidRPr="00361D12" w:rsidRDefault="00361D12">
            <w:pPr>
              <w:suppressAutoHyphens/>
              <w:spacing w:before="40" w:after="40" w:line="200" w:lineRule="atLeast"/>
              <w:rPr>
                <w:rFonts w:eastAsia="Times New Roman" w:cs="Arial"/>
                <w:b/>
                <w:szCs w:val="22"/>
                <w:lang w:eastAsia="en-AU"/>
              </w:rPr>
            </w:pPr>
            <w:r w:rsidRPr="00361D12">
              <w:rPr>
                <w:rFonts w:eastAsia="Times New Roman" w:cs="Arial"/>
                <w:b/>
                <w:szCs w:val="22"/>
                <w:lang w:eastAsia="en-AU"/>
              </w:rPr>
              <w:t xml:space="preserve">Family focused </w:t>
            </w:r>
          </w:p>
        </w:tc>
      </w:tr>
      <w:tr w:rsidR="00361D12" w:rsidRPr="0001351D" w14:paraId="07368C5E" w14:textId="77777777">
        <w:trPr>
          <w:cnfStyle w:val="000000100000" w:firstRow="0" w:lastRow="0" w:firstColumn="0" w:lastColumn="0" w:oddVBand="0" w:evenVBand="0" w:oddHBand="1" w:evenHBand="0" w:firstRowFirstColumn="0" w:firstRowLastColumn="0" w:lastRowFirstColumn="0" w:lastRowLastColumn="0"/>
          <w:trHeight w:val="337"/>
        </w:trPr>
        <w:tc>
          <w:tcPr>
            <w:tcW w:w="7337" w:type="dxa"/>
          </w:tcPr>
          <w:p w14:paraId="49E6AC50" w14:textId="77777777" w:rsidR="00361D12" w:rsidRPr="00361D12" w:rsidRDefault="00361D12">
            <w:pPr>
              <w:suppressAutoHyphens/>
              <w:spacing w:before="40" w:after="40" w:line="200" w:lineRule="atLeast"/>
              <w:rPr>
                <w:rFonts w:eastAsia="Times New Roman" w:cs="Arial"/>
                <w:szCs w:val="22"/>
                <w:lang w:eastAsia="en-AU"/>
              </w:rPr>
            </w:pPr>
            <w:r w:rsidRPr="00361D12">
              <w:rPr>
                <w:rFonts w:cs="Arial"/>
              </w:rPr>
              <w:t>Beach Center Family Quality of Life Scale (FQOL)</w:t>
            </w:r>
          </w:p>
        </w:tc>
        <w:tc>
          <w:tcPr>
            <w:tcW w:w="1621" w:type="dxa"/>
          </w:tcPr>
          <w:p w14:paraId="316D49E9" w14:textId="77777777" w:rsidR="00361D12" w:rsidRPr="00361D12" w:rsidRDefault="00361D12">
            <w:pPr>
              <w:suppressAutoHyphens/>
              <w:spacing w:before="40" w:after="40" w:line="200" w:lineRule="atLeast"/>
              <w:rPr>
                <w:rFonts w:cs="Arial"/>
              </w:rPr>
            </w:pPr>
          </w:p>
        </w:tc>
        <w:tc>
          <w:tcPr>
            <w:tcW w:w="1389" w:type="dxa"/>
          </w:tcPr>
          <w:p w14:paraId="48B9491C" w14:textId="77777777" w:rsidR="00361D12" w:rsidRPr="00361D12" w:rsidRDefault="00361D12" w:rsidP="003B0B17">
            <w:pPr>
              <w:numPr>
                <w:ilvl w:val="0"/>
                <w:numId w:val="234"/>
              </w:numPr>
              <w:suppressAutoHyphens/>
              <w:spacing w:before="40" w:after="40" w:line="200" w:lineRule="atLeast"/>
              <w:contextualSpacing/>
              <w:rPr>
                <w:rFonts w:cs="Arial"/>
              </w:rPr>
            </w:pPr>
          </w:p>
        </w:tc>
      </w:tr>
      <w:tr w:rsidR="00361D12" w:rsidRPr="0001351D" w14:paraId="4724BE45" w14:textId="77777777">
        <w:trPr>
          <w:cnfStyle w:val="000000010000" w:firstRow="0" w:lastRow="0" w:firstColumn="0" w:lastColumn="0" w:oddVBand="0" w:evenVBand="0" w:oddHBand="0" w:evenHBand="1" w:firstRowFirstColumn="0" w:firstRowLastColumn="0" w:lastRowFirstColumn="0" w:lastRowLastColumn="0"/>
          <w:trHeight w:val="337"/>
        </w:trPr>
        <w:tc>
          <w:tcPr>
            <w:tcW w:w="7337" w:type="dxa"/>
          </w:tcPr>
          <w:p w14:paraId="52B3B9C7" w14:textId="77777777" w:rsidR="00361D12" w:rsidRPr="00361D12" w:rsidRDefault="00361D12">
            <w:pPr>
              <w:suppressAutoHyphens/>
              <w:spacing w:before="40" w:after="40" w:line="200" w:lineRule="atLeast"/>
              <w:rPr>
                <w:rFonts w:eastAsia="Times New Roman" w:cs="Arial"/>
                <w:szCs w:val="22"/>
                <w:lang w:eastAsia="en-AU"/>
              </w:rPr>
            </w:pPr>
            <w:r w:rsidRPr="00361D12">
              <w:rPr>
                <w:rFonts w:cs="Arial"/>
              </w:rPr>
              <w:t>Center for Epidemiologic Studies Depression Scale (CES-D)</w:t>
            </w:r>
          </w:p>
        </w:tc>
        <w:tc>
          <w:tcPr>
            <w:tcW w:w="1621" w:type="dxa"/>
          </w:tcPr>
          <w:p w14:paraId="53EAFA02" w14:textId="77777777" w:rsidR="00361D12" w:rsidRPr="00361D12" w:rsidRDefault="00361D12" w:rsidP="003B0B17">
            <w:pPr>
              <w:numPr>
                <w:ilvl w:val="0"/>
                <w:numId w:val="233"/>
              </w:numPr>
              <w:suppressAutoHyphens/>
              <w:spacing w:before="40" w:after="40" w:line="200" w:lineRule="atLeast"/>
              <w:ind w:left="0" w:firstLine="0"/>
              <w:contextualSpacing/>
              <w:jc w:val="center"/>
              <w:rPr>
                <w:rFonts w:cs="Arial"/>
              </w:rPr>
            </w:pPr>
          </w:p>
        </w:tc>
        <w:tc>
          <w:tcPr>
            <w:tcW w:w="1389" w:type="dxa"/>
          </w:tcPr>
          <w:p w14:paraId="7885FC16" w14:textId="77777777" w:rsidR="00361D12" w:rsidRPr="00361D12" w:rsidRDefault="00361D12">
            <w:pPr>
              <w:suppressAutoHyphens/>
              <w:spacing w:before="40" w:after="40" w:line="200" w:lineRule="atLeast"/>
              <w:rPr>
                <w:rFonts w:cs="Arial"/>
              </w:rPr>
            </w:pPr>
          </w:p>
        </w:tc>
      </w:tr>
      <w:tr w:rsidR="00361D12" w:rsidRPr="0001351D" w14:paraId="658E280C" w14:textId="77777777">
        <w:trPr>
          <w:cnfStyle w:val="000000100000" w:firstRow="0" w:lastRow="0" w:firstColumn="0" w:lastColumn="0" w:oddVBand="0" w:evenVBand="0" w:oddHBand="1" w:evenHBand="0" w:firstRowFirstColumn="0" w:firstRowLastColumn="0" w:lastRowFirstColumn="0" w:lastRowLastColumn="0"/>
          <w:trHeight w:val="337"/>
        </w:trPr>
        <w:tc>
          <w:tcPr>
            <w:tcW w:w="7337" w:type="dxa"/>
          </w:tcPr>
          <w:p w14:paraId="67A434A8" w14:textId="77777777" w:rsidR="00361D12" w:rsidRPr="00361D12" w:rsidRDefault="00361D12">
            <w:pPr>
              <w:suppressAutoHyphens/>
              <w:spacing w:before="40" w:after="40" w:line="200" w:lineRule="atLeast"/>
              <w:rPr>
                <w:rFonts w:eastAsia="Times New Roman" w:cs="Arial"/>
                <w:szCs w:val="22"/>
                <w:lang w:eastAsia="en-AU"/>
              </w:rPr>
            </w:pPr>
            <w:r w:rsidRPr="00361D12">
              <w:rPr>
                <w:rFonts w:cs="Arial"/>
              </w:rPr>
              <w:t>Centraal Bureau voor de Statistiek List - Quality of Life (CBS-list QoL)</w:t>
            </w:r>
          </w:p>
        </w:tc>
        <w:tc>
          <w:tcPr>
            <w:tcW w:w="1621" w:type="dxa"/>
          </w:tcPr>
          <w:p w14:paraId="2184F7D6" w14:textId="77777777" w:rsidR="00361D12" w:rsidRPr="00361D12" w:rsidRDefault="00361D12" w:rsidP="003B0B17">
            <w:pPr>
              <w:numPr>
                <w:ilvl w:val="0"/>
                <w:numId w:val="232"/>
              </w:numPr>
              <w:suppressAutoHyphens/>
              <w:spacing w:before="40" w:after="40" w:line="200" w:lineRule="atLeast"/>
              <w:ind w:left="0" w:firstLine="0"/>
              <w:contextualSpacing/>
              <w:jc w:val="center"/>
              <w:rPr>
                <w:rFonts w:cs="Arial"/>
              </w:rPr>
            </w:pPr>
          </w:p>
        </w:tc>
        <w:tc>
          <w:tcPr>
            <w:tcW w:w="1389" w:type="dxa"/>
          </w:tcPr>
          <w:p w14:paraId="05248850" w14:textId="77777777" w:rsidR="00361D12" w:rsidRPr="00361D12" w:rsidRDefault="00361D12">
            <w:pPr>
              <w:suppressAutoHyphens/>
              <w:spacing w:before="40" w:after="40" w:line="200" w:lineRule="atLeast"/>
              <w:rPr>
                <w:rFonts w:cs="Arial"/>
              </w:rPr>
            </w:pPr>
          </w:p>
        </w:tc>
      </w:tr>
      <w:tr w:rsidR="00361D12" w:rsidRPr="0001351D" w14:paraId="578402BE" w14:textId="77777777">
        <w:trPr>
          <w:cnfStyle w:val="000000010000" w:firstRow="0" w:lastRow="0" w:firstColumn="0" w:lastColumn="0" w:oddVBand="0" w:evenVBand="0" w:oddHBand="0" w:evenHBand="1" w:firstRowFirstColumn="0" w:firstRowLastColumn="0" w:lastRowFirstColumn="0" w:lastRowLastColumn="0"/>
          <w:trHeight w:val="337"/>
        </w:trPr>
        <w:tc>
          <w:tcPr>
            <w:tcW w:w="7337" w:type="dxa"/>
          </w:tcPr>
          <w:p w14:paraId="19A33D09" w14:textId="77777777" w:rsidR="00361D12" w:rsidRPr="00361D12" w:rsidRDefault="00361D12">
            <w:pPr>
              <w:suppressAutoHyphens/>
              <w:spacing w:before="40" w:after="40" w:line="200" w:lineRule="atLeast"/>
              <w:rPr>
                <w:rFonts w:eastAsia="Times New Roman" w:cs="Arial"/>
                <w:szCs w:val="22"/>
                <w:lang w:eastAsia="en-AU"/>
              </w:rPr>
            </w:pPr>
            <w:r w:rsidRPr="00361D12">
              <w:rPr>
                <w:rFonts w:cs="Arial"/>
              </w:rPr>
              <w:t>Dyadic Parent-Child Interaction Coding System (DPICS-4)</w:t>
            </w:r>
          </w:p>
        </w:tc>
        <w:tc>
          <w:tcPr>
            <w:tcW w:w="1621" w:type="dxa"/>
          </w:tcPr>
          <w:p w14:paraId="26695298" w14:textId="77777777" w:rsidR="00361D12" w:rsidRPr="00361D12" w:rsidRDefault="00361D12">
            <w:pPr>
              <w:suppressAutoHyphens/>
              <w:spacing w:before="40" w:after="40" w:line="200" w:lineRule="atLeast"/>
              <w:contextualSpacing/>
              <w:jc w:val="center"/>
              <w:rPr>
                <w:rFonts w:cs="Arial"/>
              </w:rPr>
            </w:pPr>
          </w:p>
        </w:tc>
        <w:tc>
          <w:tcPr>
            <w:tcW w:w="1389" w:type="dxa"/>
          </w:tcPr>
          <w:p w14:paraId="31926045" w14:textId="77777777" w:rsidR="00361D12" w:rsidRPr="00361D12" w:rsidRDefault="00361D12" w:rsidP="003B0B17">
            <w:pPr>
              <w:numPr>
                <w:ilvl w:val="0"/>
                <w:numId w:val="221"/>
              </w:numPr>
              <w:suppressAutoHyphens/>
              <w:spacing w:before="40" w:after="40" w:line="200" w:lineRule="atLeast"/>
              <w:contextualSpacing/>
              <w:rPr>
                <w:rFonts w:cs="Arial"/>
              </w:rPr>
            </w:pPr>
          </w:p>
        </w:tc>
      </w:tr>
      <w:tr w:rsidR="00361D12" w:rsidRPr="0001351D" w14:paraId="2234735E" w14:textId="77777777">
        <w:trPr>
          <w:cnfStyle w:val="000000100000" w:firstRow="0" w:lastRow="0" w:firstColumn="0" w:lastColumn="0" w:oddVBand="0" w:evenVBand="0" w:oddHBand="1" w:evenHBand="0" w:firstRowFirstColumn="0" w:firstRowLastColumn="0" w:lastRowFirstColumn="0" w:lastRowLastColumn="0"/>
          <w:trHeight w:val="337"/>
        </w:trPr>
        <w:tc>
          <w:tcPr>
            <w:tcW w:w="7337" w:type="dxa"/>
          </w:tcPr>
          <w:p w14:paraId="7E6A1E64" w14:textId="77777777" w:rsidR="00361D12" w:rsidRPr="00361D12" w:rsidRDefault="00361D12">
            <w:pPr>
              <w:suppressAutoHyphens/>
              <w:spacing w:before="40" w:after="40" w:line="200" w:lineRule="atLeast"/>
              <w:rPr>
                <w:rFonts w:eastAsia="Times New Roman" w:cs="Arial"/>
                <w:szCs w:val="22"/>
                <w:lang w:eastAsia="en-AU"/>
              </w:rPr>
            </w:pPr>
            <w:r w:rsidRPr="00361D12">
              <w:rPr>
                <w:rFonts w:cs="Arial"/>
              </w:rPr>
              <w:t>Early Intervention Parenting Self</w:t>
            </w:r>
            <w:r w:rsidRPr="00361D12">
              <w:rPr>
                <w:rFonts w:ascii="Cambria Math" w:hAnsi="Cambria Math" w:cs="Cambria Math"/>
              </w:rPr>
              <w:t>‑</w:t>
            </w:r>
            <w:r w:rsidRPr="00361D12">
              <w:rPr>
                <w:rFonts w:cs="Arial"/>
              </w:rPr>
              <w:t>Efficacy Scale (EIPSES)</w:t>
            </w:r>
          </w:p>
        </w:tc>
        <w:tc>
          <w:tcPr>
            <w:tcW w:w="1621" w:type="dxa"/>
          </w:tcPr>
          <w:p w14:paraId="481CEDB2" w14:textId="77777777" w:rsidR="00361D12" w:rsidRPr="00361D12" w:rsidRDefault="00361D12" w:rsidP="003B0B17">
            <w:pPr>
              <w:numPr>
                <w:ilvl w:val="0"/>
                <w:numId w:val="231"/>
              </w:numPr>
              <w:suppressAutoHyphens/>
              <w:spacing w:before="40" w:after="40" w:line="200" w:lineRule="atLeast"/>
              <w:ind w:left="0" w:firstLine="0"/>
              <w:contextualSpacing/>
              <w:jc w:val="center"/>
              <w:rPr>
                <w:rFonts w:cs="Arial"/>
              </w:rPr>
            </w:pPr>
          </w:p>
        </w:tc>
        <w:tc>
          <w:tcPr>
            <w:tcW w:w="1389" w:type="dxa"/>
          </w:tcPr>
          <w:p w14:paraId="18D799D0" w14:textId="77777777" w:rsidR="00361D12" w:rsidRPr="00361D12" w:rsidRDefault="00361D12">
            <w:pPr>
              <w:suppressAutoHyphens/>
              <w:spacing w:before="40" w:after="40" w:line="200" w:lineRule="atLeast"/>
              <w:rPr>
                <w:rFonts w:cs="Arial"/>
              </w:rPr>
            </w:pPr>
          </w:p>
        </w:tc>
      </w:tr>
      <w:tr w:rsidR="00361D12" w:rsidRPr="0001351D" w14:paraId="626F7E8A" w14:textId="77777777">
        <w:trPr>
          <w:cnfStyle w:val="000000010000" w:firstRow="0" w:lastRow="0" w:firstColumn="0" w:lastColumn="0" w:oddVBand="0" w:evenVBand="0" w:oddHBand="0" w:evenHBand="1" w:firstRowFirstColumn="0" w:firstRowLastColumn="0" w:lastRowFirstColumn="0" w:lastRowLastColumn="0"/>
          <w:trHeight w:val="337"/>
        </w:trPr>
        <w:tc>
          <w:tcPr>
            <w:tcW w:w="7337" w:type="dxa"/>
          </w:tcPr>
          <w:p w14:paraId="513A9678" w14:textId="77777777" w:rsidR="00361D12" w:rsidRPr="00361D12" w:rsidRDefault="00361D12">
            <w:pPr>
              <w:suppressAutoHyphens/>
              <w:spacing w:before="40" w:after="40" w:line="200" w:lineRule="atLeast"/>
              <w:rPr>
                <w:rFonts w:eastAsia="Times New Roman" w:cs="Arial"/>
                <w:szCs w:val="22"/>
                <w:lang w:eastAsia="en-AU"/>
              </w:rPr>
            </w:pPr>
            <w:r w:rsidRPr="00361D12">
              <w:rPr>
                <w:rFonts w:cs="Arial"/>
              </w:rPr>
              <w:t>Family Empowerment Scale (FES)</w:t>
            </w:r>
          </w:p>
        </w:tc>
        <w:tc>
          <w:tcPr>
            <w:tcW w:w="1621" w:type="dxa"/>
          </w:tcPr>
          <w:p w14:paraId="4FAB51B5" w14:textId="77777777" w:rsidR="00361D12" w:rsidRPr="00361D12" w:rsidRDefault="00361D12">
            <w:pPr>
              <w:suppressAutoHyphens/>
              <w:spacing w:before="40" w:after="40" w:line="200" w:lineRule="atLeast"/>
              <w:jc w:val="center"/>
              <w:rPr>
                <w:rFonts w:cs="Arial"/>
              </w:rPr>
            </w:pPr>
          </w:p>
        </w:tc>
        <w:tc>
          <w:tcPr>
            <w:tcW w:w="1389" w:type="dxa"/>
          </w:tcPr>
          <w:p w14:paraId="7A6A7DF8" w14:textId="77777777" w:rsidR="00361D12" w:rsidRPr="00361D12" w:rsidRDefault="00361D12" w:rsidP="003B0B17">
            <w:pPr>
              <w:numPr>
                <w:ilvl w:val="0"/>
                <w:numId w:val="230"/>
              </w:numPr>
              <w:suppressAutoHyphens/>
              <w:spacing w:before="40" w:after="40" w:line="200" w:lineRule="atLeast"/>
              <w:contextualSpacing/>
              <w:rPr>
                <w:rFonts w:cs="Arial"/>
              </w:rPr>
            </w:pPr>
          </w:p>
        </w:tc>
      </w:tr>
      <w:tr w:rsidR="00361D12" w:rsidRPr="0001351D" w14:paraId="65261A88" w14:textId="77777777">
        <w:trPr>
          <w:cnfStyle w:val="000000100000" w:firstRow="0" w:lastRow="0" w:firstColumn="0" w:lastColumn="0" w:oddVBand="0" w:evenVBand="0" w:oddHBand="1" w:evenHBand="0" w:firstRowFirstColumn="0" w:firstRowLastColumn="0" w:lastRowFirstColumn="0" w:lastRowLastColumn="0"/>
          <w:trHeight w:val="337"/>
        </w:trPr>
        <w:tc>
          <w:tcPr>
            <w:tcW w:w="7337" w:type="dxa"/>
          </w:tcPr>
          <w:p w14:paraId="6A56601A" w14:textId="77777777" w:rsidR="00361D12" w:rsidRPr="00361D12" w:rsidRDefault="00361D12">
            <w:pPr>
              <w:suppressAutoHyphens/>
              <w:spacing w:before="40" w:after="40" w:line="200" w:lineRule="atLeast"/>
              <w:rPr>
                <w:rFonts w:cs="Arial"/>
              </w:rPr>
            </w:pPr>
            <w:r w:rsidRPr="00361D12">
              <w:rPr>
                <w:rFonts w:cs="Arial"/>
              </w:rPr>
              <w:t>Family Impact Questionnaire (FIQ)</w:t>
            </w:r>
          </w:p>
        </w:tc>
        <w:tc>
          <w:tcPr>
            <w:tcW w:w="1621" w:type="dxa"/>
          </w:tcPr>
          <w:p w14:paraId="0EB1BBD6" w14:textId="77777777" w:rsidR="00361D12" w:rsidRPr="00361D12" w:rsidRDefault="00361D12">
            <w:pPr>
              <w:suppressAutoHyphens/>
              <w:spacing w:before="40" w:after="40" w:line="200" w:lineRule="atLeast"/>
              <w:jc w:val="center"/>
              <w:rPr>
                <w:rFonts w:cs="Arial"/>
              </w:rPr>
            </w:pPr>
          </w:p>
        </w:tc>
        <w:tc>
          <w:tcPr>
            <w:tcW w:w="1389" w:type="dxa"/>
          </w:tcPr>
          <w:p w14:paraId="537FB3EB" w14:textId="77777777" w:rsidR="00361D12" w:rsidRPr="00361D12" w:rsidRDefault="00361D12" w:rsidP="003B0B17">
            <w:pPr>
              <w:numPr>
                <w:ilvl w:val="0"/>
                <w:numId w:val="229"/>
              </w:numPr>
              <w:suppressAutoHyphens/>
              <w:spacing w:before="40" w:after="40" w:line="200" w:lineRule="atLeast"/>
              <w:contextualSpacing/>
              <w:rPr>
                <w:rFonts w:cs="Arial"/>
              </w:rPr>
            </w:pPr>
          </w:p>
        </w:tc>
      </w:tr>
      <w:tr w:rsidR="00361D12" w:rsidRPr="0001351D" w14:paraId="0765F83B" w14:textId="77777777">
        <w:trPr>
          <w:cnfStyle w:val="000000010000" w:firstRow="0" w:lastRow="0" w:firstColumn="0" w:lastColumn="0" w:oddVBand="0" w:evenVBand="0" w:oddHBand="0" w:evenHBand="1" w:firstRowFirstColumn="0" w:firstRowLastColumn="0" w:lastRowFirstColumn="0" w:lastRowLastColumn="0"/>
          <w:trHeight w:val="337"/>
        </w:trPr>
        <w:tc>
          <w:tcPr>
            <w:tcW w:w="7337" w:type="dxa"/>
          </w:tcPr>
          <w:p w14:paraId="01D4BD49" w14:textId="77777777" w:rsidR="00361D12" w:rsidRPr="00361D12" w:rsidRDefault="00361D12">
            <w:pPr>
              <w:suppressAutoHyphens/>
              <w:spacing w:before="40" w:after="40" w:line="200" w:lineRule="atLeast"/>
              <w:rPr>
                <w:rFonts w:cs="Arial"/>
              </w:rPr>
            </w:pPr>
            <w:r w:rsidRPr="00361D12">
              <w:rPr>
                <w:rFonts w:cs="Arial"/>
              </w:rPr>
              <w:t>Manchester Assessment of Caregiver–Infant Child Interaction (MACI)</w:t>
            </w:r>
          </w:p>
        </w:tc>
        <w:tc>
          <w:tcPr>
            <w:tcW w:w="1621" w:type="dxa"/>
          </w:tcPr>
          <w:p w14:paraId="596E3FE2" w14:textId="77777777" w:rsidR="00361D12" w:rsidRPr="00361D12" w:rsidRDefault="00361D12">
            <w:pPr>
              <w:suppressAutoHyphens/>
              <w:spacing w:before="40" w:after="40" w:line="200" w:lineRule="atLeast"/>
              <w:contextualSpacing/>
              <w:jc w:val="center"/>
              <w:rPr>
                <w:rFonts w:cs="Arial"/>
              </w:rPr>
            </w:pPr>
          </w:p>
        </w:tc>
        <w:tc>
          <w:tcPr>
            <w:tcW w:w="1389" w:type="dxa"/>
          </w:tcPr>
          <w:p w14:paraId="75959AF1" w14:textId="77777777" w:rsidR="00361D12" w:rsidRPr="00361D12" w:rsidRDefault="00361D12" w:rsidP="003B0B17">
            <w:pPr>
              <w:numPr>
                <w:ilvl w:val="0"/>
                <w:numId w:val="222"/>
              </w:numPr>
              <w:suppressAutoHyphens/>
              <w:spacing w:before="40" w:after="40" w:line="200" w:lineRule="atLeast"/>
              <w:contextualSpacing/>
              <w:rPr>
                <w:rFonts w:cs="Arial"/>
              </w:rPr>
            </w:pPr>
          </w:p>
        </w:tc>
      </w:tr>
      <w:tr w:rsidR="00361D12" w:rsidRPr="0001351D" w14:paraId="0DA1F89B" w14:textId="77777777">
        <w:trPr>
          <w:cnfStyle w:val="000000100000" w:firstRow="0" w:lastRow="0" w:firstColumn="0" w:lastColumn="0" w:oddVBand="0" w:evenVBand="0" w:oddHBand="1" w:evenHBand="0" w:firstRowFirstColumn="0" w:firstRowLastColumn="0" w:lastRowFirstColumn="0" w:lastRowLastColumn="0"/>
          <w:trHeight w:val="337"/>
        </w:trPr>
        <w:tc>
          <w:tcPr>
            <w:tcW w:w="7337" w:type="dxa"/>
          </w:tcPr>
          <w:p w14:paraId="6DF09977" w14:textId="77777777" w:rsidR="00361D12" w:rsidRPr="00361D12" w:rsidRDefault="00361D12">
            <w:pPr>
              <w:suppressAutoHyphens/>
              <w:spacing w:before="40" w:after="40" w:line="200" w:lineRule="atLeast"/>
              <w:rPr>
                <w:rFonts w:cs="Arial"/>
              </w:rPr>
            </w:pPr>
            <w:r w:rsidRPr="00361D12">
              <w:rPr>
                <w:rFonts w:cs="Arial"/>
              </w:rPr>
              <w:t>Nijmeegse Ouderlijke Stress Index Korte versie (NOSI-K)</w:t>
            </w:r>
          </w:p>
        </w:tc>
        <w:tc>
          <w:tcPr>
            <w:tcW w:w="1621" w:type="dxa"/>
          </w:tcPr>
          <w:p w14:paraId="423C669D" w14:textId="77777777" w:rsidR="00361D12" w:rsidRPr="00361D12" w:rsidRDefault="00361D12" w:rsidP="003B0B17">
            <w:pPr>
              <w:numPr>
                <w:ilvl w:val="0"/>
                <w:numId w:val="228"/>
              </w:numPr>
              <w:suppressAutoHyphens/>
              <w:spacing w:before="40" w:after="40" w:line="200" w:lineRule="atLeast"/>
              <w:ind w:left="0" w:firstLine="0"/>
              <w:contextualSpacing/>
              <w:jc w:val="center"/>
              <w:rPr>
                <w:rFonts w:cs="Arial"/>
              </w:rPr>
            </w:pPr>
          </w:p>
        </w:tc>
        <w:tc>
          <w:tcPr>
            <w:tcW w:w="1389" w:type="dxa"/>
          </w:tcPr>
          <w:p w14:paraId="22395C98" w14:textId="77777777" w:rsidR="00361D12" w:rsidRPr="00361D12" w:rsidRDefault="00361D12">
            <w:pPr>
              <w:suppressAutoHyphens/>
              <w:spacing w:before="40" w:after="40" w:line="200" w:lineRule="atLeast"/>
              <w:rPr>
                <w:rFonts w:cs="Arial"/>
              </w:rPr>
            </w:pPr>
          </w:p>
        </w:tc>
      </w:tr>
      <w:tr w:rsidR="00361D12" w:rsidRPr="0001351D" w14:paraId="74BC5535" w14:textId="77777777">
        <w:trPr>
          <w:cnfStyle w:val="000000010000" w:firstRow="0" w:lastRow="0" w:firstColumn="0" w:lastColumn="0" w:oddVBand="0" w:evenVBand="0" w:oddHBand="0" w:evenHBand="1" w:firstRowFirstColumn="0" w:firstRowLastColumn="0" w:lastRowFirstColumn="0" w:lastRowLastColumn="0"/>
          <w:trHeight w:val="337"/>
        </w:trPr>
        <w:tc>
          <w:tcPr>
            <w:tcW w:w="7337" w:type="dxa"/>
          </w:tcPr>
          <w:p w14:paraId="19CB0D6E" w14:textId="77777777" w:rsidR="00361D12" w:rsidRPr="00361D12" w:rsidRDefault="00361D12">
            <w:pPr>
              <w:suppressAutoHyphens/>
              <w:spacing w:before="40" w:after="40" w:line="200" w:lineRule="atLeast"/>
              <w:rPr>
                <w:rFonts w:cs="Arial"/>
              </w:rPr>
            </w:pPr>
            <w:r w:rsidRPr="00361D12">
              <w:rPr>
                <w:rFonts w:cs="Arial"/>
              </w:rPr>
              <w:t>Parent Sense of Competence Scale (PSOC)</w:t>
            </w:r>
          </w:p>
        </w:tc>
        <w:tc>
          <w:tcPr>
            <w:tcW w:w="1621" w:type="dxa"/>
          </w:tcPr>
          <w:p w14:paraId="1DCEF481" w14:textId="77777777" w:rsidR="00361D12" w:rsidRPr="00361D12" w:rsidRDefault="00361D12" w:rsidP="003B0B17">
            <w:pPr>
              <w:numPr>
                <w:ilvl w:val="0"/>
                <w:numId w:val="227"/>
              </w:numPr>
              <w:suppressAutoHyphens/>
              <w:spacing w:before="40" w:after="40" w:line="200" w:lineRule="atLeast"/>
              <w:ind w:left="0" w:firstLine="0"/>
              <w:contextualSpacing/>
              <w:jc w:val="center"/>
              <w:rPr>
                <w:rFonts w:cs="Arial"/>
              </w:rPr>
            </w:pPr>
          </w:p>
        </w:tc>
        <w:tc>
          <w:tcPr>
            <w:tcW w:w="1389" w:type="dxa"/>
          </w:tcPr>
          <w:p w14:paraId="2786AD8A" w14:textId="77777777" w:rsidR="00361D12" w:rsidRPr="00361D12" w:rsidRDefault="00361D12">
            <w:pPr>
              <w:suppressAutoHyphens/>
              <w:spacing w:before="40" w:after="40" w:line="200" w:lineRule="atLeast"/>
              <w:rPr>
                <w:rFonts w:cs="Arial"/>
              </w:rPr>
            </w:pPr>
          </w:p>
        </w:tc>
      </w:tr>
      <w:tr w:rsidR="00361D12" w:rsidRPr="0001351D" w14:paraId="0A68DDD1" w14:textId="77777777">
        <w:trPr>
          <w:cnfStyle w:val="000000100000" w:firstRow="0" w:lastRow="0" w:firstColumn="0" w:lastColumn="0" w:oddVBand="0" w:evenVBand="0" w:oddHBand="1" w:evenHBand="0" w:firstRowFirstColumn="0" w:firstRowLastColumn="0" w:lastRowFirstColumn="0" w:lastRowLastColumn="0"/>
          <w:trHeight w:val="337"/>
        </w:trPr>
        <w:tc>
          <w:tcPr>
            <w:tcW w:w="7337" w:type="dxa"/>
          </w:tcPr>
          <w:p w14:paraId="781DB66E" w14:textId="77777777" w:rsidR="00361D12" w:rsidRPr="00361D12" w:rsidRDefault="00361D12">
            <w:pPr>
              <w:suppressAutoHyphens/>
              <w:spacing w:before="40" w:after="40" w:line="200" w:lineRule="atLeast"/>
              <w:rPr>
                <w:rFonts w:cs="Arial"/>
              </w:rPr>
            </w:pPr>
            <w:r w:rsidRPr="00361D12">
              <w:rPr>
                <w:rFonts w:cs="Arial"/>
              </w:rPr>
              <w:t>Parenting Stress Index (PSI)</w:t>
            </w:r>
          </w:p>
        </w:tc>
        <w:tc>
          <w:tcPr>
            <w:tcW w:w="1621" w:type="dxa"/>
          </w:tcPr>
          <w:p w14:paraId="26EC949F" w14:textId="77777777" w:rsidR="00361D12" w:rsidRPr="00361D12" w:rsidRDefault="00361D12" w:rsidP="003B0B17">
            <w:pPr>
              <w:numPr>
                <w:ilvl w:val="0"/>
                <w:numId w:val="226"/>
              </w:numPr>
              <w:suppressAutoHyphens/>
              <w:spacing w:before="40" w:after="40" w:line="200" w:lineRule="atLeast"/>
              <w:ind w:left="0" w:firstLine="0"/>
              <w:contextualSpacing/>
              <w:jc w:val="center"/>
              <w:rPr>
                <w:rFonts w:cs="Arial"/>
              </w:rPr>
            </w:pPr>
          </w:p>
        </w:tc>
        <w:tc>
          <w:tcPr>
            <w:tcW w:w="1389" w:type="dxa"/>
          </w:tcPr>
          <w:p w14:paraId="5D0E5893" w14:textId="77777777" w:rsidR="00361D12" w:rsidRPr="00361D12" w:rsidRDefault="00361D12">
            <w:pPr>
              <w:suppressAutoHyphens/>
              <w:spacing w:before="40" w:after="40" w:line="200" w:lineRule="atLeast"/>
              <w:rPr>
                <w:rFonts w:cs="Arial"/>
              </w:rPr>
            </w:pPr>
          </w:p>
        </w:tc>
      </w:tr>
      <w:tr w:rsidR="00361D12" w:rsidRPr="0001351D" w14:paraId="7A68EDE5" w14:textId="77777777">
        <w:trPr>
          <w:cnfStyle w:val="000000010000" w:firstRow="0" w:lastRow="0" w:firstColumn="0" w:lastColumn="0" w:oddVBand="0" w:evenVBand="0" w:oddHBand="0" w:evenHBand="1" w:firstRowFirstColumn="0" w:firstRowLastColumn="0" w:lastRowFirstColumn="0" w:lastRowLastColumn="0"/>
          <w:trHeight w:val="337"/>
        </w:trPr>
        <w:tc>
          <w:tcPr>
            <w:tcW w:w="7337" w:type="dxa"/>
          </w:tcPr>
          <w:p w14:paraId="7412494E" w14:textId="77777777" w:rsidR="00361D12" w:rsidRPr="00361D12" w:rsidRDefault="00361D12">
            <w:pPr>
              <w:suppressAutoHyphens/>
              <w:spacing w:before="40" w:after="40" w:line="200" w:lineRule="atLeast"/>
              <w:rPr>
                <w:rFonts w:cs="Arial"/>
              </w:rPr>
            </w:pPr>
            <w:r w:rsidRPr="00361D12">
              <w:rPr>
                <w:rFonts w:cs="Arial"/>
              </w:rPr>
              <w:t>Questionnaire on Resources and Stress (QRS)</w:t>
            </w:r>
          </w:p>
        </w:tc>
        <w:tc>
          <w:tcPr>
            <w:tcW w:w="1621" w:type="dxa"/>
          </w:tcPr>
          <w:p w14:paraId="7C931FE1" w14:textId="77777777" w:rsidR="00361D12" w:rsidRPr="00361D12" w:rsidRDefault="00361D12" w:rsidP="003B0B17">
            <w:pPr>
              <w:numPr>
                <w:ilvl w:val="0"/>
                <w:numId w:val="225"/>
              </w:numPr>
              <w:suppressAutoHyphens/>
              <w:spacing w:before="40" w:after="40" w:line="200" w:lineRule="atLeast"/>
              <w:ind w:left="0" w:firstLine="0"/>
              <w:contextualSpacing/>
              <w:jc w:val="center"/>
              <w:rPr>
                <w:rFonts w:cs="Arial"/>
              </w:rPr>
            </w:pPr>
          </w:p>
        </w:tc>
        <w:tc>
          <w:tcPr>
            <w:tcW w:w="1389" w:type="dxa"/>
          </w:tcPr>
          <w:p w14:paraId="333B062E" w14:textId="77777777" w:rsidR="00361D12" w:rsidRPr="00361D12" w:rsidRDefault="00361D12">
            <w:pPr>
              <w:suppressAutoHyphens/>
              <w:spacing w:before="40" w:after="40" w:line="200" w:lineRule="atLeast"/>
              <w:rPr>
                <w:rFonts w:cs="Arial"/>
              </w:rPr>
            </w:pPr>
          </w:p>
        </w:tc>
      </w:tr>
      <w:tr w:rsidR="00361D12" w:rsidRPr="0001351D" w14:paraId="4E994D74" w14:textId="77777777">
        <w:trPr>
          <w:cnfStyle w:val="000000100000" w:firstRow="0" w:lastRow="0" w:firstColumn="0" w:lastColumn="0" w:oddVBand="0" w:evenVBand="0" w:oddHBand="1" w:evenHBand="0" w:firstRowFirstColumn="0" w:firstRowLastColumn="0" w:lastRowFirstColumn="0" w:lastRowLastColumn="0"/>
          <w:trHeight w:val="337"/>
        </w:trPr>
        <w:tc>
          <w:tcPr>
            <w:tcW w:w="7337" w:type="dxa"/>
          </w:tcPr>
          <w:p w14:paraId="267B6C92" w14:textId="77777777" w:rsidR="00361D12" w:rsidRPr="00361D12" w:rsidRDefault="00361D12">
            <w:pPr>
              <w:suppressAutoHyphens/>
              <w:spacing w:before="40" w:after="40" w:line="200" w:lineRule="atLeast"/>
              <w:rPr>
                <w:rFonts w:eastAsia="Times New Roman" w:cs="Arial"/>
                <w:szCs w:val="22"/>
                <w:lang w:eastAsia="en-AU"/>
              </w:rPr>
            </w:pPr>
            <w:r w:rsidRPr="00361D12">
              <w:rPr>
                <w:rFonts w:cs="Arial"/>
              </w:rPr>
              <w:t>Utrechtse Coping List (UCL)</w:t>
            </w:r>
          </w:p>
        </w:tc>
        <w:tc>
          <w:tcPr>
            <w:tcW w:w="1621" w:type="dxa"/>
          </w:tcPr>
          <w:p w14:paraId="6800D29C" w14:textId="77777777" w:rsidR="00361D12" w:rsidRPr="00361D12" w:rsidRDefault="00361D12" w:rsidP="003B0B17">
            <w:pPr>
              <w:numPr>
                <w:ilvl w:val="0"/>
                <w:numId w:val="224"/>
              </w:numPr>
              <w:suppressAutoHyphens/>
              <w:spacing w:before="40" w:after="40" w:line="200" w:lineRule="atLeast"/>
              <w:ind w:left="0" w:firstLine="0"/>
              <w:contextualSpacing/>
              <w:jc w:val="center"/>
              <w:rPr>
                <w:rFonts w:cs="Arial"/>
              </w:rPr>
            </w:pPr>
          </w:p>
        </w:tc>
        <w:tc>
          <w:tcPr>
            <w:tcW w:w="1389" w:type="dxa"/>
          </w:tcPr>
          <w:p w14:paraId="029CA602" w14:textId="77777777" w:rsidR="00361D12" w:rsidRPr="00361D12" w:rsidRDefault="00361D12">
            <w:pPr>
              <w:suppressAutoHyphens/>
              <w:spacing w:before="40" w:after="40" w:line="200" w:lineRule="atLeast"/>
              <w:rPr>
                <w:rFonts w:cs="Arial"/>
              </w:rPr>
            </w:pPr>
          </w:p>
        </w:tc>
      </w:tr>
      <w:tr w:rsidR="00361D12" w:rsidRPr="0001351D" w14:paraId="369CA5E5" w14:textId="77777777">
        <w:trPr>
          <w:cnfStyle w:val="000000010000" w:firstRow="0" w:lastRow="0" w:firstColumn="0" w:lastColumn="0" w:oddVBand="0" w:evenVBand="0" w:oddHBand="0" w:evenHBand="1" w:firstRowFirstColumn="0" w:firstRowLastColumn="0" w:lastRowFirstColumn="0" w:lastRowLastColumn="0"/>
          <w:trHeight w:val="337"/>
        </w:trPr>
        <w:tc>
          <w:tcPr>
            <w:tcW w:w="7337" w:type="dxa"/>
          </w:tcPr>
          <w:p w14:paraId="6A3D33DB" w14:textId="77777777" w:rsidR="00361D12" w:rsidRPr="00361D12" w:rsidRDefault="00361D12">
            <w:pPr>
              <w:suppressAutoHyphens/>
              <w:spacing w:before="40" w:after="40" w:line="200" w:lineRule="atLeast"/>
              <w:rPr>
                <w:rFonts w:cs="Arial"/>
              </w:rPr>
            </w:pPr>
            <w:r w:rsidRPr="00361D12">
              <w:rPr>
                <w:rFonts w:cs="Arial"/>
              </w:rPr>
              <w:t>Warwick-Edinburgh Mental Wellbeing Scale (WEMWBS)</w:t>
            </w:r>
          </w:p>
        </w:tc>
        <w:tc>
          <w:tcPr>
            <w:tcW w:w="1621" w:type="dxa"/>
          </w:tcPr>
          <w:p w14:paraId="48FB4BCC" w14:textId="77777777" w:rsidR="00361D12" w:rsidRPr="00361D12" w:rsidRDefault="00361D12" w:rsidP="003B0B17">
            <w:pPr>
              <w:numPr>
                <w:ilvl w:val="0"/>
                <w:numId w:val="223"/>
              </w:numPr>
              <w:suppressAutoHyphens/>
              <w:spacing w:before="40" w:after="40" w:line="200" w:lineRule="atLeast"/>
              <w:ind w:left="0" w:firstLine="0"/>
              <w:contextualSpacing/>
              <w:jc w:val="center"/>
              <w:rPr>
                <w:rFonts w:cs="Arial"/>
              </w:rPr>
            </w:pPr>
          </w:p>
        </w:tc>
        <w:tc>
          <w:tcPr>
            <w:tcW w:w="1389" w:type="dxa"/>
          </w:tcPr>
          <w:p w14:paraId="6B97B8E2" w14:textId="77777777" w:rsidR="00361D12" w:rsidRPr="00361D12" w:rsidRDefault="00361D12">
            <w:pPr>
              <w:suppressAutoHyphens/>
              <w:spacing w:before="40" w:after="40" w:line="200" w:lineRule="atLeast"/>
              <w:rPr>
                <w:rFonts w:cs="Arial"/>
              </w:rPr>
            </w:pPr>
          </w:p>
        </w:tc>
      </w:tr>
    </w:tbl>
    <w:p w14:paraId="054747CC" w14:textId="77777777" w:rsidR="00361D12" w:rsidRDefault="00361D12" w:rsidP="009E4BED">
      <w:pPr>
        <w:rPr>
          <w:rFonts w:cs="Arial"/>
          <w:color w:val="000000" w:themeColor="text1"/>
          <w:lang w:val="en-US"/>
        </w:rPr>
      </w:pPr>
    </w:p>
    <w:p w14:paraId="504D2E1B" w14:textId="79055426" w:rsidR="00A939F9" w:rsidRPr="004F3F37" w:rsidRDefault="004F3F37" w:rsidP="004F3F37">
      <w:pPr>
        <w:pStyle w:val="Caption"/>
        <w:keepNext/>
      </w:pPr>
      <w:bookmarkStart w:id="118" w:name="_Toc177725016"/>
      <w:bookmarkStart w:id="119" w:name="_Toc177727336"/>
      <w:r w:rsidRPr="00C36F4E">
        <w:rPr>
          <w:b/>
          <w:bCs/>
        </w:rPr>
        <w:t xml:space="preserve">Table </w:t>
      </w:r>
      <w:r w:rsidR="00627239" w:rsidRPr="00C36F4E">
        <w:rPr>
          <w:b/>
          <w:bCs/>
        </w:rPr>
        <w:fldChar w:fldCharType="begin"/>
      </w:r>
      <w:r w:rsidR="00627239" w:rsidRPr="00C36F4E">
        <w:rPr>
          <w:b/>
          <w:bCs/>
        </w:rPr>
        <w:instrText xml:space="preserve"> SEQ Table \* ARABIC </w:instrText>
      </w:r>
      <w:r w:rsidR="00627239" w:rsidRPr="00C36F4E">
        <w:rPr>
          <w:b/>
          <w:bCs/>
        </w:rPr>
        <w:fldChar w:fldCharType="separate"/>
      </w:r>
      <w:r w:rsidR="00303407">
        <w:rPr>
          <w:b/>
          <w:bCs/>
          <w:noProof/>
        </w:rPr>
        <w:t>18</w:t>
      </w:r>
      <w:r w:rsidR="00627239" w:rsidRPr="00C36F4E">
        <w:rPr>
          <w:b/>
          <w:bCs/>
          <w:noProof/>
        </w:rPr>
        <w:fldChar w:fldCharType="end"/>
      </w:r>
      <w:r w:rsidRPr="00C36F4E">
        <w:rPr>
          <w:b/>
          <w:bCs/>
        </w:rPr>
        <w:t>.</w:t>
      </w:r>
      <w:r w:rsidRPr="009032DB">
        <w:t xml:space="preserve"> Instruments used to measure outcomes for practitioners and/or organisations</w:t>
      </w:r>
      <w:bookmarkEnd w:id="118"/>
      <w:bookmarkEnd w:id="119"/>
    </w:p>
    <w:tbl>
      <w:tblPr>
        <w:tblStyle w:val="UniofMelTable311"/>
        <w:tblW w:w="5206" w:type="pct"/>
        <w:tblLook w:val="04A0" w:firstRow="1" w:lastRow="0" w:firstColumn="1" w:lastColumn="0" w:noHBand="0" w:noVBand="1"/>
      </w:tblPr>
      <w:tblGrid>
        <w:gridCol w:w="6480"/>
        <w:gridCol w:w="1511"/>
        <w:gridCol w:w="1407"/>
      </w:tblGrid>
      <w:tr w:rsidR="00231EC0" w:rsidRPr="0001351D" w14:paraId="6558ECB9" w14:textId="77777777" w:rsidTr="005B3D19">
        <w:trPr>
          <w:cnfStyle w:val="100000000000" w:firstRow="1" w:lastRow="0" w:firstColumn="0" w:lastColumn="0" w:oddVBand="0" w:evenVBand="0" w:oddHBand="0" w:evenHBand="0" w:firstRowFirstColumn="0" w:firstRowLastColumn="0" w:lastRowFirstColumn="0" w:lastRowLastColumn="0"/>
          <w:trHeight w:val="337"/>
        </w:trPr>
        <w:tc>
          <w:tcPr>
            <w:tcW w:w="6480" w:type="dxa"/>
            <w:shd w:val="clear" w:color="auto" w:fill="082A75"/>
          </w:tcPr>
          <w:p w14:paraId="5FA29F12" w14:textId="77777777" w:rsidR="00231EC0" w:rsidRPr="00231EC0" w:rsidRDefault="00231EC0">
            <w:pPr>
              <w:suppressAutoHyphens/>
              <w:spacing w:before="40" w:after="40" w:line="200" w:lineRule="atLeast"/>
              <w:rPr>
                <w:rFonts w:eastAsia="Times New Roman" w:cs="Arial"/>
                <w:color w:val="082A75"/>
                <w:szCs w:val="22"/>
              </w:rPr>
            </w:pPr>
            <w:r w:rsidRPr="00231EC0">
              <w:rPr>
                <w:rFonts w:eastAsia="Times New Roman" w:cs="Arial"/>
                <w:szCs w:val="22"/>
              </w:rPr>
              <w:t xml:space="preserve">Name of tool </w:t>
            </w:r>
          </w:p>
        </w:tc>
        <w:tc>
          <w:tcPr>
            <w:tcW w:w="1511" w:type="dxa"/>
            <w:shd w:val="clear" w:color="auto" w:fill="082A75"/>
          </w:tcPr>
          <w:p w14:paraId="7CBD5512" w14:textId="77777777" w:rsidR="00231EC0" w:rsidRPr="00231EC0" w:rsidRDefault="00231EC0">
            <w:pPr>
              <w:suppressAutoHyphens/>
              <w:spacing w:before="40" w:after="40" w:line="200" w:lineRule="atLeast"/>
              <w:rPr>
                <w:rFonts w:eastAsia="Times New Roman" w:cs="Arial"/>
                <w:szCs w:val="22"/>
              </w:rPr>
            </w:pPr>
            <w:r w:rsidRPr="00231EC0">
              <w:rPr>
                <w:rFonts w:eastAsia="Times New Roman" w:cs="Arial"/>
                <w:szCs w:val="22"/>
              </w:rPr>
              <w:t>Practitioner</w:t>
            </w:r>
          </w:p>
        </w:tc>
        <w:tc>
          <w:tcPr>
            <w:tcW w:w="1407" w:type="dxa"/>
            <w:shd w:val="clear" w:color="auto" w:fill="082A75"/>
          </w:tcPr>
          <w:p w14:paraId="06758416" w14:textId="77777777" w:rsidR="00231EC0" w:rsidRPr="00231EC0" w:rsidRDefault="00231EC0">
            <w:pPr>
              <w:suppressAutoHyphens/>
              <w:spacing w:before="40" w:after="40" w:line="200" w:lineRule="atLeast"/>
              <w:rPr>
                <w:rFonts w:eastAsia="Times New Roman" w:cs="Arial"/>
                <w:szCs w:val="22"/>
              </w:rPr>
            </w:pPr>
            <w:r w:rsidRPr="00231EC0">
              <w:rPr>
                <w:rFonts w:eastAsia="Times New Roman" w:cs="Arial"/>
                <w:szCs w:val="22"/>
              </w:rPr>
              <w:t>Organisation</w:t>
            </w:r>
          </w:p>
        </w:tc>
      </w:tr>
      <w:tr w:rsidR="00231EC0" w:rsidRPr="0001351D" w14:paraId="3E5CA475" w14:textId="77777777" w:rsidTr="005B3D19">
        <w:trPr>
          <w:cnfStyle w:val="000000100000" w:firstRow="0" w:lastRow="0" w:firstColumn="0" w:lastColumn="0" w:oddVBand="0" w:evenVBand="0" w:oddHBand="1" w:evenHBand="0" w:firstRowFirstColumn="0" w:firstRowLastColumn="0" w:lastRowFirstColumn="0" w:lastRowLastColumn="0"/>
          <w:trHeight w:val="337"/>
        </w:trPr>
        <w:tc>
          <w:tcPr>
            <w:tcW w:w="6480" w:type="dxa"/>
          </w:tcPr>
          <w:p w14:paraId="1F7E5FE8" w14:textId="77777777" w:rsidR="00231EC0" w:rsidRPr="00231EC0" w:rsidRDefault="00231EC0">
            <w:pPr>
              <w:suppressAutoHyphens/>
              <w:spacing w:before="40" w:after="40" w:line="200" w:lineRule="atLeast"/>
              <w:rPr>
                <w:rFonts w:cs="Arial"/>
              </w:rPr>
            </w:pPr>
            <w:r w:rsidRPr="00231EC0">
              <w:rPr>
                <w:rFonts w:cs="Arial"/>
              </w:rPr>
              <w:t>Child and Adolescent Service Use Schedule (CARER-SUS)</w:t>
            </w:r>
          </w:p>
        </w:tc>
        <w:tc>
          <w:tcPr>
            <w:tcW w:w="1511" w:type="dxa"/>
          </w:tcPr>
          <w:p w14:paraId="4E3213EF" w14:textId="77777777" w:rsidR="00231EC0" w:rsidRPr="00231EC0" w:rsidRDefault="00231EC0">
            <w:pPr>
              <w:suppressAutoHyphens/>
              <w:spacing w:before="40" w:after="40" w:line="200" w:lineRule="atLeast"/>
              <w:rPr>
                <w:rFonts w:cs="Arial"/>
              </w:rPr>
            </w:pPr>
          </w:p>
        </w:tc>
        <w:tc>
          <w:tcPr>
            <w:tcW w:w="1407" w:type="dxa"/>
          </w:tcPr>
          <w:p w14:paraId="72338AB1" w14:textId="77777777" w:rsidR="00231EC0" w:rsidRPr="00231EC0" w:rsidRDefault="00231EC0" w:rsidP="003B0B17">
            <w:pPr>
              <w:numPr>
                <w:ilvl w:val="0"/>
                <w:numId w:val="239"/>
              </w:numPr>
              <w:suppressAutoHyphens/>
              <w:spacing w:before="40" w:after="40" w:line="200" w:lineRule="atLeast"/>
              <w:contextualSpacing/>
              <w:rPr>
                <w:rFonts w:cs="Arial"/>
              </w:rPr>
            </w:pPr>
          </w:p>
        </w:tc>
      </w:tr>
      <w:tr w:rsidR="00231EC0" w:rsidRPr="0001351D" w14:paraId="57C4C04B" w14:textId="77777777" w:rsidTr="005B3D19">
        <w:trPr>
          <w:cnfStyle w:val="000000010000" w:firstRow="0" w:lastRow="0" w:firstColumn="0" w:lastColumn="0" w:oddVBand="0" w:evenVBand="0" w:oddHBand="0" w:evenHBand="1" w:firstRowFirstColumn="0" w:firstRowLastColumn="0" w:lastRowFirstColumn="0" w:lastRowLastColumn="0"/>
          <w:trHeight w:val="337"/>
        </w:trPr>
        <w:tc>
          <w:tcPr>
            <w:tcW w:w="6480" w:type="dxa"/>
          </w:tcPr>
          <w:p w14:paraId="031DF599" w14:textId="77777777" w:rsidR="00231EC0" w:rsidRPr="00231EC0" w:rsidRDefault="00231EC0">
            <w:pPr>
              <w:suppressAutoHyphens/>
              <w:spacing w:before="40" w:after="40" w:line="200" w:lineRule="atLeast"/>
              <w:rPr>
                <w:rFonts w:cs="Arial"/>
              </w:rPr>
            </w:pPr>
            <w:r w:rsidRPr="00231EC0">
              <w:rPr>
                <w:rFonts w:cs="Arial"/>
              </w:rPr>
              <w:t>Carer Service Use Schedule (CA-SUS)</w:t>
            </w:r>
          </w:p>
        </w:tc>
        <w:tc>
          <w:tcPr>
            <w:tcW w:w="1511" w:type="dxa"/>
          </w:tcPr>
          <w:p w14:paraId="2F63A0EF" w14:textId="77777777" w:rsidR="00231EC0" w:rsidRPr="00231EC0" w:rsidRDefault="00231EC0">
            <w:pPr>
              <w:suppressAutoHyphens/>
              <w:spacing w:before="40" w:after="40" w:line="200" w:lineRule="atLeast"/>
              <w:rPr>
                <w:rFonts w:cs="Arial"/>
              </w:rPr>
            </w:pPr>
          </w:p>
        </w:tc>
        <w:tc>
          <w:tcPr>
            <w:tcW w:w="1407" w:type="dxa"/>
          </w:tcPr>
          <w:p w14:paraId="1C21CD11" w14:textId="77777777" w:rsidR="00231EC0" w:rsidRPr="00231EC0" w:rsidRDefault="00231EC0" w:rsidP="003B0B17">
            <w:pPr>
              <w:numPr>
                <w:ilvl w:val="0"/>
                <w:numId w:val="238"/>
              </w:numPr>
              <w:suppressAutoHyphens/>
              <w:spacing w:before="40" w:after="40" w:line="200" w:lineRule="atLeast"/>
              <w:contextualSpacing/>
              <w:rPr>
                <w:rFonts w:cs="Arial"/>
              </w:rPr>
            </w:pPr>
          </w:p>
        </w:tc>
      </w:tr>
      <w:tr w:rsidR="00231EC0" w:rsidRPr="0001351D" w14:paraId="22B00FAD" w14:textId="77777777" w:rsidTr="005B3D19">
        <w:trPr>
          <w:cnfStyle w:val="000000100000" w:firstRow="0" w:lastRow="0" w:firstColumn="0" w:lastColumn="0" w:oddVBand="0" w:evenVBand="0" w:oddHBand="1" w:evenHBand="0" w:firstRowFirstColumn="0" w:firstRowLastColumn="0" w:lastRowFirstColumn="0" w:lastRowLastColumn="0"/>
          <w:trHeight w:val="337"/>
        </w:trPr>
        <w:tc>
          <w:tcPr>
            <w:tcW w:w="6480" w:type="dxa"/>
          </w:tcPr>
          <w:p w14:paraId="3211E326" w14:textId="77777777" w:rsidR="00231EC0" w:rsidRPr="00231EC0" w:rsidRDefault="00231EC0">
            <w:pPr>
              <w:suppressAutoHyphens/>
              <w:spacing w:before="40" w:after="40" w:line="200" w:lineRule="atLeast"/>
              <w:rPr>
                <w:rFonts w:eastAsia="Times New Roman" w:cs="Arial"/>
                <w:szCs w:val="22"/>
              </w:rPr>
            </w:pPr>
            <w:r w:rsidRPr="00231EC0">
              <w:rPr>
                <w:rFonts w:cs="Arial"/>
              </w:rPr>
              <w:t>Eisenberg’s Perceived Supervisor Support (PSS)</w:t>
            </w:r>
          </w:p>
        </w:tc>
        <w:tc>
          <w:tcPr>
            <w:tcW w:w="1511" w:type="dxa"/>
          </w:tcPr>
          <w:p w14:paraId="734403D7" w14:textId="77777777" w:rsidR="00231EC0" w:rsidRPr="00231EC0" w:rsidRDefault="00231EC0" w:rsidP="003B0B17">
            <w:pPr>
              <w:numPr>
                <w:ilvl w:val="0"/>
                <w:numId w:val="237"/>
              </w:numPr>
              <w:suppressAutoHyphens/>
              <w:spacing w:before="40" w:after="40" w:line="200" w:lineRule="atLeast"/>
              <w:contextualSpacing/>
              <w:rPr>
                <w:rFonts w:cs="Arial"/>
              </w:rPr>
            </w:pPr>
          </w:p>
        </w:tc>
        <w:tc>
          <w:tcPr>
            <w:tcW w:w="1407" w:type="dxa"/>
          </w:tcPr>
          <w:p w14:paraId="1354438C" w14:textId="77777777" w:rsidR="00231EC0" w:rsidRPr="00231EC0" w:rsidRDefault="00231EC0">
            <w:pPr>
              <w:suppressAutoHyphens/>
              <w:spacing w:before="40" w:after="40" w:line="200" w:lineRule="atLeast"/>
              <w:rPr>
                <w:rFonts w:cs="Arial"/>
              </w:rPr>
            </w:pPr>
          </w:p>
        </w:tc>
      </w:tr>
      <w:tr w:rsidR="00231EC0" w:rsidRPr="0001351D" w14:paraId="3CA25CD5" w14:textId="77777777" w:rsidTr="005B3D19">
        <w:trPr>
          <w:cnfStyle w:val="000000010000" w:firstRow="0" w:lastRow="0" w:firstColumn="0" w:lastColumn="0" w:oddVBand="0" w:evenVBand="0" w:oddHBand="0" w:evenHBand="1" w:firstRowFirstColumn="0" w:firstRowLastColumn="0" w:lastRowFirstColumn="0" w:lastRowLastColumn="0"/>
          <w:trHeight w:val="337"/>
        </w:trPr>
        <w:tc>
          <w:tcPr>
            <w:tcW w:w="6480" w:type="dxa"/>
          </w:tcPr>
          <w:p w14:paraId="57563411" w14:textId="77777777" w:rsidR="00231EC0" w:rsidRPr="00231EC0" w:rsidRDefault="00231EC0">
            <w:pPr>
              <w:suppressAutoHyphens/>
              <w:spacing w:before="40" w:after="40" w:line="200" w:lineRule="atLeast"/>
              <w:rPr>
                <w:rFonts w:eastAsia="Times New Roman" w:cs="Arial"/>
                <w:szCs w:val="22"/>
              </w:rPr>
            </w:pPr>
            <w:r w:rsidRPr="00231EC0">
              <w:rPr>
                <w:rFonts w:cs="Arial"/>
              </w:rPr>
              <w:t>Key Worker Confidence Scale (KWC)</w:t>
            </w:r>
          </w:p>
        </w:tc>
        <w:tc>
          <w:tcPr>
            <w:tcW w:w="1511" w:type="dxa"/>
          </w:tcPr>
          <w:p w14:paraId="21185050" w14:textId="77777777" w:rsidR="00231EC0" w:rsidRPr="00231EC0" w:rsidRDefault="00231EC0" w:rsidP="003B0B17">
            <w:pPr>
              <w:numPr>
                <w:ilvl w:val="0"/>
                <w:numId w:val="236"/>
              </w:numPr>
              <w:suppressAutoHyphens/>
              <w:spacing w:before="40" w:after="40" w:line="200" w:lineRule="atLeast"/>
              <w:contextualSpacing/>
              <w:rPr>
                <w:rFonts w:cs="Arial"/>
              </w:rPr>
            </w:pPr>
          </w:p>
        </w:tc>
        <w:tc>
          <w:tcPr>
            <w:tcW w:w="1407" w:type="dxa"/>
          </w:tcPr>
          <w:p w14:paraId="3CCDC243" w14:textId="77777777" w:rsidR="00231EC0" w:rsidRPr="00231EC0" w:rsidRDefault="00231EC0">
            <w:pPr>
              <w:suppressAutoHyphens/>
              <w:spacing w:before="40" w:after="40" w:line="200" w:lineRule="atLeast"/>
              <w:rPr>
                <w:rFonts w:cs="Arial"/>
              </w:rPr>
            </w:pPr>
          </w:p>
        </w:tc>
      </w:tr>
      <w:tr w:rsidR="00231EC0" w:rsidRPr="0001351D" w14:paraId="2A388F9D" w14:textId="77777777" w:rsidTr="005B3D19">
        <w:trPr>
          <w:cnfStyle w:val="000000100000" w:firstRow="0" w:lastRow="0" w:firstColumn="0" w:lastColumn="0" w:oddVBand="0" w:evenVBand="0" w:oddHBand="1" w:evenHBand="0" w:firstRowFirstColumn="0" w:firstRowLastColumn="0" w:lastRowFirstColumn="0" w:lastRowLastColumn="0"/>
          <w:trHeight w:val="337"/>
        </w:trPr>
        <w:tc>
          <w:tcPr>
            <w:tcW w:w="6480" w:type="dxa"/>
          </w:tcPr>
          <w:p w14:paraId="3BD01EB6" w14:textId="77777777" w:rsidR="00231EC0" w:rsidRPr="00231EC0" w:rsidRDefault="00231EC0">
            <w:pPr>
              <w:suppressAutoHyphens/>
              <w:spacing w:before="40" w:after="40" w:line="200" w:lineRule="atLeast"/>
              <w:rPr>
                <w:rFonts w:eastAsia="Times New Roman" w:cs="Arial"/>
                <w:szCs w:val="22"/>
              </w:rPr>
            </w:pPr>
            <w:r w:rsidRPr="00231EC0">
              <w:rPr>
                <w:rFonts w:cs="Arial"/>
              </w:rPr>
              <w:t>WARR Scale of Job-related Affective Well-being</w:t>
            </w:r>
          </w:p>
        </w:tc>
        <w:tc>
          <w:tcPr>
            <w:tcW w:w="1511" w:type="dxa"/>
          </w:tcPr>
          <w:p w14:paraId="3A3702F6" w14:textId="77777777" w:rsidR="00231EC0" w:rsidRPr="00231EC0" w:rsidRDefault="00231EC0" w:rsidP="003B0B17">
            <w:pPr>
              <w:numPr>
                <w:ilvl w:val="0"/>
                <w:numId w:val="235"/>
              </w:numPr>
              <w:suppressAutoHyphens/>
              <w:spacing w:before="40" w:after="40" w:line="200" w:lineRule="atLeast"/>
              <w:contextualSpacing/>
              <w:rPr>
                <w:rFonts w:cs="Arial"/>
              </w:rPr>
            </w:pPr>
          </w:p>
        </w:tc>
        <w:tc>
          <w:tcPr>
            <w:tcW w:w="1407" w:type="dxa"/>
          </w:tcPr>
          <w:p w14:paraId="6B795ED9" w14:textId="77777777" w:rsidR="00231EC0" w:rsidRPr="00231EC0" w:rsidRDefault="00231EC0">
            <w:pPr>
              <w:suppressAutoHyphens/>
              <w:spacing w:before="40" w:after="40" w:line="200" w:lineRule="atLeast"/>
              <w:rPr>
                <w:rFonts w:cs="Arial"/>
              </w:rPr>
            </w:pPr>
          </w:p>
        </w:tc>
      </w:tr>
    </w:tbl>
    <w:p w14:paraId="32CBBA3A" w14:textId="3F81A98C" w:rsidR="00D37C27" w:rsidRPr="006478C1" w:rsidRDefault="005B3D19" w:rsidP="009E4BED">
      <w:pPr>
        <w:rPr>
          <w:rFonts w:cs="Arial"/>
          <w:color w:val="000000" w:themeColor="text1"/>
          <w:sz w:val="20"/>
          <w:szCs w:val="20"/>
          <w:lang w:val="en-US"/>
        </w:rPr>
      </w:pPr>
      <w:r w:rsidRPr="006478C1">
        <w:rPr>
          <w:rFonts w:cs="Arial"/>
          <w:color w:val="000000" w:themeColor="text1"/>
          <w:sz w:val="20"/>
          <w:szCs w:val="20"/>
          <w:lang w:val="en-US"/>
        </w:rPr>
        <w:t>Note: Other approaches used included videoed behaviour coding, service cost, hours of sick leave and study-specific tools.</w:t>
      </w:r>
    </w:p>
    <w:p w14:paraId="288524D3" w14:textId="77777777" w:rsidR="005B3D19" w:rsidRDefault="005B3D19" w:rsidP="009E4BED">
      <w:pPr>
        <w:rPr>
          <w:rFonts w:cs="Arial"/>
          <w:color w:val="000000" w:themeColor="text1"/>
          <w:lang w:val="en-US"/>
        </w:rPr>
      </w:pPr>
    </w:p>
    <w:p w14:paraId="3AE922A3" w14:textId="77777777" w:rsidR="00786158" w:rsidRPr="00786158" w:rsidRDefault="00786158" w:rsidP="00786158">
      <w:pPr>
        <w:rPr>
          <w:rFonts w:cs="Arial"/>
          <w:b/>
          <w:bCs/>
          <w:color w:val="000000" w:themeColor="text1"/>
          <w:lang w:val="en-US"/>
        </w:rPr>
      </w:pPr>
      <w:r w:rsidRPr="00786158">
        <w:rPr>
          <w:rFonts w:cs="Arial"/>
          <w:b/>
          <w:bCs/>
          <w:color w:val="000000" w:themeColor="text1"/>
          <w:lang w:val="en-US"/>
        </w:rPr>
        <w:t xml:space="preserve">Evidence from qualitative research </w:t>
      </w:r>
    </w:p>
    <w:p w14:paraId="3BA89A83" w14:textId="5D027793" w:rsidR="00786158" w:rsidRPr="00786158" w:rsidRDefault="00786158" w:rsidP="00786158">
      <w:pPr>
        <w:rPr>
          <w:rFonts w:cs="Arial"/>
          <w:color w:val="000000" w:themeColor="text1"/>
          <w:lang w:val="en-US"/>
        </w:rPr>
      </w:pPr>
      <w:r w:rsidRPr="00786158">
        <w:rPr>
          <w:rFonts w:cs="Arial"/>
          <w:color w:val="000000" w:themeColor="text1"/>
          <w:lang w:val="en-US"/>
        </w:rPr>
        <w:t>The purpose of including evidence from qualitative studies is to build our knowledge about the experiences and perspectives of those with lived experience of parenting or working with children with disability or developmental concerns. From understanding these experiences, we can learn about aspects other than effectiveness of an intervention (e.g., the feasibility, acceptability). Qualitative studies are also able to capture information about interventions that were not anticipated by researchers.</w:t>
      </w:r>
    </w:p>
    <w:p w14:paraId="7CBDE378" w14:textId="44E10E96" w:rsidR="00786158" w:rsidRPr="00786158" w:rsidRDefault="00786158" w:rsidP="00786158">
      <w:pPr>
        <w:rPr>
          <w:rFonts w:cs="Arial"/>
          <w:color w:val="000000" w:themeColor="text1"/>
          <w:lang w:val="en-US"/>
        </w:rPr>
      </w:pPr>
      <w:r w:rsidRPr="00786158">
        <w:rPr>
          <w:rFonts w:cs="Arial"/>
          <w:color w:val="000000" w:themeColor="text1"/>
          <w:lang w:val="en-US"/>
        </w:rPr>
        <w:t>Table 18 summarises the qualitative evidence extracted from 24 studies using either mixed (identified with an asterisk next to the authors name) or qualitative methods. The order in which studies are reported is by outcomes pertinent to caregivers (n=15 studies, predominantly but not only including mothers), those pertinent to both caregivers and professionals (n=3 studies) and studies pertinent to practitioners only (n=6 studies). Within these categories papers are ordered by jurisdiction and then author alphabetically. Included qualitative studies were conducted in Australia, Europe, the UK and USA. The aim of the included studies was typically to explore the experiences of using a strategy, intervention (including perceived effectiveness), or professional development to support implementation. Because the studies tended to consider overall experience, intervention processes were often explored as well as perceived outcomes. There were no studies which focused on the voices of children.</w:t>
      </w:r>
    </w:p>
    <w:p w14:paraId="0D097189" w14:textId="7E1E58A1" w:rsidR="00786158" w:rsidRPr="00786158" w:rsidRDefault="00786158" w:rsidP="00786158">
      <w:pPr>
        <w:rPr>
          <w:rFonts w:cs="Arial"/>
          <w:color w:val="000000" w:themeColor="text1"/>
          <w:lang w:val="en-US"/>
        </w:rPr>
      </w:pPr>
      <w:r w:rsidRPr="00786158">
        <w:rPr>
          <w:rFonts w:cs="Arial"/>
          <w:color w:val="000000" w:themeColor="text1"/>
          <w:lang w:val="en-US"/>
        </w:rPr>
        <w:t>The strategies and interventions in focus that provided outcomes for caregivers were (i) family centred practices, predominantly providing choice through goal setting, and building relationships (practitioner-caregiver, and caregiver-peer); (ii) caregiver capacity building using coaching, providing information, and taking strength-based approaches to child and family needs; (iii) providing culturally sensitive practices; and (iv) supporting inclusion and participation of the child (in child-focused settings) and the parent (in the workforce and community). Caregiver-reported outcomes were generally described as positive and related to building parent sense of belonging (with peers), increased knowledge and confidence, feeling empowered and hopeful about their situation.</w:t>
      </w:r>
    </w:p>
    <w:p w14:paraId="07C242A9" w14:textId="3E554C38" w:rsidR="005B3D19" w:rsidRDefault="00786158" w:rsidP="00786158">
      <w:pPr>
        <w:rPr>
          <w:rFonts w:cs="Arial"/>
          <w:color w:val="000000" w:themeColor="text1"/>
          <w:lang w:val="en-US"/>
        </w:rPr>
      </w:pPr>
      <w:r w:rsidRPr="00786158">
        <w:rPr>
          <w:rFonts w:cs="Arial"/>
          <w:color w:val="000000" w:themeColor="text1"/>
          <w:lang w:val="en-US"/>
        </w:rPr>
        <w:t>The strategies and interventions in focus that provided outcomes for practitioners were (i) training in specific EC approaches (ii) coaching; (iii) providing information and resources; (iv) professional development in relational-based practices; and (v) tools to support creating inclusive environments. Practitioner reported outcomes were positive with increased perceptions of confidence and competence in family-centred practices, increased knowledge about methods for creating inclusive settings and for building children’s capacities in natural settings.</w:t>
      </w:r>
    </w:p>
    <w:p w14:paraId="3CC61D7C" w14:textId="77777777" w:rsidR="0039438C" w:rsidRDefault="0039438C" w:rsidP="00786158">
      <w:pPr>
        <w:rPr>
          <w:rFonts w:cs="Arial"/>
          <w:color w:val="000000" w:themeColor="text1"/>
          <w:lang w:val="en-US"/>
        </w:rPr>
      </w:pPr>
    </w:p>
    <w:p w14:paraId="3F8FDDDE" w14:textId="77777777" w:rsidR="0039438C" w:rsidRDefault="0039438C" w:rsidP="00786158">
      <w:pPr>
        <w:rPr>
          <w:rFonts w:cs="Arial"/>
          <w:color w:val="000000" w:themeColor="text1"/>
          <w:lang w:val="en-US"/>
        </w:rPr>
      </w:pPr>
    </w:p>
    <w:p w14:paraId="5458193F" w14:textId="77777777" w:rsidR="0039438C" w:rsidRDefault="0039438C" w:rsidP="00786158">
      <w:pPr>
        <w:rPr>
          <w:rFonts w:cs="Arial"/>
          <w:color w:val="000000" w:themeColor="text1"/>
          <w:lang w:val="en-US"/>
        </w:rPr>
      </w:pPr>
    </w:p>
    <w:p w14:paraId="32B4C8F0" w14:textId="77777777" w:rsidR="0039438C" w:rsidRDefault="0039438C" w:rsidP="00786158">
      <w:pPr>
        <w:rPr>
          <w:rFonts w:cs="Arial"/>
          <w:color w:val="000000" w:themeColor="text1"/>
          <w:lang w:val="en-US"/>
        </w:rPr>
      </w:pPr>
    </w:p>
    <w:p w14:paraId="38AB4743" w14:textId="77777777" w:rsidR="0039438C" w:rsidRDefault="0039438C" w:rsidP="00786158">
      <w:pPr>
        <w:rPr>
          <w:rFonts w:cs="Arial"/>
          <w:color w:val="000000" w:themeColor="text1"/>
          <w:lang w:val="en-US"/>
        </w:rPr>
      </w:pPr>
    </w:p>
    <w:p w14:paraId="410E814F" w14:textId="77777777" w:rsidR="0039438C" w:rsidRDefault="0039438C" w:rsidP="00786158">
      <w:pPr>
        <w:rPr>
          <w:rFonts w:cs="Arial"/>
          <w:color w:val="000000" w:themeColor="text1"/>
          <w:lang w:val="en-US"/>
        </w:rPr>
      </w:pPr>
    </w:p>
    <w:p w14:paraId="250DA1FD" w14:textId="77777777" w:rsidR="0039438C" w:rsidRDefault="0039438C" w:rsidP="00786158">
      <w:pPr>
        <w:rPr>
          <w:rFonts w:cs="Arial"/>
          <w:color w:val="000000" w:themeColor="text1"/>
          <w:lang w:val="en-US"/>
        </w:rPr>
      </w:pPr>
    </w:p>
    <w:p w14:paraId="49E690E6" w14:textId="77777777" w:rsidR="0039438C" w:rsidRDefault="0039438C" w:rsidP="00786158">
      <w:pPr>
        <w:rPr>
          <w:rFonts w:cs="Arial"/>
          <w:color w:val="000000" w:themeColor="text1"/>
          <w:lang w:val="en-US"/>
        </w:rPr>
      </w:pPr>
    </w:p>
    <w:p w14:paraId="3086C768" w14:textId="77777777" w:rsidR="0039438C" w:rsidRDefault="0039438C" w:rsidP="00786158">
      <w:pPr>
        <w:rPr>
          <w:rFonts w:cs="Arial"/>
          <w:color w:val="000000" w:themeColor="text1"/>
          <w:lang w:val="en-US"/>
        </w:rPr>
      </w:pPr>
    </w:p>
    <w:p w14:paraId="3F0F6A30" w14:textId="77777777" w:rsidR="0039438C" w:rsidRDefault="0039438C" w:rsidP="00786158">
      <w:pPr>
        <w:rPr>
          <w:rFonts w:cs="Arial"/>
          <w:color w:val="000000" w:themeColor="text1"/>
          <w:lang w:val="en-US"/>
        </w:rPr>
      </w:pPr>
    </w:p>
    <w:p w14:paraId="62DCAB4D" w14:textId="77777777" w:rsidR="0039438C" w:rsidRDefault="0039438C" w:rsidP="00786158">
      <w:pPr>
        <w:rPr>
          <w:rFonts w:cs="Arial"/>
          <w:color w:val="000000" w:themeColor="text1"/>
          <w:lang w:val="en-US"/>
        </w:rPr>
      </w:pPr>
    </w:p>
    <w:p w14:paraId="35A798C5" w14:textId="77777777" w:rsidR="0039438C" w:rsidRDefault="0039438C" w:rsidP="00786158">
      <w:pPr>
        <w:rPr>
          <w:rFonts w:cs="Arial"/>
          <w:color w:val="000000" w:themeColor="text1"/>
          <w:lang w:val="en-US"/>
        </w:rPr>
      </w:pPr>
    </w:p>
    <w:p w14:paraId="08019B9A" w14:textId="77777777" w:rsidR="0039438C" w:rsidRDefault="0039438C" w:rsidP="00786158">
      <w:pPr>
        <w:rPr>
          <w:rFonts w:cs="Arial"/>
          <w:color w:val="000000" w:themeColor="text1"/>
          <w:lang w:val="en-US"/>
        </w:rPr>
      </w:pPr>
    </w:p>
    <w:p w14:paraId="660CEB3F" w14:textId="77777777" w:rsidR="0039438C" w:rsidRDefault="0039438C" w:rsidP="00786158">
      <w:pPr>
        <w:rPr>
          <w:rFonts w:cs="Arial"/>
          <w:color w:val="000000" w:themeColor="text1"/>
          <w:lang w:val="en-US"/>
        </w:rPr>
      </w:pPr>
    </w:p>
    <w:p w14:paraId="43ACAA88" w14:textId="77777777" w:rsidR="0039438C" w:rsidRDefault="0039438C" w:rsidP="00786158">
      <w:pPr>
        <w:rPr>
          <w:rFonts w:cs="Arial"/>
          <w:color w:val="000000" w:themeColor="text1"/>
          <w:lang w:val="en-US"/>
        </w:rPr>
      </w:pPr>
    </w:p>
    <w:p w14:paraId="59AB63F3" w14:textId="77777777" w:rsidR="0070044D" w:rsidRDefault="0070044D" w:rsidP="00786158">
      <w:pPr>
        <w:rPr>
          <w:rFonts w:cs="Arial"/>
          <w:color w:val="000000" w:themeColor="text1"/>
          <w:lang w:val="en-US"/>
        </w:rPr>
        <w:sectPr w:rsidR="0070044D" w:rsidSect="009E4BED">
          <w:pgSz w:w="11906" w:h="16838"/>
          <w:pgMar w:top="1440" w:right="1440" w:bottom="1440" w:left="1440" w:header="709" w:footer="709" w:gutter="0"/>
          <w:cols w:space="708"/>
          <w:titlePg/>
          <w:docGrid w:linePitch="360"/>
        </w:sectPr>
      </w:pPr>
    </w:p>
    <w:p w14:paraId="78830493" w14:textId="30093FC5" w:rsidR="0039438C" w:rsidRPr="005A2895" w:rsidRDefault="005A2895" w:rsidP="005A2895">
      <w:pPr>
        <w:pStyle w:val="Caption"/>
        <w:keepNext/>
      </w:pPr>
      <w:bookmarkStart w:id="120" w:name="_Toc177725017"/>
      <w:bookmarkStart w:id="121" w:name="_Toc177727337"/>
      <w:r w:rsidRPr="00C36F4E">
        <w:rPr>
          <w:b/>
          <w:bCs/>
        </w:rPr>
        <w:t xml:space="preserve">Table </w:t>
      </w:r>
      <w:r w:rsidR="00627239" w:rsidRPr="00C36F4E">
        <w:rPr>
          <w:b/>
          <w:bCs/>
        </w:rPr>
        <w:fldChar w:fldCharType="begin"/>
      </w:r>
      <w:r w:rsidR="00627239" w:rsidRPr="00C36F4E">
        <w:rPr>
          <w:b/>
          <w:bCs/>
        </w:rPr>
        <w:instrText xml:space="preserve"> SEQ Table \* ARABIC </w:instrText>
      </w:r>
      <w:r w:rsidR="00627239" w:rsidRPr="00C36F4E">
        <w:rPr>
          <w:b/>
          <w:bCs/>
        </w:rPr>
        <w:fldChar w:fldCharType="separate"/>
      </w:r>
      <w:r w:rsidR="00303407">
        <w:rPr>
          <w:b/>
          <w:bCs/>
          <w:noProof/>
        </w:rPr>
        <w:t>19</w:t>
      </w:r>
      <w:r w:rsidR="00627239" w:rsidRPr="00C36F4E">
        <w:rPr>
          <w:b/>
          <w:bCs/>
          <w:noProof/>
        </w:rPr>
        <w:fldChar w:fldCharType="end"/>
      </w:r>
      <w:r w:rsidRPr="00C36F4E">
        <w:rPr>
          <w:b/>
          <w:bCs/>
        </w:rPr>
        <w:t>.</w:t>
      </w:r>
      <w:r w:rsidRPr="00426BE4">
        <w:t xml:space="preserve"> Qualitative Evidence (n=24)</w:t>
      </w:r>
      <w:bookmarkEnd w:id="120"/>
      <w:bookmarkEnd w:id="121"/>
    </w:p>
    <w:tbl>
      <w:tblPr>
        <w:tblStyle w:val="UniofMelTable314"/>
        <w:tblW w:w="13950" w:type="dxa"/>
        <w:tblLayout w:type="fixed"/>
        <w:tblLook w:val="04A0" w:firstRow="1" w:lastRow="0" w:firstColumn="1" w:lastColumn="0" w:noHBand="0" w:noVBand="1"/>
      </w:tblPr>
      <w:tblGrid>
        <w:gridCol w:w="1365"/>
        <w:gridCol w:w="1545"/>
        <w:gridCol w:w="1545"/>
        <w:gridCol w:w="1365"/>
        <w:gridCol w:w="2130"/>
        <w:gridCol w:w="1425"/>
        <w:gridCol w:w="3510"/>
        <w:gridCol w:w="1065"/>
      </w:tblGrid>
      <w:tr w:rsidR="00DE5ED5" w:rsidRPr="00E4576E" w14:paraId="1055DB0C" w14:textId="77777777">
        <w:trPr>
          <w:cnfStyle w:val="100000000000" w:firstRow="1" w:lastRow="0" w:firstColumn="0" w:lastColumn="0" w:oddVBand="0" w:evenVBand="0" w:oddHBand="0" w:evenHBand="0" w:firstRowFirstColumn="0" w:firstRowLastColumn="0" w:lastRowFirstColumn="0" w:lastRowLastColumn="0"/>
          <w:trHeight w:val="1230"/>
        </w:trPr>
        <w:tc>
          <w:tcPr>
            <w:tcW w:w="1365" w:type="dxa"/>
            <w:tcBorders>
              <w:top w:val="single" w:sz="4" w:space="0" w:color="auto"/>
              <w:bottom w:val="single" w:sz="4" w:space="0" w:color="auto"/>
            </w:tcBorders>
            <w:shd w:val="clear" w:color="auto" w:fill="082A75"/>
          </w:tcPr>
          <w:p w14:paraId="74BE7908" w14:textId="77777777" w:rsidR="00DE5ED5" w:rsidRPr="009233BF" w:rsidRDefault="00DE5ED5">
            <w:pPr>
              <w:spacing w:after="0" w:line="276" w:lineRule="auto"/>
              <w:rPr>
                <w:rFonts w:eastAsia="MS Mincho" w:cs="Arial"/>
                <w:bCs/>
                <w:sz w:val="22"/>
                <w:szCs w:val="22"/>
              </w:rPr>
            </w:pPr>
            <w:r w:rsidRPr="009233BF">
              <w:rPr>
                <w:rFonts w:eastAsia="MS Mincho" w:cs="Arial"/>
                <w:bCs/>
                <w:sz w:val="22"/>
                <w:szCs w:val="22"/>
              </w:rPr>
              <w:t xml:space="preserve">First Author year </w:t>
            </w:r>
          </w:p>
        </w:tc>
        <w:tc>
          <w:tcPr>
            <w:tcW w:w="1545" w:type="dxa"/>
            <w:tcBorders>
              <w:top w:val="single" w:sz="4" w:space="0" w:color="auto"/>
              <w:bottom w:val="single" w:sz="4" w:space="0" w:color="auto"/>
            </w:tcBorders>
            <w:shd w:val="clear" w:color="auto" w:fill="082A75"/>
          </w:tcPr>
          <w:p w14:paraId="4A362C28" w14:textId="77777777" w:rsidR="00DE5ED5" w:rsidRPr="009233BF" w:rsidRDefault="00DE5ED5">
            <w:pPr>
              <w:spacing w:after="0"/>
              <w:rPr>
                <w:rFonts w:eastAsia="MS Mincho" w:cs="Arial"/>
                <w:bCs/>
                <w:sz w:val="22"/>
                <w:szCs w:val="22"/>
              </w:rPr>
            </w:pPr>
            <w:r w:rsidRPr="009233BF">
              <w:rPr>
                <w:rFonts w:eastAsia="MS Mincho" w:cs="Arial"/>
                <w:bCs/>
                <w:sz w:val="22"/>
                <w:szCs w:val="22"/>
              </w:rPr>
              <w:t>Disability in focus</w:t>
            </w:r>
          </w:p>
        </w:tc>
        <w:tc>
          <w:tcPr>
            <w:tcW w:w="1545" w:type="dxa"/>
            <w:tcBorders>
              <w:top w:val="single" w:sz="4" w:space="0" w:color="auto"/>
              <w:bottom w:val="single" w:sz="4" w:space="0" w:color="auto"/>
            </w:tcBorders>
            <w:shd w:val="clear" w:color="auto" w:fill="082A75"/>
          </w:tcPr>
          <w:p w14:paraId="1B48C4F0" w14:textId="77777777" w:rsidR="00DE5ED5" w:rsidRPr="009233BF" w:rsidRDefault="00DE5ED5">
            <w:pPr>
              <w:spacing w:after="0" w:line="276" w:lineRule="auto"/>
              <w:rPr>
                <w:rFonts w:eastAsia="MS Mincho" w:cs="Arial"/>
                <w:bCs/>
                <w:sz w:val="22"/>
                <w:szCs w:val="22"/>
              </w:rPr>
            </w:pPr>
            <w:r w:rsidRPr="009233BF">
              <w:rPr>
                <w:rFonts w:eastAsia="MS Mincho" w:cs="Arial"/>
                <w:bCs/>
                <w:sz w:val="22"/>
                <w:szCs w:val="22"/>
              </w:rPr>
              <w:t xml:space="preserve">Aim </w:t>
            </w:r>
          </w:p>
        </w:tc>
        <w:tc>
          <w:tcPr>
            <w:tcW w:w="1365" w:type="dxa"/>
            <w:tcBorders>
              <w:top w:val="single" w:sz="4" w:space="0" w:color="auto"/>
              <w:bottom w:val="single" w:sz="4" w:space="0" w:color="auto"/>
            </w:tcBorders>
            <w:shd w:val="clear" w:color="auto" w:fill="082A75"/>
          </w:tcPr>
          <w:p w14:paraId="51B7ECD3" w14:textId="77777777" w:rsidR="00DE5ED5" w:rsidRPr="009233BF" w:rsidRDefault="00DE5ED5">
            <w:pPr>
              <w:spacing w:after="0"/>
              <w:rPr>
                <w:rFonts w:eastAsia="MS Mincho" w:cs="Arial"/>
                <w:bCs/>
                <w:sz w:val="22"/>
                <w:szCs w:val="22"/>
              </w:rPr>
            </w:pPr>
            <w:r w:rsidRPr="009233BF">
              <w:rPr>
                <w:rFonts w:eastAsia="MS Mincho" w:cs="Arial"/>
                <w:bCs/>
                <w:sz w:val="22"/>
                <w:szCs w:val="22"/>
              </w:rPr>
              <w:t xml:space="preserve">Sample </w:t>
            </w:r>
          </w:p>
        </w:tc>
        <w:tc>
          <w:tcPr>
            <w:tcW w:w="2130" w:type="dxa"/>
            <w:tcBorders>
              <w:top w:val="single" w:sz="4" w:space="0" w:color="auto"/>
              <w:bottom w:val="single" w:sz="4" w:space="0" w:color="auto"/>
            </w:tcBorders>
            <w:shd w:val="clear" w:color="auto" w:fill="082A75"/>
          </w:tcPr>
          <w:p w14:paraId="180538FD" w14:textId="77777777" w:rsidR="00DE5ED5" w:rsidRPr="009233BF" w:rsidRDefault="00DE5ED5">
            <w:pPr>
              <w:spacing w:after="0" w:line="276" w:lineRule="auto"/>
              <w:rPr>
                <w:rFonts w:eastAsia="MS Mincho" w:cs="Arial"/>
                <w:bCs/>
                <w:sz w:val="22"/>
                <w:szCs w:val="22"/>
              </w:rPr>
            </w:pPr>
            <w:r w:rsidRPr="009233BF">
              <w:rPr>
                <w:rFonts w:eastAsia="MS Mincho" w:cs="Arial"/>
                <w:bCs/>
                <w:sz w:val="22"/>
                <w:szCs w:val="22"/>
              </w:rPr>
              <w:t>Intervention in focus</w:t>
            </w:r>
          </w:p>
        </w:tc>
        <w:tc>
          <w:tcPr>
            <w:tcW w:w="1425" w:type="dxa"/>
            <w:tcBorders>
              <w:top w:val="single" w:sz="4" w:space="0" w:color="auto"/>
              <w:bottom w:val="single" w:sz="4" w:space="0" w:color="auto"/>
            </w:tcBorders>
            <w:shd w:val="clear" w:color="auto" w:fill="082A75"/>
          </w:tcPr>
          <w:p w14:paraId="1B680FB0" w14:textId="77777777" w:rsidR="00DE5ED5" w:rsidRPr="009233BF" w:rsidRDefault="00DE5ED5">
            <w:pPr>
              <w:spacing w:after="0"/>
              <w:rPr>
                <w:rFonts w:eastAsia="MS Mincho" w:cs="Arial"/>
                <w:bCs/>
                <w:sz w:val="22"/>
                <w:szCs w:val="22"/>
              </w:rPr>
            </w:pPr>
            <w:r w:rsidRPr="009233BF">
              <w:rPr>
                <w:rFonts w:eastAsia="MS Mincho" w:cs="Arial"/>
                <w:bCs/>
                <w:sz w:val="22"/>
                <w:szCs w:val="22"/>
              </w:rPr>
              <w:t xml:space="preserve">Method </w:t>
            </w:r>
          </w:p>
        </w:tc>
        <w:tc>
          <w:tcPr>
            <w:tcW w:w="3510" w:type="dxa"/>
            <w:tcBorders>
              <w:top w:val="single" w:sz="4" w:space="0" w:color="auto"/>
              <w:bottom w:val="single" w:sz="4" w:space="0" w:color="auto"/>
            </w:tcBorders>
            <w:shd w:val="clear" w:color="auto" w:fill="082A75"/>
          </w:tcPr>
          <w:p w14:paraId="022E9B3F" w14:textId="77777777" w:rsidR="00DE5ED5" w:rsidRPr="009233BF" w:rsidRDefault="00DE5ED5">
            <w:pPr>
              <w:spacing w:after="0" w:line="276" w:lineRule="auto"/>
              <w:rPr>
                <w:rFonts w:eastAsia="MS Mincho" w:cs="Arial"/>
                <w:bCs/>
                <w:sz w:val="22"/>
                <w:szCs w:val="22"/>
              </w:rPr>
            </w:pPr>
            <w:r w:rsidRPr="009233BF">
              <w:rPr>
                <w:rFonts w:eastAsia="MS Mincho" w:cs="Arial"/>
                <w:bCs/>
                <w:sz w:val="22"/>
                <w:szCs w:val="22"/>
              </w:rPr>
              <w:t>Summary of key findings</w:t>
            </w:r>
          </w:p>
        </w:tc>
        <w:tc>
          <w:tcPr>
            <w:tcW w:w="1065" w:type="dxa"/>
            <w:tcBorders>
              <w:top w:val="single" w:sz="4" w:space="0" w:color="auto"/>
              <w:bottom w:val="single" w:sz="4" w:space="0" w:color="auto"/>
            </w:tcBorders>
            <w:shd w:val="clear" w:color="auto" w:fill="082A75"/>
          </w:tcPr>
          <w:p w14:paraId="51067E3A" w14:textId="77777777" w:rsidR="00DE5ED5" w:rsidRPr="009233BF" w:rsidRDefault="00DE5ED5">
            <w:pPr>
              <w:spacing w:after="0"/>
              <w:rPr>
                <w:rFonts w:eastAsia="MS Mincho" w:cs="Arial"/>
                <w:bCs/>
                <w:sz w:val="22"/>
                <w:szCs w:val="22"/>
              </w:rPr>
            </w:pPr>
            <w:r w:rsidRPr="009233BF">
              <w:rPr>
                <w:rFonts w:eastAsia="MS Mincho" w:cs="Arial"/>
                <w:bCs/>
                <w:sz w:val="22"/>
                <w:szCs w:val="22"/>
              </w:rPr>
              <w:t xml:space="preserve">First Nations </w:t>
            </w:r>
          </w:p>
          <w:p w14:paraId="012555B6" w14:textId="77777777" w:rsidR="00DE5ED5" w:rsidRPr="009233BF" w:rsidRDefault="00DE5ED5">
            <w:pPr>
              <w:spacing w:after="0"/>
              <w:rPr>
                <w:rFonts w:eastAsia="MS Mincho" w:cs="Arial"/>
                <w:bCs/>
                <w:sz w:val="22"/>
                <w:szCs w:val="22"/>
              </w:rPr>
            </w:pPr>
            <w:r w:rsidRPr="009233BF">
              <w:rPr>
                <w:rFonts w:eastAsia="MS Mincho" w:cs="Arial"/>
                <w:bCs/>
                <w:sz w:val="22"/>
                <w:szCs w:val="22"/>
              </w:rPr>
              <w:t>or CALD</w:t>
            </w:r>
          </w:p>
        </w:tc>
      </w:tr>
      <w:tr w:rsidR="00DE5ED5" w:rsidRPr="00E4576E" w14:paraId="30ADED10" w14:textId="77777777">
        <w:trPr>
          <w:cnfStyle w:val="000000100000" w:firstRow="0" w:lastRow="0" w:firstColumn="0" w:lastColumn="0" w:oddVBand="0" w:evenVBand="0" w:oddHBand="1" w:evenHBand="0" w:firstRowFirstColumn="0" w:firstRowLastColumn="0" w:lastRowFirstColumn="0" w:lastRowLastColumn="0"/>
          <w:trHeight w:val="348"/>
        </w:trPr>
        <w:tc>
          <w:tcPr>
            <w:tcW w:w="13950" w:type="dxa"/>
            <w:gridSpan w:val="8"/>
            <w:tcBorders>
              <w:top w:val="single" w:sz="4" w:space="0" w:color="auto"/>
              <w:left w:val="none" w:sz="12" w:space="0" w:color="000000"/>
              <w:bottom w:val="none" w:sz="12" w:space="0" w:color="000000"/>
              <w:right w:val="none" w:sz="12" w:space="0" w:color="000000"/>
            </w:tcBorders>
            <w:shd w:val="clear" w:color="auto" w:fill="E7E6E6"/>
          </w:tcPr>
          <w:p w14:paraId="48C10A1E" w14:textId="77777777" w:rsidR="00DE5ED5" w:rsidRPr="009233BF" w:rsidRDefault="00DE5ED5">
            <w:pPr>
              <w:spacing w:after="0"/>
              <w:rPr>
                <w:rFonts w:cs="Arial"/>
                <w:b/>
              </w:rPr>
            </w:pPr>
            <w:r w:rsidRPr="009233BF">
              <w:rPr>
                <w:rFonts w:cs="Arial"/>
                <w:b/>
              </w:rPr>
              <w:t xml:space="preserve">Studies providing outcomes for parents/caregivers </w:t>
            </w:r>
          </w:p>
        </w:tc>
      </w:tr>
      <w:tr w:rsidR="00DE5ED5" w:rsidRPr="00E4576E" w14:paraId="0BE79630" w14:textId="77777777">
        <w:trPr>
          <w:cnfStyle w:val="000000010000" w:firstRow="0" w:lastRow="0" w:firstColumn="0" w:lastColumn="0" w:oddVBand="0" w:evenVBand="0" w:oddHBand="0" w:evenHBand="1" w:firstRowFirstColumn="0" w:firstRowLastColumn="0" w:lastRowFirstColumn="0" w:lastRowLastColumn="0"/>
          <w:trHeight w:val="3103"/>
        </w:trPr>
        <w:tc>
          <w:tcPr>
            <w:tcW w:w="1365" w:type="dxa"/>
            <w:tcBorders>
              <w:top w:val="none" w:sz="12" w:space="0" w:color="000000"/>
              <w:left w:val="none" w:sz="12" w:space="0" w:color="000000"/>
              <w:bottom w:val="none" w:sz="12" w:space="0" w:color="000000"/>
              <w:right w:val="none" w:sz="12" w:space="0" w:color="000000"/>
            </w:tcBorders>
          </w:tcPr>
          <w:p w14:paraId="1B6C5DF9" w14:textId="77777777" w:rsidR="00DE5ED5" w:rsidRPr="009233BF" w:rsidRDefault="00DE5ED5">
            <w:pPr>
              <w:spacing w:after="0" w:line="276" w:lineRule="auto"/>
              <w:rPr>
                <w:rFonts w:cs="Arial"/>
                <w:bCs/>
              </w:rPr>
            </w:pPr>
            <w:r w:rsidRPr="009233BF">
              <w:rPr>
                <w:rFonts w:cs="Arial"/>
                <w:bCs/>
              </w:rPr>
              <w:t>Armstrong, 2021,</w:t>
            </w:r>
          </w:p>
          <w:p w14:paraId="275DE729" w14:textId="77777777" w:rsidR="00DE5ED5" w:rsidRPr="009233BF" w:rsidRDefault="00DE5ED5">
            <w:pPr>
              <w:spacing w:after="0"/>
              <w:rPr>
                <w:rFonts w:eastAsia="MS Mincho" w:cs="Arial"/>
                <w:bCs/>
              </w:rPr>
            </w:pPr>
            <w:r w:rsidRPr="009233BF">
              <w:rPr>
                <w:rFonts w:cs="Arial"/>
                <w:bCs/>
              </w:rPr>
              <w:t>Australia</w:t>
            </w:r>
          </w:p>
        </w:tc>
        <w:tc>
          <w:tcPr>
            <w:tcW w:w="1545" w:type="dxa"/>
            <w:tcBorders>
              <w:top w:val="none" w:sz="12" w:space="0" w:color="000000"/>
              <w:left w:val="none" w:sz="12" w:space="0" w:color="000000"/>
              <w:bottom w:val="none" w:sz="12" w:space="0" w:color="000000"/>
              <w:right w:val="none" w:sz="12" w:space="0" w:color="000000"/>
            </w:tcBorders>
          </w:tcPr>
          <w:p w14:paraId="5879D13B" w14:textId="77777777" w:rsidR="00DE5ED5" w:rsidRPr="009233BF" w:rsidRDefault="00DE5ED5">
            <w:pPr>
              <w:spacing w:after="0"/>
              <w:rPr>
                <w:rFonts w:eastAsia="MS Mincho" w:cs="Arial"/>
                <w:bCs/>
              </w:rPr>
            </w:pPr>
            <w:r w:rsidRPr="009233BF">
              <w:rPr>
                <w:rFonts w:cs="Arial"/>
                <w:bCs/>
              </w:rPr>
              <w:t>Developmental delay / disability</w:t>
            </w:r>
          </w:p>
        </w:tc>
        <w:tc>
          <w:tcPr>
            <w:tcW w:w="1545" w:type="dxa"/>
            <w:tcBorders>
              <w:top w:val="none" w:sz="12" w:space="0" w:color="000000"/>
              <w:left w:val="none" w:sz="12" w:space="0" w:color="000000"/>
              <w:bottom w:val="none" w:sz="12" w:space="0" w:color="000000"/>
              <w:right w:val="none" w:sz="12" w:space="0" w:color="000000"/>
            </w:tcBorders>
          </w:tcPr>
          <w:p w14:paraId="545CAD42" w14:textId="77777777" w:rsidR="00DE5ED5" w:rsidRPr="009233BF" w:rsidRDefault="00DE5ED5">
            <w:pPr>
              <w:shd w:val="clear" w:color="auto" w:fill="FFFFFF"/>
              <w:spacing w:after="0"/>
              <w:rPr>
                <w:rFonts w:eastAsia="MS Mincho" w:cs="Arial"/>
                <w:bCs/>
              </w:rPr>
            </w:pPr>
            <w:r w:rsidRPr="009233BF">
              <w:rPr>
                <w:rFonts w:cs="Arial"/>
                <w:bCs/>
                <w:lang w:val="en-US"/>
              </w:rPr>
              <w:t>To identify the components of supported and therapeutic playgroups impacting on perceived effectiveness.</w:t>
            </w:r>
          </w:p>
        </w:tc>
        <w:tc>
          <w:tcPr>
            <w:tcW w:w="1365" w:type="dxa"/>
            <w:tcBorders>
              <w:top w:val="none" w:sz="12" w:space="0" w:color="000000"/>
              <w:left w:val="none" w:sz="12" w:space="0" w:color="000000"/>
              <w:bottom w:val="none" w:sz="12" w:space="0" w:color="000000"/>
              <w:right w:val="none" w:sz="12" w:space="0" w:color="000000"/>
            </w:tcBorders>
          </w:tcPr>
          <w:p w14:paraId="026F9B3E" w14:textId="77777777" w:rsidR="00DE5ED5" w:rsidRPr="009233BF" w:rsidRDefault="00DE5ED5">
            <w:pPr>
              <w:spacing w:after="0"/>
              <w:rPr>
                <w:rFonts w:cs="Arial"/>
                <w:bCs/>
                <w:lang w:val="en-US"/>
              </w:rPr>
            </w:pPr>
            <w:r w:rsidRPr="009233BF">
              <w:rPr>
                <w:rFonts w:cs="Arial"/>
                <w:bCs/>
                <w:lang w:val="en-US"/>
              </w:rPr>
              <w:t xml:space="preserve">Mothers (n=22); Fathers (n=1) </w:t>
            </w:r>
          </w:p>
          <w:p w14:paraId="0EA339F9" w14:textId="77777777" w:rsidR="00DE5ED5" w:rsidRPr="009233BF" w:rsidRDefault="00DE5ED5">
            <w:pPr>
              <w:spacing w:after="0"/>
              <w:rPr>
                <w:rFonts w:eastAsia="MS Mincho" w:cs="Arial"/>
                <w:bCs/>
              </w:rPr>
            </w:pPr>
          </w:p>
        </w:tc>
        <w:tc>
          <w:tcPr>
            <w:tcW w:w="2130" w:type="dxa"/>
            <w:tcBorders>
              <w:top w:val="none" w:sz="12" w:space="0" w:color="000000"/>
              <w:left w:val="none" w:sz="12" w:space="0" w:color="000000"/>
              <w:bottom w:val="none" w:sz="12" w:space="0" w:color="000000"/>
              <w:right w:val="none" w:sz="12" w:space="0" w:color="000000"/>
            </w:tcBorders>
          </w:tcPr>
          <w:p w14:paraId="26F3AB86" w14:textId="77777777" w:rsidR="00DE5ED5" w:rsidRPr="009233BF" w:rsidRDefault="00DE5ED5">
            <w:pPr>
              <w:shd w:val="clear" w:color="auto" w:fill="FFFFFF"/>
              <w:spacing w:after="0"/>
              <w:rPr>
                <w:rFonts w:eastAsia="MS Mincho" w:cs="Arial"/>
                <w:bCs/>
              </w:rPr>
            </w:pPr>
            <w:r w:rsidRPr="009233BF">
              <w:rPr>
                <w:rFonts w:cs="Arial"/>
                <w:bCs/>
              </w:rPr>
              <w:t>Supported or therapeutic playgroups.</w:t>
            </w:r>
          </w:p>
        </w:tc>
        <w:tc>
          <w:tcPr>
            <w:tcW w:w="1425" w:type="dxa"/>
            <w:tcBorders>
              <w:top w:val="none" w:sz="12" w:space="0" w:color="000000"/>
              <w:left w:val="none" w:sz="12" w:space="0" w:color="000000"/>
              <w:bottom w:val="none" w:sz="12" w:space="0" w:color="000000"/>
              <w:right w:val="none" w:sz="12" w:space="0" w:color="000000"/>
            </w:tcBorders>
          </w:tcPr>
          <w:p w14:paraId="6D0808A5" w14:textId="77777777" w:rsidR="00DE5ED5" w:rsidRPr="009233BF" w:rsidRDefault="00DE5ED5">
            <w:pPr>
              <w:spacing w:after="0"/>
              <w:rPr>
                <w:rFonts w:eastAsia="MS Mincho" w:cs="Arial"/>
                <w:bCs/>
              </w:rPr>
            </w:pPr>
            <w:r w:rsidRPr="009233BF">
              <w:rPr>
                <w:rFonts w:cs="Arial"/>
                <w:bCs/>
                <w:lang w:val="en-US"/>
              </w:rPr>
              <w:t>Focus groups &amp; interviews/Interpretive phenomenological analysis</w:t>
            </w:r>
          </w:p>
        </w:tc>
        <w:tc>
          <w:tcPr>
            <w:tcW w:w="3510" w:type="dxa"/>
            <w:tcBorders>
              <w:top w:val="none" w:sz="12" w:space="0" w:color="000000"/>
              <w:left w:val="none" w:sz="12" w:space="0" w:color="000000"/>
              <w:bottom w:val="none" w:sz="12" w:space="0" w:color="000000"/>
              <w:right w:val="none" w:sz="12" w:space="0" w:color="000000"/>
            </w:tcBorders>
          </w:tcPr>
          <w:p w14:paraId="6840A164" w14:textId="77777777" w:rsidR="00DE5ED5" w:rsidRPr="009233BF" w:rsidRDefault="00DE5ED5">
            <w:pPr>
              <w:spacing w:after="0"/>
              <w:rPr>
                <w:rFonts w:cs="Arial"/>
                <w:lang w:val="en-US"/>
              </w:rPr>
            </w:pPr>
            <w:r w:rsidRPr="009233BF">
              <w:rPr>
                <w:rFonts w:cs="Arial"/>
                <w:lang w:val="en-US"/>
              </w:rPr>
              <w:t xml:space="preserve">Findings indicated playgroup components that most strongly impacted on perceived effectiveness were feeling accepted; providing opportunities for child development, socialisation and enjoyment; and enhancing parental knowledge and skills. </w:t>
            </w:r>
            <w:r w:rsidRPr="009233BF">
              <w:rPr>
                <w:rFonts w:cs="Arial"/>
              </w:rPr>
              <w:t>Parents reported that having access to multi-disciplinary supports and individualised care at playgroups enhanced their experience.</w:t>
            </w:r>
            <w:r w:rsidRPr="009233BF">
              <w:rPr>
                <w:rFonts w:cs="Arial"/>
                <w:lang w:val="en-US"/>
              </w:rPr>
              <w:t xml:space="preserve"> Findings reinforced the importance of family centred practice and facilitating peer support for families of children with developmental delay and/or disability.</w:t>
            </w:r>
          </w:p>
        </w:tc>
        <w:tc>
          <w:tcPr>
            <w:tcW w:w="1065" w:type="dxa"/>
            <w:tcBorders>
              <w:top w:val="none" w:sz="12" w:space="0" w:color="000000"/>
              <w:left w:val="none" w:sz="12" w:space="0" w:color="000000"/>
              <w:bottom w:val="none" w:sz="12" w:space="0" w:color="000000"/>
              <w:right w:val="none" w:sz="12" w:space="0" w:color="000000"/>
            </w:tcBorders>
          </w:tcPr>
          <w:p w14:paraId="127C787C" w14:textId="77777777" w:rsidR="00DE5ED5" w:rsidRPr="009233BF" w:rsidRDefault="00DE5ED5">
            <w:pPr>
              <w:spacing w:after="0"/>
              <w:rPr>
                <w:rFonts w:cs="Arial"/>
                <w:bCs/>
              </w:rPr>
            </w:pPr>
            <w:r w:rsidRPr="009233BF">
              <w:rPr>
                <w:rFonts w:cs="Arial"/>
                <w:bCs/>
              </w:rPr>
              <w:t>CALD (20%) Aboriginal (13%)</w:t>
            </w:r>
          </w:p>
          <w:p w14:paraId="4C26E9E3" w14:textId="77777777" w:rsidR="00DE5ED5" w:rsidRPr="009233BF" w:rsidRDefault="00DE5ED5">
            <w:pPr>
              <w:spacing w:after="0"/>
              <w:rPr>
                <w:rFonts w:eastAsia="MS Mincho" w:cs="Arial"/>
                <w:bCs/>
              </w:rPr>
            </w:pPr>
          </w:p>
        </w:tc>
      </w:tr>
      <w:tr w:rsidR="00DE5ED5" w:rsidRPr="00E4576E" w14:paraId="6248C73A" w14:textId="77777777">
        <w:trPr>
          <w:cnfStyle w:val="000000100000" w:firstRow="0" w:lastRow="0" w:firstColumn="0" w:lastColumn="0" w:oddVBand="0" w:evenVBand="0" w:oddHBand="1" w:evenHBand="0" w:firstRowFirstColumn="0" w:firstRowLastColumn="0" w:lastRowFirstColumn="0" w:lastRowLastColumn="0"/>
          <w:trHeight w:val="608"/>
        </w:trPr>
        <w:tc>
          <w:tcPr>
            <w:tcW w:w="1365" w:type="dxa"/>
            <w:tcBorders>
              <w:top w:val="none" w:sz="12" w:space="0" w:color="000000"/>
              <w:left w:val="none" w:sz="12" w:space="0" w:color="000000"/>
              <w:bottom w:val="none" w:sz="12" w:space="0" w:color="000000"/>
              <w:right w:val="none" w:sz="12" w:space="0" w:color="000000"/>
            </w:tcBorders>
          </w:tcPr>
          <w:p w14:paraId="4E79786B" w14:textId="77777777" w:rsidR="00DE5ED5" w:rsidRPr="009233BF" w:rsidRDefault="00DE5ED5">
            <w:pPr>
              <w:spacing w:after="0" w:line="276" w:lineRule="auto"/>
              <w:rPr>
                <w:rFonts w:cs="Arial"/>
                <w:bCs/>
              </w:rPr>
            </w:pPr>
            <w:r w:rsidRPr="009233BF">
              <w:rPr>
                <w:rFonts w:cs="Arial"/>
                <w:bCs/>
              </w:rPr>
              <w:t xml:space="preserve">Due, </w:t>
            </w:r>
          </w:p>
          <w:p w14:paraId="250D7791" w14:textId="77777777" w:rsidR="00DE5ED5" w:rsidRPr="009233BF" w:rsidRDefault="00DE5ED5">
            <w:pPr>
              <w:spacing w:after="0" w:line="276" w:lineRule="auto"/>
              <w:rPr>
                <w:rFonts w:cs="Arial"/>
                <w:bCs/>
              </w:rPr>
            </w:pPr>
            <w:r w:rsidRPr="009233BF">
              <w:rPr>
                <w:rFonts w:cs="Arial"/>
                <w:bCs/>
              </w:rPr>
              <w:t>2018*,</w:t>
            </w:r>
          </w:p>
          <w:p w14:paraId="10B0AF39" w14:textId="77777777" w:rsidR="00DE5ED5" w:rsidRPr="009233BF" w:rsidRDefault="00DE5ED5">
            <w:pPr>
              <w:spacing w:after="0"/>
              <w:rPr>
                <w:rFonts w:eastAsia="MS Mincho" w:cs="Arial"/>
                <w:bCs/>
              </w:rPr>
            </w:pPr>
            <w:r w:rsidRPr="009233BF">
              <w:rPr>
                <w:rFonts w:cs="Arial"/>
                <w:bCs/>
              </w:rPr>
              <w:t>Australia</w:t>
            </w:r>
          </w:p>
        </w:tc>
        <w:tc>
          <w:tcPr>
            <w:tcW w:w="1545" w:type="dxa"/>
            <w:tcBorders>
              <w:top w:val="none" w:sz="12" w:space="0" w:color="000000"/>
              <w:left w:val="none" w:sz="12" w:space="0" w:color="000000"/>
              <w:bottom w:val="none" w:sz="12" w:space="0" w:color="000000"/>
              <w:right w:val="none" w:sz="12" w:space="0" w:color="000000"/>
            </w:tcBorders>
          </w:tcPr>
          <w:p w14:paraId="653EE45D" w14:textId="77777777" w:rsidR="00DE5ED5" w:rsidRPr="009233BF" w:rsidRDefault="00DE5ED5">
            <w:pPr>
              <w:spacing w:after="0"/>
              <w:rPr>
                <w:rFonts w:eastAsia="MS Mincho" w:cs="Arial"/>
                <w:bCs/>
              </w:rPr>
            </w:pPr>
            <w:r w:rsidRPr="009233BF">
              <w:rPr>
                <w:rFonts w:cs="Arial"/>
                <w:bCs/>
                <w:lang w:val="en-US"/>
              </w:rPr>
              <w:t>Autism</w:t>
            </w:r>
          </w:p>
        </w:tc>
        <w:tc>
          <w:tcPr>
            <w:tcW w:w="1545" w:type="dxa"/>
            <w:tcBorders>
              <w:top w:val="none" w:sz="12" w:space="0" w:color="000000"/>
              <w:left w:val="none" w:sz="12" w:space="0" w:color="000000"/>
              <w:bottom w:val="none" w:sz="12" w:space="0" w:color="000000"/>
              <w:right w:val="none" w:sz="12" w:space="0" w:color="000000"/>
            </w:tcBorders>
          </w:tcPr>
          <w:p w14:paraId="38CBA8A4" w14:textId="77777777" w:rsidR="00DE5ED5" w:rsidRPr="009233BF" w:rsidRDefault="00DE5ED5">
            <w:pPr>
              <w:spacing w:after="0"/>
              <w:rPr>
                <w:rFonts w:cs="Arial"/>
                <w:bCs/>
                <w:lang w:val="en-US"/>
              </w:rPr>
            </w:pPr>
            <w:r w:rsidRPr="009233BF">
              <w:rPr>
                <w:rFonts w:cs="Arial"/>
                <w:bCs/>
                <w:lang w:val="en-US"/>
              </w:rPr>
              <w:t xml:space="preserve">To describe quality of life (QoL) of parents whose children were enrolled in an </w:t>
            </w:r>
            <w:r w:rsidRPr="009233BF">
              <w:rPr>
                <w:rFonts w:cs="Arial"/>
                <w:bCs/>
              </w:rPr>
              <w:t xml:space="preserve">Autism Specific Early Learning and Care Centre (ASELCCs) </w:t>
            </w:r>
            <w:r w:rsidRPr="009233BF">
              <w:rPr>
                <w:rFonts w:cs="Arial"/>
                <w:bCs/>
                <w:lang w:val="en-US"/>
              </w:rPr>
              <w:t>&amp; to investigate parents' perceptions of ASELCCs.</w:t>
            </w:r>
          </w:p>
          <w:p w14:paraId="781161C8" w14:textId="77777777" w:rsidR="00DE5ED5" w:rsidRPr="009233BF" w:rsidRDefault="00DE5ED5">
            <w:pPr>
              <w:spacing w:after="0"/>
              <w:rPr>
                <w:rFonts w:eastAsia="MS Mincho" w:cs="Arial"/>
                <w:bCs/>
              </w:rPr>
            </w:pPr>
          </w:p>
        </w:tc>
        <w:tc>
          <w:tcPr>
            <w:tcW w:w="1365" w:type="dxa"/>
            <w:tcBorders>
              <w:top w:val="none" w:sz="12" w:space="0" w:color="000000"/>
              <w:left w:val="none" w:sz="12" w:space="0" w:color="000000"/>
              <w:bottom w:val="none" w:sz="12" w:space="0" w:color="000000"/>
              <w:right w:val="none" w:sz="12" w:space="0" w:color="000000"/>
            </w:tcBorders>
          </w:tcPr>
          <w:p w14:paraId="4DE13D6D" w14:textId="77777777" w:rsidR="00DE5ED5" w:rsidRPr="009233BF" w:rsidRDefault="00DE5ED5">
            <w:pPr>
              <w:spacing w:after="0"/>
              <w:rPr>
                <w:rFonts w:eastAsia="MS Mincho" w:cs="Arial"/>
                <w:bCs/>
              </w:rPr>
            </w:pPr>
            <w:r w:rsidRPr="009233BF">
              <w:rPr>
                <w:rFonts w:cs="Arial"/>
                <w:bCs/>
                <w:lang w:val="en-US"/>
              </w:rPr>
              <w:t>Mothers (n=14); Fathers (n=11); Grandparent/other (n=2)</w:t>
            </w:r>
          </w:p>
        </w:tc>
        <w:tc>
          <w:tcPr>
            <w:tcW w:w="2130" w:type="dxa"/>
            <w:tcBorders>
              <w:top w:val="none" w:sz="12" w:space="0" w:color="000000"/>
              <w:left w:val="none" w:sz="12" w:space="0" w:color="000000"/>
              <w:bottom w:val="none" w:sz="12" w:space="0" w:color="000000"/>
              <w:right w:val="none" w:sz="12" w:space="0" w:color="000000"/>
            </w:tcBorders>
          </w:tcPr>
          <w:p w14:paraId="54FE5D88" w14:textId="77777777" w:rsidR="00DE5ED5" w:rsidRPr="009233BF" w:rsidRDefault="00DE5ED5">
            <w:pPr>
              <w:spacing w:after="0"/>
              <w:rPr>
                <w:rFonts w:eastAsia="MS Mincho" w:cs="Arial"/>
                <w:bCs/>
              </w:rPr>
            </w:pPr>
            <w:r w:rsidRPr="009233BF">
              <w:rPr>
                <w:rFonts w:cs="Arial"/>
                <w:bCs/>
              </w:rPr>
              <w:t>ASELCCs providing early intervention embedded within a childcare centre environment</w:t>
            </w:r>
          </w:p>
        </w:tc>
        <w:tc>
          <w:tcPr>
            <w:tcW w:w="1425" w:type="dxa"/>
            <w:tcBorders>
              <w:top w:val="none" w:sz="12" w:space="0" w:color="000000"/>
              <w:left w:val="none" w:sz="12" w:space="0" w:color="000000"/>
              <w:bottom w:val="none" w:sz="12" w:space="0" w:color="000000"/>
              <w:right w:val="none" w:sz="12" w:space="0" w:color="000000"/>
            </w:tcBorders>
          </w:tcPr>
          <w:p w14:paraId="3D570991" w14:textId="77777777" w:rsidR="00DE5ED5" w:rsidRPr="009233BF" w:rsidRDefault="00DE5ED5">
            <w:pPr>
              <w:spacing w:after="0"/>
              <w:rPr>
                <w:rFonts w:eastAsia="MS Mincho" w:cs="Arial"/>
                <w:bCs/>
              </w:rPr>
            </w:pPr>
            <w:r w:rsidRPr="009233BF">
              <w:rPr>
                <w:rFonts w:cs="Arial"/>
                <w:bCs/>
                <w:lang w:val="en-US"/>
              </w:rPr>
              <w:t>Interviews &amp; Surveys / Thematic analysis</w:t>
            </w:r>
          </w:p>
        </w:tc>
        <w:tc>
          <w:tcPr>
            <w:tcW w:w="3510" w:type="dxa"/>
            <w:tcBorders>
              <w:top w:val="none" w:sz="12" w:space="0" w:color="000000"/>
              <w:left w:val="none" w:sz="12" w:space="0" w:color="000000"/>
              <w:bottom w:val="none" w:sz="12" w:space="0" w:color="000000"/>
              <w:right w:val="none" w:sz="12" w:space="0" w:color="000000"/>
            </w:tcBorders>
          </w:tcPr>
          <w:p w14:paraId="4F16CD60" w14:textId="77777777" w:rsidR="00DE5ED5" w:rsidRPr="009233BF" w:rsidRDefault="00DE5ED5">
            <w:pPr>
              <w:spacing w:after="0"/>
              <w:rPr>
                <w:rFonts w:eastAsia="MS Mincho" w:cs="Arial"/>
                <w:bCs/>
              </w:rPr>
            </w:pPr>
            <w:r w:rsidRPr="009233BF">
              <w:rPr>
                <w:rFonts w:cs="Arial"/>
                <w:bCs/>
                <w:lang w:val="en-US"/>
              </w:rPr>
              <w:t>Early intervention within a long day-care setting offers parents a number of positive outcomes relating to QoL including the opportunity to participate in paid employment, a level of respite and increased opportunity to engage with social events in their community– because the early intervention focus makes the long day-care setting suitable for children who would otherwise not be able to access an appropriate model of care. Confidence in parenting and knowledge in relation to supporting their child is enhanced. These interventions offer benefits not only to the children within the program, but also their families.</w:t>
            </w:r>
          </w:p>
        </w:tc>
        <w:tc>
          <w:tcPr>
            <w:tcW w:w="1065" w:type="dxa"/>
            <w:tcBorders>
              <w:top w:val="none" w:sz="12" w:space="0" w:color="000000"/>
              <w:left w:val="none" w:sz="12" w:space="0" w:color="000000"/>
              <w:bottom w:val="none" w:sz="12" w:space="0" w:color="000000"/>
              <w:right w:val="none" w:sz="12" w:space="0" w:color="000000"/>
            </w:tcBorders>
          </w:tcPr>
          <w:p w14:paraId="38D1C394" w14:textId="77777777" w:rsidR="00DE5ED5" w:rsidRPr="009233BF" w:rsidRDefault="00DE5ED5">
            <w:pPr>
              <w:spacing w:after="0"/>
              <w:rPr>
                <w:rFonts w:eastAsia="MS Mincho" w:cs="Arial"/>
                <w:bCs/>
              </w:rPr>
            </w:pPr>
            <w:r w:rsidRPr="009233BF">
              <w:rPr>
                <w:rFonts w:cs="Arial"/>
                <w:bCs/>
              </w:rPr>
              <w:t>No</w:t>
            </w:r>
          </w:p>
        </w:tc>
      </w:tr>
      <w:tr w:rsidR="00DE5ED5" w:rsidRPr="00E4576E" w14:paraId="0A473F80" w14:textId="77777777">
        <w:trPr>
          <w:cnfStyle w:val="000000010000" w:firstRow="0" w:lastRow="0" w:firstColumn="0" w:lastColumn="0" w:oddVBand="0" w:evenVBand="0" w:oddHBand="0" w:evenHBand="1" w:firstRowFirstColumn="0" w:firstRowLastColumn="0" w:lastRowFirstColumn="0" w:lastRowLastColumn="0"/>
          <w:trHeight w:val="2565"/>
        </w:trPr>
        <w:tc>
          <w:tcPr>
            <w:tcW w:w="1365" w:type="dxa"/>
            <w:tcBorders>
              <w:top w:val="none" w:sz="12" w:space="0" w:color="000000"/>
              <w:left w:val="none" w:sz="12" w:space="0" w:color="000000"/>
              <w:bottom w:val="none" w:sz="12" w:space="0" w:color="000000"/>
              <w:right w:val="none" w:sz="12" w:space="0" w:color="000000"/>
            </w:tcBorders>
          </w:tcPr>
          <w:p w14:paraId="1D0FDA55" w14:textId="77777777" w:rsidR="00DE5ED5" w:rsidRPr="009233BF" w:rsidRDefault="00DE5ED5">
            <w:pPr>
              <w:spacing w:after="0" w:line="276" w:lineRule="auto"/>
              <w:rPr>
                <w:rFonts w:eastAsia="MS Mincho" w:cs="Arial"/>
                <w:bCs/>
              </w:rPr>
            </w:pPr>
            <w:r w:rsidRPr="009233BF">
              <w:rPr>
                <w:rFonts w:eastAsia="MS Mincho" w:cs="Arial"/>
                <w:bCs/>
              </w:rPr>
              <w:t>Miller, 2022*,</w:t>
            </w:r>
          </w:p>
          <w:p w14:paraId="0437B5B1" w14:textId="77777777" w:rsidR="00DE5ED5" w:rsidRPr="009233BF" w:rsidRDefault="00DE5ED5">
            <w:pPr>
              <w:spacing w:after="0"/>
              <w:rPr>
                <w:rFonts w:eastAsia="MS Mincho" w:cs="Arial"/>
                <w:bCs/>
              </w:rPr>
            </w:pPr>
            <w:r w:rsidRPr="009233BF">
              <w:rPr>
                <w:rFonts w:eastAsia="MS Mincho" w:cs="Arial"/>
                <w:bCs/>
              </w:rPr>
              <w:t>Australia &amp; Canada</w:t>
            </w:r>
          </w:p>
        </w:tc>
        <w:tc>
          <w:tcPr>
            <w:tcW w:w="1545" w:type="dxa"/>
            <w:tcBorders>
              <w:top w:val="none" w:sz="12" w:space="0" w:color="000000"/>
              <w:left w:val="none" w:sz="12" w:space="0" w:color="000000"/>
              <w:bottom w:val="none" w:sz="12" w:space="0" w:color="000000"/>
              <w:right w:val="none" w:sz="12" w:space="0" w:color="000000"/>
            </w:tcBorders>
          </w:tcPr>
          <w:p w14:paraId="6841ED5D" w14:textId="77777777" w:rsidR="00DE5ED5" w:rsidRPr="009233BF" w:rsidRDefault="00DE5ED5">
            <w:pPr>
              <w:spacing w:after="0"/>
              <w:rPr>
                <w:rFonts w:eastAsia="MS Mincho" w:cs="Arial"/>
                <w:bCs/>
              </w:rPr>
            </w:pPr>
            <w:r w:rsidRPr="009233BF">
              <w:rPr>
                <w:rFonts w:eastAsia="MS Mincho" w:cs="Arial"/>
                <w:bCs/>
              </w:rPr>
              <w:t>Neurodisability</w:t>
            </w:r>
          </w:p>
        </w:tc>
        <w:tc>
          <w:tcPr>
            <w:tcW w:w="1545" w:type="dxa"/>
            <w:tcBorders>
              <w:top w:val="none" w:sz="12" w:space="0" w:color="000000"/>
              <w:left w:val="none" w:sz="12" w:space="0" w:color="000000"/>
              <w:bottom w:val="none" w:sz="12" w:space="0" w:color="000000"/>
              <w:right w:val="none" w:sz="12" w:space="0" w:color="000000"/>
            </w:tcBorders>
          </w:tcPr>
          <w:p w14:paraId="443BED1D" w14:textId="77777777" w:rsidR="00DE5ED5" w:rsidRPr="009233BF" w:rsidRDefault="00DE5ED5">
            <w:pPr>
              <w:spacing w:after="0"/>
              <w:rPr>
                <w:rFonts w:eastAsia="MS Mincho" w:cs="Arial"/>
                <w:bCs/>
              </w:rPr>
            </w:pPr>
            <w:r w:rsidRPr="009233BF">
              <w:rPr>
                <w:rFonts w:eastAsia="MS Mincho" w:cs="Arial"/>
                <w:bCs/>
                <w:lang w:val="en-US"/>
              </w:rPr>
              <w:t>To explore parent perspectives of ENVISAGE workshop content &amp; materials.</w:t>
            </w:r>
          </w:p>
        </w:tc>
        <w:tc>
          <w:tcPr>
            <w:tcW w:w="1365" w:type="dxa"/>
            <w:tcBorders>
              <w:top w:val="none" w:sz="12" w:space="0" w:color="000000"/>
              <w:left w:val="none" w:sz="12" w:space="0" w:color="000000"/>
              <w:bottom w:val="none" w:sz="12" w:space="0" w:color="000000"/>
              <w:right w:val="none" w:sz="12" w:space="0" w:color="000000"/>
            </w:tcBorders>
          </w:tcPr>
          <w:p w14:paraId="4A0453B1" w14:textId="77777777" w:rsidR="00DE5ED5" w:rsidRPr="009233BF" w:rsidRDefault="00DE5ED5">
            <w:pPr>
              <w:spacing w:after="0"/>
              <w:rPr>
                <w:rFonts w:eastAsia="MS Mincho" w:cs="Arial"/>
                <w:bCs/>
              </w:rPr>
            </w:pPr>
            <w:r w:rsidRPr="009233BF">
              <w:rPr>
                <w:rFonts w:eastAsia="MS Mincho" w:cs="Arial"/>
                <w:bCs/>
                <w:lang w:val="en-US"/>
              </w:rPr>
              <w:t>Mothers (n=13); Fathers (n=2)</w:t>
            </w:r>
          </w:p>
        </w:tc>
        <w:tc>
          <w:tcPr>
            <w:tcW w:w="2130" w:type="dxa"/>
            <w:tcBorders>
              <w:top w:val="none" w:sz="12" w:space="0" w:color="000000"/>
              <w:left w:val="none" w:sz="12" w:space="0" w:color="000000"/>
              <w:bottom w:val="none" w:sz="12" w:space="0" w:color="000000"/>
              <w:right w:val="none" w:sz="12" w:space="0" w:color="000000"/>
            </w:tcBorders>
          </w:tcPr>
          <w:p w14:paraId="230B8532" w14:textId="77777777" w:rsidR="00DE5ED5" w:rsidRPr="009233BF" w:rsidRDefault="00DE5ED5">
            <w:pPr>
              <w:spacing w:after="0"/>
              <w:rPr>
                <w:rFonts w:eastAsia="MS Mincho" w:cs="Arial"/>
                <w:bCs/>
              </w:rPr>
            </w:pPr>
            <w:r w:rsidRPr="009233BF">
              <w:rPr>
                <w:rFonts w:eastAsia="MS Mincho" w:cs="Arial"/>
                <w:bCs/>
              </w:rPr>
              <w:t>ENVISAGE (ENabling VISions And Growing Expectations)- Program for parents/caregivers raising children with early-onset neurodisabilities</w:t>
            </w:r>
          </w:p>
        </w:tc>
        <w:tc>
          <w:tcPr>
            <w:tcW w:w="1425" w:type="dxa"/>
            <w:tcBorders>
              <w:top w:val="none" w:sz="12" w:space="0" w:color="000000"/>
              <w:left w:val="none" w:sz="12" w:space="0" w:color="000000"/>
              <w:bottom w:val="none" w:sz="12" w:space="0" w:color="000000"/>
              <w:right w:val="none" w:sz="12" w:space="0" w:color="000000"/>
            </w:tcBorders>
          </w:tcPr>
          <w:p w14:paraId="0C01851E" w14:textId="77777777" w:rsidR="00DE5ED5" w:rsidRPr="009233BF" w:rsidRDefault="00DE5ED5">
            <w:pPr>
              <w:spacing w:after="0"/>
              <w:rPr>
                <w:rFonts w:eastAsia="MS Mincho" w:cs="Arial"/>
                <w:bCs/>
              </w:rPr>
            </w:pPr>
            <w:r w:rsidRPr="009233BF">
              <w:rPr>
                <w:rFonts w:eastAsia="MS Mincho" w:cs="Arial"/>
                <w:bCs/>
              </w:rPr>
              <w:t>Interviews &amp; survey questions / Interpretive description</w:t>
            </w:r>
          </w:p>
        </w:tc>
        <w:tc>
          <w:tcPr>
            <w:tcW w:w="3510" w:type="dxa"/>
            <w:tcBorders>
              <w:top w:val="none" w:sz="12" w:space="0" w:color="000000"/>
              <w:left w:val="none" w:sz="12" w:space="0" w:color="000000"/>
              <w:bottom w:val="none" w:sz="12" w:space="0" w:color="000000"/>
              <w:right w:val="none" w:sz="12" w:space="0" w:color="000000"/>
            </w:tcBorders>
          </w:tcPr>
          <w:p w14:paraId="315C7AFC" w14:textId="77777777" w:rsidR="00DE5ED5" w:rsidRPr="009233BF" w:rsidRDefault="00DE5ED5">
            <w:pPr>
              <w:spacing w:after="0"/>
              <w:rPr>
                <w:rFonts w:eastAsia="MS Mincho" w:cs="Arial"/>
                <w:bCs/>
              </w:rPr>
            </w:pPr>
            <w:r w:rsidRPr="009233BF">
              <w:rPr>
                <w:rFonts w:eastAsia="MS Mincho" w:cs="Arial"/>
                <w:bCs/>
              </w:rPr>
              <w:t>Workshops were reported to be understandable, relevant, and meaningful to families. ENVISAGE was reported to empower parents through enhancing knowledge and skills to communicate, collaborate and connect with others. Workshops addressed key issues and concerns of parents of children with neurodisability in a way that was perceived as empowering.</w:t>
            </w:r>
          </w:p>
        </w:tc>
        <w:tc>
          <w:tcPr>
            <w:tcW w:w="1065" w:type="dxa"/>
            <w:tcBorders>
              <w:top w:val="none" w:sz="12" w:space="0" w:color="000000"/>
              <w:left w:val="none" w:sz="12" w:space="0" w:color="000000"/>
              <w:bottom w:val="none" w:sz="12" w:space="0" w:color="000000"/>
              <w:right w:val="none" w:sz="12" w:space="0" w:color="000000"/>
            </w:tcBorders>
          </w:tcPr>
          <w:p w14:paraId="43E6DA08"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16CEF2CE" w14:textId="77777777">
        <w:trPr>
          <w:cnfStyle w:val="000000100000" w:firstRow="0" w:lastRow="0" w:firstColumn="0" w:lastColumn="0" w:oddVBand="0" w:evenVBand="0" w:oddHBand="1" w:evenHBand="0" w:firstRowFirstColumn="0" w:firstRowLastColumn="0" w:lastRowFirstColumn="0" w:lastRowLastColumn="0"/>
          <w:trHeight w:val="2423"/>
        </w:trPr>
        <w:tc>
          <w:tcPr>
            <w:tcW w:w="1365" w:type="dxa"/>
            <w:tcBorders>
              <w:top w:val="none" w:sz="12" w:space="0" w:color="000000"/>
              <w:left w:val="none" w:sz="12" w:space="0" w:color="000000"/>
              <w:bottom w:val="none" w:sz="12" w:space="0" w:color="000000"/>
              <w:right w:val="none" w:sz="12" w:space="0" w:color="000000"/>
            </w:tcBorders>
          </w:tcPr>
          <w:p w14:paraId="6A5BB5C3" w14:textId="77777777" w:rsidR="00DE5ED5" w:rsidRPr="009233BF" w:rsidRDefault="00DE5ED5">
            <w:pPr>
              <w:spacing w:after="0" w:line="276" w:lineRule="auto"/>
              <w:rPr>
                <w:rFonts w:eastAsia="MS Mincho" w:cs="Arial"/>
                <w:bCs/>
              </w:rPr>
            </w:pPr>
            <w:r w:rsidRPr="009233BF">
              <w:rPr>
                <w:rFonts w:eastAsia="MS Mincho" w:cs="Arial"/>
                <w:bCs/>
              </w:rPr>
              <w:t>Miller, 2023*,</w:t>
            </w:r>
          </w:p>
          <w:p w14:paraId="5B58F6BE" w14:textId="77777777" w:rsidR="00DE5ED5" w:rsidRPr="009233BF" w:rsidRDefault="00DE5ED5">
            <w:pPr>
              <w:spacing w:after="0" w:line="276" w:lineRule="auto"/>
              <w:rPr>
                <w:rFonts w:eastAsia="MS Mincho" w:cs="Arial"/>
                <w:bCs/>
              </w:rPr>
            </w:pPr>
            <w:r w:rsidRPr="009233BF">
              <w:rPr>
                <w:rFonts w:eastAsia="MS Mincho" w:cs="Arial"/>
                <w:bCs/>
              </w:rPr>
              <w:t>Australia &amp; Canada</w:t>
            </w:r>
          </w:p>
        </w:tc>
        <w:tc>
          <w:tcPr>
            <w:tcW w:w="1545" w:type="dxa"/>
            <w:tcBorders>
              <w:top w:val="none" w:sz="12" w:space="0" w:color="000000"/>
              <w:left w:val="none" w:sz="12" w:space="0" w:color="000000"/>
              <w:bottom w:val="none" w:sz="12" w:space="0" w:color="000000"/>
              <w:right w:val="none" w:sz="12" w:space="0" w:color="000000"/>
            </w:tcBorders>
          </w:tcPr>
          <w:p w14:paraId="7EFECF5B" w14:textId="77777777" w:rsidR="00DE5ED5" w:rsidRPr="009233BF" w:rsidRDefault="00DE5ED5">
            <w:pPr>
              <w:spacing w:after="0"/>
              <w:rPr>
                <w:rFonts w:eastAsia="MS Mincho" w:cs="Arial"/>
                <w:bCs/>
              </w:rPr>
            </w:pPr>
            <w:r w:rsidRPr="009233BF">
              <w:rPr>
                <w:rFonts w:eastAsia="MS Mincho" w:cs="Arial"/>
                <w:bCs/>
              </w:rPr>
              <w:t>Neurodisability</w:t>
            </w:r>
          </w:p>
        </w:tc>
        <w:tc>
          <w:tcPr>
            <w:tcW w:w="1545" w:type="dxa"/>
            <w:tcBorders>
              <w:top w:val="none" w:sz="12" w:space="0" w:color="000000"/>
              <w:left w:val="none" w:sz="12" w:space="0" w:color="000000"/>
              <w:bottom w:val="none" w:sz="12" w:space="0" w:color="000000"/>
              <w:right w:val="none" w:sz="12" w:space="0" w:color="000000"/>
            </w:tcBorders>
          </w:tcPr>
          <w:p w14:paraId="1065CB53" w14:textId="77777777" w:rsidR="00DE5ED5" w:rsidRPr="009233BF" w:rsidRDefault="00DE5ED5">
            <w:pPr>
              <w:spacing w:after="0"/>
              <w:rPr>
                <w:rFonts w:eastAsia="MS Mincho" w:cs="Arial"/>
                <w:bCs/>
                <w:lang w:val="en-US"/>
              </w:rPr>
            </w:pPr>
            <w:r w:rsidRPr="009233BF">
              <w:rPr>
                <w:rFonts w:eastAsia="MS Mincho" w:cs="Arial"/>
                <w:bCs/>
                <w:lang w:val="en-US"/>
              </w:rPr>
              <w:t>Explore the feasibility, impact and parent experiences of ENVISAGE-Families.</w:t>
            </w:r>
          </w:p>
        </w:tc>
        <w:tc>
          <w:tcPr>
            <w:tcW w:w="1365" w:type="dxa"/>
            <w:tcBorders>
              <w:top w:val="none" w:sz="12" w:space="0" w:color="000000"/>
              <w:left w:val="none" w:sz="12" w:space="0" w:color="000000"/>
              <w:bottom w:val="none" w:sz="12" w:space="0" w:color="000000"/>
              <w:right w:val="none" w:sz="12" w:space="0" w:color="000000"/>
            </w:tcBorders>
          </w:tcPr>
          <w:p w14:paraId="2C35ECF8" w14:textId="77777777" w:rsidR="00DE5ED5" w:rsidRPr="009233BF" w:rsidRDefault="00DE5ED5">
            <w:pPr>
              <w:spacing w:after="0"/>
              <w:rPr>
                <w:rFonts w:eastAsia="MS Mincho" w:cs="Arial"/>
                <w:bCs/>
                <w:lang w:val="en-US"/>
              </w:rPr>
            </w:pPr>
            <w:r w:rsidRPr="009233BF">
              <w:rPr>
                <w:rFonts w:eastAsia="MS Mincho" w:cs="Arial"/>
                <w:bCs/>
                <w:lang w:val="en-US"/>
              </w:rPr>
              <w:t>Parents of children with Neuro-</w:t>
            </w:r>
          </w:p>
          <w:p w14:paraId="2BD0BA51" w14:textId="77777777" w:rsidR="00DE5ED5" w:rsidRPr="009233BF" w:rsidRDefault="00DE5ED5">
            <w:pPr>
              <w:spacing w:after="0"/>
              <w:rPr>
                <w:rFonts w:eastAsia="MS Mincho" w:cs="Arial"/>
                <w:bCs/>
                <w:lang w:val="en-US"/>
              </w:rPr>
            </w:pPr>
            <w:r w:rsidRPr="009233BF">
              <w:rPr>
                <w:rFonts w:eastAsia="MS Mincho" w:cs="Arial"/>
                <w:bCs/>
                <w:lang w:val="en-US"/>
              </w:rPr>
              <w:t xml:space="preserve">disability </w:t>
            </w:r>
          </w:p>
          <w:p w14:paraId="01886F33" w14:textId="77777777" w:rsidR="00DE5ED5" w:rsidRPr="009233BF" w:rsidRDefault="00DE5ED5">
            <w:pPr>
              <w:spacing w:after="0"/>
              <w:rPr>
                <w:rFonts w:eastAsia="MS Mincho" w:cs="Arial"/>
                <w:bCs/>
                <w:lang w:val="en-US"/>
              </w:rPr>
            </w:pPr>
            <w:r w:rsidRPr="009233BF">
              <w:rPr>
                <w:rFonts w:eastAsia="MS Mincho" w:cs="Arial"/>
                <w:bCs/>
                <w:lang w:val="en-US"/>
              </w:rPr>
              <w:t>(n= 50)</w:t>
            </w:r>
          </w:p>
        </w:tc>
        <w:tc>
          <w:tcPr>
            <w:tcW w:w="2130" w:type="dxa"/>
            <w:tcBorders>
              <w:top w:val="none" w:sz="12" w:space="0" w:color="000000"/>
              <w:left w:val="none" w:sz="12" w:space="0" w:color="000000"/>
              <w:bottom w:val="none" w:sz="12" w:space="0" w:color="000000"/>
              <w:right w:val="none" w:sz="12" w:space="0" w:color="000000"/>
            </w:tcBorders>
          </w:tcPr>
          <w:p w14:paraId="6A1EACB9" w14:textId="77777777" w:rsidR="00DE5ED5" w:rsidRPr="009233BF" w:rsidRDefault="00DE5ED5">
            <w:pPr>
              <w:spacing w:after="0" w:line="276" w:lineRule="auto"/>
              <w:rPr>
                <w:rFonts w:eastAsia="MS Mincho" w:cs="Arial"/>
                <w:bCs/>
              </w:rPr>
            </w:pPr>
            <w:r w:rsidRPr="009233BF">
              <w:rPr>
                <w:rFonts w:eastAsia="MS Mincho" w:cs="Arial"/>
                <w:bCs/>
              </w:rPr>
              <w:t>ENVISAGE (ENabling VISions And Growing Expectations)</w:t>
            </w:r>
          </w:p>
        </w:tc>
        <w:tc>
          <w:tcPr>
            <w:tcW w:w="1425" w:type="dxa"/>
            <w:tcBorders>
              <w:top w:val="none" w:sz="12" w:space="0" w:color="000000"/>
              <w:left w:val="none" w:sz="12" w:space="0" w:color="000000"/>
              <w:bottom w:val="none" w:sz="12" w:space="0" w:color="000000"/>
              <w:right w:val="none" w:sz="12" w:space="0" w:color="000000"/>
            </w:tcBorders>
          </w:tcPr>
          <w:p w14:paraId="35D53410" w14:textId="77777777" w:rsidR="00DE5ED5" w:rsidRPr="009233BF" w:rsidRDefault="00DE5ED5">
            <w:pPr>
              <w:spacing w:after="0"/>
              <w:rPr>
                <w:rFonts w:eastAsia="MS Mincho" w:cs="Arial"/>
                <w:bCs/>
              </w:rPr>
            </w:pPr>
            <w:r w:rsidRPr="009233BF">
              <w:rPr>
                <w:rFonts w:eastAsia="MS Mincho" w:cs="Arial"/>
                <w:bCs/>
              </w:rPr>
              <w:t>Interviews/</w:t>
            </w:r>
          </w:p>
          <w:p w14:paraId="4F3B1C9C" w14:textId="77777777" w:rsidR="00DE5ED5" w:rsidRPr="009233BF" w:rsidRDefault="00DE5ED5">
            <w:pPr>
              <w:spacing w:after="0"/>
              <w:rPr>
                <w:rFonts w:eastAsia="MS Mincho" w:cs="Arial"/>
                <w:bCs/>
                <w:lang w:val="en-US"/>
              </w:rPr>
            </w:pPr>
            <w:r w:rsidRPr="009233BF">
              <w:rPr>
                <w:rFonts w:eastAsia="MS Mincho" w:cs="Arial"/>
                <w:bCs/>
              </w:rPr>
              <w:t>Interpretive description</w:t>
            </w:r>
          </w:p>
        </w:tc>
        <w:tc>
          <w:tcPr>
            <w:tcW w:w="3510" w:type="dxa"/>
            <w:tcBorders>
              <w:top w:val="none" w:sz="12" w:space="0" w:color="000000"/>
              <w:left w:val="none" w:sz="12" w:space="0" w:color="000000"/>
              <w:bottom w:val="none" w:sz="12" w:space="0" w:color="000000"/>
              <w:right w:val="none" w:sz="12" w:space="0" w:color="000000"/>
            </w:tcBorders>
          </w:tcPr>
          <w:p w14:paraId="29C55B80" w14:textId="77777777" w:rsidR="00DE5ED5" w:rsidRPr="009233BF" w:rsidRDefault="00DE5ED5">
            <w:pPr>
              <w:spacing w:after="0" w:line="276" w:lineRule="auto"/>
              <w:rPr>
                <w:rFonts w:eastAsia="MS Mincho" w:cs="Arial"/>
                <w:bCs/>
              </w:rPr>
            </w:pPr>
            <w:r w:rsidRPr="009233BF">
              <w:rPr>
                <w:rFonts w:eastAsia="MS Mincho" w:cs="Arial"/>
                <w:bCs/>
              </w:rPr>
              <w:t>Parents identified a significant shift in how they thought, felt, and talked about disability with their families and service providers following their involvement with ENVISAGE- Families, and described a new path forward that offered hope and direction for the future.</w:t>
            </w:r>
          </w:p>
        </w:tc>
        <w:tc>
          <w:tcPr>
            <w:tcW w:w="1065" w:type="dxa"/>
            <w:tcBorders>
              <w:top w:val="none" w:sz="12" w:space="0" w:color="000000"/>
              <w:left w:val="none" w:sz="12" w:space="0" w:color="000000"/>
              <w:bottom w:val="none" w:sz="12" w:space="0" w:color="000000"/>
              <w:right w:val="none" w:sz="12" w:space="0" w:color="000000"/>
            </w:tcBorders>
          </w:tcPr>
          <w:p w14:paraId="1353F447"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14CA135A" w14:textId="77777777">
        <w:trPr>
          <w:cnfStyle w:val="000000010000" w:firstRow="0" w:lastRow="0" w:firstColumn="0" w:lastColumn="0" w:oddVBand="0" w:evenVBand="0" w:oddHBand="0" w:evenHBand="1" w:firstRowFirstColumn="0" w:firstRowLastColumn="0" w:lastRowFirstColumn="0" w:lastRowLastColumn="0"/>
          <w:trHeight w:val="2698"/>
        </w:trPr>
        <w:tc>
          <w:tcPr>
            <w:tcW w:w="1365" w:type="dxa"/>
            <w:tcBorders>
              <w:top w:val="none" w:sz="12" w:space="0" w:color="000000"/>
              <w:left w:val="none" w:sz="12" w:space="0" w:color="000000"/>
              <w:bottom w:val="none" w:sz="12" w:space="0" w:color="000000"/>
              <w:right w:val="none" w:sz="12" w:space="0" w:color="000000"/>
            </w:tcBorders>
          </w:tcPr>
          <w:p w14:paraId="1C45865B" w14:textId="77777777" w:rsidR="00DE5ED5" w:rsidRPr="009233BF" w:rsidRDefault="00DE5ED5">
            <w:pPr>
              <w:spacing w:after="0" w:line="276" w:lineRule="auto"/>
              <w:rPr>
                <w:rFonts w:eastAsia="MS Mincho" w:cs="Arial"/>
                <w:bCs/>
              </w:rPr>
            </w:pPr>
            <w:r w:rsidRPr="009233BF">
              <w:rPr>
                <w:rFonts w:eastAsia="MS Mincho" w:cs="Arial"/>
                <w:bCs/>
              </w:rPr>
              <w:t>Rogerson,</w:t>
            </w:r>
          </w:p>
          <w:p w14:paraId="32400968" w14:textId="77777777" w:rsidR="00DE5ED5" w:rsidRPr="009233BF" w:rsidRDefault="00DE5ED5">
            <w:pPr>
              <w:spacing w:after="0" w:line="276" w:lineRule="auto"/>
              <w:rPr>
                <w:rFonts w:eastAsia="MS Mincho" w:cs="Arial"/>
                <w:bCs/>
              </w:rPr>
            </w:pPr>
            <w:r w:rsidRPr="009233BF">
              <w:rPr>
                <w:rFonts w:eastAsia="MS Mincho" w:cs="Arial"/>
                <w:bCs/>
              </w:rPr>
              <w:t>2019,</w:t>
            </w:r>
          </w:p>
          <w:p w14:paraId="5DB5A509" w14:textId="77777777" w:rsidR="00DE5ED5" w:rsidRPr="009233BF" w:rsidRDefault="00DE5ED5">
            <w:pPr>
              <w:spacing w:after="0" w:line="276" w:lineRule="auto"/>
              <w:rPr>
                <w:rFonts w:eastAsia="MS Mincho" w:cs="Arial"/>
                <w:bCs/>
              </w:rPr>
            </w:pPr>
            <w:r w:rsidRPr="009233BF">
              <w:rPr>
                <w:rFonts w:eastAsia="MS Mincho" w:cs="Arial"/>
                <w:bCs/>
              </w:rPr>
              <w:t>Australia</w:t>
            </w:r>
          </w:p>
        </w:tc>
        <w:tc>
          <w:tcPr>
            <w:tcW w:w="1545" w:type="dxa"/>
            <w:tcBorders>
              <w:top w:val="none" w:sz="12" w:space="0" w:color="000000"/>
              <w:left w:val="none" w:sz="12" w:space="0" w:color="000000"/>
              <w:bottom w:val="none" w:sz="12" w:space="0" w:color="000000"/>
              <w:right w:val="none" w:sz="12" w:space="0" w:color="000000"/>
            </w:tcBorders>
          </w:tcPr>
          <w:p w14:paraId="1C892456" w14:textId="77777777" w:rsidR="00DE5ED5" w:rsidRPr="009233BF" w:rsidRDefault="00DE5ED5">
            <w:pPr>
              <w:spacing w:after="0"/>
              <w:rPr>
                <w:rFonts w:eastAsia="MS Mincho" w:cs="Arial"/>
                <w:bCs/>
              </w:rPr>
            </w:pPr>
            <w:r w:rsidRPr="009233BF">
              <w:rPr>
                <w:rFonts w:eastAsia="MS Mincho" w:cs="Arial"/>
                <w:bCs/>
              </w:rPr>
              <w:t>Autism</w:t>
            </w:r>
          </w:p>
        </w:tc>
        <w:tc>
          <w:tcPr>
            <w:tcW w:w="1545" w:type="dxa"/>
            <w:tcBorders>
              <w:top w:val="none" w:sz="12" w:space="0" w:color="000000"/>
              <w:left w:val="none" w:sz="12" w:space="0" w:color="000000"/>
              <w:bottom w:val="none" w:sz="12" w:space="0" w:color="000000"/>
              <w:right w:val="none" w:sz="12" w:space="0" w:color="000000"/>
            </w:tcBorders>
          </w:tcPr>
          <w:p w14:paraId="5443B774" w14:textId="77777777" w:rsidR="00DE5ED5" w:rsidRPr="009233BF" w:rsidRDefault="00DE5ED5">
            <w:pPr>
              <w:spacing w:after="0"/>
              <w:rPr>
                <w:rFonts w:eastAsia="MS Mincho" w:cs="Arial"/>
                <w:bCs/>
                <w:lang w:val="en-US"/>
              </w:rPr>
            </w:pPr>
            <w:r w:rsidRPr="009233BF">
              <w:rPr>
                <w:rFonts w:eastAsia="MS Mincho" w:cs="Arial"/>
                <w:bCs/>
                <w:lang w:val="en-US"/>
              </w:rPr>
              <w:t xml:space="preserve">To understand </w:t>
            </w:r>
          </w:p>
          <w:p w14:paraId="44E1D088" w14:textId="77777777" w:rsidR="00DE5ED5" w:rsidRPr="009233BF" w:rsidRDefault="00DE5ED5">
            <w:pPr>
              <w:spacing w:after="0"/>
              <w:rPr>
                <w:rFonts w:eastAsia="MS Mincho" w:cs="Arial"/>
                <w:bCs/>
                <w:lang w:val="en-US"/>
              </w:rPr>
            </w:pPr>
            <w:r w:rsidRPr="009233BF">
              <w:rPr>
                <w:rFonts w:eastAsia="MS Mincho" w:cs="Arial"/>
                <w:bCs/>
                <w:lang w:val="en-US"/>
              </w:rPr>
              <w:t xml:space="preserve">experiences of parents using </w:t>
            </w:r>
            <w:r w:rsidRPr="009233BF">
              <w:rPr>
                <w:rFonts w:eastAsia="MS Mincho" w:cs="Arial"/>
                <w:bCs/>
              </w:rPr>
              <w:t>Therapy Outcomes by You</w:t>
            </w:r>
            <w:r w:rsidRPr="009233BF">
              <w:rPr>
                <w:rFonts w:eastAsia="MS Mincho" w:cs="Arial"/>
                <w:bCs/>
                <w:lang w:val="en-US"/>
              </w:rPr>
              <w:t xml:space="preserve"> (TOBY) to deliver home-based (EIBI) intervention to their child with autism.</w:t>
            </w:r>
          </w:p>
          <w:p w14:paraId="2609C0C2" w14:textId="77777777" w:rsidR="00DE5ED5" w:rsidRPr="009233BF" w:rsidRDefault="00DE5ED5">
            <w:pPr>
              <w:spacing w:after="0"/>
              <w:rPr>
                <w:rFonts w:eastAsia="MS Mincho" w:cs="Arial"/>
                <w:bCs/>
                <w:lang w:val="en-US"/>
              </w:rPr>
            </w:pPr>
          </w:p>
        </w:tc>
        <w:tc>
          <w:tcPr>
            <w:tcW w:w="1365" w:type="dxa"/>
            <w:tcBorders>
              <w:top w:val="none" w:sz="12" w:space="0" w:color="000000"/>
              <w:left w:val="none" w:sz="12" w:space="0" w:color="000000"/>
              <w:bottom w:val="none" w:sz="12" w:space="0" w:color="000000"/>
              <w:right w:val="none" w:sz="12" w:space="0" w:color="000000"/>
            </w:tcBorders>
          </w:tcPr>
          <w:p w14:paraId="5F3493AA" w14:textId="77777777" w:rsidR="00DE5ED5" w:rsidRPr="009233BF" w:rsidRDefault="00DE5ED5">
            <w:pPr>
              <w:spacing w:after="0"/>
              <w:rPr>
                <w:rFonts w:eastAsia="MS Mincho" w:cs="Arial"/>
                <w:bCs/>
                <w:lang w:val="en-US"/>
              </w:rPr>
            </w:pPr>
            <w:r w:rsidRPr="009233BF">
              <w:rPr>
                <w:rFonts w:eastAsia="MS Mincho" w:cs="Arial"/>
                <w:bCs/>
                <w:lang w:val="en-US"/>
              </w:rPr>
              <w:t xml:space="preserve">Mothers (n=13); Fathers </w:t>
            </w:r>
          </w:p>
          <w:p w14:paraId="7F11BBA4" w14:textId="77777777" w:rsidR="00DE5ED5" w:rsidRPr="009233BF" w:rsidRDefault="00DE5ED5">
            <w:pPr>
              <w:spacing w:after="0"/>
              <w:rPr>
                <w:rFonts w:eastAsia="MS Mincho" w:cs="Arial"/>
                <w:bCs/>
                <w:lang w:val="en-US"/>
              </w:rPr>
            </w:pPr>
            <w:r w:rsidRPr="009233BF">
              <w:rPr>
                <w:rFonts w:eastAsia="MS Mincho" w:cs="Arial"/>
                <w:bCs/>
                <w:lang w:val="en-US"/>
              </w:rPr>
              <w:t>(n=4)</w:t>
            </w:r>
          </w:p>
        </w:tc>
        <w:tc>
          <w:tcPr>
            <w:tcW w:w="2130" w:type="dxa"/>
            <w:tcBorders>
              <w:top w:val="none" w:sz="12" w:space="0" w:color="000000"/>
              <w:left w:val="none" w:sz="12" w:space="0" w:color="000000"/>
              <w:bottom w:val="none" w:sz="12" w:space="0" w:color="000000"/>
              <w:right w:val="none" w:sz="12" w:space="0" w:color="000000"/>
            </w:tcBorders>
          </w:tcPr>
          <w:p w14:paraId="66588F71" w14:textId="77777777" w:rsidR="00DE5ED5" w:rsidRPr="009233BF" w:rsidRDefault="00DE5ED5">
            <w:pPr>
              <w:spacing w:after="0" w:line="276" w:lineRule="auto"/>
              <w:rPr>
                <w:rFonts w:eastAsia="MS Mincho" w:cs="Arial"/>
                <w:bCs/>
              </w:rPr>
            </w:pPr>
            <w:r w:rsidRPr="009233BF">
              <w:rPr>
                <w:rFonts w:eastAsia="MS Mincho" w:cs="Arial"/>
                <w:bCs/>
              </w:rPr>
              <w:t>TOBY App</w:t>
            </w:r>
          </w:p>
        </w:tc>
        <w:tc>
          <w:tcPr>
            <w:tcW w:w="1425" w:type="dxa"/>
            <w:tcBorders>
              <w:top w:val="none" w:sz="12" w:space="0" w:color="000000"/>
              <w:left w:val="none" w:sz="12" w:space="0" w:color="000000"/>
              <w:bottom w:val="none" w:sz="12" w:space="0" w:color="000000"/>
              <w:right w:val="none" w:sz="12" w:space="0" w:color="000000"/>
            </w:tcBorders>
          </w:tcPr>
          <w:p w14:paraId="6E83CE78" w14:textId="77777777" w:rsidR="00DE5ED5" w:rsidRPr="009233BF" w:rsidRDefault="00DE5ED5">
            <w:pPr>
              <w:spacing w:after="0"/>
              <w:rPr>
                <w:rFonts w:eastAsia="MS Mincho" w:cs="Arial"/>
                <w:bCs/>
              </w:rPr>
            </w:pPr>
            <w:r w:rsidRPr="009233BF">
              <w:rPr>
                <w:rFonts w:eastAsia="MS Mincho" w:cs="Arial"/>
                <w:bCs/>
              </w:rPr>
              <w:t>Interviews/</w:t>
            </w:r>
          </w:p>
          <w:p w14:paraId="5194CB6D" w14:textId="77777777" w:rsidR="00DE5ED5" w:rsidRPr="009233BF" w:rsidRDefault="00DE5ED5">
            <w:pPr>
              <w:spacing w:after="0"/>
              <w:rPr>
                <w:rFonts w:eastAsia="MS Mincho" w:cs="Arial"/>
                <w:bCs/>
              </w:rPr>
            </w:pPr>
            <w:r w:rsidRPr="009233BF">
              <w:rPr>
                <w:rFonts w:eastAsia="MS Mincho" w:cs="Arial"/>
                <w:bCs/>
              </w:rPr>
              <w:t>Thematic analysis</w:t>
            </w:r>
          </w:p>
        </w:tc>
        <w:tc>
          <w:tcPr>
            <w:tcW w:w="3510" w:type="dxa"/>
            <w:tcBorders>
              <w:top w:val="none" w:sz="12" w:space="0" w:color="000000"/>
              <w:left w:val="none" w:sz="12" w:space="0" w:color="000000"/>
              <w:bottom w:val="none" w:sz="12" w:space="0" w:color="000000"/>
              <w:right w:val="none" w:sz="12" w:space="0" w:color="000000"/>
            </w:tcBorders>
          </w:tcPr>
          <w:p w14:paraId="544CFBC6" w14:textId="77777777" w:rsidR="00DE5ED5" w:rsidRPr="009233BF" w:rsidRDefault="00DE5ED5">
            <w:pPr>
              <w:spacing w:after="0" w:line="276" w:lineRule="auto"/>
              <w:rPr>
                <w:rFonts w:eastAsia="MS Mincho" w:cs="Arial"/>
                <w:bCs/>
              </w:rPr>
            </w:pPr>
            <w:r w:rsidRPr="009233BF">
              <w:rPr>
                <w:rFonts w:eastAsia="MS Mincho" w:cs="Arial"/>
                <w:bCs/>
              </w:rPr>
              <w:t>Parents reported TOBY facilitated parent–child engagement, provided ideas for therapeutic activities, created feelings of empowerment, and positively impacted their child’s development. Barriers to use included preparation time, execution of the intervention, and individual strengths and weaknesses of their child.</w:t>
            </w:r>
          </w:p>
        </w:tc>
        <w:tc>
          <w:tcPr>
            <w:tcW w:w="1065" w:type="dxa"/>
            <w:tcBorders>
              <w:top w:val="none" w:sz="12" w:space="0" w:color="000000"/>
              <w:left w:val="none" w:sz="12" w:space="0" w:color="000000"/>
              <w:bottom w:val="none" w:sz="12" w:space="0" w:color="000000"/>
              <w:right w:val="none" w:sz="12" w:space="0" w:color="000000"/>
            </w:tcBorders>
          </w:tcPr>
          <w:p w14:paraId="2863B957"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078ACDB4" w14:textId="77777777">
        <w:trPr>
          <w:cnfStyle w:val="000000100000" w:firstRow="0" w:lastRow="0" w:firstColumn="0" w:lastColumn="0" w:oddVBand="0" w:evenVBand="0" w:oddHBand="1" w:evenHBand="0" w:firstRowFirstColumn="0" w:firstRowLastColumn="0" w:lastRowFirstColumn="0" w:lastRowLastColumn="0"/>
          <w:trHeight w:val="2735"/>
        </w:trPr>
        <w:tc>
          <w:tcPr>
            <w:tcW w:w="1365" w:type="dxa"/>
            <w:tcBorders>
              <w:top w:val="none" w:sz="12" w:space="0" w:color="000000"/>
              <w:left w:val="none" w:sz="12" w:space="0" w:color="000000"/>
              <w:bottom w:val="none" w:sz="12" w:space="0" w:color="000000"/>
              <w:right w:val="none" w:sz="12" w:space="0" w:color="000000"/>
            </w:tcBorders>
          </w:tcPr>
          <w:p w14:paraId="275527E2" w14:textId="77777777" w:rsidR="00DE5ED5" w:rsidRPr="009233BF" w:rsidRDefault="00DE5ED5">
            <w:pPr>
              <w:spacing w:after="0" w:line="276" w:lineRule="auto"/>
              <w:rPr>
                <w:rFonts w:eastAsia="MS Mincho" w:cs="Arial"/>
                <w:bCs/>
              </w:rPr>
            </w:pPr>
            <w:r w:rsidRPr="009233BF">
              <w:rPr>
                <w:rFonts w:eastAsia="MS Mincho" w:cs="Arial"/>
                <w:bCs/>
              </w:rPr>
              <w:t>Akhbari Ziegler, 2020,</w:t>
            </w:r>
          </w:p>
          <w:p w14:paraId="08E7C7D2" w14:textId="77777777" w:rsidR="00DE5ED5" w:rsidRPr="009233BF" w:rsidRDefault="00DE5ED5">
            <w:pPr>
              <w:spacing w:after="0" w:line="276" w:lineRule="auto"/>
              <w:rPr>
                <w:rFonts w:eastAsia="MS Mincho" w:cs="Arial"/>
                <w:bCs/>
              </w:rPr>
            </w:pPr>
            <w:r w:rsidRPr="009233BF">
              <w:rPr>
                <w:rFonts w:eastAsia="MS Mincho" w:cs="Arial"/>
                <w:bCs/>
              </w:rPr>
              <w:t>Europe (Switzerland)</w:t>
            </w:r>
          </w:p>
          <w:p w14:paraId="3EE9780A" w14:textId="77777777" w:rsidR="00DE5ED5" w:rsidRPr="009233BF" w:rsidRDefault="00DE5ED5">
            <w:pPr>
              <w:spacing w:after="0" w:line="276" w:lineRule="auto"/>
              <w:rPr>
                <w:rFonts w:eastAsia="MS Mincho" w:cs="Arial"/>
                <w:bCs/>
              </w:rPr>
            </w:pPr>
          </w:p>
        </w:tc>
        <w:tc>
          <w:tcPr>
            <w:tcW w:w="1545" w:type="dxa"/>
            <w:tcBorders>
              <w:top w:val="none" w:sz="12" w:space="0" w:color="000000"/>
              <w:left w:val="none" w:sz="12" w:space="0" w:color="000000"/>
              <w:bottom w:val="none" w:sz="12" w:space="0" w:color="000000"/>
              <w:right w:val="none" w:sz="12" w:space="0" w:color="000000"/>
            </w:tcBorders>
          </w:tcPr>
          <w:p w14:paraId="1DAEECAE" w14:textId="77777777" w:rsidR="00DE5ED5" w:rsidRPr="009233BF" w:rsidRDefault="00DE5ED5">
            <w:pPr>
              <w:spacing w:after="0"/>
              <w:rPr>
                <w:rFonts w:eastAsia="MS Mincho" w:cs="Arial"/>
                <w:b/>
                <w:lang w:val="en-US"/>
              </w:rPr>
            </w:pPr>
            <w:r w:rsidRPr="009233BF">
              <w:rPr>
                <w:rFonts w:eastAsia="MS Mincho" w:cs="Arial"/>
                <w:lang w:val="en-US"/>
              </w:rPr>
              <w:t>Delayed motor development and/or neurological dysfunction (not able to stand &amp; walk independently</w:t>
            </w:r>
            <w:r w:rsidRPr="009233BF">
              <w:rPr>
                <w:rFonts w:eastAsia="MS Mincho" w:cs="Arial"/>
                <w:sz w:val="22"/>
                <w:szCs w:val="22"/>
                <w:lang w:val="en-US"/>
              </w:rPr>
              <w:t>)</w:t>
            </w:r>
          </w:p>
        </w:tc>
        <w:tc>
          <w:tcPr>
            <w:tcW w:w="1545" w:type="dxa"/>
            <w:tcBorders>
              <w:top w:val="none" w:sz="12" w:space="0" w:color="000000"/>
              <w:left w:val="none" w:sz="12" w:space="0" w:color="000000"/>
              <w:bottom w:val="none" w:sz="12" w:space="0" w:color="000000"/>
              <w:right w:val="none" w:sz="12" w:space="0" w:color="000000"/>
            </w:tcBorders>
          </w:tcPr>
          <w:p w14:paraId="5ABA88E8" w14:textId="77777777" w:rsidR="00DE5ED5" w:rsidRPr="009233BF" w:rsidRDefault="00DE5ED5">
            <w:pPr>
              <w:shd w:val="clear" w:color="auto" w:fill="FFFFFF"/>
              <w:spacing w:after="0"/>
              <w:rPr>
                <w:rFonts w:eastAsia="MS Mincho" w:cs="Arial"/>
                <w:lang w:val="en-US"/>
              </w:rPr>
            </w:pPr>
            <w:r w:rsidRPr="009233BF">
              <w:rPr>
                <w:rFonts w:eastAsia="MS Mincho" w:cs="Arial"/>
                <w:lang w:val="en-US"/>
              </w:rPr>
              <w:t>To explore caregivers' experiences</w:t>
            </w:r>
          </w:p>
          <w:p w14:paraId="412300E0" w14:textId="77777777" w:rsidR="00DE5ED5" w:rsidRPr="009233BF" w:rsidRDefault="00DE5ED5">
            <w:pPr>
              <w:shd w:val="clear" w:color="auto" w:fill="FFFFFF"/>
              <w:spacing w:after="0"/>
              <w:rPr>
                <w:rFonts w:eastAsia="MS Mincho" w:cs="Arial"/>
                <w:lang w:val="en-US"/>
              </w:rPr>
            </w:pPr>
            <w:r w:rsidRPr="009233BF">
              <w:rPr>
                <w:rFonts w:eastAsia="MS Mincho" w:cs="Arial"/>
                <w:lang w:val="en-US"/>
              </w:rPr>
              <w:t>with COPCA.</w:t>
            </w:r>
          </w:p>
          <w:p w14:paraId="76E56DFC" w14:textId="77777777" w:rsidR="00DE5ED5" w:rsidRPr="009233BF" w:rsidRDefault="00DE5ED5">
            <w:pPr>
              <w:spacing w:after="0"/>
              <w:rPr>
                <w:rFonts w:eastAsia="MS Mincho" w:cs="Arial"/>
                <w:lang w:val="en-US"/>
              </w:rPr>
            </w:pPr>
          </w:p>
        </w:tc>
        <w:tc>
          <w:tcPr>
            <w:tcW w:w="1365" w:type="dxa"/>
            <w:tcBorders>
              <w:top w:val="none" w:sz="12" w:space="0" w:color="000000"/>
              <w:left w:val="none" w:sz="12" w:space="0" w:color="000000"/>
              <w:bottom w:val="none" w:sz="12" w:space="0" w:color="000000"/>
              <w:right w:val="none" w:sz="12" w:space="0" w:color="000000"/>
            </w:tcBorders>
          </w:tcPr>
          <w:p w14:paraId="5AB949DE" w14:textId="77777777" w:rsidR="00DE5ED5" w:rsidRPr="009233BF" w:rsidRDefault="00DE5ED5">
            <w:pPr>
              <w:spacing w:after="0"/>
              <w:rPr>
                <w:rFonts w:eastAsia="MS Mincho" w:cs="Arial"/>
                <w:lang w:val="en-US"/>
              </w:rPr>
            </w:pPr>
            <w:r w:rsidRPr="009233BF">
              <w:rPr>
                <w:rFonts w:eastAsia="MS Mincho" w:cs="Arial"/>
                <w:lang w:val="en-US"/>
              </w:rPr>
              <w:t>Mothers (n=15)</w:t>
            </w:r>
          </w:p>
        </w:tc>
        <w:tc>
          <w:tcPr>
            <w:tcW w:w="2130" w:type="dxa"/>
            <w:tcBorders>
              <w:top w:val="none" w:sz="12" w:space="0" w:color="000000"/>
              <w:left w:val="none" w:sz="12" w:space="0" w:color="000000"/>
              <w:bottom w:val="none" w:sz="12" w:space="0" w:color="000000"/>
              <w:right w:val="none" w:sz="12" w:space="0" w:color="000000"/>
            </w:tcBorders>
          </w:tcPr>
          <w:p w14:paraId="1153A417" w14:textId="77777777" w:rsidR="00DE5ED5" w:rsidRPr="009233BF" w:rsidRDefault="00DE5ED5">
            <w:pPr>
              <w:shd w:val="clear" w:color="auto" w:fill="FFFFFF"/>
              <w:spacing w:after="0" w:line="276" w:lineRule="auto"/>
              <w:rPr>
                <w:rFonts w:eastAsia="Calibri" w:cs="Arial"/>
              </w:rPr>
            </w:pPr>
            <w:r w:rsidRPr="009233BF">
              <w:rPr>
                <w:rFonts w:cs="Arial"/>
              </w:rPr>
              <w:t>“COPing with and Caring for infants with special needs” (COPCA) aims to encourage the family's capacity to stimulate the infant's motor development in naturally occurring situations.</w:t>
            </w:r>
          </w:p>
        </w:tc>
        <w:tc>
          <w:tcPr>
            <w:tcW w:w="1425" w:type="dxa"/>
            <w:tcBorders>
              <w:top w:val="none" w:sz="12" w:space="0" w:color="000000"/>
              <w:left w:val="none" w:sz="12" w:space="0" w:color="000000"/>
              <w:bottom w:val="none" w:sz="12" w:space="0" w:color="000000"/>
              <w:right w:val="none" w:sz="12" w:space="0" w:color="000000"/>
            </w:tcBorders>
          </w:tcPr>
          <w:p w14:paraId="50CAC30C" w14:textId="77777777" w:rsidR="00DE5ED5" w:rsidRPr="009233BF" w:rsidRDefault="00DE5ED5">
            <w:pPr>
              <w:spacing w:after="0"/>
              <w:rPr>
                <w:rFonts w:eastAsia="MS Mincho" w:cs="Arial"/>
                <w:b/>
                <w:lang w:val="en-US"/>
              </w:rPr>
            </w:pPr>
            <w:r w:rsidRPr="009233BF">
              <w:rPr>
                <w:rFonts w:eastAsia="MS Mincho" w:cs="Arial"/>
                <w:lang w:val="en-US"/>
              </w:rPr>
              <w:t>Questionnaires/ content analysis</w:t>
            </w:r>
          </w:p>
        </w:tc>
        <w:tc>
          <w:tcPr>
            <w:tcW w:w="3510" w:type="dxa"/>
            <w:tcBorders>
              <w:top w:val="none" w:sz="12" w:space="0" w:color="000000"/>
              <w:left w:val="none" w:sz="12" w:space="0" w:color="000000"/>
              <w:bottom w:val="none" w:sz="12" w:space="0" w:color="000000"/>
              <w:right w:val="none" w:sz="12" w:space="0" w:color="000000"/>
            </w:tcBorders>
          </w:tcPr>
          <w:p w14:paraId="0DA98226" w14:textId="77777777" w:rsidR="00DE5ED5" w:rsidRPr="009233BF" w:rsidRDefault="00DE5ED5">
            <w:pPr>
              <w:spacing w:after="0"/>
              <w:rPr>
                <w:rFonts w:cs="Arial"/>
                <w:b/>
                <w:lang w:val="en-US"/>
              </w:rPr>
            </w:pPr>
            <w:r w:rsidRPr="009233BF">
              <w:rPr>
                <w:rFonts w:cs="Arial"/>
                <w:lang w:val="en-US"/>
              </w:rPr>
              <w:t>Participants appreciated the COPCA program. They especially valued its home-based setting, support from the coach, and the experience of being able to participate as active partners in the intervention. Participants valued the family-centred, ecological, and relationship-based elements of early intervention.</w:t>
            </w:r>
          </w:p>
        </w:tc>
        <w:tc>
          <w:tcPr>
            <w:tcW w:w="1065" w:type="dxa"/>
            <w:tcBorders>
              <w:top w:val="none" w:sz="12" w:space="0" w:color="000000"/>
              <w:left w:val="none" w:sz="12" w:space="0" w:color="000000"/>
              <w:bottom w:val="none" w:sz="12" w:space="0" w:color="000000"/>
              <w:right w:val="none" w:sz="12" w:space="0" w:color="000000"/>
            </w:tcBorders>
          </w:tcPr>
          <w:p w14:paraId="3AF296AA"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792CB334" w14:textId="77777777">
        <w:trPr>
          <w:cnfStyle w:val="000000010000" w:firstRow="0" w:lastRow="0" w:firstColumn="0" w:lastColumn="0" w:oddVBand="0" w:evenVBand="0" w:oddHBand="0" w:evenHBand="1" w:firstRowFirstColumn="0" w:firstRowLastColumn="0" w:lastRowFirstColumn="0" w:lastRowLastColumn="0"/>
          <w:trHeight w:val="3557"/>
        </w:trPr>
        <w:tc>
          <w:tcPr>
            <w:tcW w:w="1365" w:type="dxa"/>
            <w:tcBorders>
              <w:top w:val="none" w:sz="12" w:space="0" w:color="000000"/>
              <w:left w:val="none" w:sz="12" w:space="0" w:color="000000"/>
              <w:bottom w:val="none" w:sz="12" w:space="0" w:color="000000"/>
              <w:right w:val="none" w:sz="12" w:space="0" w:color="000000"/>
            </w:tcBorders>
          </w:tcPr>
          <w:p w14:paraId="730232FA" w14:textId="77777777" w:rsidR="00DE5ED5" w:rsidRPr="009233BF" w:rsidRDefault="00DE5ED5">
            <w:pPr>
              <w:spacing w:after="0" w:line="276" w:lineRule="auto"/>
              <w:rPr>
                <w:rFonts w:eastAsia="MS Mincho" w:cs="Arial"/>
                <w:bCs/>
              </w:rPr>
            </w:pPr>
            <w:r w:rsidRPr="009233BF">
              <w:rPr>
                <w:rFonts w:eastAsia="MS Mincho" w:cs="Arial"/>
                <w:bCs/>
              </w:rPr>
              <w:t>Elvrum,</w:t>
            </w:r>
          </w:p>
          <w:p w14:paraId="366A90B0" w14:textId="77777777" w:rsidR="00DE5ED5" w:rsidRPr="009233BF" w:rsidRDefault="00DE5ED5">
            <w:pPr>
              <w:spacing w:after="0" w:line="276" w:lineRule="auto"/>
              <w:rPr>
                <w:rFonts w:eastAsia="MS Mincho" w:cs="Arial"/>
                <w:bCs/>
              </w:rPr>
            </w:pPr>
            <w:r w:rsidRPr="009233BF">
              <w:rPr>
                <w:rFonts w:eastAsia="MS Mincho" w:cs="Arial"/>
                <w:bCs/>
              </w:rPr>
              <w:t>2024,</w:t>
            </w:r>
          </w:p>
          <w:p w14:paraId="313D911F" w14:textId="77777777" w:rsidR="00DE5ED5" w:rsidRPr="009233BF" w:rsidRDefault="00DE5ED5">
            <w:pPr>
              <w:spacing w:after="0" w:line="276" w:lineRule="auto"/>
              <w:rPr>
                <w:rFonts w:eastAsia="MS Mincho" w:cs="Arial"/>
                <w:bCs/>
              </w:rPr>
            </w:pPr>
            <w:r w:rsidRPr="009233BF">
              <w:rPr>
                <w:rFonts w:eastAsia="MS Mincho" w:cs="Arial"/>
                <w:bCs/>
              </w:rPr>
              <w:t>Europe</w:t>
            </w:r>
          </w:p>
          <w:p w14:paraId="21F51C4B" w14:textId="77777777" w:rsidR="00DE5ED5" w:rsidRPr="009233BF" w:rsidRDefault="00DE5ED5">
            <w:pPr>
              <w:spacing w:after="0" w:line="276" w:lineRule="auto"/>
              <w:rPr>
                <w:rFonts w:eastAsia="MS Mincho" w:cs="Arial"/>
                <w:bCs/>
              </w:rPr>
            </w:pPr>
            <w:r w:rsidRPr="009233BF">
              <w:rPr>
                <w:rFonts w:eastAsia="MS Mincho" w:cs="Arial"/>
                <w:bCs/>
              </w:rPr>
              <w:t>(Norway)</w:t>
            </w:r>
          </w:p>
        </w:tc>
        <w:tc>
          <w:tcPr>
            <w:tcW w:w="1545" w:type="dxa"/>
            <w:tcBorders>
              <w:top w:val="none" w:sz="12" w:space="0" w:color="000000"/>
              <w:left w:val="none" w:sz="12" w:space="0" w:color="000000"/>
              <w:bottom w:val="none" w:sz="12" w:space="0" w:color="000000"/>
              <w:right w:val="none" w:sz="12" w:space="0" w:color="000000"/>
            </w:tcBorders>
          </w:tcPr>
          <w:p w14:paraId="534B2E67" w14:textId="77777777" w:rsidR="00DE5ED5" w:rsidRPr="009233BF" w:rsidRDefault="00DE5ED5">
            <w:pPr>
              <w:spacing w:after="0"/>
              <w:rPr>
                <w:rFonts w:eastAsia="MS Mincho" w:cs="Arial"/>
                <w:bCs/>
              </w:rPr>
            </w:pPr>
            <w:r w:rsidRPr="009233BF">
              <w:rPr>
                <w:rFonts w:eastAsia="MS Mincho" w:cs="Arial"/>
                <w:bCs/>
              </w:rPr>
              <w:t>Cerebral Palsy (CP) or at high risk of CP</w:t>
            </w:r>
          </w:p>
        </w:tc>
        <w:tc>
          <w:tcPr>
            <w:tcW w:w="1545" w:type="dxa"/>
            <w:tcBorders>
              <w:top w:val="none" w:sz="12" w:space="0" w:color="000000"/>
              <w:left w:val="none" w:sz="12" w:space="0" w:color="000000"/>
              <w:bottom w:val="none" w:sz="12" w:space="0" w:color="000000"/>
              <w:right w:val="none" w:sz="12" w:space="0" w:color="000000"/>
            </w:tcBorders>
          </w:tcPr>
          <w:p w14:paraId="0640185D" w14:textId="77777777" w:rsidR="00DE5ED5" w:rsidRPr="009233BF" w:rsidRDefault="00DE5ED5">
            <w:pPr>
              <w:spacing w:after="0"/>
              <w:rPr>
                <w:rFonts w:eastAsia="MS Mincho" w:cs="Arial"/>
                <w:bCs/>
                <w:lang w:val="en-US"/>
              </w:rPr>
            </w:pPr>
            <w:r w:rsidRPr="009233BF">
              <w:rPr>
                <w:rFonts w:eastAsia="MS Mincho" w:cs="Arial"/>
                <w:bCs/>
                <w:lang w:val="en-US"/>
              </w:rPr>
              <w:t>To explore parental experiences with the Small Step program</w:t>
            </w:r>
          </w:p>
        </w:tc>
        <w:tc>
          <w:tcPr>
            <w:tcW w:w="1365" w:type="dxa"/>
            <w:tcBorders>
              <w:top w:val="none" w:sz="12" w:space="0" w:color="000000"/>
              <w:left w:val="none" w:sz="12" w:space="0" w:color="000000"/>
              <w:bottom w:val="none" w:sz="12" w:space="0" w:color="000000"/>
              <w:right w:val="none" w:sz="12" w:space="0" w:color="000000"/>
            </w:tcBorders>
          </w:tcPr>
          <w:p w14:paraId="63F34D53" w14:textId="77777777" w:rsidR="00DE5ED5" w:rsidRPr="009233BF" w:rsidRDefault="00DE5ED5">
            <w:pPr>
              <w:spacing w:after="0"/>
              <w:rPr>
                <w:rFonts w:eastAsia="MS Mincho" w:cs="Arial"/>
                <w:bCs/>
                <w:lang w:val="en-US"/>
              </w:rPr>
            </w:pPr>
            <w:r w:rsidRPr="009233BF">
              <w:rPr>
                <w:rFonts w:eastAsia="MS Mincho" w:cs="Arial"/>
                <w:bCs/>
                <w:lang w:val="en-US"/>
              </w:rPr>
              <w:t xml:space="preserve">Mothers </w:t>
            </w:r>
          </w:p>
          <w:p w14:paraId="07EA4312" w14:textId="77777777" w:rsidR="00DE5ED5" w:rsidRPr="009233BF" w:rsidRDefault="00DE5ED5">
            <w:pPr>
              <w:spacing w:after="0"/>
              <w:rPr>
                <w:rFonts w:eastAsia="MS Mincho" w:cs="Arial"/>
                <w:bCs/>
                <w:lang w:val="en-US"/>
              </w:rPr>
            </w:pPr>
            <w:r w:rsidRPr="009233BF">
              <w:rPr>
                <w:rFonts w:eastAsia="MS Mincho" w:cs="Arial"/>
                <w:bCs/>
                <w:lang w:val="en-US"/>
              </w:rPr>
              <w:t>(n = 8); Fathers (n=5) of young children</w:t>
            </w:r>
          </w:p>
        </w:tc>
        <w:tc>
          <w:tcPr>
            <w:tcW w:w="2130" w:type="dxa"/>
            <w:tcBorders>
              <w:top w:val="none" w:sz="12" w:space="0" w:color="000000"/>
              <w:left w:val="none" w:sz="12" w:space="0" w:color="000000"/>
              <w:bottom w:val="none" w:sz="12" w:space="0" w:color="000000"/>
              <w:right w:val="none" w:sz="12" w:space="0" w:color="000000"/>
            </w:tcBorders>
          </w:tcPr>
          <w:p w14:paraId="411BBBD1" w14:textId="77777777" w:rsidR="00DE5ED5" w:rsidRPr="009233BF" w:rsidRDefault="00DE5ED5">
            <w:pPr>
              <w:spacing w:after="0" w:line="276" w:lineRule="auto"/>
              <w:rPr>
                <w:rFonts w:eastAsia="MS Mincho" w:cs="Arial"/>
                <w:bCs/>
              </w:rPr>
            </w:pPr>
            <w:r w:rsidRPr="009233BF">
              <w:rPr>
                <w:rFonts w:eastAsia="MS Mincho" w:cs="Arial"/>
                <w:bCs/>
              </w:rPr>
              <w:t>The Small Step program involves: a family-centred and interprofessional approach; goal-directed training based on motor learning principles; environmental enrichment; and a solution-focused coaching strategies</w:t>
            </w:r>
          </w:p>
        </w:tc>
        <w:tc>
          <w:tcPr>
            <w:tcW w:w="1425" w:type="dxa"/>
            <w:tcBorders>
              <w:top w:val="none" w:sz="12" w:space="0" w:color="000000"/>
              <w:left w:val="none" w:sz="12" w:space="0" w:color="000000"/>
              <w:bottom w:val="none" w:sz="12" w:space="0" w:color="000000"/>
              <w:right w:val="none" w:sz="12" w:space="0" w:color="000000"/>
            </w:tcBorders>
          </w:tcPr>
          <w:p w14:paraId="60011631" w14:textId="77777777" w:rsidR="00DE5ED5" w:rsidRPr="009233BF" w:rsidRDefault="00DE5ED5">
            <w:pPr>
              <w:spacing w:after="0"/>
              <w:rPr>
                <w:rFonts w:eastAsia="MS Mincho" w:cs="Arial"/>
                <w:bCs/>
                <w:lang w:val="en-US"/>
              </w:rPr>
            </w:pPr>
            <w:r w:rsidRPr="009233BF">
              <w:rPr>
                <w:rFonts w:eastAsia="MS Mincho" w:cs="Arial"/>
                <w:bCs/>
                <w:lang w:val="en-US"/>
              </w:rPr>
              <w:t>Interviews/</w:t>
            </w:r>
          </w:p>
          <w:p w14:paraId="24BD4AC4" w14:textId="77777777" w:rsidR="00DE5ED5" w:rsidRPr="009233BF" w:rsidRDefault="00DE5ED5">
            <w:pPr>
              <w:spacing w:after="0"/>
              <w:rPr>
                <w:rFonts w:eastAsia="MS Mincho" w:cs="Arial"/>
                <w:bCs/>
                <w:lang w:val="en-US"/>
              </w:rPr>
            </w:pPr>
            <w:r w:rsidRPr="009233BF">
              <w:rPr>
                <w:rFonts w:eastAsia="MS Mincho" w:cs="Arial"/>
                <w:bCs/>
                <w:lang w:val="en-US"/>
              </w:rPr>
              <w:t>Thematic analysis</w:t>
            </w:r>
          </w:p>
        </w:tc>
        <w:tc>
          <w:tcPr>
            <w:tcW w:w="3510" w:type="dxa"/>
            <w:tcBorders>
              <w:top w:val="none" w:sz="12" w:space="0" w:color="000000"/>
              <w:left w:val="none" w:sz="12" w:space="0" w:color="000000"/>
              <w:bottom w:val="none" w:sz="12" w:space="0" w:color="000000"/>
              <w:right w:val="none" w:sz="12" w:space="0" w:color="000000"/>
            </w:tcBorders>
          </w:tcPr>
          <w:p w14:paraId="0CEA0970" w14:textId="77777777" w:rsidR="00DE5ED5" w:rsidRPr="009233BF" w:rsidRDefault="00DE5ED5">
            <w:pPr>
              <w:spacing w:after="0"/>
              <w:rPr>
                <w:rFonts w:eastAsia="MS Mincho" w:cs="Arial"/>
                <w:bCs/>
              </w:rPr>
            </w:pPr>
            <w:r w:rsidRPr="009233BF">
              <w:rPr>
                <w:rFonts w:eastAsia="MS Mincho" w:cs="Arial"/>
                <w:bCs/>
              </w:rPr>
              <w:t>A family-centred approach empowered parents and promoted engagement, competence, and coping. Parents described that Small Step enhanced their ability to provide learning opportunities for their child integrated into everyday family life. Collaborative partnership and coaching from the interprofessional team, reassured and empowered the parents. Acknowledging grief as natural reactions and openly addressing expectations is important.</w:t>
            </w:r>
          </w:p>
        </w:tc>
        <w:tc>
          <w:tcPr>
            <w:tcW w:w="1065" w:type="dxa"/>
            <w:tcBorders>
              <w:top w:val="none" w:sz="12" w:space="0" w:color="000000"/>
              <w:left w:val="none" w:sz="12" w:space="0" w:color="000000"/>
              <w:bottom w:val="none" w:sz="12" w:space="0" w:color="000000"/>
              <w:right w:val="none" w:sz="12" w:space="0" w:color="000000"/>
            </w:tcBorders>
          </w:tcPr>
          <w:p w14:paraId="0978C510"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57BFDECC" w14:textId="77777777" w:rsidTr="006478C1">
        <w:trPr>
          <w:cnfStyle w:val="000000100000" w:firstRow="0" w:lastRow="0" w:firstColumn="0" w:lastColumn="0" w:oddVBand="0" w:evenVBand="0" w:oddHBand="1" w:evenHBand="0" w:firstRowFirstColumn="0" w:firstRowLastColumn="0" w:lastRowFirstColumn="0" w:lastRowLastColumn="0"/>
          <w:trHeight w:val="599"/>
        </w:trPr>
        <w:tc>
          <w:tcPr>
            <w:tcW w:w="1365" w:type="dxa"/>
            <w:tcBorders>
              <w:top w:val="none" w:sz="12" w:space="0" w:color="000000"/>
              <w:left w:val="none" w:sz="12" w:space="0" w:color="000000"/>
              <w:bottom w:val="none" w:sz="12" w:space="0" w:color="000000"/>
              <w:right w:val="none" w:sz="12" w:space="0" w:color="000000"/>
            </w:tcBorders>
          </w:tcPr>
          <w:p w14:paraId="42E3BB2A" w14:textId="77777777" w:rsidR="00DE5ED5" w:rsidRPr="009233BF" w:rsidRDefault="00DE5ED5">
            <w:pPr>
              <w:spacing w:after="0" w:line="276" w:lineRule="auto"/>
              <w:rPr>
                <w:rFonts w:eastAsia="MS Mincho" w:cs="Arial"/>
                <w:bCs/>
              </w:rPr>
            </w:pPr>
            <w:r w:rsidRPr="009233BF">
              <w:rPr>
                <w:rFonts w:eastAsia="MS Mincho" w:cs="Arial"/>
                <w:bCs/>
              </w:rPr>
              <w:t xml:space="preserve">Nilses, </w:t>
            </w:r>
          </w:p>
          <w:p w14:paraId="35901C0A" w14:textId="77777777" w:rsidR="00DE5ED5" w:rsidRPr="009233BF" w:rsidRDefault="00DE5ED5">
            <w:pPr>
              <w:spacing w:after="0" w:line="276" w:lineRule="auto"/>
              <w:rPr>
                <w:rFonts w:eastAsia="MS Mincho" w:cs="Arial"/>
                <w:bCs/>
              </w:rPr>
            </w:pPr>
            <w:r w:rsidRPr="009233BF">
              <w:rPr>
                <w:rFonts w:eastAsia="MS Mincho" w:cs="Arial"/>
                <w:bCs/>
              </w:rPr>
              <w:t>2019,</w:t>
            </w:r>
          </w:p>
          <w:p w14:paraId="7490870B" w14:textId="77777777" w:rsidR="00DE5ED5" w:rsidRPr="009233BF" w:rsidRDefault="00DE5ED5">
            <w:pPr>
              <w:spacing w:after="0" w:line="276" w:lineRule="auto"/>
              <w:rPr>
                <w:rFonts w:eastAsia="MS Mincho" w:cs="Arial"/>
                <w:bCs/>
              </w:rPr>
            </w:pPr>
            <w:r w:rsidRPr="009233BF">
              <w:rPr>
                <w:rFonts w:eastAsia="MS Mincho" w:cs="Arial"/>
                <w:bCs/>
              </w:rPr>
              <w:t>Europe (Sweden)</w:t>
            </w:r>
          </w:p>
        </w:tc>
        <w:tc>
          <w:tcPr>
            <w:tcW w:w="1545" w:type="dxa"/>
            <w:tcBorders>
              <w:top w:val="none" w:sz="12" w:space="0" w:color="000000"/>
              <w:left w:val="none" w:sz="12" w:space="0" w:color="000000"/>
              <w:bottom w:val="none" w:sz="12" w:space="0" w:color="000000"/>
              <w:right w:val="none" w:sz="12" w:space="0" w:color="000000"/>
            </w:tcBorders>
          </w:tcPr>
          <w:p w14:paraId="6799A1E9" w14:textId="77777777" w:rsidR="00DE5ED5" w:rsidRPr="009233BF" w:rsidRDefault="00DE5ED5">
            <w:pPr>
              <w:spacing w:after="0"/>
              <w:rPr>
                <w:rFonts w:eastAsia="MS Mincho" w:cs="Arial"/>
                <w:bCs/>
              </w:rPr>
            </w:pPr>
            <w:r w:rsidRPr="009233BF">
              <w:rPr>
                <w:rFonts w:eastAsia="MS Mincho" w:cs="Arial"/>
                <w:bCs/>
              </w:rPr>
              <w:t>Autism</w:t>
            </w:r>
          </w:p>
        </w:tc>
        <w:tc>
          <w:tcPr>
            <w:tcW w:w="1545" w:type="dxa"/>
            <w:tcBorders>
              <w:top w:val="none" w:sz="12" w:space="0" w:color="000000"/>
              <w:left w:val="none" w:sz="12" w:space="0" w:color="000000"/>
              <w:bottom w:val="none" w:sz="12" w:space="0" w:color="000000"/>
              <w:right w:val="none" w:sz="12" w:space="0" w:color="000000"/>
            </w:tcBorders>
          </w:tcPr>
          <w:p w14:paraId="0BE55DA9" w14:textId="77777777" w:rsidR="00DE5ED5" w:rsidRPr="009233BF" w:rsidRDefault="00DE5ED5">
            <w:pPr>
              <w:spacing w:after="0"/>
              <w:rPr>
                <w:rFonts w:eastAsia="MS Mincho" w:cs="Arial"/>
                <w:bCs/>
                <w:lang w:val="en-US"/>
              </w:rPr>
            </w:pPr>
            <w:r w:rsidRPr="009233BF">
              <w:rPr>
                <w:rFonts w:eastAsia="MS Mincho" w:cs="Arial"/>
                <w:bCs/>
                <w:lang w:val="en-US"/>
              </w:rPr>
              <w:t>To understand parents' experiences of having their child diagnosed with autism and participating in a community intervention program.</w:t>
            </w:r>
          </w:p>
        </w:tc>
        <w:tc>
          <w:tcPr>
            <w:tcW w:w="1365" w:type="dxa"/>
            <w:tcBorders>
              <w:top w:val="none" w:sz="12" w:space="0" w:color="000000"/>
              <w:left w:val="none" w:sz="12" w:space="0" w:color="000000"/>
              <w:bottom w:val="none" w:sz="12" w:space="0" w:color="000000"/>
              <w:right w:val="none" w:sz="12" w:space="0" w:color="000000"/>
            </w:tcBorders>
          </w:tcPr>
          <w:p w14:paraId="7946D317" w14:textId="77777777" w:rsidR="00DE5ED5" w:rsidRPr="009233BF" w:rsidRDefault="00DE5ED5">
            <w:pPr>
              <w:spacing w:after="0"/>
              <w:rPr>
                <w:rFonts w:eastAsia="MS Mincho" w:cs="Arial"/>
                <w:bCs/>
                <w:lang w:val="en-US"/>
              </w:rPr>
            </w:pPr>
            <w:r w:rsidRPr="009233BF">
              <w:rPr>
                <w:rFonts w:eastAsia="MS Mincho" w:cs="Arial"/>
                <w:bCs/>
                <w:lang w:val="en-US"/>
              </w:rPr>
              <w:t xml:space="preserve">Mothers (n=7); </w:t>
            </w:r>
          </w:p>
          <w:p w14:paraId="2D1D0A20" w14:textId="77777777" w:rsidR="00DE5ED5" w:rsidRPr="009233BF" w:rsidRDefault="00DE5ED5">
            <w:pPr>
              <w:spacing w:after="0"/>
              <w:rPr>
                <w:rFonts w:eastAsia="MS Mincho" w:cs="Arial"/>
                <w:bCs/>
                <w:lang w:val="en-US"/>
              </w:rPr>
            </w:pPr>
            <w:r w:rsidRPr="009233BF">
              <w:rPr>
                <w:rFonts w:eastAsia="MS Mincho" w:cs="Arial"/>
                <w:bCs/>
                <w:lang w:val="en-US"/>
              </w:rPr>
              <w:t xml:space="preserve">Fathers </w:t>
            </w:r>
          </w:p>
          <w:p w14:paraId="4E1A2F56" w14:textId="77777777" w:rsidR="00DE5ED5" w:rsidRPr="009233BF" w:rsidRDefault="00DE5ED5">
            <w:pPr>
              <w:spacing w:after="0"/>
              <w:rPr>
                <w:rFonts w:eastAsia="MS Mincho" w:cs="Arial"/>
                <w:bCs/>
                <w:lang w:val="en-US"/>
              </w:rPr>
            </w:pPr>
            <w:r w:rsidRPr="009233BF">
              <w:rPr>
                <w:rFonts w:eastAsia="MS Mincho" w:cs="Arial"/>
                <w:bCs/>
                <w:lang w:val="en-US"/>
              </w:rPr>
              <w:t>(n=4)</w:t>
            </w:r>
          </w:p>
        </w:tc>
        <w:tc>
          <w:tcPr>
            <w:tcW w:w="2130" w:type="dxa"/>
            <w:tcBorders>
              <w:top w:val="none" w:sz="12" w:space="0" w:color="000000"/>
              <w:left w:val="none" w:sz="12" w:space="0" w:color="000000"/>
              <w:bottom w:val="none" w:sz="12" w:space="0" w:color="000000"/>
              <w:right w:val="none" w:sz="12" w:space="0" w:color="000000"/>
            </w:tcBorders>
          </w:tcPr>
          <w:p w14:paraId="5D96DB8B" w14:textId="77777777" w:rsidR="00DE5ED5" w:rsidRPr="009233BF" w:rsidRDefault="00DE5ED5">
            <w:pPr>
              <w:spacing w:after="0" w:line="276" w:lineRule="auto"/>
              <w:rPr>
                <w:rFonts w:eastAsia="MS Mincho" w:cs="Arial"/>
                <w:bCs/>
              </w:rPr>
            </w:pPr>
            <w:r w:rsidRPr="009233BF">
              <w:rPr>
                <w:rFonts w:eastAsia="MS Mincho" w:cs="Arial"/>
                <w:bCs/>
              </w:rPr>
              <w:t>Community multidisciplinary assessment &amp; intervention program</w:t>
            </w:r>
          </w:p>
        </w:tc>
        <w:tc>
          <w:tcPr>
            <w:tcW w:w="1425" w:type="dxa"/>
            <w:tcBorders>
              <w:top w:val="none" w:sz="12" w:space="0" w:color="000000"/>
              <w:left w:val="none" w:sz="12" w:space="0" w:color="000000"/>
              <w:bottom w:val="none" w:sz="12" w:space="0" w:color="000000"/>
              <w:right w:val="none" w:sz="12" w:space="0" w:color="000000"/>
            </w:tcBorders>
          </w:tcPr>
          <w:p w14:paraId="7F715383" w14:textId="77777777" w:rsidR="00DE5ED5" w:rsidRPr="009233BF" w:rsidRDefault="00DE5ED5">
            <w:pPr>
              <w:spacing w:after="0"/>
              <w:rPr>
                <w:rFonts w:eastAsia="MS Mincho" w:cs="Arial"/>
                <w:bCs/>
                <w:lang w:val="en-US"/>
              </w:rPr>
            </w:pPr>
            <w:r w:rsidRPr="009233BF">
              <w:rPr>
                <w:rFonts w:eastAsia="MS Mincho" w:cs="Arial"/>
                <w:bCs/>
                <w:lang w:val="en-US"/>
              </w:rPr>
              <w:t>Interviews/</w:t>
            </w:r>
          </w:p>
          <w:p w14:paraId="399DB7A2" w14:textId="77777777" w:rsidR="00DE5ED5" w:rsidRPr="009233BF" w:rsidRDefault="00DE5ED5">
            <w:pPr>
              <w:spacing w:after="0"/>
              <w:rPr>
                <w:rFonts w:eastAsia="MS Mincho" w:cs="Arial"/>
                <w:bCs/>
                <w:lang w:val="en-US"/>
              </w:rPr>
            </w:pPr>
            <w:r w:rsidRPr="009233BF">
              <w:rPr>
                <w:rFonts w:eastAsia="MS Mincho" w:cs="Arial"/>
                <w:bCs/>
                <w:lang w:val="en-US"/>
              </w:rPr>
              <w:t>Phenomenological hermeneutical method</w:t>
            </w:r>
          </w:p>
        </w:tc>
        <w:tc>
          <w:tcPr>
            <w:tcW w:w="3510" w:type="dxa"/>
            <w:tcBorders>
              <w:top w:val="none" w:sz="12" w:space="0" w:color="000000"/>
              <w:left w:val="none" w:sz="12" w:space="0" w:color="000000"/>
              <w:bottom w:val="none" w:sz="12" w:space="0" w:color="000000"/>
              <w:right w:val="none" w:sz="12" w:space="0" w:color="000000"/>
            </w:tcBorders>
          </w:tcPr>
          <w:p w14:paraId="729AA308" w14:textId="77777777" w:rsidR="00DE5ED5" w:rsidRPr="009233BF" w:rsidRDefault="00DE5ED5">
            <w:pPr>
              <w:spacing w:after="0" w:line="276" w:lineRule="auto"/>
              <w:rPr>
                <w:rFonts w:eastAsia="MS Mincho" w:cs="Arial"/>
                <w:bCs/>
              </w:rPr>
            </w:pPr>
            <w:r w:rsidRPr="009233BF">
              <w:rPr>
                <w:rFonts w:eastAsia="MS Mincho" w:cs="Arial"/>
                <w:bCs/>
              </w:rPr>
              <w:t>Parents appreciated the support they received to lessen the burden of navigating service systems, especially as they experienced a lack of knowledge of both autism and available resources as a barrier. Being thoroughly listened to, contacting the intervention team easily, and being in contact with the same professionals throughout were all listed as facilitators to the intervention. The study showed that interventions for children with autism should be individually tailored according to the child's needs as well as the parent's resources and life situation.</w:t>
            </w:r>
          </w:p>
        </w:tc>
        <w:tc>
          <w:tcPr>
            <w:tcW w:w="1065" w:type="dxa"/>
            <w:tcBorders>
              <w:top w:val="none" w:sz="12" w:space="0" w:color="000000"/>
              <w:left w:val="none" w:sz="12" w:space="0" w:color="000000"/>
              <w:bottom w:val="none" w:sz="12" w:space="0" w:color="000000"/>
              <w:right w:val="none" w:sz="12" w:space="0" w:color="000000"/>
            </w:tcBorders>
          </w:tcPr>
          <w:p w14:paraId="316D5A4D" w14:textId="77777777" w:rsidR="00DE5ED5" w:rsidRPr="009233BF" w:rsidRDefault="00DE5ED5">
            <w:pPr>
              <w:spacing w:after="0"/>
              <w:rPr>
                <w:rFonts w:eastAsia="MS Mincho" w:cs="Arial"/>
                <w:bCs/>
              </w:rPr>
            </w:pPr>
            <w:r w:rsidRPr="009233BF">
              <w:rPr>
                <w:rFonts w:eastAsia="MS Mincho" w:cs="Arial"/>
                <w:bCs/>
              </w:rPr>
              <w:t>Immigrants to Sweden</w:t>
            </w:r>
          </w:p>
          <w:p w14:paraId="4B2E0122" w14:textId="77777777" w:rsidR="00DE5ED5" w:rsidRPr="009233BF" w:rsidRDefault="00DE5ED5">
            <w:pPr>
              <w:spacing w:after="0"/>
              <w:rPr>
                <w:rFonts w:eastAsia="MS Mincho" w:cs="Arial"/>
                <w:bCs/>
              </w:rPr>
            </w:pPr>
          </w:p>
          <w:p w14:paraId="3EEE41EE" w14:textId="77777777" w:rsidR="00DE5ED5" w:rsidRPr="009233BF" w:rsidRDefault="00DE5ED5">
            <w:pPr>
              <w:spacing w:after="0"/>
              <w:rPr>
                <w:rFonts w:eastAsia="MS Mincho" w:cs="Arial"/>
                <w:bCs/>
              </w:rPr>
            </w:pPr>
          </w:p>
          <w:p w14:paraId="5564135D" w14:textId="77777777" w:rsidR="00DE5ED5" w:rsidRPr="009233BF" w:rsidRDefault="00DE5ED5">
            <w:pPr>
              <w:spacing w:after="0"/>
              <w:rPr>
                <w:rFonts w:eastAsia="MS Mincho" w:cs="Arial"/>
                <w:bCs/>
              </w:rPr>
            </w:pPr>
          </w:p>
          <w:p w14:paraId="7B47B0B2" w14:textId="77777777" w:rsidR="00DE5ED5" w:rsidRPr="009233BF" w:rsidRDefault="00DE5ED5">
            <w:pPr>
              <w:spacing w:after="0"/>
              <w:rPr>
                <w:rFonts w:eastAsia="MS Mincho" w:cs="Arial"/>
                <w:bCs/>
              </w:rPr>
            </w:pPr>
          </w:p>
          <w:p w14:paraId="08529BAC" w14:textId="77777777" w:rsidR="00DE5ED5" w:rsidRPr="009233BF" w:rsidRDefault="00DE5ED5">
            <w:pPr>
              <w:spacing w:after="0"/>
              <w:rPr>
                <w:rFonts w:eastAsia="MS Mincho" w:cs="Arial"/>
                <w:bCs/>
              </w:rPr>
            </w:pPr>
          </w:p>
          <w:p w14:paraId="642AC476" w14:textId="77777777" w:rsidR="00DE5ED5" w:rsidRPr="009233BF" w:rsidRDefault="00DE5ED5">
            <w:pPr>
              <w:spacing w:after="0"/>
              <w:rPr>
                <w:rFonts w:eastAsia="MS Mincho" w:cs="Arial"/>
                <w:bCs/>
              </w:rPr>
            </w:pPr>
          </w:p>
        </w:tc>
      </w:tr>
      <w:tr w:rsidR="00DE5ED5" w:rsidRPr="00E4576E" w14:paraId="08D19E17" w14:textId="77777777">
        <w:trPr>
          <w:cnfStyle w:val="000000010000" w:firstRow="0" w:lastRow="0" w:firstColumn="0" w:lastColumn="0" w:oddVBand="0" w:evenVBand="0" w:oddHBand="0" w:evenHBand="1" w:firstRowFirstColumn="0" w:firstRowLastColumn="0" w:lastRowFirstColumn="0" w:lastRowLastColumn="0"/>
          <w:trHeight w:val="1006"/>
        </w:trPr>
        <w:tc>
          <w:tcPr>
            <w:tcW w:w="1365" w:type="dxa"/>
            <w:tcBorders>
              <w:top w:val="none" w:sz="12" w:space="0" w:color="000000"/>
              <w:left w:val="none" w:sz="12" w:space="0" w:color="000000"/>
              <w:bottom w:val="nil"/>
              <w:right w:val="none" w:sz="12" w:space="0" w:color="000000"/>
            </w:tcBorders>
          </w:tcPr>
          <w:p w14:paraId="76D32294" w14:textId="77777777" w:rsidR="00DE5ED5" w:rsidRPr="009233BF" w:rsidRDefault="00DE5ED5">
            <w:pPr>
              <w:spacing w:after="0" w:line="276" w:lineRule="auto"/>
              <w:rPr>
                <w:rFonts w:eastAsia="MS Mincho" w:cs="Arial"/>
                <w:bCs/>
              </w:rPr>
            </w:pPr>
            <w:r w:rsidRPr="009233BF">
              <w:rPr>
                <w:rFonts w:eastAsia="MS Mincho" w:cs="Arial"/>
                <w:bCs/>
              </w:rPr>
              <w:t>Verhaegh,</w:t>
            </w:r>
          </w:p>
          <w:p w14:paraId="1CE28C3E" w14:textId="77777777" w:rsidR="00DE5ED5" w:rsidRPr="009233BF" w:rsidRDefault="00DE5ED5">
            <w:pPr>
              <w:spacing w:after="0" w:line="276" w:lineRule="auto"/>
              <w:rPr>
                <w:rFonts w:eastAsia="MS Mincho" w:cs="Arial"/>
                <w:bCs/>
              </w:rPr>
            </w:pPr>
            <w:r w:rsidRPr="009233BF">
              <w:rPr>
                <w:rFonts w:eastAsia="MS Mincho" w:cs="Arial"/>
                <w:bCs/>
              </w:rPr>
              <w:t>2022,</w:t>
            </w:r>
          </w:p>
          <w:p w14:paraId="3A2ADF65" w14:textId="77777777" w:rsidR="00DE5ED5" w:rsidRPr="009233BF" w:rsidRDefault="00DE5ED5">
            <w:pPr>
              <w:spacing w:after="0" w:line="276" w:lineRule="auto"/>
              <w:rPr>
                <w:rFonts w:eastAsia="MS Mincho" w:cs="Arial"/>
                <w:bCs/>
              </w:rPr>
            </w:pPr>
            <w:r w:rsidRPr="009233BF">
              <w:rPr>
                <w:rFonts w:eastAsia="MS Mincho" w:cs="Arial"/>
                <w:bCs/>
              </w:rPr>
              <w:t>Europe (Netherlands)</w:t>
            </w:r>
          </w:p>
        </w:tc>
        <w:tc>
          <w:tcPr>
            <w:tcW w:w="1545" w:type="dxa"/>
            <w:tcBorders>
              <w:top w:val="none" w:sz="12" w:space="0" w:color="000000"/>
              <w:left w:val="none" w:sz="12" w:space="0" w:color="000000"/>
              <w:bottom w:val="nil"/>
              <w:right w:val="none" w:sz="12" w:space="0" w:color="000000"/>
            </w:tcBorders>
          </w:tcPr>
          <w:p w14:paraId="19C8FA5D" w14:textId="77777777" w:rsidR="00DE5ED5" w:rsidRPr="009233BF" w:rsidRDefault="00DE5ED5">
            <w:pPr>
              <w:spacing w:after="0"/>
              <w:rPr>
                <w:rFonts w:eastAsia="MS Mincho" w:cs="Arial"/>
                <w:bCs/>
              </w:rPr>
            </w:pPr>
            <w:r w:rsidRPr="009233BF">
              <w:rPr>
                <w:rFonts w:eastAsia="MS Mincho" w:cs="Arial"/>
                <w:bCs/>
              </w:rPr>
              <w:t>Unilateral cerebral palsy</w:t>
            </w:r>
          </w:p>
        </w:tc>
        <w:tc>
          <w:tcPr>
            <w:tcW w:w="1545" w:type="dxa"/>
            <w:tcBorders>
              <w:top w:val="none" w:sz="12" w:space="0" w:color="000000"/>
              <w:left w:val="none" w:sz="12" w:space="0" w:color="000000"/>
              <w:bottom w:val="nil"/>
              <w:right w:val="none" w:sz="12" w:space="0" w:color="000000"/>
            </w:tcBorders>
          </w:tcPr>
          <w:p w14:paraId="4E397F00" w14:textId="77777777" w:rsidR="00DE5ED5" w:rsidRPr="009233BF" w:rsidRDefault="00DE5ED5">
            <w:pPr>
              <w:shd w:val="clear" w:color="auto" w:fill="FFFFFF"/>
              <w:spacing w:after="0"/>
              <w:rPr>
                <w:rFonts w:eastAsia="MS Mincho" w:cs="Arial"/>
                <w:bCs/>
                <w:lang w:val="en-US"/>
              </w:rPr>
            </w:pPr>
            <w:r w:rsidRPr="009233BF">
              <w:rPr>
                <w:rFonts w:eastAsia="MS Mincho" w:cs="Arial"/>
                <w:bCs/>
                <w:lang w:val="en-US"/>
              </w:rPr>
              <w:t xml:space="preserve">To </w:t>
            </w:r>
          </w:p>
          <w:p w14:paraId="0ECA0C34" w14:textId="77777777" w:rsidR="00DE5ED5" w:rsidRPr="009233BF" w:rsidRDefault="00DE5ED5">
            <w:pPr>
              <w:shd w:val="clear" w:color="auto" w:fill="FFFFFF"/>
              <w:spacing w:after="0"/>
              <w:rPr>
                <w:rFonts w:eastAsia="MS Mincho" w:cs="Arial"/>
                <w:bCs/>
                <w:lang w:val="en-US"/>
              </w:rPr>
            </w:pPr>
            <w:r w:rsidRPr="009233BF">
              <w:rPr>
                <w:rFonts w:eastAsia="MS Mincho" w:cs="Arial"/>
                <w:bCs/>
                <w:lang w:val="en-US"/>
              </w:rPr>
              <w:t>evaluate parents' experiences with the home-based training program using a video coaching approach.</w:t>
            </w:r>
          </w:p>
        </w:tc>
        <w:tc>
          <w:tcPr>
            <w:tcW w:w="1365" w:type="dxa"/>
            <w:tcBorders>
              <w:top w:val="none" w:sz="12" w:space="0" w:color="000000"/>
              <w:left w:val="none" w:sz="12" w:space="0" w:color="000000"/>
              <w:bottom w:val="nil"/>
              <w:right w:val="none" w:sz="12" w:space="0" w:color="000000"/>
            </w:tcBorders>
          </w:tcPr>
          <w:p w14:paraId="7842DB43" w14:textId="77777777" w:rsidR="00DE5ED5" w:rsidRPr="009233BF" w:rsidRDefault="00DE5ED5">
            <w:pPr>
              <w:spacing w:after="0"/>
              <w:rPr>
                <w:rFonts w:eastAsia="MS Mincho" w:cs="Arial"/>
                <w:bCs/>
                <w:lang w:val="en-US"/>
              </w:rPr>
            </w:pPr>
            <w:r w:rsidRPr="009233BF">
              <w:rPr>
                <w:rFonts w:eastAsia="MS Mincho" w:cs="Arial"/>
                <w:bCs/>
                <w:lang w:val="en-US"/>
              </w:rPr>
              <w:t xml:space="preserve">Mothers (n=12); Fathers </w:t>
            </w:r>
          </w:p>
          <w:p w14:paraId="37E29845" w14:textId="77777777" w:rsidR="00DE5ED5" w:rsidRPr="009233BF" w:rsidRDefault="00DE5ED5">
            <w:pPr>
              <w:spacing w:after="0"/>
              <w:rPr>
                <w:rFonts w:eastAsia="MS Mincho" w:cs="Arial"/>
                <w:bCs/>
                <w:lang w:val="en-US"/>
              </w:rPr>
            </w:pPr>
            <w:r w:rsidRPr="009233BF">
              <w:rPr>
                <w:rFonts w:eastAsia="MS Mincho" w:cs="Arial"/>
                <w:bCs/>
                <w:lang w:val="en-US"/>
              </w:rPr>
              <w:t>(n=1)</w:t>
            </w:r>
          </w:p>
        </w:tc>
        <w:tc>
          <w:tcPr>
            <w:tcW w:w="2130" w:type="dxa"/>
            <w:tcBorders>
              <w:top w:val="none" w:sz="12" w:space="0" w:color="000000"/>
              <w:left w:val="none" w:sz="12" w:space="0" w:color="000000"/>
              <w:bottom w:val="nil"/>
              <w:right w:val="none" w:sz="12" w:space="0" w:color="000000"/>
            </w:tcBorders>
          </w:tcPr>
          <w:p w14:paraId="0AF85D5F" w14:textId="77777777" w:rsidR="00DE5ED5" w:rsidRPr="009233BF" w:rsidRDefault="00DE5ED5">
            <w:pPr>
              <w:spacing w:after="0" w:line="276" w:lineRule="auto"/>
              <w:rPr>
                <w:rFonts w:eastAsia="MS Mincho" w:cs="Arial"/>
                <w:bCs/>
              </w:rPr>
            </w:pPr>
            <w:r w:rsidRPr="009233BF">
              <w:rPr>
                <w:rFonts w:eastAsia="MS Mincho" w:cs="Arial"/>
                <w:bCs/>
              </w:rPr>
              <w:t>A home-based upper limb training program using a video coaching approach</w:t>
            </w:r>
          </w:p>
        </w:tc>
        <w:tc>
          <w:tcPr>
            <w:tcW w:w="1425" w:type="dxa"/>
            <w:tcBorders>
              <w:top w:val="none" w:sz="12" w:space="0" w:color="000000"/>
              <w:left w:val="none" w:sz="12" w:space="0" w:color="000000"/>
              <w:bottom w:val="nil"/>
              <w:right w:val="none" w:sz="12" w:space="0" w:color="000000"/>
            </w:tcBorders>
          </w:tcPr>
          <w:p w14:paraId="7522B1DE" w14:textId="77777777" w:rsidR="00DE5ED5" w:rsidRPr="009233BF" w:rsidRDefault="00DE5ED5">
            <w:pPr>
              <w:spacing w:after="0"/>
              <w:rPr>
                <w:rFonts w:eastAsia="MS Mincho" w:cs="Arial"/>
                <w:bCs/>
                <w:lang w:val="en-US"/>
              </w:rPr>
            </w:pPr>
            <w:r w:rsidRPr="009233BF">
              <w:rPr>
                <w:rFonts w:eastAsia="MS Mincho" w:cs="Arial"/>
                <w:bCs/>
                <w:lang w:val="en-US"/>
              </w:rPr>
              <w:t>Interviews/</w:t>
            </w:r>
          </w:p>
          <w:p w14:paraId="4F0E7FDE" w14:textId="77777777" w:rsidR="00DE5ED5" w:rsidRPr="009233BF" w:rsidRDefault="00DE5ED5">
            <w:pPr>
              <w:spacing w:after="0"/>
              <w:rPr>
                <w:rFonts w:eastAsia="MS Mincho" w:cs="Arial"/>
                <w:bCs/>
                <w:lang w:val="en-US"/>
              </w:rPr>
            </w:pPr>
            <w:r w:rsidRPr="009233BF">
              <w:rPr>
                <w:rFonts w:eastAsia="MS Mincho" w:cs="Arial"/>
                <w:bCs/>
                <w:lang w:val="en-US"/>
              </w:rPr>
              <w:t>Inductive thematic content analysis</w:t>
            </w:r>
          </w:p>
        </w:tc>
        <w:tc>
          <w:tcPr>
            <w:tcW w:w="3510" w:type="dxa"/>
            <w:tcBorders>
              <w:top w:val="none" w:sz="12" w:space="0" w:color="000000"/>
              <w:left w:val="none" w:sz="12" w:space="0" w:color="000000"/>
              <w:bottom w:val="nil"/>
              <w:right w:val="none" w:sz="12" w:space="0" w:color="000000"/>
            </w:tcBorders>
          </w:tcPr>
          <w:p w14:paraId="7A4C48FA" w14:textId="77777777" w:rsidR="00DE5ED5" w:rsidRPr="009233BF" w:rsidRDefault="00DE5ED5">
            <w:pPr>
              <w:spacing w:after="0" w:line="276" w:lineRule="auto"/>
              <w:rPr>
                <w:rFonts w:eastAsia="MS Mincho" w:cs="Arial"/>
                <w:bCs/>
              </w:rPr>
            </w:pPr>
            <w:r w:rsidRPr="009233BF">
              <w:rPr>
                <w:rFonts w:eastAsia="MS Mincho" w:cs="Arial"/>
                <w:bCs/>
              </w:rPr>
              <w:t>For successful implementation of an early home-based upper limb training program using video coaching, support in delivering home training from a therapist or others within parents’ social network, is needed to relieve parental load. Seeing functional improvements of their child on the videos increased parents’ motivation to continue with the training.</w:t>
            </w:r>
          </w:p>
        </w:tc>
        <w:tc>
          <w:tcPr>
            <w:tcW w:w="1065" w:type="dxa"/>
            <w:tcBorders>
              <w:top w:val="none" w:sz="12" w:space="0" w:color="000000"/>
              <w:left w:val="none" w:sz="12" w:space="0" w:color="000000"/>
              <w:bottom w:val="nil"/>
              <w:right w:val="none" w:sz="12" w:space="0" w:color="000000"/>
            </w:tcBorders>
          </w:tcPr>
          <w:p w14:paraId="5B989D26"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5B3088A0" w14:textId="77777777">
        <w:trPr>
          <w:cnfStyle w:val="000000100000" w:firstRow="0" w:lastRow="0" w:firstColumn="0" w:lastColumn="0" w:oddVBand="0" w:evenVBand="0" w:oddHBand="1" w:evenHBand="0" w:firstRowFirstColumn="0" w:firstRowLastColumn="0" w:lastRowFirstColumn="0" w:lastRowLastColumn="0"/>
          <w:trHeight w:val="4123"/>
        </w:trPr>
        <w:tc>
          <w:tcPr>
            <w:tcW w:w="1365" w:type="dxa"/>
            <w:tcBorders>
              <w:top w:val="none" w:sz="12" w:space="0" w:color="000000"/>
              <w:left w:val="none" w:sz="12" w:space="0" w:color="000000"/>
              <w:bottom w:val="none" w:sz="12" w:space="0" w:color="000000"/>
              <w:right w:val="none" w:sz="12" w:space="0" w:color="000000"/>
            </w:tcBorders>
          </w:tcPr>
          <w:p w14:paraId="6CAA7F51" w14:textId="77777777" w:rsidR="00DE5ED5" w:rsidRPr="009233BF" w:rsidRDefault="00DE5ED5">
            <w:pPr>
              <w:spacing w:after="0" w:line="276" w:lineRule="auto"/>
              <w:rPr>
                <w:rFonts w:eastAsia="MS Mincho" w:cs="Arial"/>
                <w:bCs/>
              </w:rPr>
            </w:pPr>
            <w:r w:rsidRPr="009233BF">
              <w:rPr>
                <w:rFonts w:eastAsia="MS Mincho" w:cs="Arial"/>
                <w:bCs/>
              </w:rPr>
              <w:t xml:space="preserve">Gibbs, </w:t>
            </w:r>
          </w:p>
          <w:p w14:paraId="63E331A5" w14:textId="77777777" w:rsidR="00DE5ED5" w:rsidRPr="009233BF" w:rsidRDefault="00DE5ED5">
            <w:pPr>
              <w:spacing w:after="0" w:line="276" w:lineRule="auto"/>
              <w:rPr>
                <w:rFonts w:eastAsia="MS Mincho" w:cs="Arial"/>
                <w:bCs/>
              </w:rPr>
            </w:pPr>
            <w:r w:rsidRPr="009233BF">
              <w:rPr>
                <w:rFonts w:eastAsia="MS Mincho" w:cs="Arial"/>
                <w:bCs/>
              </w:rPr>
              <w:t>2019,</w:t>
            </w:r>
          </w:p>
          <w:p w14:paraId="1DF48473" w14:textId="77777777" w:rsidR="00DE5ED5" w:rsidRPr="009233BF" w:rsidRDefault="00DE5ED5">
            <w:pPr>
              <w:spacing w:after="0" w:line="276" w:lineRule="auto"/>
              <w:rPr>
                <w:rFonts w:eastAsia="MS Mincho" w:cs="Arial"/>
                <w:bCs/>
              </w:rPr>
            </w:pPr>
            <w:r w:rsidRPr="009233BF">
              <w:rPr>
                <w:rFonts w:eastAsia="MS Mincho" w:cs="Arial"/>
                <w:bCs/>
              </w:rPr>
              <w:t>United Kingdom</w:t>
            </w:r>
          </w:p>
        </w:tc>
        <w:tc>
          <w:tcPr>
            <w:tcW w:w="1545" w:type="dxa"/>
            <w:tcBorders>
              <w:top w:val="none" w:sz="12" w:space="0" w:color="000000"/>
              <w:left w:val="none" w:sz="12" w:space="0" w:color="000000"/>
              <w:bottom w:val="none" w:sz="12" w:space="0" w:color="000000"/>
              <w:right w:val="none" w:sz="12" w:space="0" w:color="000000"/>
            </w:tcBorders>
          </w:tcPr>
          <w:p w14:paraId="4889ECC5" w14:textId="77777777" w:rsidR="00DE5ED5" w:rsidRPr="009233BF" w:rsidRDefault="00DE5ED5">
            <w:pPr>
              <w:spacing w:after="0"/>
              <w:rPr>
                <w:rFonts w:eastAsia="MS Mincho" w:cs="Arial"/>
                <w:bCs/>
              </w:rPr>
            </w:pPr>
            <w:r w:rsidRPr="009233BF">
              <w:rPr>
                <w:rFonts w:eastAsia="MS Mincho" w:cs="Arial"/>
                <w:bCs/>
              </w:rPr>
              <w:t>Complex Neuro-developmental disabilities</w:t>
            </w:r>
          </w:p>
        </w:tc>
        <w:tc>
          <w:tcPr>
            <w:tcW w:w="1545" w:type="dxa"/>
            <w:tcBorders>
              <w:top w:val="none" w:sz="12" w:space="0" w:color="000000"/>
              <w:left w:val="none" w:sz="12" w:space="0" w:color="000000"/>
              <w:bottom w:val="none" w:sz="12" w:space="0" w:color="000000"/>
              <w:right w:val="none" w:sz="12" w:space="0" w:color="000000"/>
            </w:tcBorders>
          </w:tcPr>
          <w:p w14:paraId="6E4D15DC" w14:textId="77777777" w:rsidR="00DE5ED5" w:rsidRPr="009233BF" w:rsidRDefault="00DE5ED5">
            <w:pPr>
              <w:spacing w:after="0"/>
              <w:rPr>
                <w:rFonts w:cs="Arial"/>
                <w:bCs/>
              </w:rPr>
            </w:pPr>
            <w:r w:rsidRPr="009233BF">
              <w:rPr>
                <w:rFonts w:cs="Arial"/>
                <w:bCs/>
              </w:rPr>
              <w:t>To explore experiences of parents of infants accessing EI MDT.</w:t>
            </w:r>
          </w:p>
        </w:tc>
        <w:tc>
          <w:tcPr>
            <w:tcW w:w="1365" w:type="dxa"/>
            <w:tcBorders>
              <w:top w:val="none" w:sz="12" w:space="0" w:color="000000"/>
              <w:left w:val="none" w:sz="12" w:space="0" w:color="000000"/>
              <w:bottom w:val="none" w:sz="12" w:space="0" w:color="000000"/>
              <w:right w:val="none" w:sz="12" w:space="0" w:color="000000"/>
            </w:tcBorders>
          </w:tcPr>
          <w:p w14:paraId="1E4C8007" w14:textId="77777777" w:rsidR="00DE5ED5" w:rsidRPr="009233BF" w:rsidRDefault="00DE5ED5">
            <w:pPr>
              <w:spacing w:after="0"/>
              <w:rPr>
                <w:rFonts w:eastAsia="MS Mincho" w:cs="Arial"/>
                <w:bCs/>
              </w:rPr>
            </w:pPr>
            <w:r w:rsidRPr="009233BF">
              <w:rPr>
                <w:rFonts w:eastAsia="MS Mincho" w:cs="Arial"/>
                <w:bCs/>
              </w:rPr>
              <w:t>Mothers of infants (n=6)</w:t>
            </w:r>
          </w:p>
        </w:tc>
        <w:tc>
          <w:tcPr>
            <w:tcW w:w="2130" w:type="dxa"/>
            <w:tcBorders>
              <w:top w:val="none" w:sz="12" w:space="0" w:color="000000"/>
              <w:left w:val="none" w:sz="12" w:space="0" w:color="000000"/>
              <w:bottom w:val="none" w:sz="12" w:space="0" w:color="000000"/>
              <w:right w:val="none" w:sz="12" w:space="0" w:color="000000"/>
            </w:tcBorders>
          </w:tcPr>
          <w:p w14:paraId="77D83D9E" w14:textId="77777777" w:rsidR="00DE5ED5" w:rsidRPr="009233BF" w:rsidRDefault="00DE5ED5">
            <w:pPr>
              <w:spacing w:after="0" w:line="276" w:lineRule="auto"/>
              <w:rPr>
                <w:rFonts w:eastAsia="MS Mincho" w:cs="Arial"/>
                <w:bCs/>
              </w:rPr>
            </w:pPr>
            <w:r w:rsidRPr="009233BF">
              <w:rPr>
                <w:rFonts w:eastAsia="MS Mincho" w:cs="Arial"/>
                <w:bCs/>
              </w:rPr>
              <w:t>Based on family goals, multi-disciplinary early intervention (EI MDT) focused on developing motor, participation, feeding and communication skills</w:t>
            </w:r>
          </w:p>
        </w:tc>
        <w:tc>
          <w:tcPr>
            <w:tcW w:w="1425" w:type="dxa"/>
            <w:tcBorders>
              <w:top w:val="none" w:sz="12" w:space="0" w:color="000000"/>
              <w:left w:val="none" w:sz="12" w:space="0" w:color="000000"/>
              <w:bottom w:val="none" w:sz="12" w:space="0" w:color="000000"/>
              <w:right w:val="none" w:sz="12" w:space="0" w:color="000000"/>
            </w:tcBorders>
          </w:tcPr>
          <w:p w14:paraId="3DC0D5A1" w14:textId="77777777" w:rsidR="00DE5ED5" w:rsidRPr="009233BF" w:rsidRDefault="00DE5ED5">
            <w:pPr>
              <w:spacing w:after="0"/>
              <w:rPr>
                <w:rFonts w:cs="Arial"/>
                <w:bCs/>
              </w:rPr>
            </w:pPr>
            <w:r w:rsidRPr="009233BF">
              <w:rPr>
                <w:rFonts w:cs="Arial"/>
                <w:bCs/>
              </w:rPr>
              <w:t>Interviews/</w:t>
            </w:r>
          </w:p>
          <w:p w14:paraId="29D0454D" w14:textId="77777777" w:rsidR="00DE5ED5" w:rsidRPr="009233BF" w:rsidRDefault="00DE5ED5">
            <w:pPr>
              <w:spacing w:after="0"/>
              <w:rPr>
                <w:rFonts w:cs="Arial"/>
                <w:bCs/>
              </w:rPr>
            </w:pPr>
            <w:r w:rsidRPr="009233BF">
              <w:rPr>
                <w:rFonts w:cs="Arial"/>
                <w:bCs/>
              </w:rPr>
              <w:t>Thematic analysis</w:t>
            </w:r>
          </w:p>
        </w:tc>
        <w:tc>
          <w:tcPr>
            <w:tcW w:w="3510" w:type="dxa"/>
            <w:tcBorders>
              <w:top w:val="none" w:sz="12" w:space="0" w:color="000000"/>
              <w:left w:val="none" w:sz="12" w:space="0" w:color="000000"/>
              <w:bottom w:val="none" w:sz="12" w:space="0" w:color="000000"/>
              <w:right w:val="none" w:sz="12" w:space="0" w:color="000000"/>
            </w:tcBorders>
          </w:tcPr>
          <w:p w14:paraId="35FF5D36" w14:textId="77777777" w:rsidR="00DE5ED5" w:rsidRPr="009233BF" w:rsidRDefault="00DE5ED5">
            <w:pPr>
              <w:spacing w:after="0" w:line="276" w:lineRule="auto"/>
              <w:rPr>
                <w:rFonts w:eastAsia="MS Mincho" w:cs="Arial"/>
                <w:bCs/>
              </w:rPr>
            </w:pPr>
            <w:r w:rsidRPr="009233BF">
              <w:rPr>
                <w:rFonts w:eastAsia="MS Mincho" w:cs="Arial"/>
                <w:bCs/>
              </w:rPr>
              <w:t>Key therapists during an infant’s admission to a neonatal unit can strengthen the parent–provider relationship by offering a support continuum during a vulnerable time. The parent-provider relationship requires: the development of communication styles and information sharing that supports parent’s preferences; supports families in the development of their expectations of the relationship; ensures clarity in the nature, scope, and contribution of EI therapy.</w:t>
            </w:r>
          </w:p>
        </w:tc>
        <w:tc>
          <w:tcPr>
            <w:tcW w:w="1065" w:type="dxa"/>
            <w:tcBorders>
              <w:top w:val="none" w:sz="12" w:space="0" w:color="000000"/>
              <w:left w:val="none" w:sz="12" w:space="0" w:color="000000"/>
              <w:bottom w:val="none" w:sz="12" w:space="0" w:color="000000"/>
              <w:right w:val="none" w:sz="12" w:space="0" w:color="000000"/>
            </w:tcBorders>
          </w:tcPr>
          <w:p w14:paraId="20A7A9F9"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4B38E900" w14:textId="77777777">
        <w:trPr>
          <w:cnfStyle w:val="000000010000" w:firstRow="0" w:lastRow="0" w:firstColumn="0" w:lastColumn="0" w:oddVBand="0" w:evenVBand="0" w:oddHBand="0" w:evenHBand="1" w:firstRowFirstColumn="0" w:firstRowLastColumn="0" w:lastRowFirstColumn="0" w:lastRowLastColumn="0"/>
          <w:trHeight w:val="1650"/>
        </w:trPr>
        <w:tc>
          <w:tcPr>
            <w:tcW w:w="1365" w:type="dxa"/>
            <w:tcBorders>
              <w:top w:val="none" w:sz="12" w:space="0" w:color="000000"/>
              <w:left w:val="none" w:sz="12" w:space="0" w:color="000000"/>
              <w:bottom w:val="none" w:sz="12" w:space="0" w:color="000000"/>
              <w:right w:val="none" w:sz="12" w:space="0" w:color="000000"/>
            </w:tcBorders>
          </w:tcPr>
          <w:p w14:paraId="6FF653CA" w14:textId="77777777" w:rsidR="00DE5ED5" w:rsidRPr="009233BF" w:rsidRDefault="00DE5ED5">
            <w:pPr>
              <w:spacing w:after="0" w:line="276" w:lineRule="auto"/>
              <w:rPr>
                <w:rFonts w:eastAsia="MS Mincho" w:cs="Arial"/>
                <w:bCs/>
              </w:rPr>
            </w:pPr>
            <w:r w:rsidRPr="009233BF">
              <w:rPr>
                <w:rFonts w:eastAsia="MS Mincho" w:cs="Arial"/>
                <w:bCs/>
              </w:rPr>
              <w:t xml:space="preserve">Amsbary, 2023, </w:t>
            </w:r>
          </w:p>
          <w:p w14:paraId="57F95B47" w14:textId="77777777" w:rsidR="00DE5ED5" w:rsidRPr="009233BF" w:rsidRDefault="00DE5ED5">
            <w:pPr>
              <w:spacing w:after="0" w:line="276" w:lineRule="auto"/>
              <w:rPr>
                <w:rFonts w:eastAsia="MS Mincho" w:cs="Arial"/>
                <w:bCs/>
              </w:rPr>
            </w:pPr>
            <w:r w:rsidRPr="009233BF">
              <w:rPr>
                <w:rFonts w:eastAsia="MS Mincho" w:cs="Arial"/>
                <w:bCs/>
              </w:rPr>
              <w:t>United States</w:t>
            </w:r>
          </w:p>
        </w:tc>
        <w:tc>
          <w:tcPr>
            <w:tcW w:w="1545" w:type="dxa"/>
            <w:tcBorders>
              <w:top w:val="none" w:sz="12" w:space="0" w:color="000000"/>
              <w:left w:val="none" w:sz="12" w:space="0" w:color="000000"/>
              <w:bottom w:val="none" w:sz="12" w:space="0" w:color="000000"/>
              <w:right w:val="none" w:sz="12" w:space="0" w:color="000000"/>
            </w:tcBorders>
          </w:tcPr>
          <w:p w14:paraId="142F860B" w14:textId="77777777" w:rsidR="00DE5ED5" w:rsidRPr="009233BF" w:rsidRDefault="00DE5ED5">
            <w:pPr>
              <w:spacing w:after="0"/>
              <w:rPr>
                <w:rFonts w:eastAsia="MS Mincho" w:cs="Arial"/>
              </w:rPr>
            </w:pPr>
            <w:r w:rsidRPr="009233BF">
              <w:rPr>
                <w:rFonts w:eastAsia="MS Mincho" w:cs="Arial"/>
              </w:rPr>
              <w:t>Autism</w:t>
            </w:r>
          </w:p>
        </w:tc>
        <w:tc>
          <w:tcPr>
            <w:tcW w:w="1545" w:type="dxa"/>
            <w:tcBorders>
              <w:top w:val="none" w:sz="12" w:space="0" w:color="000000"/>
              <w:left w:val="none" w:sz="12" w:space="0" w:color="000000"/>
              <w:bottom w:val="none" w:sz="12" w:space="0" w:color="000000"/>
              <w:right w:val="none" w:sz="12" w:space="0" w:color="000000"/>
            </w:tcBorders>
          </w:tcPr>
          <w:p w14:paraId="7E35FFE7" w14:textId="77777777" w:rsidR="00DE5ED5" w:rsidRPr="009233BF" w:rsidRDefault="00DE5ED5">
            <w:pPr>
              <w:spacing w:after="0"/>
              <w:rPr>
                <w:rFonts w:eastAsia="MS Mincho" w:cs="Arial"/>
                <w:lang w:val="en-US"/>
              </w:rPr>
            </w:pPr>
            <w:r w:rsidRPr="009233BF">
              <w:rPr>
                <w:rFonts w:eastAsia="MS Mincho" w:cs="Arial"/>
                <w:lang w:val="en-US"/>
              </w:rPr>
              <w:t>To obtain family perspectives as they relate to implementation experiences in EI</w:t>
            </w:r>
          </w:p>
          <w:p w14:paraId="78A72BB0" w14:textId="77777777" w:rsidR="00DE5ED5" w:rsidRPr="009233BF" w:rsidRDefault="00DE5ED5">
            <w:pPr>
              <w:spacing w:after="0"/>
              <w:rPr>
                <w:rFonts w:cs="Arial"/>
                <w:color w:val="444444"/>
                <w:sz w:val="22"/>
                <w:szCs w:val="22"/>
                <w:lang w:val="en-US"/>
              </w:rPr>
            </w:pPr>
          </w:p>
        </w:tc>
        <w:tc>
          <w:tcPr>
            <w:tcW w:w="1365" w:type="dxa"/>
            <w:tcBorders>
              <w:top w:val="none" w:sz="12" w:space="0" w:color="000000"/>
              <w:left w:val="none" w:sz="12" w:space="0" w:color="000000"/>
              <w:bottom w:val="none" w:sz="12" w:space="0" w:color="000000"/>
              <w:right w:val="none" w:sz="12" w:space="0" w:color="000000"/>
            </w:tcBorders>
          </w:tcPr>
          <w:p w14:paraId="4043F8FF" w14:textId="77777777" w:rsidR="00DE5ED5" w:rsidRPr="009233BF" w:rsidRDefault="00DE5ED5">
            <w:pPr>
              <w:spacing w:after="0"/>
              <w:rPr>
                <w:rFonts w:eastAsia="MS Mincho" w:cs="Arial"/>
                <w:b/>
                <w:lang w:val="en-US"/>
              </w:rPr>
            </w:pPr>
            <w:r w:rsidRPr="009233BF">
              <w:rPr>
                <w:rFonts w:eastAsia="MS Mincho" w:cs="Arial"/>
                <w:lang w:val="en-US"/>
              </w:rPr>
              <w:t>Mothers (n=12), Fathers (n=3), Grandmother (n=1)</w:t>
            </w:r>
          </w:p>
        </w:tc>
        <w:tc>
          <w:tcPr>
            <w:tcW w:w="2130" w:type="dxa"/>
            <w:tcBorders>
              <w:top w:val="none" w:sz="12" w:space="0" w:color="000000"/>
              <w:left w:val="none" w:sz="12" w:space="0" w:color="000000"/>
              <w:bottom w:val="none" w:sz="12" w:space="0" w:color="000000"/>
              <w:right w:val="none" w:sz="12" w:space="0" w:color="000000"/>
            </w:tcBorders>
          </w:tcPr>
          <w:p w14:paraId="0AB4246F" w14:textId="77777777" w:rsidR="00DE5ED5" w:rsidRPr="009233BF" w:rsidRDefault="00DE5ED5">
            <w:pPr>
              <w:spacing w:after="0" w:line="276" w:lineRule="auto"/>
              <w:rPr>
                <w:rFonts w:eastAsia="MS Mincho" w:cs="Arial"/>
                <w:bCs/>
              </w:rPr>
            </w:pPr>
            <w:r w:rsidRPr="009233BF">
              <w:rPr>
                <w:rFonts w:eastAsia="MS Mincho" w:cs="Arial"/>
              </w:rPr>
              <w:t>A community-based comprehensive EI model designed for toddlers with autism</w:t>
            </w:r>
          </w:p>
        </w:tc>
        <w:tc>
          <w:tcPr>
            <w:tcW w:w="1425" w:type="dxa"/>
            <w:tcBorders>
              <w:top w:val="none" w:sz="12" w:space="0" w:color="000000"/>
              <w:left w:val="none" w:sz="12" w:space="0" w:color="000000"/>
              <w:bottom w:val="none" w:sz="12" w:space="0" w:color="000000"/>
              <w:right w:val="none" w:sz="12" w:space="0" w:color="000000"/>
            </w:tcBorders>
          </w:tcPr>
          <w:p w14:paraId="3BE668FA" w14:textId="77777777" w:rsidR="00DE5ED5" w:rsidRPr="009233BF" w:rsidRDefault="00DE5ED5">
            <w:pPr>
              <w:spacing w:after="0"/>
              <w:rPr>
                <w:rFonts w:cs="Arial"/>
                <w:b/>
                <w:lang w:val="en-US"/>
              </w:rPr>
            </w:pPr>
            <w:r w:rsidRPr="009233BF">
              <w:rPr>
                <w:rFonts w:cs="Arial"/>
                <w:lang w:val="en-US"/>
              </w:rPr>
              <w:t>Interviews/</w:t>
            </w:r>
          </w:p>
          <w:p w14:paraId="11561092" w14:textId="77777777" w:rsidR="00DE5ED5" w:rsidRPr="009233BF" w:rsidRDefault="00DE5ED5">
            <w:pPr>
              <w:spacing w:after="0"/>
              <w:rPr>
                <w:rFonts w:cs="Arial"/>
                <w:b/>
                <w:lang w:val="en-US"/>
              </w:rPr>
            </w:pPr>
            <w:r w:rsidRPr="009233BF">
              <w:rPr>
                <w:rFonts w:cs="Arial"/>
                <w:lang w:val="en-US"/>
              </w:rPr>
              <w:t>Thematic analysis</w:t>
            </w:r>
          </w:p>
        </w:tc>
        <w:tc>
          <w:tcPr>
            <w:tcW w:w="3510" w:type="dxa"/>
            <w:tcBorders>
              <w:top w:val="none" w:sz="12" w:space="0" w:color="000000"/>
              <w:left w:val="none" w:sz="12" w:space="0" w:color="000000"/>
              <w:bottom w:val="none" w:sz="12" w:space="0" w:color="000000"/>
              <w:right w:val="none" w:sz="12" w:space="0" w:color="000000"/>
            </w:tcBorders>
          </w:tcPr>
          <w:p w14:paraId="2DC66B09" w14:textId="77777777" w:rsidR="00DE5ED5" w:rsidRPr="009233BF" w:rsidRDefault="00DE5ED5">
            <w:pPr>
              <w:spacing w:after="0"/>
              <w:rPr>
                <w:rFonts w:cs="Arial"/>
                <w:b/>
                <w:lang w:val="en-US"/>
              </w:rPr>
            </w:pPr>
            <w:r w:rsidRPr="009233BF">
              <w:rPr>
                <w:rFonts w:cs="Arial"/>
                <w:lang w:val="en-US"/>
              </w:rPr>
              <w:t>Many aspects of the intervention such as specific strategies, strong relationships with their interventionists, and intervention delivery in home and clinic settings were perceived as useful and beneficial. Challenges related to embedding the intervention into daily activities, feelings of discomfort when practicing intervention strategies, and struggles with scheduling sessions were reported.</w:t>
            </w:r>
          </w:p>
        </w:tc>
        <w:tc>
          <w:tcPr>
            <w:tcW w:w="1065" w:type="dxa"/>
            <w:tcBorders>
              <w:top w:val="none" w:sz="12" w:space="0" w:color="000000"/>
              <w:left w:val="none" w:sz="12" w:space="0" w:color="000000"/>
              <w:bottom w:val="none" w:sz="12" w:space="0" w:color="000000"/>
              <w:right w:val="none" w:sz="12" w:space="0" w:color="000000"/>
            </w:tcBorders>
          </w:tcPr>
          <w:p w14:paraId="30050260"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173734EA" w14:textId="77777777">
        <w:trPr>
          <w:cnfStyle w:val="000000100000" w:firstRow="0" w:lastRow="0" w:firstColumn="0" w:lastColumn="0" w:oddVBand="0" w:evenVBand="0" w:oddHBand="1" w:evenHBand="0" w:firstRowFirstColumn="0" w:firstRowLastColumn="0" w:lastRowFirstColumn="0" w:lastRowLastColumn="0"/>
          <w:trHeight w:val="580"/>
        </w:trPr>
        <w:tc>
          <w:tcPr>
            <w:tcW w:w="1365" w:type="dxa"/>
            <w:tcBorders>
              <w:top w:val="none" w:sz="12" w:space="0" w:color="000000"/>
              <w:left w:val="none" w:sz="12" w:space="0" w:color="000000"/>
              <w:bottom w:val="none" w:sz="12" w:space="0" w:color="000000"/>
              <w:right w:val="none" w:sz="12" w:space="0" w:color="000000"/>
            </w:tcBorders>
          </w:tcPr>
          <w:p w14:paraId="614F93D1" w14:textId="77777777" w:rsidR="00DE5ED5" w:rsidRPr="009233BF" w:rsidRDefault="00DE5ED5">
            <w:pPr>
              <w:spacing w:after="0" w:line="276" w:lineRule="auto"/>
              <w:rPr>
                <w:rFonts w:eastAsia="MS Mincho" w:cs="Arial"/>
                <w:bCs/>
              </w:rPr>
            </w:pPr>
            <w:r w:rsidRPr="009233BF">
              <w:rPr>
                <w:rFonts w:eastAsia="MS Mincho" w:cs="Arial"/>
                <w:bCs/>
              </w:rPr>
              <w:t>Burke,</w:t>
            </w:r>
          </w:p>
          <w:p w14:paraId="44E6AB91" w14:textId="77777777" w:rsidR="00DE5ED5" w:rsidRPr="009233BF" w:rsidRDefault="00DE5ED5">
            <w:pPr>
              <w:spacing w:after="0" w:line="276" w:lineRule="auto"/>
              <w:rPr>
                <w:rFonts w:eastAsia="MS Mincho" w:cs="Arial"/>
                <w:bCs/>
              </w:rPr>
            </w:pPr>
            <w:r w:rsidRPr="009233BF">
              <w:rPr>
                <w:rFonts w:eastAsia="MS Mincho" w:cs="Arial"/>
                <w:bCs/>
              </w:rPr>
              <w:t>2017,</w:t>
            </w:r>
          </w:p>
          <w:p w14:paraId="6050B011" w14:textId="77777777" w:rsidR="00DE5ED5" w:rsidRPr="009233BF" w:rsidRDefault="00DE5ED5">
            <w:pPr>
              <w:spacing w:after="0" w:line="276" w:lineRule="auto"/>
              <w:rPr>
                <w:rFonts w:eastAsia="MS Mincho" w:cs="Arial"/>
                <w:bCs/>
              </w:rPr>
            </w:pPr>
            <w:r w:rsidRPr="009233BF">
              <w:rPr>
                <w:rFonts w:eastAsia="MS Mincho" w:cs="Arial"/>
                <w:bCs/>
              </w:rPr>
              <w:t>United States</w:t>
            </w:r>
          </w:p>
        </w:tc>
        <w:tc>
          <w:tcPr>
            <w:tcW w:w="1545" w:type="dxa"/>
            <w:tcBorders>
              <w:top w:val="none" w:sz="12" w:space="0" w:color="000000"/>
              <w:left w:val="none" w:sz="12" w:space="0" w:color="000000"/>
              <w:bottom w:val="none" w:sz="12" w:space="0" w:color="000000"/>
              <w:right w:val="none" w:sz="12" w:space="0" w:color="000000"/>
            </w:tcBorders>
          </w:tcPr>
          <w:p w14:paraId="127F6694" w14:textId="77777777" w:rsidR="00DE5ED5" w:rsidRPr="009233BF" w:rsidRDefault="00DE5ED5">
            <w:pPr>
              <w:spacing w:after="0"/>
              <w:rPr>
                <w:rFonts w:eastAsia="MS Mincho" w:cs="Arial"/>
                <w:bCs/>
              </w:rPr>
            </w:pPr>
            <w:r w:rsidRPr="009233BF">
              <w:rPr>
                <w:rFonts w:eastAsia="MS Mincho" w:cs="Arial"/>
                <w:bCs/>
              </w:rPr>
              <w:t>Intellectual &amp; developmental disabilities</w:t>
            </w:r>
          </w:p>
        </w:tc>
        <w:tc>
          <w:tcPr>
            <w:tcW w:w="1545" w:type="dxa"/>
            <w:tcBorders>
              <w:top w:val="none" w:sz="12" w:space="0" w:color="000000"/>
              <w:left w:val="none" w:sz="12" w:space="0" w:color="000000"/>
              <w:bottom w:val="none" w:sz="12" w:space="0" w:color="000000"/>
              <w:right w:val="none" w:sz="12" w:space="0" w:color="000000"/>
            </w:tcBorders>
          </w:tcPr>
          <w:p w14:paraId="3C8EEC8B" w14:textId="77777777" w:rsidR="00DE5ED5" w:rsidRPr="009233BF" w:rsidRDefault="00DE5ED5">
            <w:pPr>
              <w:shd w:val="clear" w:color="auto" w:fill="FFFFFF"/>
              <w:spacing w:after="0"/>
              <w:rPr>
                <w:rFonts w:eastAsia="MS Mincho" w:cs="Arial"/>
                <w:bCs/>
                <w:lang w:val="en-US"/>
              </w:rPr>
            </w:pPr>
            <w:r w:rsidRPr="009233BF">
              <w:rPr>
                <w:rFonts w:eastAsia="MS Mincho" w:cs="Arial"/>
                <w:bCs/>
                <w:lang w:val="en-US"/>
              </w:rPr>
              <w:t>To explore the perceived degree of impact of mindfulness strategies.</w:t>
            </w:r>
          </w:p>
          <w:p w14:paraId="521573DA" w14:textId="77777777" w:rsidR="00DE5ED5" w:rsidRPr="009233BF" w:rsidRDefault="00DE5ED5">
            <w:pPr>
              <w:shd w:val="clear" w:color="auto" w:fill="FFFFFF"/>
              <w:spacing w:after="0"/>
              <w:rPr>
                <w:rFonts w:eastAsia="MS Mincho" w:cs="Arial"/>
                <w:bCs/>
                <w:lang w:val="en-US"/>
              </w:rPr>
            </w:pPr>
          </w:p>
          <w:p w14:paraId="1C0A467E" w14:textId="77777777" w:rsidR="00DE5ED5" w:rsidRPr="009233BF" w:rsidRDefault="00DE5ED5">
            <w:pPr>
              <w:spacing w:after="0"/>
              <w:rPr>
                <w:rFonts w:eastAsia="MS Mincho" w:cs="Arial"/>
                <w:bCs/>
                <w:lang w:val="en-US"/>
              </w:rPr>
            </w:pPr>
          </w:p>
        </w:tc>
        <w:tc>
          <w:tcPr>
            <w:tcW w:w="1365" w:type="dxa"/>
            <w:tcBorders>
              <w:top w:val="none" w:sz="12" w:space="0" w:color="000000"/>
              <w:left w:val="none" w:sz="12" w:space="0" w:color="000000"/>
              <w:bottom w:val="none" w:sz="12" w:space="0" w:color="000000"/>
              <w:right w:val="none" w:sz="12" w:space="0" w:color="000000"/>
            </w:tcBorders>
          </w:tcPr>
          <w:p w14:paraId="513F1083" w14:textId="77777777" w:rsidR="00DE5ED5" w:rsidRPr="009233BF" w:rsidRDefault="00DE5ED5">
            <w:pPr>
              <w:spacing w:after="0"/>
              <w:rPr>
                <w:rFonts w:eastAsia="MS Mincho" w:cs="Arial"/>
                <w:bCs/>
                <w:lang w:val="en-US"/>
              </w:rPr>
            </w:pPr>
            <w:r w:rsidRPr="009233BF">
              <w:rPr>
                <w:rFonts w:eastAsia="MS Mincho" w:cs="Arial"/>
                <w:bCs/>
                <w:lang w:val="en-US"/>
              </w:rPr>
              <w:t>Mothers (n=24); Fathers (n=2)</w:t>
            </w:r>
          </w:p>
        </w:tc>
        <w:tc>
          <w:tcPr>
            <w:tcW w:w="2130" w:type="dxa"/>
            <w:tcBorders>
              <w:top w:val="none" w:sz="12" w:space="0" w:color="000000"/>
              <w:left w:val="none" w:sz="12" w:space="0" w:color="000000"/>
              <w:bottom w:val="none" w:sz="12" w:space="0" w:color="000000"/>
              <w:right w:val="none" w:sz="12" w:space="0" w:color="000000"/>
            </w:tcBorders>
          </w:tcPr>
          <w:p w14:paraId="7B694907" w14:textId="77777777" w:rsidR="00DE5ED5" w:rsidRPr="009233BF" w:rsidRDefault="00DE5ED5">
            <w:pPr>
              <w:spacing w:after="0" w:line="276" w:lineRule="auto"/>
              <w:rPr>
                <w:rFonts w:eastAsia="MS Mincho" w:cs="Arial"/>
                <w:bCs/>
              </w:rPr>
            </w:pPr>
            <w:r w:rsidRPr="009233BF">
              <w:rPr>
                <w:rFonts w:eastAsia="MS Mincho" w:cs="Arial"/>
                <w:bCs/>
              </w:rPr>
              <w:t>MBSR (Mindfulness-Based Stress Reduction) Intervention (for caregivers)</w:t>
            </w:r>
          </w:p>
        </w:tc>
        <w:tc>
          <w:tcPr>
            <w:tcW w:w="1425" w:type="dxa"/>
            <w:tcBorders>
              <w:top w:val="none" w:sz="12" w:space="0" w:color="000000"/>
              <w:left w:val="none" w:sz="12" w:space="0" w:color="000000"/>
              <w:bottom w:val="none" w:sz="12" w:space="0" w:color="000000"/>
              <w:right w:val="none" w:sz="12" w:space="0" w:color="000000"/>
            </w:tcBorders>
          </w:tcPr>
          <w:p w14:paraId="112390C6" w14:textId="77777777" w:rsidR="00DE5ED5" w:rsidRPr="009233BF" w:rsidRDefault="00DE5ED5">
            <w:pPr>
              <w:spacing w:after="0"/>
              <w:rPr>
                <w:rFonts w:eastAsia="MS Mincho" w:cs="Arial"/>
                <w:bCs/>
                <w:lang w:val="en-US"/>
              </w:rPr>
            </w:pPr>
            <w:r w:rsidRPr="009233BF">
              <w:rPr>
                <w:rFonts w:eastAsia="MS Mincho" w:cs="Arial"/>
                <w:bCs/>
                <w:lang w:val="en-US"/>
              </w:rPr>
              <w:t>Interviews/</w:t>
            </w:r>
          </w:p>
          <w:p w14:paraId="1C75BFBE" w14:textId="77777777" w:rsidR="00DE5ED5" w:rsidRPr="009233BF" w:rsidRDefault="00DE5ED5">
            <w:pPr>
              <w:spacing w:after="0"/>
              <w:rPr>
                <w:rFonts w:eastAsia="MS Mincho" w:cs="Arial"/>
                <w:bCs/>
                <w:lang w:val="en-US"/>
              </w:rPr>
            </w:pPr>
            <w:r w:rsidRPr="009233BF">
              <w:rPr>
                <w:rFonts w:eastAsia="MS Mincho" w:cs="Arial"/>
                <w:bCs/>
                <w:lang w:val="en-US"/>
              </w:rPr>
              <w:t>Constant comparative analysis</w:t>
            </w:r>
          </w:p>
        </w:tc>
        <w:tc>
          <w:tcPr>
            <w:tcW w:w="3510" w:type="dxa"/>
            <w:tcBorders>
              <w:top w:val="none" w:sz="12" w:space="0" w:color="000000"/>
              <w:left w:val="none" w:sz="12" w:space="0" w:color="000000"/>
              <w:bottom w:val="none" w:sz="12" w:space="0" w:color="000000"/>
              <w:right w:val="none" w:sz="12" w:space="0" w:color="000000"/>
            </w:tcBorders>
          </w:tcPr>
          <w:p w14:paraId="6C499E42" w14:textId="77777777" w:rsidR="00DE5ED5" w:rsidRPr="009233BF" w:rsidRDefault="00DE5ED5">
            <w:pPr>
              <w:spacing w:after="0"/>
              <w:rPr>
                <w:rFonts w:eastAsia="MS Mincho" w:cs="Arial"/>
                <w:bCs/>
                <w:lang w:val="en-US"/>
              </w:rPr>
            </w:pPr>
            <w:r w:rsidRPr="009233BF">
              <w:rPr>
                <w:rFonts w:eastAsia="MS Mincho" w:cs="Arial"/>
                <w:bCs/>
                <w:lang w:val="en-US"/>
              </w:rPr>
              <w:t>Participants reported experiencing less stress during the special education process. Parents perceived that they were able to stay calm and communicate their child’s needs to the school. Some participants reported that by using mindfulness strategies, their children had positive school outcomes.</w:t>
            </w:r>
          </w:p>
        </w:tc>
        <w:tc>
          <w:tcPr>
            <w:tcW w:w="1065" w:type="dxa"/>
            <w:tcBorders>
              <w:top w:val="none" w:sz="12" w:space="0" w:color="000000"/>
              <w:left w:val="none" w:sz="12" w:space="0" w:color="000000"/>
              <w:bottom w:val="none" w:sz="12" w:space="0" w:color="000000"/>
              <w:right w:val="none" w:sz="12" w:space="0" w:color="000000"/>
            </w:tcBorders>
          </w:tcPr>
          <w:p w14:paraId="5F4939B1"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59B0FC13" w14:textId="77777777">
        <w:trPr>
          <w:cnfStyle w:val="000000010000" w:firstRow="0" w:lastRow="0" w:firstColumn="0" w:lastColumn="0" w:oddVBand="0" w:evenVBand="0" w:oddHBand="0" w:evenHBand="1" w:firstRowFirstColumn="0" w:firstRowLastColumn="0" w:lastRowFirstColumn="0" w:lastRowLastColumn="0"/>
          <w:trHeight w:val="2848"/>
        </w:trPr>
        <w:tc>
          <w:tcPr>
            <w:tcW w:w="1365" w:type="dxa"/>
            <w:tcBorders>
              <w:top w:val="none" w:sz="12" w:space="0" w:color="000000"/>
              <w:left w:val="none" w:sz="12" w:space="0" w:color="000000"/>
              <w:bottom w:val="none" w:sz="12" w:space="0" w:color="000000"/>
              <w:right w:val="none" w:sz="12" w:space="0" w:color="000000"/>
            </w:tcBorders>
          </w:tcPr>
          <w:p w14:paraId="3BF5A0EB" w14:textId="77777777" w:rsidR="00DE5ED5" w:rsidRPr="009233BF" w:rsidRDefault="00DE5ED5">
            <w:pPr>
              <w:spacing w:after="0" w:line="276" w:lineRule="auto"/>
              <w:rPr>
                <w:rFonts w:eastAsia="MS Mincho" w:cs="Arial"/>
                <w:bCs/>
              </w:rPr>
            </w:pPr>
            <w:r w:rsidRPr="009233BF">
              <w:rPr>
                <w:rFonts w:eastAsia="MS Mincho" w:cs="Arial"/>
                <w:bCs/>
              </w:rPr>
              <w:t>Rollins, 2023*,</w:t>
            </w:r>
          </w:p>
          <w:p w14:paraId="592B1BC8" w14:textId="77777777" w:rsidR="00DE5ED5" w:rsidRPr="009233BF" w:rsidRDefault="00DE5ED5">
            <w:pPr>
              <w:spacing w:after="0" w:line="276" w:lineRule="auto"/>
              <w:rPr>
                <w:rFonts w:eastAsia="MS Mincho" w:cs="Arial"/>
                <w:bCs/>
              </w:rPr>
            </w:pPr>
            <w:r w:rsidRPr="009233BF">
              <w:rPr>
                <w:rFonts w:eastAsia="MS Mincho" w:cs="Arial"/>
                <w:bCs/>
              </w:rPr>
              <w:t>United States</w:t>
            </w:r>
          </w:p>
        </w:tc>
        <w:tc>
          <w:tcPr>
            <w:tcW w:w="1545" w:type="dxa"/>
            <w:tcBorders>
              <w:top w:val="none" w:sz="12" w:space="0" w:color="000000"/>
              <w:left w:val="none" w:sz="12" w:space="0" w:color="000000"/>
              <w:bottom w:val="none" w:sz="12" w:space="0" w:color="000000"/>
              <w:right w:val="none" w:sz="12" w:space="0" w:color="000000"/>
            </w:tcBorders>
          </w:tcPr>
          <w:p w14:paraId="65D59B46" w14:textId="77777777" w:rsidR="00DE5ED5" w:rsidRPr="009233BF" w:rsidRDefault="00DE5ED5">
            <w:pPr>
              <w:spacing w:after="0"/>
              <w:rPr>
                <w:rFonts w:eastAsia="MS Mincho" w:cs="Arial"/>
                <w:bCs/>
              </w:rPr>
            </w:pPr>
            <w:r w:rsidRPr="009233BF">
              <w:rPr>
                <w:rFonts w:eastAsia="MS Mincho" w:cs="Arial"/>
                <w:bCs/>
              </w:rPr>
              <w:t>Autism</w:t>
            </w:r>
          </w:p>
        </w:tc>
        <w:tc>
          <w:tcPr>
            <w:tcW w:w="1545" w:type="dxa"/>
            <w:tcBorders>
              <w:top w:val="none" w:sz="12" w:space="0" w:color="000000"/>
              <w:left w:val="none" w:sz="12" w:space="0" w:color="000000"/>
              <w:bottom w:val="none" w:sz="12" w:space="0" w:color="000000"/>
              <w:right w:val="none" w:sz="12" w:space="0" w:color="000000"/>
            </w:tcBorders>
          </w:tcPr>
          <w:p w14:paraId="4EB2C18B" w14:textId="77777777" w:rsidR="00DE5ED5" w:rsidRPr="009233BF" w:rsidRDefault="00DE5ED5">
            <w:pPr>
              <w:spacing w:after="0"/>
              <w:rPr>
                <w:rFonts w:eastAsia="MS Mincho" w:cs="Arial"/>
                <w:bCs/>
                <w:lang w:val="en-US"/>
              </w:rPr>
            </w:pPr>
            <w:r w:rsidRPr="009233BF">
              <w:rPr>
                <w:rFonts w:eastAsia="MS Mincho" w:cs="Arial"/>
                <w:bCs/>
                <w:lang w:val="en-US"/>
              </w:rPr>
              <w:t>To evaluate evidence of Pathways as a culturally &amp; linguistically sensitive intervention for young Hispanic autistic children and their families.</w:t>
            </w:r>
          </w:p>
          <w:p w14:paraId="3AB7C7AA" w14:textId="77777777" w:rsidR="00DE5ED5" w:rsidRPr="009233BF" w:rsidRDefault="00DE5ED5">
            <w:pPr>
              <w:spacing w:after="0"/>
              <w:rPr>
                <w:rFonts w:eastAsia="MS Mincho" w:cs="Arial"/>
                <w:bCs/>
                <w:lang w:val="en-US"/>
              </w:rPr>
            </w:pPr>
          </w:p>
        </w:tc>
        <w:tc>
          <w:tcPr>
            <w:tcW w:w="1365" w:type="dxa"/>
            <w:tcBorders>
              <w:top w:val="none" w:sz="12" w:space="0" w:color="000000"/>
              <w:left w:val="none" w:sz="12" w:space="0" w:color="000000"/>
              <w:bottom w:val="none" w:sz="12" w:space="0" w:color="000000"/>
              <w:right w:val="none" w:sz="12" w:space="0" w:color="000000"/>
            </w:tcBorders>
          </w:tcPr>
          <w:p w14:paraId="37739A40" w14:textId="77777777" w:rsidR="00DE5ED5" w:rsidRPr="009233BF" w:rsidRDefault="00DE5ED5">
            <w:pPr>
              <w:spacing w:after="0"/>
              <w:rPr>
                <w:rFonts w:eastAsia="MS Mincho" w:cs="Arial"/>
                <w:bCs/>
                <w:lang w:val="en-US"/>
              </w:rPr>
            </w:pPr>
            <w:r w:rsidRPr="009233BF">
              <w:rPr>
                <w:rFonts w:eastAsia="MS Mincho" w:cs="Arial"/>
                <w:bCs/>
                <w:lang w:val="en-US"/>
              </w:rPr>
              <w:t>Caregivers (n=11)</w:t>
            </w:r>
          </w:p>
        </w:tc>
        <w:tc>
          <w:tcPr>
            <w:tcW w:w="2130" w:type="dxa"/>
            <w:tcBorders>
              <w:top w:val="none" w:sz="12" w:space="0" w:color="000000"/>
              <w:left w:val="none" w:sz="12" w:space="0" w:color="000000"/>
              <w:bottom w:val="none" w:sz="12" w:space="0" w:color="000000"/>
              <w:right w:val="none" w:sz="12" w:space="0" w:color="000000"/>
            </w:tcBorders>
          </w:tcPr>
          <w:p w14:paraId="68F16CC1" w14:textId="77777777" w:rsidR="00DE5ED5" w:rsidRPr="009233BF" w:rsidRDefault="00DE5ED5">
            <w:pPr>
              <w:spacing w:after="0" w:line="276" w:lineRule="auto"/>
              <w:rPr>
                <w:rFonts w:eastAsia="MS Mincho" w:cs="Arial"/>
                <w:bCs/>
              </w:rPr>
            </w:pPr>
            <w:r w:rsidRPr="009233BF">
              <w:rPr>
                <w:rFonts w:eastAsia="MS Mincho" w:cs="Arial"/>
                <w:bCs/>
              </w:rPr>
              <w:t>Pathways - a manualised, parent-mediated naturalistic developmental behavioral intervention (NDBI).</w:t>
            </w:r>
          </w:p>
        </w:tc>
        <w:tc>
          <w:tcPr>
            <w:tcW w:w="1425" w:type="dxa"/>
            <w:tcBorders>
              <w:top w:val="none" w:sz="12" w:space="0" w:color="000000"/>
              <w:left w:val="none" w:sz="12" w:space="0" w:color="000000"/>
              <w:bottom w:val="none" w:sz="12" w:space="0" w:color="000000"/>
              <w:right w:val="none" w:sz="12" w:space="0" w:color="000000"/>
            </w:tcBorders>
          </w:tcPr>
          <w:p w14:paraId="10E60A59" w14:textId="77777777" w:rsidR="00DE5ED5" w:rsidRPr="009233BF" w:rsidRDefault="00DE5ED5">
            <w:pPr>
              <w:spacing w:after="0"/>
              <w:rPr>
                <w:rFonts w:eastAsia="MS Mincho" w:cs="Arial"/>
                <w:bCs/>
                <w:lang w:val="en-US"/>
              </w:rPr>
            </w:pPr>
            <w:r w:rsidRPr="009233BF">
              <w:rPr>
                <w:rFonts w:eastAsia="MS Mincho" w:cs="Arial"/>
                <w:bCs/>
                <w:lang w:val="en-US"/>
              </w:rPr>
              <w:t>Interviews/Procedural coding approach</w:t>
            </w:r>
          </w:p>
        </w:tc>
        <w:tc>
          <w:tcPr>
            <w:tcW w:w="3510" w:type="dxa"/>
            <w:tcBorders>
              <w:top w:val="none" w:sz="12" w:space="0" w:color="000000"/>
              <w:left w:val="none" w:sz="12" w:space="0" w:color="000000"/>
              <w:bottom w:val="none" w:sz="12" w:space="0" w:color="000000"/>
              <w:right w:val="none" w:sz="12" w:space="0" w:color="000000"/>
            </w:tcBorders>
          </w:tcPr>
          <w:p w14:paraId="6427B0D3" w14:textId="77777777" w:rsidR="00DE5ED5" w:rsidRPr="009233BF" w:rsidRDefault="00DE5ED5">
            <w:pPr>
              <w:spacing w:after="0" w:line="276" w:lineRule="auto"/>
              <w:rPr>
                <w:rFonts w:eastAsia="MS Mincho" w:cs="Arial"/>
                <w:bCs/>
              </w:rPr>
            </w:pPr>
            <w:r w:rsidRPr="009233BF">
              <w:rPr>
                <w:rFonts w:eastAsia="MS Mincho" w:cs="Arial"/>
                <w:bCs/>
              </w:rPr>
              <w:t>Findings suggested that Pathways was a culturally and linguistically sensitive intervention for Hispanic participants in the domains of context, methods, language, and persons. Interview findings echoed these strengths. Pathways demonstrated strengths regarding cultural and linguistic sensitivity for Hispanic families with young autistic children.</w:t>
            </w:r>
          </w:p>
        </w:tc>
        <w:tc>
          <w:tcPr>
            <w:tcW w:w="1065" w:type="dxa"/>
            <w:tcBorders>
              <w:top w:val="none" w:sz="12" w:space="0" w:color="000000"/>
              <w:left w:val="none" w:sz="12" w:space="0" w:color="000000"/>
              <w:bottom w:val="none" w:sz="12" w:space="0" w:color="000000"/>
              <w:right w:val="none" w:sz="12" w:space="0" w:color="000000"/>
            </w:tcBorders>
          </w:tcPr>
          <w:p w14:paraId="61B78D34" w14:textId="77777777" w:rsidR="00DE5ED5" w:rsidRPr="009233BF" w:rsidRDefault="00DE5ED5">
            <w:pPr>
              <w:spacing w:after="0"/>
              <w:rPr>
                <w:rFonts w:eastAsia="MS Mincho" w:cs="Arial"/>
                <w:bCs/>
              </w:rPr>
            </w:pPr>
            <w:r w:rsidRPr="009233BF">
              <w:rPr>
                <w:rFonts w:eastAsia="MS Mincho" w:cs="Arial"/>
                <w:bCs/>
              </w:rPr>
              <w:t>Focused on Hispanic families</w:t>
            </w:r>
          </w:p>
        </w:tc>
      </w:tr>
      <w:tr w:rsidR="00DE5ED5" w:rsidRPr="00E4576E" w14:paraId="5F6DA4F0" w14:textId="77777777">
        <w:trPr>
          <w:cnfStyle w:val="000000100000" w:firstRow="0" w:lastRow="0" w:firstColumn="0" w:lastColumn="0" w:oddVBand="0" w:evenVBand="0" w:oddHBand="1" w:evenHBand="0" w:firstRowFirstColumn="0" w:firstRowLastColumn="0" w:lastRowFirstColumn="0" w:lastRowLastColumn="0"/>
          <w:trHeight w:val="3000"/>
        </w:trPr>
        <w:tc>
          <w:tcPr>
            <w:tcW w:w="1365" w:type="dxa"/>
            <w:tcBorders>
              <w:top w:val="none" w:sz="12" w:space="0" w:color="000000"/>
              <w:left w:val="none" w:sz="12" w:space="0" w:color="000000"/>
              <w:bottom w:val="none" w:sz="12" w:space="0" w:color="000000"/>
              <w:right w:val="none" w:sz="12" w:space="0" w:color="000000"/>
            </w:tcBorders>
          </w:tcPr>
          <w:p w14:paraId="75C34C3A" w14:textId="77777777" w:rsidR="00DE5ED5" w:rsidRPr="009233BF" w:rsidRDefault="00DE5ED5">
            <w:pPr>
              <w:spacing w:after="0" w:line="276" w:lineRule="auto"/>
              <w:rPr>
                <w:rFonts w:eastAsia="MS Mincho" w:cs="Arial"/>
                <w:bCs/>
              </w:rPr>
            </w:pPr>
            <w:r w:rsidRPr="009233BF">
              <w:rPr>
                <w:rFonts w:eastAsia="MS Mincho" w:cs="Arial"/>
                <w:bCs/>
              </w:rPr>
              <w:t>Rufsvold,</w:t>
            </w:r>
          </w:p>
          <w:p w14:paraId="6050396A" w14:textId="77777777" w:rsidR="00DE5ED5" w:rsidRPr="009233BF" w:rsidRDefault="00DE5ED5">
            <w:pPr>
              <w:spacing w:after="0" w:line="276" w:lineRule="auto"/>
              <w:rPr>
                <w:rFonts w:eastAsia="MS Mincho" w:cs="Arial"/>
                <w:bCs/>
              </w:rPr>
            </w:pPr>
            <w:r w:rsidRPr="009233BF">
              <w:rPr>
                <w:rFonts w:eastAsia="MS Mincho" w:cs="Arial"/>
                <w:bCs/>
              </w:rPr>
              <w:t>2023,</w:t>
            </w:r>
          </w:p>
          <w:p w14:paraId="00B78A61" w14:textId="77777777" w:rsidR="00DE5ED5" w:rsidRPr="009233BF" w:rsidRDefault="00DE5ED5">
            <w:pPr>
              <w:spacing w:after="0" w:line="276" w:lineRule="auto"/>
              <w:rPr>
                <w:rFonts w:eastAsia="MS Mincho" w:cs="Arial"/>
                <w:bCs/>
              </w:rPr>
            </w:pPr>
            <w:r w:rsidRPr="009233BF">
              <w:rPr>
                <w:rFonts w:eastAsia="MS Mincho" w:cs="Arial"/>
                <w:bCs/>
              </w:rPr>
              <w:t>United States</w:t>
            </w:r>
          </w:p>
        </w:tc>
        <w:tc>
          <w:tcPr>
            <w:tcW w:w="1545" w:type="dxa"/>
            <w:tcBorders>
              <w:top w:val="none" w:sz="12" w:space="0" w:color="000000"/>
              <w:left w:val="none" w:sz="12" w:space="0" w:color="000000"/>
              <w:bottom w:val="none" w:sz="12" w:space="0" w:color="000000"/>
              <w:right w:val="none" w:sz="12" w:space="0" w:color="000000"/>
            </w:tcBorders>
          </w:tcPr>
          <w:p w14:paraId="1C4449D0" w14:textId="77777777" w:rsidR="00DE5ED5" w:rsidRPr="009233BF" w:rsidRDefault="00DE5ED5">
            <w:pPr>
              <w:spacing w:after="0" w:line="276" w:lineRule="auto"/>
              <w:rPr>
                <w:rFonts w:eastAsia="MS Mincho" w:cs="Arial"/>
                <w:bCs/>
              </w:rPr>
            </w:pPr>
            <w:r w:rsidRPr="009233BF">
              <w:rPr>
                <w:rFonts w:eastAsia="MS Mincho" w:cs="Arial"/>
                <w:bCs/>
              </w:rPr>
              <w:t>Deaf or hard-of-hearing (DHH)</w:t>
            </w:r>
          </w:p>
          <w:p w14:paraId="02D0683D" w14:textId="77777777" w:rsidR="00DE5ED5" w:rsidRPr="009233BF" w:rsidRDefault="00DE5ED5">
            <w:pPr>
              <w:spacing w:after="0"/>
              <w:rPr>
                <w:rFonts w:eastAsia="MS Mincho" w:cs="Arial"/>
                <w:bCs/>
              </w:rPr>
            </w:pPr>
          </w:p>
        </w:tc>
        <w:tc>
          <w:tcPr>
            <w:tcW w:w="1545" w:type="dxa"/>
            <w:tcBorders>
              <w:top w:val="none" w:sz="12" w:space="0" w:color="000000"/>
              <w:left w:val="none" w:sz="12" w:space="0" w:color="000000"/>
              <w:bottom w:val="none" w:sz="12" w:space="0" w:color="000000"/>
              <w:right w:val="none" w:sz="12" w:space="0" w:color="000000"/>
            </w:tcBorders>
          </w:tcPr>
          <w:p w14:paraId="103BA991" w14:textId="77777777" w:rsidR="00DE5ED5" w:rsidRPr="009233BF" w:rsidRDefault="00DE5ED5">
            <w:pPr>
              <w:spacing w:after="0"/>
              <w:rPr>
                <w:rFonts w:eastAsia="MS Mincho" w:cs="Arial"/>
                <w:bCs/>
                <w:lang w:val="en-US"/>
              </w:rPr>
            </w:pPr>
            <w:r w:rsidRPr="009233BF">
              <w:rPr>
                <w:rFonts w:eastAsia="MS Mincho" w:cs="Arial"/>
                <w:bCs/>
                <w:lang w:val="en-US"/>
              </w:rPr>
              <w:t>To explore experiences of parents of DHH children enrolled in a center-based, family-centred EI program.</w:t>
            </w:r>
          </w:p>
        </w:tc>
        <w:tc>
          <w:tcPr>
            <w:tcW w:w="1365" w:type="dxa"/>
            <w:tcBorders>
              <w:top w:val="none" w:sz="12" w:space="0" w:color="000000"/>
              <w:left w:val="none" w:sz="12" w:space="0" w:color="000000"/>
              <w:bottom w:val="none" w:sz="12" w:space="0" w:color="000000"/>
              <w:right w:val="none" w:sz="12" w:space="0" w:color="000000"/>
            </w:tcBorders>
          </w:tcPr>
          <w:p w14:paraId="5BE4E0C1" w14:textId="77777777" w:rsidR="00DE5ED5" w:rsidRPr="009233BF" w:rsidRDefault="00DE5ED5">
            <w:pPr>
              <w:spacing w:after="0"/>
              <w:rPr>
                <w:rFonts w:eastAsia="MS Mincho" w:cs="Arial"/>
                <w:bCs/>
                <w:lang w:val="en-US"/>
              </w:rPr>
            </w:pPr>
            <w:r w:rsidRPr="009233BF">
              <w:rPr>
                <w:rFonts w:eastAsia="MS Mincho" w:cs="Arial"/>
                <w:bCs/>
                <w:lang w:val="en-US"/>
              </w:rPr>
              <w:t>Caregivers of DHH infants or toddlers (n=17 families)</w:t>
            </w:r>
          </w:p>
        </w:tc>
        <w:tc>
          <w:tcPr>
            <w:tcW w:w="2130" w:type="dxa"/>
            <w:tcBorders>
              <w:top w:val="none" w:sz="12" w:space="0" w:color="000000"/>
              <w:left w:val="none" w:sz="12" w:space="0" w:color="000000"/>
              <w:bottom w:val="none" w:sz="12" w:space="0" w:color="000000"/>
              <w:right w:val="none" w:sz="12" w:space="0" w:color="000000"/>
            </w:tcBorders>
          </w:tcPr>
          <w:p w14:paraId="768F205E" w14:textId="77777777" w:rsidR="00DE5ED5" w:rsidRPr="009233BF" w:rsidRDefault="00DE5ED5">
            <w:pPr>
              <w:spacing w:after="0" w:line="276" w:lineRule="auto"/>
              <w:rPr>
                <w:rFonts w:eastAsia="MS Mincho" w:cs="Arial"/>
                <w:bCs/>
              </w:rPr>
            </w:pPr>
            <w:r w:rsidRPr="009233BF">
              <w:rPr>
                <w:rFonts w:eastAsia="MS Mincho" w:cs="Arial"/>
                <w:bCs/>
              </w:rPr>
              <w:t>Centre-based early intervention program for children who are deaf or hard of hearing</w:t>
            </w:r>
          </w:p>
        </w:tc>
        <w:tc>
          <w:tcPr>
            <w:tcW w:w="1425" w:type="dxa"/>
            <w:tcBorders>
              <w:top w:val="none" w:sz="12" w:space="0" w:color="000000"/>
              <w:left w:val="none" w:sz="12" w:space="0" w:color="000000"/>
              <w:bottom w:val="none" w:sz="12" w:space="0" w:color="000000"/>
              <w:right w:val="none" w:sz="12" w:space="0" w:color="000000"/>
            </w:tcBorders>
          </w:tcPr>
          <w:p w14:paraId="6BD9ACFB" w14:textId="77777777" w:rsidR="00DE5ED5" w:rsidRPr="009233BF" w:rsidRDefault="00DE5ED5">
            <w:pPr>
              <w:spacing w:after="0"/>
              <w:rPr>
                <w:rFonts w:eastAsia="MS Mincho" w:cs="Arial"/>
                <w:bCs/>
              </w:rPr>
            </w:pPr>
            <w:r w:rsidRPr="009233BF">
              <w:rPr>
                <w:rFonts w:eastAsia="MS Mincho" w:cs="Arial"/>
                <w:bCs/>
              </w:rPr>
              <w:t>Focus groups/</w:t>
            </w:r>
          </w:p>
          <w:p w14:paraId="18CE1C89" w14:textId="77777777" w:rsidR="00DE5ED5" w:rsidRPr="009233BF" w:rsidRDefault="00DE5ED5">
            <w:pPr>
              <w:spacing w:after="0"/>
              <w:rPr>
                <w:rFonts w:eastAsia="MS Mincho" w:cs="Arial"/>
                <w:bCs/>
              </w:rPr>
            </w:pPr>
            <w:r w:rsidRPr="009233BF">
              <w:rPr>
                <w:rFonts w:eastAsia="MS Mincho" w:cs="Arial"/>
                <w:bCs/>
              </w:rPr>
              <w:t>Thematic analysis</w:t>
            </w:r>
          </w:p>
        </w:tc>
        <w:tc>
          <w:tcPr>
            <w:tcW w:w="3510" w:type="dxa"/>
            <w:tcBorders>
              <w:top w:val="none" w:sz="12" w:space="0" w:color="000000"/>
              <w:left w:val="none" w:sz="12" w:space="0" w:color="000000"/>
              <w:bottom w:val="none" w:sz="12" w:space="0" w:color="000000"/>
              <w:right w:val="none" w:sz="12" w:space="0" w:color="000000"/>
            </w:tcBorders>
          </w:tcPr>
          <w:p w14:paraId="36297748" w14:textId="77777777" w:rsidR="00DE5ED5" w:rsidRPr="009233BF" w:rsidRDefault="00DE5ED5">
            <w:pPr>
              <w:spacing w:after="0" w:line="276" w:lineRule="auto"/>
              <w:rPr>
                <w:rFonts w:eastAsia="MS Mincho" w:cs="Arial"/>
                <w:bCs/>
              </w:rPr>
            </w:pPr>
            <w:r w:rsidRPr="009233BF">
              <w:rPr>
                <w:rFonts w:eastAsia="MS Mincho" w:cs="Arial"/>
                <w:bCs/>
              </w:rPr>
              <w:t>Findings included 3 themes: (a) a variety of influences on technology and communication decisions, (b) the value of centre-based services, and (c) a sense of empowerment and drive for advocacy. Caregivers particularly valued connections to other families of DHH children and the expertise of centre-based EI providers as they navigated the first few years following identification</w:t>
            </w:r>
          </w:p>
        </w:tc>
        <w:tc>
          <w:tcPr>
            <w:tcW w:w="1065" w:type="dxa"/>
            <w:tcBorders>
              <w:top w:val="none" w:sz="12" w:space="0" w:color="000000"/>
              <w:left w:val="none" w:sz="12" w:space="0" w:color="000000"/>
              <w:bottom w:val="none" w:sz="12" w:space="0" w:color="000000"/>
              <w:right w:val="none" w:sz="12" w:space="0" w:color="000000"/>
            </w:tcBorders>
          </w:tcPr>
          <w:p w14:paraId="6FD1D1E1"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5F3D4DEE" w14:textId="77777777" w:rsidTr="006478C1">
        <w:trPr>
          <w:cnfStyle w:val="000000010000" w:firstRow="0" w:lastRow="0" w:firstColumn="0" w:lastColumn="0" w:oddVBand="0" w:evenVBand="0" w:oddHBand="0" w:evenHBand="1" w:firstRowFirstColumn="0" w:firstRowLastColumn="0" w:lastRowFirstColumn="0" w:lastRowLastColumn="0"/>
          <w:trHeight w:val="3718"/>
        </w:trPr>
        <w:tc>
          <w:tcPr>
            <w:tcW w:w="1365" w:type="dxa"/>
            <w:tcBorders>
              <w:top w:val="none" w:sz="12" w:space="0" w:color="000000"/>
              <w:left w:val="none" w:sz="12" w:space="0" w:color="000000"/>
              <w:bottom w:val="none" w:sz="12" w:space="0" w:color="000000"/>
              <w:right w:val="none" w:sz="12" w:space="0" w:color="000000"/>
            </w:tcBorders>
          </w:tcPr>
          <w:p w14:paraId="0C5D834D" w14:textId="77777777" w:rsidR="00DE5ED5" w:rsidRPr="009233BF" w:rsidRDefault="00DE5ED5">
            <w:pPr>
              <w:spacing w:after="0" w:line="276" w:lineRule="auto"/>
              <w:rPr>
                <w:rFonts w:eastAsia="MS Mincho" w:cs="Arial"/>
                <w:bCs/>
              </w:rPr>
            </w:pPr>
            <w:r w:rsidRPr="009233BF">
              <w:rPr>
                <w:rFonts w:eastAsia="MS Mincho" w:cs="Arial"/>
                <w:bCs/>
              </w:rPr>
              <w:t>Pfeiffer,</w:t>
            </w:r>
          </w:p>
          <w:p w14:paraId="7A82DAF7" w14:textId="77777777" w:rsidR="00DE5ED5" w:rsidRPr="009233BF" w:rsidRDefault="00DE5ED5">
            <w:pPr>
              <w:spacing w:after="0" w:line="276" w:lineRule="auto"/>
              <w:rPr>
                <w:rFonts w:eastAsia="MS Mincho" w:cs="Arial"/>
                <w:bCs/>
              </w:rPr>
            </w:pPr>
            <w:r w:rsidRPr="009233BF">
              <w:rPr>
                <w:rFonts w:eastAsia="MS Mincho" w:cs="Arial"/>
                <w:bCs/>
              </w:rPr>
              <w:t xml:space="preserve">2024, </w:t>
            </w:r>
          </w:p>
          <w:p w14:paraId="09172634" w14:textId="77777777" w:rsidR="00DE5ED5" w:rsidRPr="009233BF" w:rsidRDefault="00DE5ED5">
            <w:pPr>
              <w:spacing w:after="0" w:line="276" w:lineRule="auto"/>
              <w:rPr>
                <w:rFonts w:eastAsia="MS Mincho" w:cs="Arial"/>
                <w:bCs/>
              </w:rPr>
            </w:pPr>
            <w:r w:rsidRPr="009233BF">
              <w:rPr>
                <w:rFonts w:eastAsia="MS Mincho" w:cs="Arial"/>
                <w:bCs/>
              </w:rPr>
              <w:t>United States</w:t>
            </w:r>
          </w:p>
        </w:tc>
        <w:tc>
          <w:tcPr>
            <w:tcW w:w="1545" w:type="dxa"/>
            <w:tcBorders>
              <w:top w:val="none" w:sz="12" w:space="0" w:color="000000"/>
              <w:left w:val="none" w:sz="12" w:space="0" w:color="000000"/>
              <w:bottom w:val="none" w:sz="12" w:space="0" w:color="000000"/>
              <w:right w:val="none" w:sz="12" w:space="0" w:color="000000"/>
            </w:tcBorders>
          </w:tcPr>
          <w:p w14:paraId="58213EBA" w14:textId="77777777" w:rsidR="00DE5ED5" w:rsidRPr="009233BF" w:rsidRDefault="00DE5ED5">
            <w:pPr>
              <w:spacing w:after="0"/>
              <w:rPr>
                <w:rFonts w:eastAsia="MS Mincho" w:cs="Arial"/>
                <w:bCs/>
              </w:rPr>
            </w:pPr>
            <w:r w:rsidRPr="009233BF">
              <w:rPr>
                <w:rFonts w:eastAsia="MS Mincho" w:cs="Arial"/>
                <w:bCs/>
              </w:rPr>
              <w:t>Social or communication delay</w:t>
            </w:r>
          </w:p>
        </w:tc>
        <w:tc>
          <w:tcPr>
            <w:tcW w:w="1545" w:type="dxa"/>
            <w:tcBorders>
              <w:top w:val="none" w:sz="12" w:space="0" w:color="000000"/>
              <w:left w:val="none" w:sz="12" w:space="0" w:color="000000"/>
              <w:bottom w:val="none" w:sz="12" w:space="0" w:color="000000"/>
              <w:right w:val="none" w:sz="12" w:space="0" w:color="000000"/>
            </w:tcBorders>
          </w:tcPr>
          <w:p w14:paraId="0E705B5C" w14:textId="77777777" w:rsidR="00DE5ED5" w:rsidRPr="009233BF" w:rsidRDefault="00DE5ED5">
            <w:pPr>
              <w:spacing w:after="0"/>
              <w:rPr>
                <w:rFonts w:eastAsia="MS Mincho" w:cs="Arial"/>
                <w:bCs/>
                <w:lang w:val="en-US"/>
              </w:rPr>
            </w:pPr>
            <w:r w:rsidRPr="009233BF">
              <w:rPr>
                <w:rFonts w:eastAsia="MS Mincho" w:cs="Arial"/>
                <w:bCs/>
                <w:lang w:val="en-US"/>
              </w:rPr>
              <w:t>To assess the social validity of the Infant Achievements (IA) intervention.</w:t>
            </w:r>
          </w:p>
        </w:tc>
        <w:tc>
          <w:tcPr>
            <w:tcW w:w="1365" w:type="dxa"/>
            <w:tcBorders>
              <w:top w:val="none" w:sz="12" w:space="0" w:color="000000"/>
              <w:left w:val="none" w:sz="12" w:space="0" w:color="000000"/>
              <w:bottom w:val="none" w:sz="12" w:space="0" w:color="000000"/>
              <w:right w:val="none" w:sz="12" w:space="0" w:color="000000"/>
            </w:tcBorders>
          </w:tcPr>
          <w:p w14:paraId="076DA095" w14:textId="77777777" w:rsidR="00DE5ED5" w:rsidRPr="009233BF" w:rsidRDefault="00DE5ED5">
            <w:pPr>
              <w:spacing w:after="0"/>
              <w:rPr>
                <w:rFonts w:eastAsia="MS Mincho" w:cs="Arial"/>
                <w:bCs/>
                <w:lang w:val="en-US"/>
              </w:rPr>
            </w:pPr>
            <w:r w:rsidRPr="009233BF">
              <w:rPr>
                <w:rFonts w:eastAsia="MS Mincho" w:cs="Arial"/>
                <w:bCs/>
                <w:lang w:val="en-US"/>
              </w:rPr>
              <w:t xml:space="preserve">Mothers (n=6); </w:t>
            </w:r>
          </w:p>
          <w:p w14:paraId="13B62489" w14:textId="77777777" w:rsidR="00DE5ED5" w:rsidRPr="009233BF" w:rsidRDefault="00DE5ED5">
            <w:pPr>
              <w:spacing w:after="0"/>
              <w:rPr>
                <w:rFonts w:eastAsia="MS Mincho" w:cs="Arial"/>
                <w:bCs/>
                <w:lang w:val="en-US"/>
              </w:rPr>
            </w:pPr>
            <w:r w:rsidRPr="009233BF">
              <w:rPr>
                <w:rFonts w:eastAsia="MS Mincho" w:cs="Arial"/>
                <w:bCs/>
                <w:lang w:val="en-US"/>
              </w:rPr>
              <w:t xml:space="preserve">Fathers </w:t>
            </w:r>
          </w:p>
          <w:p w14:paraId="4DA45C48" w14:textId="77777777" w:rsidR="00DE5ED5" w:rsidRPr="009233BF" w:rsidRDefault="00DE5ED5">
            <w:pPr>
              <w:spacing w:after="0"/>
              <w:rPr>
                <w:rFonts w:eastAsia="MS Mincho" w:cs="Arial"/>
                <w:bCs/>
                <w:lang w:val="en-US"/>
              </w:rPr>
            </w:pPr>
            <w:r w:rsidRPr="009233BF">
              <w:rPr>
                <w:rFonts w:eastAsia="MS Mincho" w:cs="Arial"/>
                <w:bCs/>
                <w:lang w:val="en-US"/>
              </w:rPr>
              <w:t>(n=1)</w:t>
            </w:r>
          </w:p>
        </w:tc>
        <w:tc>
          <w:tcPr>
            <w:tcW w:w="2130" w:type="dxa"/>
            <w:tcBorders>
              <w:top w:val="none" w:sz="12" w:space="0" w:color="000000"/>
              <w:left w:val="none" w:sz="12" w:space="0" w:color="000000"/>
              <w:bottom w:val="none" w:sz="12" w:space="0" w:color="000000"/>
              <w:right w:val="none" w:sz="12" w:space="0" w:color="000000"/>
            </w:tcBorders>
          </w:tcPr>
          <w:p w14:paraId="35751F0F" w14:textId="77777777" w:rsidR="00DE5ED5" w:rsidRPr="009233BF" w:rsidRDefault="00DE5ED5">
            <w:pPr>
              <w:spacing w:after="0" w:line="276" w:lineRule="auto"/>
              <w:rPr>
                <w:rFonts w:eastAsia="MS Mincho" w:cs="Arial"/>
                <w:bCs/>
              </w:rPr>
            </w:pPr>
            <w:r w:rsidRPr="009233BF">
              <w:rPr>
                <w:rFonts w:eastAsia="MS Mincho" w:cs="Arial"/>
                <w:bCs/>
              </w:rPr>
              <w:t>IA based on principles of the Naturalistic Developmental Behavioral Intervention (NDBI) for parent-mediated intervention for young children with social &amp; communication delays, adapted for infants.</w:t>
            </w:r>
          </w:p>
        </w:tc>
        <w:tc>
          <w:tcPr>
            <w:tcW w:w="1425" w:type="dxa"/>
            <w:tcBorders>
              <w:top w:val="none" w:sz="12" w:space="0" w:color="000000"/>
              <w:left w:val="none" w:sz="12" w:space="0" w:color="000000"/>
              <w:bottom w:val="none" w:sz="12" w:space="0" w:color="000000"/>
              <w:right w:val="none" w:sz="12" w:space="0" w:color="000000"/>
            </w:tcBorders>
          </w:tcPr>
          <w:p w14:paraId="69354150" w14:textId="77777777" w:rsidR="00DE5ED5" w:rsidRPr="009233BF" w:rsidRDefault="00DE5ED5">
            <w:pPr>
              <w:spacing w:after="0" w:line="276" w:lineRule="auto"/>
              <w:rPr>
                <w:rFonts w:eastAsia="MS Mincho" w:cs="Arial"/>
                <w:bCs/>
              </w:rPr>
            </w:pPr>
            <w:r w:rsidRPr="009233BF">
              <w:rPr>
                <w:rFonts w:eastAsia="MS Mincho" w:cs="Arial"/>
                <w:bCs/>
              </w:rPr>
              <w:t>Focus groups/Conventional content analysis</w:t>
            </w:r>
          </w:p>
          <w:p w14:paraId="3B17831D" w14:textId="77777777" w:rsidR="00DE5ED5" w:rsidRPr="009233BF" w:rsidRDefault="00DE5ED5">
            <w:pPr>
              <w:spacing w:after="0"/>
              <w:rPr>
                <w:rFonts w:eastAsia="MS Mincho" w:cs="Arial"/>
                <w:bCs/>
              </w:rPr>
            </w:pPr>
          </w:p>
        </w:tc>
        <w:tc>
          <w:tcPr>
            <w:tcW w:w="3510" w:type="dxa"/>
            <w:tcBorders>
              <w:top w:val="none" w:sz="12" w:space="0" w:color="000000"/>
              <w:left w:val="none" w:sz="12" w:space="0" w:color="000000"/>
              <w:bottom w:val="none" w:sz="12" w:space="0" w:color="000000"/>
              <w:right w:val="none" w:sz="12" w:space="0" w:color="000000"/>
            </w:tcBorders>
          </w:tcPr>
          <w:p w14:paraId="5206D30D" w14:textId="493A9307" w:rsidR="00DE5ED5" w:rsidRPr="009233BF" w:rsidRDefault="00DE5ED5">
            <w:pPr>
              <w:spacing w:after="0" w:line="276" w:lineRule="auto"/>
              <w:rPr>
                <w:rFonts w:eastAsia="MS Mincho" w:cs="Arial"/>
                <w:bCs/>
              </w:rPr>
            </w:pPr>
            <w:r w:rsidRPr="009233BF">
              <w:rPr>
                <w:rFonts w:eastAsia="MS Mincho" w:cs="Arial"/>
                <w:bCs/>
              </w:rPr>
              <w:t>Parents appreciated the supportive, collaborative coaching relationship that guided their creation of meaningful play interactions that enhanced their children’s social and communication skills. Parents discussed how their experience with IA coaches instilled a greater sense of confidence in their parenting abilities than their prior intervention experiences.</w:t>
            </w:r>
          </w:p>
          <w:p w14:paraId="6ADB67F2" w14:textId="77777777" w:rsidR="00DE5ED5" w:rsidRPr="009233BF" w:rsidRDefault="00DE5ED5">
            <w:pPr>
              <w:spacing w:after="0" w:line="276" w:lineRule="auto"/>
              <w:rPr>
                <w:rFonts w:eastAsia="MS Mincho" w:cs="Arial"/>
                <w:bCs/>
              </w:rPr>
            </w:pPr>
          </w:p>
          <w:p w14:paraId="7E2FA107" w14:textId="77777777" w:rsidR="00DE5ED5" w:rsidRPr="009233BF" w:rsidRDefault="00DE5ED5">
            <w:pPr>
              <w:spacing w:after="0" w:line="276" w:lineRule="auto"/>
              <w:rPr>
                <w:rFonts w:eastAsia="MS Mincho" w:cs="Arial"/>
                <w:bCs/>
              </w:rPr>
            </w:pPr>
          </w:p>
        </w:tc>
        <w:tc>
          <w:tcPr>
            <w:tcW w:w="1065" w:type="dxa"/>
            <w:tcBorders>
              <w:top w:val="none" w:sz="12" w:space="0" w:color="000000"/>
              <w:left w:val="none" w:sz="12" w:space="0" w:color="000000"/>
              <w:bottom w:val="none" w:sz="12" w:space="0" w:color="000000"/>
              <w:right w:val="none" w:sz="12" w:space="0" w:color="000000"/>
            </w:tcBorders>
          </w:tcPr>
          <w:p w14:paraId="04417BF6"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2AEBE8EA" w14:textId="77777777">
        <w:trPr>
          <w:cnfStyle w:val="000000100000" w:firstRow="0" w:lastRow="0" w:firstColumn="0" w:lastColumn="0" w:oddVBand="0" w:evenVBand="0" w:oddHBand="1" w:evenHBand="0" w:firstRowFirstColumn="0" w:firstRowLastColumn="0" w:lastRowFirstColumn="0" w:lastRowLastColumn="0"/>
          <w:trHeight w:val="297"/>
        </w:trPr>
        <w:tc>
          <w:tcPr>
            <w:tcW w:w="13950" w:type="dxa"/>
            <w:gridSpan w:val="8"/>
            <w:tcBorders>
              <w:top w:val="none" w:sz="12" w:space="0" w:color="000000"/>
              <w:left w:val="none" w:sz="12" w:space="0" w:color="000000"/>
              <w:bottom w:val="none" w:sz="12" w:space="0" w:color="000000"/>
              <w:right w:val="none" w:sz="12" w:space="0" w:color="000000"/>
            </w:tcBorders>
            <w:shd w:val="clear" w:color="auto" w:fill="E7E6E6"/>
          </w:tcPr>
          <w:p w14:paraId="4DE37AD4" w14:textId="77777777" w:rsidR="00DE5ED5" w:rsidRPr="009233BF" w:rsidRDefault="00DE5ED5">
            <w:pPr>
              <w:spacing w:after="0"/>
              <w:rPr>
                <w:rFonts w:eastAsia="MS Mincho" w:cs="Arial"/>
                <w:b/>
              </w:rPr>
            </w:pPr>
            <w:r w:rsidRPr="009233BF">
              <w:rPr>
                <w:rFonts w:eastAsia="MS Mincho" w:cs="Arial"/>
                <w:b/>
              </w:rPr>
              <w:t>Studies providing outcomes for caregivers and practitioners</w:t>
            </w:r>
          </w:p>
        </w:tc>
      </w:tr>
      <w:tr w:rsidR="00DE5ED5" w:rsidRPr="00E4576E" w14:paraId="016A0B70" w14:textId="77777777">
        <w:trPr>
          <w:cnfStyle w:val="000000010000" w:firstRow="0" w:lastRow="0" w:firstColumn="0" w:lastColumn="0" w:oddVBand="0" w:evenVBand="0" w:oddHBand="0" w:evenHBand="1" w:firstRowFirstColumn="0" w:firstRowLastColumn="0" w:lastRowFirstColumn="0" w:lastRowLastColumn="0"/>
          <w:trHeight w:val="2707"/>
        </w:trPr>
        <w:tc>
          <w:tcPr>
            <w:tcW w:w="1365" w:type="dxa"/>
            <w:tcBorders>
              <w:top w:val="none" w:sz="12" w:space="0" w:color="000000"/>
              <w:left w:val="none" w:sz="12" w:space="0" w:color="000000"/>
              <w:bottom w:val="none" w:sz="12" w:space="0" w:color="000000"/>
              <w:right w:val="none" w:sz="12" w:space="0" w:color="000000"/>
            </w:tcBorders>
          </w:tcPr>
          <w:p w14:paraId="375320F1" w14:textId="77777777" w:rsidR="00DE5ED5" w:rsidRPr="009233BF" w:rsidRDefault="00DE5ED5">
            <w:pPr>
              <w:spacing w:after="0" w:line="276" w:lineRule="auto"/>
              <w:rPr>
                <w:rFonts w:eastAsia="MS Mincho" w:cs="Arial"/>
                <w:bCs/>
              </w:rPr>
            </w:pPr>
            <w:r w:rsidRPr="009233BF">
              <w:rPr>
                <w:rFonts w:eastAsia="MS Mincho" w:cs="Arial"/>
                <w:bCs/>
              </w:rPr>
              <w:t>Bejnö,</w:t>
            </w:r>
          </w:p>
          <w:p w14:paraId="0B237F6B" w14:textId="77777777" w:rsidR="00DE5ED5" w:rsidRPr="009233BF" w:rsidRDefault="00DE5ED5">
            <w:pPr>
              <w:spacing w:after="0" w:line="276" w:lineRule="auto"/>
              <w:rPr>
                <w:rFonts w:eastAsia="MS Mincho" w:cs="Arial"/>
                <w:bCs/>
              </w:rPr>
            </w:pPr>
            <w:r w:rsidRPr="009233BF">
              <w:rPr>
                <w:rFonts w:eastAsia="MS Mincho" w:cs="Arial"/>
                <w:bCs/>
              </w:rPr>
              <w:t>2022,</w:t>
            </w:r>
          </w:p>
          <w:p w14:paraId="6BDBD262" w14:textId="77777777" w:rsidR="00DE5ED5" w:rsidRPr="009233BF" w:rsidRDefault="00DE5ED5">
            <w:pPr>
              <w:spacing w:after="0" w:line="276" w:lineRule="auto"/>
              <w:rPr>
                <w:rFonts w:eastAsia="MS Mincho" w:cs="Arial"/>
                <w:bCs/>
              </w:rPr>
            </w:pPr>
            <w:r w:rsidRPr="009233BF">
              <w:rPr>
                <w:rFonts w:eastAsia="MS Mincho" w:cs="Arial"/>
                <w:bCs/>
              </w:rPr>
              <w:t>Europe (Sweden)</w:t>
            </w:r>
          </w:p>
        </w:tc>
        <w:tc>
          <w:tcPr>
            <w:tcW w:w="1545" w:type="dxa"/>
            <w:tcBorders>
              <w:top w:val="none" w:sz="12" w:space="0" w:color="000000"/>
              <w:left w:val="none" w:sz="12" w:space="0" w:color="000000"/>
              <w:bottom w:val="none" w:sz="12" w:space="0" w:color="000000"/>
              <w:right w:val="none" w:sz="12" w:space="0" w:color="000000"/>
            </w:tcBorders>
          </w:tcPr>
          <w:p w14:paraId="6B22E160" w14:textId="77777777" w:rsidR="00DE5ED5" w:rsidRPr="009233BF" w:rsidRDefault="00DE5ED5">
            <w:pPr>
              <w:spacing w:after="0"/>
              <w:rPr>
                <w:rFonts w:eastAsia="MS Mincho" w:cs="Arial"/>
                <w:bCs/>
              </w:rPr>
            </w:pPr>
            <w:r w:rsidRPr="009233BF">
              <w:rPr>
                <w:rFonts w:eastAsia="MS Mincho" w:cs="Arial"/>
                <w:bCs/>
              </w:rPr>
              <w:t xml:space="preserve">Autism </w:t>
            </w:r>
          </w:p>
        </w:tc>
        <w:tc>
          <w:tcPr>
            <w:tcW w:w="1545" w:type="dxa"/>
            <w:tcBorders>
              <w:top w:val="none" w:sz="12" w:space="0" w:color="000000"/>
              <w:left w:val="none" w:sz="12" w:space="0" w:color="000000"/>
              <w:bottom w:val="none" w:sz="12" w:space="0" w:color="000000"/>
              <w:right w:val="none" w:sz="12" w:space="0" w:color="000000"/>
            </w:tcBorders>
          </w:tcPr>
          <w:p w14:paraId="342D0FBE" w14:textId="77777777" w:rsidR="00DE5ED5" w:rsidRPr="009233BF" w:rsidRDefault="00DE5ED5">
            <w:pPr>
              <w:spacing w:after="0"/>
              <w:rPr>
                <w:rFonts w:eastAsia="MS Mincho" w:cs="Arial"/>
                <w:bCs/>
                <w:lang w:val="en-US"/>
              </w:rPr>
            </w:pPr>
            <w:r w:rsidRPr="009233BF">
              <w:rPr>
                <w:rFonts w:eastAsia="MS Mincho" w:cs="Arial"/>
                <w:bCs/>
                <w:lang w:val="en-US"/>
              </w:rPr>
              <w:t>To gain insight from stakeholders about how they experienced the APERS-P-SE-based model.</w:t>
            </w:r>
          </w:p>
        </w:tc>
        <w:tc>
          <w:tcPr>
            <w:tcW w:w="1365" w:type="dxa"/>
            <w:tcBorders>
              <w:top w:val="none" w:sz="12" w:space="0" w:color="000000"/>
              <w:left w:val="none" w:sz="12" w:space="0" w:color="000000"/>
              <w:bottom w:val="none" w:sz="12" w:space="0" w:color="000000"/>
              <w:right w:val="none" w:sz="12" w:space="0" w:color="000000"/>
            </w:tcBorders>
          </w:tcPr>
          <w:p w14:paraId="3FC1CD35" w14:textId="77777777" w:rsidR="00DE5ED5" w:rsidRPr="009233BF" w:rsidRDefault="00DE5ED5">
            <w:pPr>
              <w:spacing w:after="0"/>
              <w:rPr>
                <w:rFonts w:eastAsia="MS Mincho" w:cs="Arial"/>
                <w:bCs/>
                <w:lang w:val="en-US"/>
              </w:rPr>
            </w:pPr>
            <w:r w:rsidRPr="009233BF">
              <w:rPr>
                <w:rFonts w:eastAsia="MS Mincho" w:cs="Arial"/>
                <w:bCs/>
                <w:lang w:val="en-US"/>
              </w:rPr>
              <w:t>Preschool principals (n=2); preschool staff (n=4); Mothers (n=3); Fathers (n=1); supervisors (n=9)</w:t>
            </w:r>
          </w:p>
        </w:tc>
        <w:tc>
          <w:tcPr>
            <w:tcW w:w="2130" w:type="dxa"/>
            <w:tcBorders>
              <w:top w:val="none" w:sz="12" w:space="0" w:color="000000"/>
              <w:left w:val="none" w:sz="12" w:space="0" w:color="000000"/>
              <w:bottom w:val="none" w:sz="12" w:space="0" w:color="000000"/>
              <w:right w:val="none" w:sz="12" w:space="0" w:color="000000"/>
            </w:tcBorders>
          </w:tcPr>
          <w:p w14:paraId="08EA3449" w14:textId="77777777" w:rsidR="00DE5ED5" w:rsidRPr="009233BF" w:rsidRDefault="00DE5ED5">
            <w:pPr>
              <w:spacing w:after="0" w:line="276" w:lineRule="auto"/>
              <w:rPr>
                <w:rFonts w:eastAsia="MS Mincho" w:cs="Arial"/>
                <w:bCs/>
              </w:rPr>
            </w:pPr>
            <w:r w:rsidRPr="009233BF">
              <w:rPr>
                <w:rFonts w:eastAsia="MS Mincho" w:cs="Arial"/>
                <w:bCs/>
              </w:rPr>
              <w:t>Autism Program Environment Rating Scale (APERS-P-SE) based model</w:t>
            </w:r>
          </w:p>
        </w:tc>
        <w:tc>
          <w:tcPr>
            <w:tcW w:w="1425" w:type="dxa"/>
            <w:tcBorders>
              <w:top w:val="none" w:sz="12" w:space="0" w:color="000000"/>
              <w:left w:val="none" w:sz="12" w:space="0" w:color="000000"/>
              <w:bottom w:val="none" w:sz="12" w:space="0" w:color="000000"/>
              <w:right w:val="none" w:sz="12" w:space="0" w:color="000000"/>
            </w:tcBorders>
          </w:tcPr>
          <w:p w14:paraId="1BE499AE" w14:textId="77777777" w:rsidR="00DE5ED5" w:rsidRPr="009233BF" w:rsidRDefault="00DE5ED5">
            <w:pPr>
              <w:spacing w:after="0"/>
              <w:rPr>
                <w:rFonts w:eastAsia="MS Mincho" w:cs="Arial"/>
                <w:bCs/>
                <w:lang w:val="en-US"/>
              </w:rPr>
            </w:pPr>
            <w:r w:rsidRPr="009233BF">
              <w:rPr>
                <w:rFonts w:eastAsia="MS Mincho" w:cs="Arial"/>
                <w:bCs/>
                <w:lang w:val="en-US"/>
              </w:rPr>
              <w:t>Interviews &amp; Focus groups /Thematic analysis</w:t>
            </w:r>
          </w:p>
        </w:tc>
        <w:tc>
          <w:tcPr>
            <w:tcW w:w="3510" w:type="dxa"/>
            <w:tcBorders>
              <w:top w:val="none" w:sz="12" w:space="0" w:color="000000"/>
              <w:left w:val="none" w:sz="12" w:space="0" w:color="000000"/>
              <w:bottom w:val="none" w:sz="12" w:space="0" w:color="000000"/>
              <w:right w:val="none" w:sz="12" w:space="0" w:color="000000"/>
            </w:tcBorders>
          </w:tcPr>
          <w:p w14:paraId="2BE874CA" w14:textId="77777777" w:rsidR="00DE5ED5" w:rsidRPr="009233BF" w:rsidRDefault="00DE5ED5">
            <w:pPr>
              <w:spacing w:after="0"/>
              <w:rPr>
                <w:rFonts w:eastAsia="MS Mincho" w:cs="Arial"/>
                <w:lang w:val="en-US"/>
              </w:rPr>
            </w:pPr>
            <w:r w:rsidRPr="009233BF">
              <w:rPr>
                <w:rFonts w:eastAsia="MS Mincho" w:cs="Arial"/>
                <w:lang w:val="en-US"/>
              </w:rPr>
              <w:t xml:space="preserve">Stakeholder groups differed in what they emphasised, but all highlighted staff’s competence, children’s inclusion and participation, collaboration </w:t>
            </w:r>
            <w:r w:rsidRPr="009233BF">
              <w:rPr>
                <w:rFonts w:eastAsia="MS Mincho" w:cs="Arial"/>
              </w:rPr>
              <w:t>(working on the same goals at home and at preschool),</w:t>
            </w:r>
            <w:r w:rsidRPr="009233BF">
              <w:rPr>
                <w:rFonts w:eastAsia="MS Mincho" w:cs="Arial"/>
                <w:lang w:val="en-US"/>
              </w:rPr>
              <w:t xml:space="preserve"> and the learning environment as key program areas that had been positively influenced by the APERS-based intervention. </w:t>
            </w:r>
            <w:r w:rsidRPr="009233BF">
              <w:rPr>
                <w:rFonts w:eastAsia="MS Mincho" w:cs="Arial"/>
              </w:rPr>
              <w:t>Challenges to implementation included having some (re)habilitation supervisors with little to no inclusion training and schools having limited funds to hire paraprofessionals.</w:t>
            </w:r>
            <w:r w:rsidRPr="009233BF">
              <w:rPr>
                <w:rFonts w:eastAsia="MS Mincho" w:cs="Arial"/>
                <w:lang w:val="en-US"/>
              </w:rPr>
              <w:t xml:space="preserve"> </w:t>
            </w:r>
          </w:p>
        </w:tc>
        <w:tc>
          <w:tcPr>
            <w:tcW w:w="1065" w:type="dxa"/>
            <w:tcBorders>
              <w:top w:val="none" w:sz="12" w:space="0" w:color="000000"/>
              <w:left w:val="none" w:sz="12" w:space="0" w:color="000000"/>
              <w:bottom w:val="none" w:sz="12" w:space="0" w:color="000000"/>
              <w:right w:val="none" w:sz="12" w:space="0" w:color="000000"/>
            </w:tcBorders>
          </w:tcPr>
          <w:p w14:paraId="0FD5354A"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4B719550" w14:textId="77777777">
        <w:trPr>
          <w:cnfStyle w:val="000000100000" w:firstRow="0" w:lastRow="0" w:firstColumn="0" w:lastColumn="0" w:oddVBand="0" w:evenVBand="0" w:oddHBand="1" w:evenHBand="0" w:firstRowFirstColumn="0" w:firstRowLastColumn="0" w:lastRowFirstColumn="0" w:lastRowLastColumn="0"/>
          <w:trHeight w:val="608"/>
        </w:trPr>
        <w:tc>
          <w:tcPr>
            <w:tcW w:w="1365" w:type="dxa"/>
            <w:tcBorders>
              <w:top w:val="none" w:sz="12" w:space="0" w:color="000000"/>
              <w:left w:val="none" w:sz="12" w:space="0" w:color="000000"/>
              <w:bottom w:val="none" w:sz="12" w:space="0" w:color="000000"/>
              <w:right w:val="none" w:sz="12" w:space="0" w:color="000000"/>
            </w:tcBorders>
          </w:tcPr>
          <w:p w14:paraId="5C4579F7" w14:textId="77777777" w:rsidR="00DE5ED5" w:rsidRPr="009233BF" w:rsidRDefault="00DE5ED5">
            <w:pPr>
              <w:spacing w:after="0" w:line="276" w:lineRule="auto"/>
              <w:rPr>
                <w:rFonts w:eastAsia="MS Mincho" w:cs="Arial"/>
                <w:bCs/>
              </w:rPr>
            </w:pPr>
            <w:r w:rsidRPr="009233BF">
              <w:rPr>
                <w:rFonts w:eastAsia="MS Mincho" w:cs="Arial"/>
                <w:bCs/>
              </w:rPr>
              <w:t xml:space="preserve">Sailsbury, 2018, </w:t>
            </w:r>
          </w:p>
          <w:p w14:paraId="7064CDFF" w14:textId="77777777" w:rsidR="00DE5ED5" w:rsidRPr="009233BF" w:rsidRDefault="00DE5ED5">
            <w:pPr>
              <w:spacing w:after="0" w:line="276" w:lineRule="auto"/>
              <w:rPr>
                <w:rFonts w:eastAsia="MS Mincho" w:cs="Arial"/>
                <w:bCs/>
              </w:rPr>
            </w:pPr>
            <w:r w:rsidRPr="009233BF">
              <w:rPr>
                <w:rFonts w:eastAsia="MS Mincho" w:cs="Arial"/>
                <w:bCs/>
              </w:rPr>
              <w:t>United States</w:t>
            </w:r>
          </w:p>
        </w:tc>
        <w:tc>
          <w:tcPr>
            <w:tcW w:w="1545" w:type="dxa"/>
            <w:tcBorders>
              <w:top w:val="none" w:sz="12" w:space="0" w:color="000000"/>
              <w:left w:val="none" w:sz="12" w:space="0" w:color="000000"/>
              <w:bottom w:val="none" w:sz="12" w:space="0" w:color="000000"/>
              <w:right w:val="none" w:sz="12" w:space="0" w:color="000000"/>
            </w:tcBorders>
          </w:tcPr>
          <w:p w14:paraId="663FB010" w14:textId="77777777" w:rsidR="00DE5ED5" w:rsidRPr="009233BF" w:rsidRDefault="00DE5ED5">
            <w:pPr>
              <w:spacing w:after="0"/>
              <w:rPr>
                <w:rFonts w:eastAsia="MS Mincho" w:cs="Arial"/>
                <w:bCs/>
              </w:rPr>
            </w:pPr>
            <w:r w:rsidRPr="009233BF">
              <w:rPr>
                <w:rFonts w:eastAsia="MS Mincho" w:cs="Arial"/>
                <w:bCs/>
              </w:rPr>
              <w:t>Moderate–severe delays or disabilities</w:t>
            </w:r>
          </w:p>
        </w:tc>
        <w:tc>
          <w:tcPr>
            <w:tcW w:w="1545" w:type="dxa"/>
            <w:tcBorders>
              <w:top w:val="none" w:sz="12" w:space="0" w:color="000000"/>
              <w:left w:val="none" w:sz="12" w:space="0" w:color="000000"/>
              <w:bottom w:val="none" w:sz="12" w:space="0" w:color="000000"/>
              <w:right w:val="none" w:sz="12" w:space="0" w:color="000000"/>
            </w:tcBorders>
          </w:tcPr>
          <w:p w14:paraId="34523C64" w14:textId="77777777" w:rsidR="00DE5ED5" w:rsidRPr="009233BF" w:rsidRDefault="00DE5ED5">
            <w:pPr>
              <w:shd w:val="clear" w:color="auto" w:fill="FFFFFF"/>
              <w:spacing w:after="0"/>
              <w:rPr>
                <w:rFonts w:eastAsia="MS Mincho" w:cs="Arial"/>
                <w:bCs/>
                <w:lang w:val="en-US"/>
              </w:rPr>
            </w:pPr>
            <w:r w:rsidRPr="009233BF">
              <w:rPr>
                <w:rFonts w:eastAsia="MS Mincho" w:cs="Arial"/>
                <w:bCs/>
                <w:lang w:val="en-US"/>
              </w:rPr>
              <w:t>To gather perspectives</w:t>
            </w:r>
          </w:p>
          <w:p w14:paraId="51E3955B" w14:textId="77777777" w:rsidR="00DE5ED5" w:rsidRPr="009233BF" w:rsidRDefault="00DE5ED5">
            <w:pPr>
              <w:shd w:val="clear" w:color="auto" w:fill="FFFFFF"/>
              <w:spacing w:after="0"/>
              <w:rPr>
                <w:rFonts w:eastAsia="MS Mincho" w:cs="Arial"/>
                <w:bCs/>
                <w:lang w:val="en-US"/>
              </w:rPr>
            </w:pPr>
            <w:r w:rsidRPr="009233BF">
              <w:rPr>
                <w:rFonts w:eastAsia="MS Mincho" w:cs="Arial"/>
                <w:bCs/>
                <w:lang w:val="en-US"/>
              </w:rPr>
              <w:t>about and experiences with the EPIC approach.</w:t>
            </w:r>
          </w:p>
          <w:p w14:paraId="22E59369" w14:textId="77777777" w:rsidR="00DE5ED5" w:rsidRPr="009233BF" w:rsidRDefault="00DE5ED5">
            <w:pPr>
              <w:spacing w:after="0"/>
              <w:rPr>
                <w:rFonts w:eastAsia="MS Mincho" w:cs="Arial"/>
                <w:bCs/>
              </w:rPr>
            </w:pPr>
          </w:p>
        </w:tc>
        <w:tc>
          <w:tcPr>
            <w:tcW w:w="1365" w:type="dxa"/>
            <w:tcBorders>
              <w:top w:val="none" w:sz="12" w:space="0" w:color="000000"/>
              <w:left w:val="none" w:sz="12" w:space="0" w:color="000000"/>
              <w:bottom w:val="none" w:sz="12" w:space="0" w:color="000000"/>
              <w:right w:val="none" w:sz="12" w:space="0" w:color="000000"/>
            </w:tcBorders>
          </w:tcPr>
          <w:p w14:paraId="5C54E455" w14:textId="77777777" w:rsidR="00DE5ED5" w:rsidRPr="009233BF" w:rsidRDefault="00DE5ED5">
            <w:pPr>
              <w:spacing w:after="0"/>
              <w:rPr>
                <w:rFonts w:eastAsia="MS Mincho" w:cs="Arial"/>
                <w:bCs/>
                <w:lang w:val="en-US"/>
              </w:rPr>
            </w:pPr>
            <w:r w:rsidRPr="009233BF">
              <w:rPr>
                <w:rFonts w:eastAsia="MS Mincho" w:cs="Arial"/>
                <w:bCs/>
                <w:lang w:val="en-US"/>
              </w:rPr>
              <w:t>Female early intervention providers (n=11); Mothers of infants/</w:t>
            </w:r>
          </w:p>
          <w:p w14:paraId="3FC86BC4" w14:textId="77777777" w:rsidR="00DE5ED5" w:rsidRPr="009233BF" w:rsidRDefault="00DE5ED5">
            <w:pPr>
              <w:spacing w:after="0"/>
              <w:rPr>
                <w:rFonts w:eastAsia="MS Mincho" w:cs="Arial"/>
                <w:bCs/>
                <w:lang w:val="en-US"/>
              </w:rPr>
            </w:pPr>
            <w:r w:rsidRPr="009233BF">
              <w:rPr>
                <w:rFonts w:eastAsia="MS Mincho" w:cs="Arial"/>
                <w:bCs/>
                <w:lang w:val="en-US"/>
              </w:rPr>
              <w:t xml:space="preserve">toddlers </w:t>
            </w:r>
          </w:p>
          <w:p w14:paraId="06DB24B5" w14:textId="77777777" w:rsidR="00DE5ED5" w:rsidRPr="009233BF" w:rsidRDefault="00DE5ED5">
            <w:pPr>
              <w:spacing w:after="0"/>
              <w:rPr>
                <w:rFonts w:eastAsia="MS Mincho" w:cs="Arial"/>
                <w:bCs/>
                <w:lang w:val="en-US"/>
              </w:rPr>
            </w:pPr>
            <w:r w:rsidRPr="009233BF">
              <w:rPr>
                <w:rFonts w:eastAsia="MS Mincho" w:cs="Arial"/>
                <w:bCs/>
                <w:lang w:val="en-US"/>
              </w:rPr>
              <w:t xml:space="preserve"> (n=19)</w:t>
            </w:r>
          </w:p>
          <w:p w14:paraId="201BF9D0" w14:textId="77777777" w:rsidR="00DE5ED5" w:rsidRPr="009233BF" w:rsidRDefault="00DE5ED5">
            <w:pPr>
              <w:spacing w:after="0"/>
              <w:rPr>
                <w:rFonts w:eastAsia="MS Mincho" w:cs="Arial"/>
                <w:bCs/>
                <w:lang w:val="en-US"/>
              </w:rPr>
            </w:pPr>
          </w:p>
        </w:tc>
        <w:tc>
          <w:tcPr>
            <w:tcW w:w="2130" w:type="dxa"/>
            <w:tcBorders>
              <w:top w:val="none" w:sz="12" w:space="0" w:color="000000"/>
              <w:left w:val="none" w:sz="12" w:space="0" w:color="000000"/>
              <w:bottom w:val="none" w:sz="12" w:space="0" w:color="000000"/>
              <w:right w:val="none" w:sz="12" w:space="0" w:color="000000"/>
            </w:tcBorders>
          </w:tcPr>
          <w:p w14:paraId="6C4B7408" w14:textId="77777777" w:rsidR="00DE5ED5" w:rsidRPr="009233BF" w:rsidRDefault="00DE5ED5">
            <w:pPr>
              <w:spacing w:after="0" w:line="276" w:lineRule="auto"/>
              <w:rPr>
                <w:rFonts w:eastAsia="MS Mincho" w:cs="Arial"/>
                <w:bCs/>
              </w:rPr>
            </w:pPr>
            <w:r w:rsidRPr="009233BF">
              <w:rPr>
                <w:rFonts w:eastAsia="MS Mincho" w:cs="Arial"/>
                <w:bCs/>
              </w:rPr>
              <w:t>The Embedded Practices &amp; Intervention with Caregivers (EPIC) approach has two components: caregiver coaching and a five question (5Q) process for supporting embedded practices</w:t>
            </w:r>
          </w:p>
        </w:tc>
        <w:tc>
          <w:tcPr>
            <w:tcW w:w="1425" w:type="dxa"/>
            <w:tcBorders>
              <w:top w:val="none" w:sz="12" w:space="0" w:color="000000"/>
              <w:left w:val="none" w:sz="12" w:space="0" w:color="000000"/>
              <w:bottom w:val="none" w:sz="12" w:space="0" w:color="000000"/>
              <w:right w:val="none" w:sz="12" w:space="0" w:color="000000"/>
            </w:tcBorders>
          </w:tcPr>
          <w:p w14:paraId="25AF3E16" w14:textId="77777777" w:rsidR="00DE5ED5" w:rsidRPr="009233BF" w:rsidRDefault="00DE5ED5">
            <w:pPr>
              <w:spacing w:after="160" w:line="276" w:lineRule="auto"/>
              <w:rPr>
                <w:rFonts w:eastAsia="MS Mincho" w:cs="Arial"/>
                <w:bCs/>
              </w:rPr>
            </w:pPr>
            <w:r w:rsidRPr="009233BF">
              <w:rPr>
                <w:rFonts w:eastAsia="MS Mincho" w:cs="Arial"/>
                <w:bCs/>
              </w:rPr>
              <w:t>Interviews, focus groups &amp; questionnaires/ descriptive phenomenological &amp; collective case study approach</w:t>
            </w:r>
          </w:p>
        </w:tc>
        <w:tc>
          <w:tcPr>
            <w:tcW w:w="3510" w:type="dxa"/>
            <w:tcBorders>
              <w:top w:val="none" w:sz="12" w:space="0" w:color="000000"/>
              <w:left w:val="none" w:sz="12" w:space="0" w:color="000000"/>
              <w:bottom w:val="none" w:sz="12" w:space="0" w:color="000000"/>
              <w:right w:val="none" w:sz="12" w:space="0" w:color="000000"/>
            </w:tcBorders>
          </w:tcPr>
          <w:p w14:paraId="4EED8A1D" w14:textId="77777777" w:rsidR="00DE5ED5" w:rsidRPr="009233BF" w:rsidRDefault="00DE5ED5">
            <w:pPr>
              <w:shd w:val="clear" w:color="auto" w:fill="FFFFFF"/>
              <w:spacing w:after="0"/>
              <w:rPr>
                <w:rFonts w:eastAsia="MS Mincho" w:cs="Arial"/>
              </w:rPr>
            </w:pPr>
            <w:r w:rsidRPr="009233BF">
              <w:rPr>
                <w:rFonts w:eastAsia="MS Mincho" w:cs="Arial"/>
              </w:rPr>
              <w:t>The coaching process was viewed as positive and effective by both caregivers and providers. Both caregivers and providers shared the view that the 5Q framework was helpful in building the knowledge and skills of caregivers. Providers reported teaching challenges in the form of addressing child needs, presence of siblings in the home, limited opportunities outside the home for under-resourced families, and language barriers. Caregivers felt the key to building their knowledge and skills was making decisions together, feeling supported, and working together as a triad within the context of existing activities and routines in the home.</w:t>
            </w:r>
          </w:p>
        </w:tc>
        <w:tc>
          <w:tcPr>
            <w:tcW w:w="1065" w:type="dxa"/>
            <w:tcBorders>
              <w:top w:val="none" w:sz="12" w:space="0" w:color="000000"/>
              <w:left w:val="none" w:sz="12" w:space="0" w:color="000000"/>
              <w:bottom w:val="none" w:sz="12" w:space="0" w:color="000000"/>
              <w:right w:val="none" w:sz="12" w:space="0" w:color="000000"/>
            </w:tcBorders>
          </w:tcPr>
          <w:p w14:paraId="09D85640"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487F8B6D" w14:textId="77777777" w:rsidTr="006478C1">
        <w:trPr>
          <w:cnfStyle w:val="000000010000" w:firstRow="0" w:lastRow="0" w:firstColumn="0" w:lastColumn="0" w:oddVBand="0" w:evenVBand="0" w:oddHBand="0" w:evenHBand="1" w:firstRowFirstColumn="0" w:firstRowLastColumn="0" w:lastRowFirstColumn="0" w:lastRowLastColumn="0"/>
          <w:trHeight w:val="599"/>
        </w:trPr>
        <w:tc>
          <w:tcPr>
            <w:tcW w:w="1365" w:type="dxa"/>
            <w:tcBorders>
              <w:top w:val="none" w:sz="12" w:space="0" w:color="000000"/>
              <w:left w:val="none" w:sz="12" w:space="0" w:color="000000"/>
              <w:bottom w:val="none" w:sz="12" w:space="0" w:color="000000"/>
              <w:right w:val="none" w:sz="12" w:space="0" w:color="000000"/>
            </w:tcBorders>
          </w:tcPr>
          <w:p w14:paraId="5F7A0384" w14:textId="77777777" w:rsidR="00DE5ED5" w:rsidRPr="009233BF" w:rsidRDefault="00DE5ED5">
            <w:pPr>
              <w:spacing w:after="0" w:line="276" w:lineRule="auto"/>
              <w:rPr>
                <w:rFonts w:eastAsia="MS Mincho" w:cs="Arial"/>
                <w:bCs/>
              </w:rPr>
            </w:pPr>
            <w:r w:rsidRPr="009233BF">
              <w:rPr>
                <w:rFonts w:eastAsia="MS Mincho" w:cs="Arial"/>
                <w:bCs/>
              </w:rPr>
              <w:t xml:space="preserve">Siller, </w:t>
            </w:r>
          </w:p>
          <w:p w14:paraId="66E5B68B" w14:textId="77777777" w:rsidR="00DE5ED5" w:rsidRPr="009233BF" w:rsidRDefault="00DE5ED5">
            <w:pPr>
              <w:spacing w:after="0" w:line="276" w:lineRule="auto"/>
              <w:rPr>
                <w:rFonts w:eastAsia="MS Mincho" w:cs="Arial"/>
                <w:bCs/>
              </w:rPr>
            </w:pPr>
            <w:r w:rsidRPr="009233BF">
              <w:rPr>
                <w:rFonts w:eastAsia="MS Mincho" w:cs="Arial"/>
                <w:bCs/>
              </w:rPr>
              <w:t>2022*,</w:t>
            </w:r>
          </w:p>
          <w:p w14:paraId="1598D94D" w14:textId="77777777" w:rsidR="00DE5ED5" w:rsidRPr="009233BF" w:rsidRDefault="00DE5ED5">
            <w:pPr>
              <w:spacing w:after="0" w:line="276" w:lineRule="auto"/>
              <w:rPr>
                <w:rFonts w:eastAsia="MS Mincho" w:cs="Arial"/>
                <w:bCs/>
              </w:rPr>
            </w:pPr>
            <w:r w:rsidRPr="009233BF">
              <w:rPr>
                <w:rFonts w:eastAsia="MS Mincho" w:cs="Arial"/>
                <w:bCs/>
              </w:rPr>
              <w:t>United States</w:t>
            </w:r>
          </w:p>
        </w:tc>
        <w:tc>
          <w:tcPr>
            <w:tcW w:w="1545" w:type="dxa"/>
            <w:tcBorders>
              <w:top w:val="none" w:sz="12" w:space="0" w:color="000000"/>
              <w:left w:val="none" w:sz="12" w:space="0" w:color="000000"/>
              <w:bottom w:val="none" w:sz="12" w:space="0" w:color="000000"/>
              <w:right w:val="none" w:sz="12" w:space="0" w:color="000000"/>
            </w:tcBorders>
          </w:tcPr>
          <w:p w14:paraId="23D51A8B" w14:textId="77777777" w:rsidR="00DE5ED5" w:rsidRPr="009233BF" w:rsidRDefault="00DE5ED5">
            <w:pPr>
              <w:spacing w:after="0"/>
              <w:rPr>
                <w:rFonts w:eastAsia="MS Mincho" w:cs="Arial"/>
                <w:bCs/>
              </w:rPr>
            </w:pPr>
            <w:r w:rsidRPr="009233BF">
              <w:rPr>
                <w:rFonts w:eastAsia="MS Mincho" w:cs="Arial"/>
                <w:bCs/>
              </w:rPr>
              <w:t>Autism</w:t>
            </w:r>
          </w:p>
        </w:tc>
        <w:tc>
          <w:tcPr>
            <w:tcW w:w="1545" w:type="dxa"/>
            <w:tcBorders>
              <w:top w:val="none" w:sz="12" w:space="0" w:color="000000"/>
              <w:left w:val="none" w:sz="12" w:space="0" w:color="000000"/>
              <w:bottom w:val="none" w:sz="12" w:space="0" w:color="000000"/>
              <w:right w:val="none" w:sz="12" w:space="0" w:color="000000"/>
            </w:tcBorders>
          </w:tcPr>
          <w:p w14:paraId="4168097B" w14:textId="77777777" w:rsidR="00DE5ED5" w:rsidRPr="009233BF" w:rsidRDefault="00DE5ED5">
            <w:pPr>
              <w:spacing w:after="0"/>
              <w:rPr>
                <w:rFonts w:eastAsia="MS Mincho" w:cs="Arial"/>
                <w:bCs/>
              </w:rPr>
            </w:pPr>
            <w:r w:rsidRPr="009233BF">
              <w:rPr>
                <w:rFonts w:eastAsia="MS Mincho" w:cs="Arial"/>
                <w:bCs/>
              </w:rPr>
              <w:t>To explore experiences of implementing/participating in FPI-P.</w:t>
            </w:r>
          </w:p>
        </w:tc>
        <w:tc>
          <w:tcPr>
            <w:tcW w:w="1365" w:type="dxa"/>
            <w:tcBorders>
              <w:top w:val="none" w:sz="12" w:space="0" w:color="000000"/>
              <w:left w:val="none" w:sz="12" w:space="0" w:color="000000"/>
              <w:bottom w:val="none" w:sz="12" w:space="0" w:color="000000"/>
              <w:right w:val="none" w:sz="12" w:space="0" w:color="000000"/>
            </w:tcBorders>
          </w:tcPr>
          <w:p w14:paraId="4F409C5C" w14:textId="77777777" w:rsidR="00DE5ED5" w:rsidRPr="009233BF" w:rsidRDefault="00DE5ED5">
            <w:pPr>
              <w:spacing w:after="0"/>
              <w:rPr>
                <w:rFonts w:eastAsia="MS Mincho" w:cs="Arial"/>
                <w:bCs/>
                <w:lang w:val="en-US"/>
              </w:rPr>
            </w:pPr>
            <w:r w:rsidRPr="009233BF">
              <w:rPr>
                <w:rFonts w:eastAsia="MS Mincho" w:cs="Arial"/>
                <w:bCs/>
                <w:lang w:val="en-US"/>
              </w:rPr>
              <w:t>Preschool education staff (n=10); families (n=7)</w:t>
            </w:r>
          </w:p>
        </w:tc>
        <w:tc>
          <w:tcPr>
            <w:tcW w:w="2130" w:type="dxa"/>
            <w:tcBorders>
              <w:top w:val="none" w:sz="12" w:space="0" w:color="000000"/>
              <w:left w:val="none" w:sz="12" w:space="0" w:color="000000"/>
              <w:bottom w:val="none" w:sz="12" w:space="0" w:color="000000"/>
              <w:right w:val="none" w:sz="12" w:space="0" w:color="000000"/>
            </w:tcBorders>
          </w:tcPr>
          <w:p w14:paraId="7CBB45BE" w14:textId="77777777" w:rsidR="00DE5ED5" w:rsidRPr="009233BF" w:rsidRDefault="00DE5ED5">
            <w:pPr>
              <w:spacing w:after="0" w:line="276" w:lineRule="auto"/>
              <w:rPr>
                <w:rFonts w:eastAsia="MS Mincho" w:cs="Arial"/>
                <w:bCs/>
              </w:rPr>
            </w:pPr>
            <w:r w:rsidRPr="009233BF">
              <w:rPr>
                <w:rFonts w:eastAsia="MS Mincho" w:cs="Arial"/>
                <w:bCs/>
              </w:rPr>
              <w:t>An adapted evidence-based parent coaching intervention - Focused Playtime Intervention-Preschool, FPI-P</w:t>
            </w:r>
          </w:p>
        </w:tc>
        <w:tc>
          <w:tcPr>
            <w:tcW w:w="1425" w:type="dxa"/>
            <w:tcBorders>
              <w:top w:val="none" w:sz="12" w:space="0" w:color="000000"/>
              <w:left w:val="none" w:sz="12" w:space="0" w:color="000000"/>
              <w:bottom w:val="none" w:sz="12" w:space="0" w:color="000000"/>
              <w:right w:val="none" w:sz="12" w:space="0" w:color="000000"/>
            </w:tcBorders>
          </w:tcPr>
          <w:p w14:paraId="376F7F70" w14:textId="77777777" w:rsidR="00DE5ED5" w:rsidRPr="009233BF" w:rsidRDefault="00DE5ED5">
            <w:pPr>
              <w:spacing w:after="0"/>
              <w:rPr>
                <w:rFonts w:eastAsia="MS Mincho" w:cs="Arial"/>
                <w:bCs/>
              </w:rPr>
            </w:pPr>
            <w:r w:rsidRPr="009233BF">
              <w:rPr>
                <w:rFonts w:eastAsia="MS Mincho" w:cs="Arial"/>
                <w:bCs/>
              </w:rPr>
              <w:t>Interviews &amp; focus groups / conventional content analysis.</w:t>
            </w:r>
          </w:p>
        </w:tc>
        <w:tc>
          <w:tcPr>
            <w:tcW w:w="3510" w:type="dxa"/>
            <w:tcBorders>
              <w:top w:val="none" w:sz="12" w:space="0" w:color="000000"/>
              <w:left w:val="none" w:sz="12" w:space="0" w:color="000000"/>
              <w:bottom w:val="none" w:sz="12" w:space="0" w:color="000000"/>
              <w:right w:val="none" w:sz="12" w:space="0" w:color="000000"/>
            </w:tcBorders>
          </w:tcPr>
          <w:p w14:paraId="4B78B771" w14:textId="77777777" w:rsidR="00DE5ED5" w:rsidRPr="009233BF" w:rsidRDefault="00DE5ED5">
            <w:pPr>
              <w:spacing w:after="0" w:line="276" w:lineRule="auto"/>
              <w:rPr>
                <w:rFonts w:eastAsia="MS Mincho" w:cs="Arial"/>
                <w:bCs/>
              </w:rPr>
            </w:pPr>
            <w:r w:rsidRPr="009233BF">
              <w:rPr>
                <w:rFonts w:eastAsia="MS Mincho" w:cs="Arial"/>
                <w:bCs/>
              </w:rPr>
              <w:t>While findings highlighted opportunities for improving FPI-P staff training and implementation, results demonstrated (a) the feasibility of involving ECEC staff in the delivery of ASD-specific parent coaching to promote social communication, (b) that both parents and preschool staff viewed the experience as beneficial for themselves and the child, and (c) that parents perceived the program to be aligned with family-centred intervention principles.</w:t>
            </w:r>
          </w:p>
        </w:tc>
        <w:tc>
          <w:tcPr>
            <w:tcW w:w="1065" w:type="dxa"/>
            <w:tcBorders>
              <w:top w:val="none" w:sz="12" w:space="0" w:color="000000"/>
              <w:left w:val="none" w:sz="12" w:space="0" w:color="000000"/>
              <w:bottom w:val="none" w:sz="12" w:space="0" w:color="000000"/>
              <w:right w:val="none" w:sz="12" w:space="0" w:color="000000"/>
            </w:tcBorders>
          </w:tcPr>
          <w:p w14:paraId="71223607"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13AB996A" w14:textId="77777777">
        <w:trPr>
          <w:cnfStyle w:val="000000100000" w:firstRow="0" w:lastRow="0" w:firstColumn="0" w:lastColumn="0" w:oddVBand="0" w:evenVBand="0" w:oddHBand="1" w:evenHBand="0" w:firstRowFirstColumn="0" w:firstRowLastColumn="0" w:lastRowFirstColumn="0" w:lastRowLastColumn="0"/>
          <w:trHeight w:val="324"/>
        </w:trPr>
        <w:tc>
          <w:tcPr>
            <w:tcW w:w="13950" w:type="dxa"/>
            <w:gridSpan w:val="8"/>
            <w:tcBorders>
              <w:top w:val="none" w:sz="12" w:space="0" w:color="000000"/>
              <w:left w:val="none" w:sz="12" w:space="0" w:color="000000"/>
              <w:bottom w:val="none" w:sz="12" w:space="0" w:color="000000"/>
              <w:right w:val="none" w:sz="12" w:space="0" w:color="000000"/>
            </w:tcBorders>
            <w:shd w:val="clear" w:color="auto" w:fill="E7E6E6"/>
          </w:tcPr>
          <w:p w14:paraId="6014A931" w14:textId="77777777" w:rsidR="00DE5ED5" w:rsidRPr="009233BF" w:rsidRDefault="00DE5ED5">
            <w:pPr>
              <w:spacing w:after="0"/>
              <w:rPr>
                <w:rFonts w:eastAsia="MS Mincho" w:cs="Arial"/>
                <w:b/>
              </w:rPr>
            </w:pPr>
            <w:r w:rsidRPr="009233BF">
              <w:rPr>
                <w:rFonts w:eastAsia="MS Mincho" w:cs="Arial"/>
                <w:b/>
              </w:rPr>
              <w:t xml:space="preserve">Studies providing outcomes for practitioners </w:t>
            </w:r>
          </w:p>
        </w:tc>
      </w:tr>
      <w:tr w:rsidR="00DE5ED5" w:rsidRPr="00E4576E" w14:paraId="272932B8" w14:textId="77777777">
        <w:trPr>
          <w:cnfStyle w:val="000000010000" w:firstRow="0" w:lastRow="0" w:firstColumn="0" w:lastColumn="0" w:oddVBand="0" w:evenVBand="0" w:oddHBand="0" w:evenHBand="1" w:firstRowFirstColumn="0" w:firstRowLastColumn="0" w:lastRowFirstColumn="0" w:lastRowLastColumn="0"/>
          <w:trHeight w:val="2115"/>
        </w:trPr>
        <w:tc>
          <w:tcPr>
            <w:tcW w:w="1365" w:type="dxa"/>
            <w:tcBorders>
              <w:top w:val="none" w:sz="12" w:space="0" w:color="000000"/>
              <w:left w:val="none" w:sz="12" w:space="0" w:color="000000"/>
              <w:bottom w:val="none" w:sz="12" w:space="0" w:color="000000"/>
              <w:right w:val="none" w:sz="12" w:space="0" w:color="000000"/>
            </w:tcBorders>
          </w:tcPr>
          <w:p w14:paraId="39293E77" w14:textId="77777777" w:rsidR="00DE5ED5" w:rsidRPr="009233BF" w:rsidRDefault="00DE5ED5">
            <w:pPr>
              <w:spacing w:after="0" w:line="276" w:lineRule="auto"/>
              <w:rPr>
                <w:rFonts w:cs="Arial"/>
                <w:bCs/>
              </w:rPr>
            </w:pPr>
            <w:r w:rsidRPr="009233BF">
              <w:rPr>
                <w:rFonts w:cs="Arial"/>
                <w:bCs/>
              </w:rPr>
              <w:t>Aylward,</w:t>
            </w:r>
          </w:p>
          <w:p w14:paraId="7E4E3597" w14:textId="77777777" w:rsidR="00DE5ED5" w:rsidRPr="009233BF" w:rsidRDefault="00DE5ED5">
            <w:pPr>
              <w:spacing w:after="0" w:line="276" w:lineRule="auto"/>
              <w:rPr>
                <w:rFonts w:cs="Arial"/>
                <w:bCs/>
              </w:rPr>
            </w:pPr>
            <w:r w:rsidRPr="009233BF">
              <w:rPr>
                <w:rFonts w:cs="Arial"/>
                <w:bCs/>
              </w:rPr>
              <w:t>2021,</w:t>
            </w:r>
          </w:p>
          <w:p w14:paraId="196AE44F" w14:textId="77777777" w:rsidR="00DE5ED5" w:rsidRPr="009233BF" w:rsidRDefault="00DE5ED5">
            <w:pPr>
              <w:spacing w:after="0"/>
              <w:rPr>
                <w:rFonts w:eastAsia="MS Mincho" w:cs="Arial"/>
                <w:bCs/>
              </w:rPr>
            </w:pPr>
            <w:r w:rsidRPr="009233BF">
              <w:rPr>
                <w:rFonts w:cs="Arial"/>
                <w:bCs/>
              </w:rPr>
              <w:t>Australia</w:t>
            </w:r>
          </w:p>
        </w:tc>
        <w:tc>
          <w:tcPr>
            <w:tcW w:w="1545" w:type="dxa"/>
            <w:tcBorders>
              <w:top w:val="none" w:sz="12" w:space="0" w:color="000000"/>
              <w:left w:val="none" w:sz="12" w:space="0" w:color="000000"/>
              <w:bottom w:val="none" w:sz="12" w:space="0" w:color="000000"/>
              <w:right w:val="none" w:sz="12" w:space="0" w:color="000000"/>
            </w:tcBorders>
          </w:tcPr>
          <w:p w14:paraId="34C56751" w14:textId="77777777" w:rsidR="00DE5ED5" w:rsidRPr="009233BF" w:rsidRDefault="00DE5ED5">
            <w:pPr>
              <w:spacing w:after="0"/>
              <w:rPr>
                <w:rFonts w:eastAsia="MS Mincho" w:cs="Arial"/>
                <w:bCs/>
              </w:rPr>
            </w:pPr>
            <w:r w:rsidRPr="009233BF">
              <w:rPr>
                <w:rFonts w:cs="Arial"/>
                <w:bCs/>
              </w:rPr>
              <w:t>Autism</w:t>
            </w:r>
          </w:p>
        </w:tc>
        <w:tc>
          <w:tcPr>
            <w:tcW w:w="1545" w:type="dxa"/>
            <w:tcBorders>
              <w:top w:val="none" w:sz="12" w:space="0" w:color="000000"/>
              <w:left w:val="none" w:sz="12" w:space="0" w:color="000000"/>
              <w:bottom w:val="none" w:sz="12" w:space="0" w:color="000000"/>
              <w:right w:val="none" w:sz="12" w:space="0" w:color="000000"/>
            </w:tcBorders>
          </w:tcPr>
          <w:p w14:paraId="1419663F" w14:textId="77777777" w:rsidR="00DE5ED5" w:rsidRPr="009233BF" w:rsidRDefault="00DE5ED5">
            <w:pPr>
              <w:spacing w:after="0"/>
              <w:rPr>
                <w:rFonts w:cs="Arial"/>
                <w:bCs/>
                <w:lang w:val="en-US"/>
              </w:rPr>
            </w:pPr>
            <w:r w:rsidRPr="009233BF">
              <w:rPr>
                <w:rFonts w:cs="Arial"/>
                <w:bCs/>
                <w:lang w:val="en-US"/>
              </w:rPr>
              <w:t>To investigate the effect of a professional development program, based on the ESDM teaching principles</w:t>
            </w:r>
          </w:p>
        </w:tc>
        <w:tc>
          <w:tcPr>
            <w:tcW w:w="1365" w:type="dxa"/>
            <w:tcBorders>
              <w:top w:val="none" w:sz="12" w:space="0" w:color="000000"/>
              <w:left w:val="none" w:sz="12" w:space="0" w:color="000000"/>
              <w:bottom w:val="none" w:sz="12" w:space="0" w:color="000000"/>
              <w:right w:val="none" w:sz="12" w:space="0" w:color="000000"/>
            </w:tcBorders>
          </w:tcPr>
          <w:p w14:paraId="2D742DDE" w14:textId="77777777" w:rsidR="00DE5ED5" w:rsidRPr="009233BF" w:rsidRDefault="00DE5ED5">
            <w:pPr>
              <w:spacing w:after="0"/>
              <w:rPr>
                <w:rFonts w:eastAsia="MS Mincho" w:cs="Arial"/>
                <w:bCs/>
              </w:rPr>
            </w:pPr>
            <w:r w:rsidRPr="009233BF">
              <w:rPr>
                <w:rFonts w:cs="Arial"/>
                <w:bCs/>
                <w:lang w:val="en-US"/>
              </w:rPr>
              <w:t xml:space="preserve">Staff at 3 early childhood education (ECEC) centres </w:t>
            </w:r>
          </w:p>
        </w:tc>
        <w:tc>
          <w:tcPr>
            <w:tcW w:w="2130" w:type="dxa"/>
            <w:tcBorders>
              <w:top w:val="none" w:sz="12" w:space="0" w:color="000000"/>
              <w:left w:val="none" w:sz="12" w:space="0" w:color="000000"/>
              <w:bottom w:val="none" w:sz="12" w:space="0" w:color="000000"/>
              <w:right w:val="none" w:sz="12" w:space="0" w:color="000000"/>
            </w:tcBorders>
          </w:tcPr>
          <w:p w14:paraId="5D107337" w14:textId="77777777" w:rsidR="00DE5ED5" w:rsidRPr="009233BF" w:rsidRDefault="00DE5ED5">
            <w:pPr>
              <w:shd w:val="clear" w:color="auto" w:fill="FFFFFF"/>
              <w:spacing w:after="0"/>
              <w:rPr>
                <w:rFonts w:eastAsia="MS Mincho" w:cs="Arial"/>
                <w:bCs/>
              </w:rPr>
            </w:pPr>
            <w:r w:rsidRPr="009233BF">
              <w:rPr>
                <w:rFonts w:cs="Arial"/>
                <w:bCs/>
              </w:rPr>
              <w:t>Early Start Dever Model (ESDM) professional development program</w:t>
            </w:r>
          </w:p>
        </w:tc>
        <w:tc>
          <w:tcPr>
            <w:tcW w:w="1425" w:type="dxa"/>
            <w:tcBorders>
              <w:top w:val="none" w:sz="12" w:space="0" w:color="000000"/>
              <w:left w:val="none" w:sz="12" w:space="0" w:color="000000"/>
              <w:bottom w:val="none" w:sz="12" w:space="0" w:color="000000"/>
              <w:right w:val="none" w:sz="12" w:space="0" w:color="000000"/>
            </w:tcBorders>
          </w:tcPr>
          <w:p w14:paraId="5B20EF74" w14:textId="77777777" w:rsidR="00DE5ED5" w:rsidRPr="009233BF" w:rsidRDefault="00DE5ED5">
            <w:pPr>
              <w:spacing w:after="0"/>
              <w:rPr>
                <w:rFonts w:eastAsia="MS Mincho" w:cs="Arial"/>
                <w:bCs/>
              </w:rPr>
            </w:pPr>
            <w:r w:rsidRPr="009233BF">
              <w:rPr>
                <w:rFonts w:cs="Arial"/>
                <w:bCs/>
                <w:lang w:val="en-US"/>
              </w:rPr>
              <w:t>Open-ended questionnaires/Interpretive phenomenological analysis</w:t>
            </w:r>
          </w:p>
        </w:tc>
        <w:tc>
          <w:tcPr>
            <w:tcW w:w="3510" w:type="dxa"/>
            <w:tcBorders>
              <w:top w:val="none" w:sz="12" w:space="0" w:color="000000"/>
              <w:left w:val="none" w:sz="12" w:space="0" w:color="000000"/>
              <w:bottom w:val="none" w:sz="12" w:space="0" w:color="000000"/>
              <w:right w:val="none" w:sz="12" w:space="0" w:color="000000"/>
            </w:tcBorders>
          </w:tcPr>
          <w:p w14:paraId="198F1341" w14:textId="77777777" w:rsidR="00DE5ED5" w:rsidRPr="009233BF" w:rsidRDefault="00DE5ED5">
            <w:pPr>
              <w:spacing w:after="0"/>
              <w:rPr>
                <w:rFonts w:eastAsia="MS Mincho" w:cs="Arial"/>
                <w:bCs/>
              </w:rPr>
            </w:pPr>
            <w:r w:rsidRPr="009233BF">
              <w:rPr>
                <w:rFonts w:cs="Arial"/>
                <w:bCs/>
                <w:lang w:val="en-US"/>
              </w:rPr>
              <w:t>The benefits of engagement with mainstream ECEC settings extended beyond child outcomes to educators who were supported to develop the knowledge, understanding, capacity and strategies to engage and teach children with autism and manage their behaviours.</w:t>
            </w:r>
          </w:p>
        </w:tc>
        <w:tc>
          <w:tcPr>
            <w:tcW w:w="1065" w:type="dxa"/>
            <w:tcBorders>
              <w:top w:val="none" w:sz="12" w:space="0" w:color="000000"/>
              <w:left w:val="none" w:sz="12" w:space="0" w:color="000000"/>
              <w:bottom w:val="none" w:sz="12" w:space="0" w:color="000000"/>
              <w:right w:val="none" w:sz="12" w:space="0" w:color="000000"/>
            </w:tcBorders>
          </w:tcPr>
          <w:p w14:paraId="20E25D7C" w14:textId="77777777" w:rsidR="00DE5ED5" w:rsidRPr="009233BF" w:rsidRDefault="00DE5ED5">
            <w:pPr>
              <w:spacing w:after="0"/>
              <w:rPr>
                <w:rFonts w:eastAsia="MS Mincho" w:cs="Arial"/>
                <w:bCs/>
              </w:rPr>
            </w:pPr>
            <w:r w:rsidRPr="009233BF">
              <w:rPr>
                <w:rFonts w:cs="Arial"/>
                <w:bCs/>
              </w:rPr>
              <w:t>No</w:t>
            </w:r>
          </w:p>
        </w:tc>
      </w:tr>
      <w:tr w:rsidR="00DE5ED5" w:rsidRPr="00E4576E" w14:paraId="2A8EFD97" w14:textId="77777777">
        <w:trPr>
          <w:cnfStyle w:val="000000100000" w:firstRow="0" w:lastRow="0" w:firstColumn="0" w:lastColumn="0" w:oddVBand="0" w:evenVBand="0" w:oddHBand="1" w:evenHBand="0" w:firstRowFirstColumn="0" w:firstRowLastColumn="0" w:lastRowFirstColumn="0" w:lastRowLastColumn="0"/>
          <w:trHeight w:val="2281"/>
        </w:trPr>
        <w:tc>
          <w:tcPr>
            <w:tcW w:w="1365" w:type="dxa"/>
            <w:tcBorders>
              <w:top w:val="none" w:sz="12" w:space="0" w:color="000000"/>
              <w:left w:val="none" w:sz="12" w:space="0" w:color="000000"/>
              <w:bottom w:val="none" w:sz="12" w:space="0" w:color="000000"/>
              <w:right w:val="none" w:sz="12" w:space="0" w:color="000000"/>
            </w:tcBorders>
          </w:tcPr>
          <w:p w14:paraId="728B7A0F" w14:textId="77777777" w:rsidR="00DE5ED5" w:rsidRPr="009233BF" w:rsidRDefault="00DE5ED5">
            <w:pPr>
              <w:spacing w:after="0" w:line="276" w:lineRule="auto"/>
              <w:rPr>
                <w:rFonts w:eastAsia="MS Mincho" w:cs="Arial"/>
                <w:bCs/>
              </w:rPr>
            </w:pPr>
            <w:r w:rsidRPr="009233BF">
              <w:rPr>
                <w:rFonts w:eastAsia="MS Mincho" w:cs="Arial"/>
                <w:bCs/>
              </w:rPr>
              <w:t>Beamish,</w:t>
            </w:r>
          </w:p>
          <w:p w14:paraId="6BD67AA5" w14:textId="77777777" w:rsidR="00DE5ED5" w:rsidRPr="009233BF" w:rsidRDefault="00DE5ED5">
            <w:pPr>
              <w:spacing w:after="0" w:line="276" w:lineRule="auto"/>
              <w:rPr>
                <w:rFonts w:eastAsia="MS Mincho" w:cs="Arial"/>
                <w:bCs/>
              </w:rPr>
            </w:pPr>
            <w:r w:rsidRPr="009233BF">
              <w:rPr>
                <w:rFonts w:eastAsia="MS Mincho" w:cs="Arial"/>
                <w:bCs/>
              </w:rPr>
              <w:t>2022,</w:t>
            </w:r>
          </w:p>
          <w:p w14:paraId="1E2C0D0C" w14:textId="77777777" w:rsidR="00DE5ED5" w:rsidRPr="009233BF" w:rsidRDefault="00DE5ED5">
            <w:pPr>
              <w:spacing w:after="0"/>
              <w:rPr>
                <w:rFonts w:eastAsia="MS Mincho" w:cs="Arial"/>
                <w:bCs/>
              </w:rPr>
            </w:pPr>
            <w:r w:rsidRPr="009233BF">
              <w:rPr>
                <w:rFonts w:eastAsia="MS Mincho" w:cs="Arial"/>
                <w:bCs/>
              </w:rPr>
              <w:t>Australia</w:t>
            </w:r>
          </w:p>
        </w:tc>
        <w:tc>
          <w:tcPr>
            <w:tcW w:w="1545" w:type="dxa"/>
            <w:tcBorders>
              <w:top w:val="none" w:sz="12" w:space="0" w:color="000000"/>
              <w:left w:val="none" w:sz="12" w:space="0" w:color="000000"/>
              <w:bottom w:val="none" w:sz="12" w:space="0" w:color="000000"/>
              <w:right w:val="none" w:sz="12" w:space="0" w:color="000000"/>
            </w:tcBorders>
          </w:tcPr>
          <w:p w14:paraId="1AFD37A4" w14:textId="77777777" w:rsidR="00DE5ED5" w:rsidRPr="009233BF" w:rsidRDefault="00DE5ED5">
            <w:pPr>
              <w:spacing w:after="0"/>
              <w:rPr>
                <w:rFonts w:eastAsia="MS Mincho" w:cs="Arial"/>
                <w:bCs/>
              </w:rPr>
            </w:pPr>
            <w:r w:rsidRPr="009233BF">
              <w:rPr>
                <w:rFonts w:eastAsia="MS Mincho" w:cs="Arial"/>
                <w:bCs/>
              </w:rPr>
              <w:t>Autism</w:t>
            </w:r>
          </w:p>
        </w:tc>
        <w:tc>
          <w:tcPr>
            <w:tcW w:w="1545" w:type="dxa"/>
            <w:tcBorders>
              <w:top w:val="none" w:sz="12" w:space="0" w:color="000000"/>
              <w:left w:val="none" w:sz="12" w:space="0" w:color="000000"/>
              <w:bottom w:val="none" w:sz="12" w:space="0" w:color="000000"/>
              <w:right w:val="none" w:sz="12" w:space="0" w:color="000000"/>
            </w:tcBorders>
          </w:tcPr>
          <w:p w14:paraId="7F4C3D7B" w14:textId="77777777" w:rsidR="00DE5ED5" w:rsidRPr="009233BF" w:rsidRDefault="00DE5ED5">
            <w:pPr>
              <w:shd w:val="clear" w:color="auto" w:fill="FFFFFF"/>
              <w:spacing w:after="0"/>
              <w:rPr>
                <w:rFonts w:eastAsia="MS Mincho" w:cs="Arial"/>
                <w:bCs/>
              </w:rPr>
            </w:pPr>
            <w:r w:rsidRPr="009233BF">
              <w:rPr>
                <w:rFonts w:eastAsia="MS Mincho" w:cs="Arial"/>
                <w:bCs/>
                <w:lang w:val="en-US"/>
              </w:rPr>
              <w:t>To examine perspectives on an Early Years Model of Practice (EY-MoP)</w:t>
            </w:r>
          </w:p>
        </w:tc>
        <w:tc>
          <w:tcPr>
            <w:tcW w:w="1365" w:type="dxa"/>
            <w:tcBorders>
              <w:top w:val="none" w:sz="12" w:space="0" w:color="000000"/>
              <w:left w:val="none" w:sz="12" w:space="0" w:color="000000"/>
              <w:bottom w:val="none" w:sz="12" w:space="0" w:color="000000"/>
              <w:right w:val="none" w:sz="12" w:space="0" w:color="000000"/>
            </w:tcBorders>
          </w:tcPr>
          <w:p w14:paraId="2ADF8CA6" w14:textId="77777777" w:rsidR="00DE5ED5" w:rsidRPr="009233BF" w:rsidRDefault="00DE5ED5">
            <w:pPr>
              <w:spacing w:after="0"/>
              <w:rPr>
                <w:rFonts w:eastAsia="MS Mincho" w:cs="Arial"/>
                <w:bCs/>
                <w:lang w:val="en-US"/>
              </w:rPr>
            </w:pPr>
            <w:r w:rsidRPr="009233BF">
              <w:rPr>
                <w:rFonts w:eastAsia="MS Mincho" w:cs="Arial"/>
                <w:bCs/>
                <w:lang w:val="en-US"/>
              </w:rPr>
              <w:t xml:space="preserve">Teachers </w:t>
            </w:r>
          </w:p>
          <w:p w14:paraId="5D23849C" w14:textId="77777777" w:rsidR="00DE5ED5" w:rsidRPr="009233BF" w:rsidRDefault="00DE5ED5">
            <w:pPr>
              <w:spacing w:after="0"/>
              <w:rPr>
                <w:rFonts w:eastAsia="MS Mincho" w:cs="Arial"/>
                <w:bCs/>
              </w:rPr>
            </w:pPr>
            <w:r w:rsidRPr="009233BF">
              <w:rPr>
                <w:rFonts w:eastAsia="MS Mincho" w:cs="Arial"/>
                <w:bCs/>
                <w:lang w:val="en-US"/>
              </w:rPr>
              <w:t>(n=33)</w:t>
            </w:r>
          </w:p>
        </w:tc>
        <w:tc>
          <w:tcPr>
            <w:tcW w:w="2130" w:type="dxa"/>
            <w:tcBorders>
              <w:top w:val="none" w:sz="12" w:space="0" w:color="000000"/>
              <w:left w:val="none" w:sz="12" w:space="0" w:color="000000"/>
              <w:bottom w:val="none" w:sz="12" w:space="0" w:color="000000"/>
              <w:right w:val="none" w:sz="12" w:space="0" w:color="000000"/>
            </w:tcBorders>
          </w:tcPr>
          <w:p w14:paraId="36A33960" w14:textId="77777777" w:rsidR="00DE5ED5" w:rsidRPr="009233BF" w:rsidRDefault="00DE5ED5">
            <w:pPr>
              <w:shd w:val="clear" w:color="auto" w:fill="FFFFFF"/>
              <w:spacing w:after="0"/>
              <w:rPr>
                <w:rFonts w:eastAsia="MS Mincho" w:cs="Arial"/>
                <w:bCs/>
              </w:rPr>
            </w:pPr>
            <w:r w:rsidRPr="009233BF">
              <w:rPr>
                <w:rFonts w:eastAsia="MS Mincho" w:cs="Arial"/>
                <w:bCs/>
                <w:lang w:val="en-US"/>
              </w:rPr>
              <w:t>EY-MoP is designed to provide information and guidance on foundational practices supportive of students on the spectrum</w:t>
            </w:r>
          </w:p>
        </w:tc>
        <w:tc>
          <w:tcPr>
            <w:tcW w:w="1425" w:type="dxa"/>
            <w:tcBorders>
              <w:top w:val="none" w:sz="12" w:space="0" w:color="000000"/>
              <w:left w:val="none" w:sz="12" w:space="0" w:color="000000"/>
              <w:bottom w:val="none" w:sz="12" w:space="0" w:color="000000"/>
              <w:right w:val="none" w:sz="12" w:space="0" w:color="000000"/>
            </w:tcBorders>
          </w:tcPr>
          <w:p w14:paraId="2EDCF683" w14:textId="77777777" w:rsidR="00DE5ED5" w:rsidRPr="009233BF" w:rsidRDefault="00DE5ED5">
            <w:pPr>
              <w:spacing w:after="0"/>
              <w:rPr>
                <w:rFonts w:eastAsia="MS Mincho" w:cs="Arial"/>
                <w:bCs/>
                <w:lang w:val="en-US"/>
              </w:rPr>
            </w:pPr>
            <w:r w:rsidRPr="009233BF">
              <w:rPr>
                <w:rFonts w:eastAsia="MS Mincho" w:cs="Arial"/>
                <w:bCs/>
                <w:lang w:val="en-US"/>
              </w:rPr>
              <w:t>Interviews/</w:t>
            </w:r>
          </w:p>
          <w:p w14:paraId="6DE9C2DF" w14:textId="77777777" w:rsidR="00DE5ED5" w:rsidRPr="009233BF" w:rsidRDefault="00DE5ED5">
            <w:pPr>
              <w:spacing w:after="0"/>
              <w:rPr>
                <w:rFonts w:eastAsia="MS Mincho" w:cs="Arial"/>
                <w:bCs/>
              </w:rPr>
            </w:pPr>
            <w:r w:rsidRPr="009233BF">
              <w:rPr>
                <w:rFonts w:eastAsia="MS Mincho" w:cs="Arial"/>
                <w:bCs/>
                <w:lang w:val="en-US"/>
              </w:rPr>
              <w:t>Thematic analysis</w:t>
            </w:r>
          </w:p>
        </w:tc>
        <w:tc>
          <w:tcPr>
            <w:tcW w:w="3510" w:type="dxa"/>
            <w:tcBorders>
              <w:top w:val="none" w:sz="12" w:space="0" w:color="000000"/>
              <w:left w:val="none" w:sz="12" w:space="0" w:color="000000"/>
              <w:bottom w:val="none" w:sz="12" w:space="0" w:color="000000"/>
              <w:right w:val="none" w:sz="12" w:space="0" w:color="000000"/>
            </w:tcBorders>
          </w:tcPr>
          <w:p w14:paraId="3BE5E98F" w14:textId="77777777" w:rsidR="00DE5ED5" w:rsidRPr="009233BF" w:rsidRDefault="00DE5ED5">
            <w:pPr>
              <w:spacing w:after="0"/>
              <w:rPr>
                <w:rFonts w:eastAsia="MS Mincho" w:cs="Arial"/>
                <w:lang w:val="en-US"/>
              </w:rPr>
            </w:pPr>
            <w:r w:rsidRPr="009233BF">
              <w:rPr>
                <w:rFonts w:eastAsia="MS Mincho" w:cs="Arial"/>
                <w:lang w:val="en-US"/>
              </w:rPr>
              <w:t xml:space="preserve">Teachers endorsed the positive impact that this kind of comprehensive, foundational resource can have on teaching practice both in everyday planning and as a reflective tool. </w:t>
            </w:r>
            <w:r w:rsidRPr="009233BF">
              <w:rPr>
                <w:rFonts w:eastAsia="MS Mincho" w:cs="Arial"/>
              </w:rPr>
              <w:t xml:space="preserve">Time pressures associated with workloads was a commonly cited barrier to intervention implementation. However, </w:t>
            </w:r>
            <w:r w:rsidRPr="009233BF">
              <w:rPr>
                <w:rFonts w:eastAsia="MS Mincho" w:cs="Arial"/>
                <w:lang w:val="en-US"/>
              </w:rPr>
              <w:t xml:space="preserve">responses indicated that the model enhanced teachers’ knowledge and confidence in supporting students on the spectrum. </w:t>
            </w:r>
            <w:r w:rsidRPr="009233BF">
              <w:rPr>
                <w:rFonts w:eastAsia="MS Mincho" w:cs="Arial"/>
              </w:rPr>
              <w:t>Factors facilitating their uptake of the model included professional support and available practice material.</w:t>
            </w:r>
          </w:p>
        </w:tc>
        <w:tc>
          <w:tcPr>
            <w:tcW w:w="1065" w:type="dxa"/>
            <w:tcBorders>
              <w:top w:val="none" w:sz="12" w:space="0" w:color="000000"/>
              <w:left w:val="none" w:sz="12" w:space="0" w:color="000000"/>
              <w:bottom w:val="none" w:sz="12" w:space="0" w:color="000000"/>
              <w:right w:val="none" w:sz="12" w:space="0" w:color="000000"/>
            </w:tcBorders>
          </w:tcPr>
          <w:p w14:paraId="7E3DF939"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58F33379" w14:textId="77777777">
        <w:trPr>
          <w:cnfStyle w:val="000000010000" w:firstRow="0" w:lastRow="0" w:firstColumn="0" w:lastColumn="0" w:oddVBand="0" w:evenVBand="0" w:oddHBand="0" w:evenHBand="1" w:firstRowFirstColumn="0" w:firstRowLastColumn="0" w:lastRowFirstColumn="0" w:lastRowLastColumn="0"/>
          <w:trHeight w:val="3210"/>
        </w:trPr>
        <w:tc>
          <w:tcPr>
            <w:tcW w:w="1365" w:type="dxa"/>
            <w:tcBorders>
              <w:top w:val="none" w:sz="12" w:space="0" w:color="000000"/>
              <w:left w:val="none" w:sz="12" w:space="0" w:color="000000"/>
              <w:bottom w:val="none" w:sz="12" w:space="0" w:color="000000"/>
              <w:right w:val="none" w:sz="12" w:space="0" w:color="000000"/>
            </w:tcBorders>
          </w:tcPr>
          <w:p w14:paraId="4AA34353" w14:textId="77777777" w:rsidR="00DE5ED5" w:rsidRPr="009233BF" w:rsidRDefault="00DE5ED5">
            <w:pPr>
              <w:spacing w:after="0" w:line="276" w:lineRule="auto"/>
              <w:rPr>
                <w:rFonts w:eastAsia="MS Mincho" w:cs="Arial"/>
                <w:bCs/>
              </w:rPr>
            </w:pPr>
            <w:r w:rsidRPr="009233BF">
              <w:rPr>
                <w:rFonts w:eastAsia="MS Mincho" w:cs="Arial"/>
                <w:bCs/>
              </w:rPr>
              <w:t>Callanan,</w:t>
            </w:r>
          </w:p>
          <w:p w14:paraId="745AAD34" w14:textId="77777777" w:rsidR="00DE5ED5" w:rsidRPr="009233BF" w:rsidRDefault="00DE5ED5">
            <w:pPr>
              <w:spacing w:after="0" w:line="276" w:lineRule="auto"/>
              <w:rPr>
                <w:rFonts w:eastAsia="MS Mincho" w:cs="Arial"/>
                <w:bCs/>
              </w:rPr>
            </w:pPr>
            <w:r w:rsidRPr="009233BF">
              <w:rPr>
                <w:rFonts w:eastAsia="MS Mincho" w:cs="Arial"/>
                <w:bCs/>
              </w:rPr>
              <w:t>2023,</w:t>
            </w:r>
          </w:p>
          <w:p w14:paraId="55B38CDD" w14:textId="77777777" w:rsidR="00DE5ED5" w:rsidRPr="009233BF" w:rsidRDefault="00DE5ED5">
            <w:pPr>
              <w:spacing w:after="0"/>
              <w:rPr>
                <w:rFonts w:eastAsia="MS Mincho" w:cs="Arial"/>
                <w:bCs/>
              </w:rPr>
            </w:pPr>
            <w:r w:rsidRPr="009233BF">
              <w:rPr>
                <w:rFonts w:eastAsia="MS Mincho" w:cs="Arial"/>
                <w:bCs/>
              </w:rPr>
              <w:t>Australia</w:t>
            </w:r>
          </w:p>
        </w:tc>
        <w:tc>
          <w:tcPr>
            <w:tcW w:w="1545" w:type="dxa"/>
            <w:tcBorders>
              <w:top w:val="none" w:sz="12" w:space="0" w:color="000000"/>
              <w:left w:val="none" w:sz="12" w:space="0" w:color="000000"/>
              <w:bottom w:val="none" w:sz="12" w:space="0" w:color="000000"/>
              <w:right w:val="none" w:sz="12" w:space="0" w:color="000000"/>
            </w:tcBorders>
          </w:tcPr>
          <w:p w14:paraId="642FE68E" w14:textId="77777777" w:rsidR="00DE5ED5" w:rsidRPr="009233BF" w:rsidRDefault="00DE5ED5">
            <w:pPr>
              <w:spacing w:after="0"/>
              <w:rPr>
                <w:rFonts w:eastAsia="MS Mincho" w:cs="Arial"/>
                <w:bCs/>
              </w:rPr>
            </w:pPr>
            <w:r w:rsidRPr="009233BF">
              <w:rPr>
                <w:rFonts w:eastAsia="MS Mincho" w:cs="Arial"/>
                <w:bCs/>
              </w:rPr>
              <w:t>Developmental delay / disability</w:t>
            </w:r>
          </w:p>
        </w:tc>
        <w:tc>
          <w:tcPr>
            <w:tcW w:w="1545" w:type="dxa"/>
            <w:tcBorders>
              <w:top w:val="none" w:sz="12" w:space="0" w:color="000000"/>
              <w:left w:val="none" w:sz="12" w:space="0" w:color="000000"/>
              <w:bottom w:val="none" w:sz="12" w:space="0" w:color="000000"/>
              <w:right w:val="none" w:sz="12" w:space="0" w:color="000000"/>
            </w:tcBorders>
          </w:tcPr>
          <w:p w14:paraId="1CACC17C" w14:textId="77777777" w:rsidR="00DE5ED5" w:rsidRPr="009233BF" w:rsidRDefault="00DE5ED5">
            <w:pPr>
              <w:spacing w:after="0"/>
              <w:rPr>
                <w:rFonts w:eastAsia="MS Mincho" w:cs="Arial"/>
                <w:bCs/>
                <w:lang w:val="en-US"/>
              </w:rPr>
            </w:pPr>
            <w:r w:rsidRPr="009233BF">
              <w:rPr>
                <w:rFonts w:eastAsia="MS Mincho" w:cs="Arial"/>
                <w:bCs/>
                <w:lang w:val="en-US"/>
              </w:rPr>
              <w:t>To</w:t>
            </w:r>
          </w:p>
          <w:p w14:paraId="2A877B1B" w14:textId="77777777" w:rsidR="00DE5ED5" w:rsidRPr="009233BF" w:rsidRDefault="00DE5ED5">
            <w:pPr>
              <w:spacing w:after="0"/>
              <w:rPr>
                <w:rFonts w:eastAsia="MS Mincho" w:cs="Arial"/>
                <w:bCs/>
                <w:lang w:val="en-US"/>
              </w:rPr>
            </w:pPr>
            <w:r w:rsidRPr="009233BF">
              <w:rPr>
                <w:rFonts w:eastAsia="MS Mincho" w:cs="Arial"/>
                <w:bCs/>
                <w:lang w:val="en-US"/>
              </w:rPr>
              <w:t xml:space="preserve">investigate </w:t>
            </w:r>
          </w:p>
          <w:p w14:paraId="2A8A721B" w14:textId="77777777" w:rsidR="00DE5ED5" w:rsidRPr="009233BF" w:rsidRDefault="00DE5ED5">
            <w:pPr>
              <w:shd w:val="clear" w:color="auto" w:fill="FFFFFF"/>
              <w:spacing w:after="0"/>
              <w:rPr>
                <w:rFonts w:eastAsia="MS Mincho" w:cs="Arial"/>
                <w:bCs/>
              </w:rPr>
            </w:pPr>
            <w:r w:rsidRPr="009233BF">
              <w:rPr>
                <w:rFonts w:eastAsia="MS Mincho" w:cs="Arial"/>
                <w:bCs/>
                <w:lang w:val="en-US"/>
              </w:rPr>
              <w:t>effectiveness of PCRI-EI in helping therapists transition to a relationally based paradigm.</w:t>
            </w:r>
          </w:p>
        </w:tc>
        <w:tc>
          <w:tcPr>
            <w:tcW w:w="1365" w:type="dxa"/>
            <w:tcBorders>
              <w:top w:val="none" w:sz="12" w:space="0" w:color="000000"/>
              <w:left w:val="none" w:sz="12" w:space="0" w:color="000000"/>
              <w:bottom w:val="none" w:sz="12" w:space="0" w:color="000000"/>
              <w:right w:val="none" w:sz="12" w:space="0" w:color="000000"/>
            </w:tcBorders>
          </w:tcPr>
          <w:p w14:paraId="1C485199" w14:textId="77777777" w:rsidR="00DE5ED5" w:rsidRPr="009233BF" w:rsidRDefault="00DE5ED5">
            <w:pPr>
              <w:spacing w:after="0"/>
              <w:rPr>
                <w:rFonts w:eastAsia="MS Mincho" w:cs="Arial"/>
                <w:bCs/>
                <w:lang w:val="en-US"/>
              </w:rPr>
            </w:pPr>
            <w:r w:rsidRPr="009233BF">
              <w:rPr>
                <w:rFonts w:eastAsia="MS Mincho" w:cs="Arial"/>
                <w:bCs/>
                <w:lang w:val="en-US"/>
              </w:rPr>
              <w:t>Occupational therapists (n=4); physio</w:t>
            </w:r>
          </w:p>
          <w:p w14:paraId="1D6F219E" w14:textId="77777777" w:rsidR="00DE5ED5" w:rsidRPr="009233BF" w:rsidRDefault="00DE5ED5">
            <w:pPr>
              <w:spacing w:after="0"/>
              <w:rPr>
                <w:rFonts w:eastAsia="MS Mincho" w:cs="Arial"/>
                <w:bCs/>
              </w:rPr>
            </w:pPr>
            <w:r w:rsidRPr="009233BF">
              <w:rPr>
                <w:rFonts w:eastAsia="MS Mincho" w:cs="Arial"/>
                <w:bCs/>
                <w:lang w:val="en-US"/>
              </w:rPr>
              <w:t>therapists (n=2); psychologists (n=3); speech pathologists (n=5)</w:t>
            </w:r>
          </w:p>
        </w:tc>
        <w:tc>
          <w:tcPr>
            <w:tcW w:w="2130" w:type="dxa"/>
            <w:tcBorders>
              <w:top w:val="none" w:sz="12" w:space="0" w:color="000000"/>
              <w:left w:val="none" w:sz="12" w:space="0" w:color="000000"/>
              <w:bottom w:val="none" w:sz="12" w:space="0" w:color="000000"/>
              <w:right w:val="none" w:sz="12" w:space="0" w:color="000000"/>
            </w:tcBorders>
          </w:tcPr>
          <w:p w14:paraId="4B69655E" w14:textId="77777777" w:rsidR="00DE5ED5" w:rsidRPr="009233BF" w:rsidRDefault="00DE5ED5">
            <w:pPr>
              <w:shd w:val="clear" w:color="auto" w:fill="FFFFFF"/>
              <w:spacing w:after="0"/>
              <w:rPr>
                <w:rFonts w:eastAsia="MS Mincho" w:cs="Arial"/>
                <w:bCs/>
              </w:rPr>
            </w:pPr>
            <w:r w:rsidRPr="009233BF">
              <w:rPr>
                <w:rFonts w:eastAsia="MS Mincho" w:cs="Arial"/>
                <w:bCs/>
              </w:rPr>
              <w:t>A relationally based, family-centred model, the Parent Child Relationally Informed – Early Intervention (PCRI-EI)</w:t>
            </w:r>
          </w:p>
        </w:tc>
        <w:tc>
          <w:tcPr>
            <w:tcW w:w="1425" w:type="dxa"/>
            <w:tcBorders>
              <w:top w:val="none" w:sz="12" w:space="0" w:color="000000"/>
              <w:left w:val="none" w:sz="12" w:space="0" w:color="000000"/>
              <w:bottom w:val="none" w:sz="12" w:space="0" w:color="000000"/>
              <w:right w:val="none" w:sz="12" w:space="0" w:color="000000"/>
            </w:tcBorders>
          </w:tcPr>
          <w:p w14:paraId="25629F1E" w14:textId="77777777" w:rsidR="00DE5ED5" w:rsidRPr="009233BF" w:rsidRDefault="00DE5ED5">
            <w:pPr>
              <w:spacing w:after="0"/>
              <w:rPr>
                <w:rFonts w:eastAsia="MS Mincho" w:cs="Arial"/>
                <w:bCs/>
              </w:rPr>
            </w:pPr>
            <w:r w:rsidRPr="009233BF">
              <w:rPr>
                <w:rFonts w:eastAsia="MS Mincho" w:cs="Arial"/>
                <w:bCs/>
                <w:lang w:val="en-US"/>
              </w:rPr>
              <w:t>Questionnaire / Thematic analysis</w:t>
            </w:r>
          </w:p>
        </w:tc>
        <w:tc>
          <w:tcPr>
            <w:tcW w:w="3510" w:type="dxa"/>
            <w:tcBorders>
              <w:top w:val="none" w:sz="12" w:space="0" w:color="000000"/>
              <w:left w:val="none" w:sz="12" w:space="0" w:color="000000"/>
              <w:bottom w:val="none" w:sz="12" w:space="0" w:color="000000"/>
              <w:right w:val="none" w:sz="12" w:space="0" w:color="000000"/>
            </w:tcBorders>
          </w:tcPr>
          <w:p w14:paraId="537EFED0" w14:textId="77777777" w:rsidR="00DE5ED5" w:rsidRPr="009233BF" w:rsidRDefault="00DE5ED5">
            <w:pPr>
              <w:spacing w:after="0"/>
              <w:rPr>
                <w:rFonts w:eastAsia="MS Mincho" w:cs="Arial"/>
                <w:bCs/>
              </w:rPr>
            </w:pPr>
            <w:r w:rsidRPr="009233BF">
              <w:rPr>
                <w:rFonts w:eastAsia="MS Mincho" w:cs="Arial"/>
                <w:bCs/>
                <w:lang w:val="en-US"/>
              </w:rPr>
              <w:t>Feedback indicated the systematic approach embedded in the treatment manual, combined with reflective supervision, built therapists’ competence and confidence in working relationally. They reported being able to use these skills to develop therapeutically sound, family-centred partnerships with parents as well as to promote socio-emotional connection for the parent and child.</w:t>
            </w:r>
          </w:p>
        </w:tc>
        <w:tc>
          <w:tcPr>
            <w:tcW w:w="1065" w:type="dxa"/>
            <w:tcBorders>
              <w:top w:val="none" w:sz="12" w:space="0" w:color="000000"/>
              <w:left w:val="none" w:sz="12" w:space="0" w:color="000000"/>
              <w:bottom w:val="none" w:sz="12" w:space="0" w:color="000000"/>
              <w:right w:val="none" w:sz="12" w:space="0" w:color="000000"/>
            </w:tcBorders>
          </w:tcPr>
          <w:p w14:paraId="4A026540" w14:textId="77777777" w:rsidR="00DE5ED5" w:rsidRPr="009233BF" w:rsidRDefault="00DE5ED5">
            <w:pPr>
              <w:spacing w:after="0"/>
              <w:rPr>
                <w:rFonts w:eastAsia="MS Mincho" w:cs="Arial"/>
                <w:bCs/>
              </w:rPr>
            </w:pPr>
            <w:r w:rsidRPr="009233BF">
              <w:rPr>
                <w:rFonts w:eastAsia="MS Mincho" w:cs="Arial"/>
                <w:bCs/>
              </w:rPr>
              <w:t>No</w:t>
            </w:r>
          </w:p>
        </w:tc>
      </w:tr>
      <w:tr w:rsidR="00DE5ED5" w:rsidRPr="00E4576E" w14:paraId="2915212C" w14:textId="77777777">
        <w:trPr>
          <w:cnfStyle w:val="000000100000" w:firstRow="0" w:lastRow="0" w:firstColumn="0" w:lastColumn="0" w:oddVBand="0" w:evenVBand="0" w:oddHBand="1" w:evenHBand="0" w:firstRowFirstColumn="0" w:firstRowLastColumn="0" w:lastRowFirstColumn="0" w:lastRowLastColumn="0"/>
          <w:trHeight w:val="3210"/>
        </w:trPr>
        <w:tc>
          <w:tcPr>
            <w:tcW w:w="1365" w:type="dxa"/>
            <w:tcBorders>
              <w:top w:val="none" w:sz="12" w:space="0" w:color="000000"/>
              <w:left w:val="none" w:sz="12" w:space="0" w:color="000000"/>
              <w:bottom w:val="none" w:sz="12" w:space="0" w:color="000000"/>
              <w:right w:val="none" w:sz="12" w:space="0" w:color="000000"/>
            </w:tcBorders>
          </w:tcPr>
          <w:p w14:paraId="050A8007" w14:textId="77777777" w:rsidR="00DE5ED5" w:rsidRPr="009233BF" w:rsidRDefault="00DE5ED5">
            <w:pPr>
              <w:spacing w:after="0" w:line="276" w:lineRule="auto"/>
              <w:rPr>
                <w:rFonts w:cs="Arial"/>
                <w:bCs/>
              </w:rPr>
            </w:pPr>
            <w:r w:rsidRPr="009233BF">
              <w:rPr>
                <w:rFonts w:cs="Arial"/>
                <w:bCs/>
              </w:rPr>
              <w:t>Clapham, 2017*,</w:t>
            </w:r>
          </w:p>
          <w:p w14:paraId="7EDE4290" w14:textId="77777777" w:rsidR="00DE5ED5" w:rsidRPr="009233BF" w:rsidRDefault="00DE5ED5">
            <w:pPr>
              <w:spacing w:after="0" w:line="276" w:lineRule="auto"/>
              <w:rPr>
                <w:rFonts w:eastAsia="MS Mincho" w:cs="Arial"/>
                <w:bCs/>
              </w:rPr>
            </w:pPr>
            <w:r w:rsidRPr="009233BF">
              <w:rPr>
                <w:rFonts w:cs="Arial"/>
                <w:bCs/>
              </w:rPr>
              <w:t>Australia</w:t>
            </w:r>
          </w:p>
        </w:tc>
        <w:tc>
          <w:tcPr>
            <w:tcW w:w="1545" w:type="dxa"/>
            <w:tcBorders>
              <w:top w:val="none" w:sz="12" w:space="0" w:color="000000"/>
              <w:left w:val="none" w:sz="12" w:space="0" w:color="000000"/>
              <w:bottom w:val="none" w:sz="12" w:space="0" w:color="000000"/>
              <w:right w:val="none" w:sz="12" w:space="0" w:color="000000"/>
            </w:tcBorders>
          </w:tcPr>
          <w:p w14:paraId="2FAC8D18" w14:textId="77777777" w:rsidR="00DE5ED5" w:rsidRPr="009233BF" w:rsidRDefault="00DE5ED5">
            <w:pPr>
              <w:spacing w:after="0"/>
              <w:rPr>
                <w:rFonts w:eastAsia="MS Mincho" w:cs="Arial"/>
                <w:bCs/>
                <w:lang w:val="en-US"/>
              </w:rPr>
            </w:pPr>
            <w:r w:rsidRPr="009233BF">
              <w:rPr>
                <w:rFonts w:cs="Arial"/>
                <w:bCs/>
              </w:rPr>
              <w:t>Disabilities &amp; additional needs</w:t>
            </w:r>
          </w:p>
        </w:tc>
        <w:tc>
          <w:tcPr>
            <w:tcW w:w="1545" w:type="dxa"/>
            <w:tcBorders>
              <w:top w:val="none" w:sz="12" w:space="0" w:color="000000"/>
              <w:left w:val="none" w:sz="12" w:space="0" w:color="000000"/>
              <w:bottom w:val="none" w:sz="12" w:space="0" w:color="000000"/>
              <w:right w:val="none" w:sz="12" w:space="0" w:color="000000"/>
            </w:tcBorders>
          </w:tcPr>
          <w:p w14:paraId="09AD9216" w14:textId="77777777" w:rsidR="00DE5ED5" w:rsidRPr="009233BF" w:rsidRDefault="00DE5ED5">
            <w:pPr>
              <w:spacing w:after="0"/>
              <w:rPr>
                <w:rFonts w:eastAsia="MS Mincho" w:cs="Arial"/>
                <w:bCs/>
                <w:lang w:val="en-US"/>
              </w:rPr>
            </w:pPr>
            <w:r w:rsidRPr="009233BF">
              <w:rPr>
                <w:rFonts w:cs="Arial"/>
                <w:bCs/>
                <w:lang w:val="en-US"/>
              </w:rPr>
              <w:t>To evaluate the Kids Together program.</w:t>
            </w:r>
          </w:p>
        </w:tc>
        <w:tc>
          <w:tcPr>
            <w:tcW w:w="1365" w:type="dxa"/>
            <w:tcBorders>
              <w:top w:val="none" w:sz="12" w:space="0" w:color="000000"/>
              <w:left w:val="none" w:sz="12" w:space="0" w:color="000000"/>
              <w:bottom w:val="none" w:sz="12" w:space="0" w:color="000000"/>
              <w:right w:val="none" w:sz="12" w:space="0" w:color="000000"/>
            </w:tcBorders>
          </w:tcPr>
          <w:p w14:paraId="62CA0A97" w14:textId="77777777" w:rsidR="00DE5ED5" w:rsidRPr="009233BF" w:rsidRDefault="00DE5ED5">
            <w:pPr>
              <w:spacing w:after="0"/>
              <w:rPr>
                <w:rFonts w:eastAsia="MS Mincho" w:cs="Arial"/>
                <w:bCs/>
                <w:lang w:val="en-US"/>
              </w:rPr>
            </w:pPr>
            <w:r w:rsidRPr="009233BF">
              <w:rPr>
                <w:rFonts w:cs="Arial"/>
                <w:bCs/>
                <w:lang w:val="en-US"/>
              </w:rPr>
              <w:t>Caregivers; Directors of ECEC centres; Key workers; Educators (n = 124)</w:t>
            </w:r>
          </w:p>
        </w:tc>
        <w:tc>
          <w:tcPr>
            <w:tcW w:w="2130" w:type="dxa"/>
            <w:tcBorders>
              <w:top w:val="none" w:sz="12" w:space="0" w:color="000000"/>
              <w:left w:val="none" w:sz="12" w:space="0" w:color="000000"/>
              <w:bottom w:val="none" w:sz="12" w:space="0" w:color="000000"/>
              <w:right w:val="none" w:sz="12" w:space="0" w:color="000000"/>
            </w:tcBorders>
          </w:tcPr>
          <w:p w14:paraId="7C053053" w14:textId="77777777" w:rsidR="00DE5ED5" w:rsidRPr="009233BF" w:rsidRDefault="00DE5ED5">
            <w:pPr>
              <w:spacing w:after="0" w:line="276" w:lineRule="auto"/>
              <w:rPr>
                <w:rFonts w:eastAsia="MS Mincho" w:cs="Arial"/>
                <w:bCs/>
              </w:rPr>
            </w:pPr>
            <w:r w:rsidRPr="009233BF">
              <w:rPr>
                <w:rFonts w:cs="Arial"/>
                <w:bCs/>
              </w:rPr>
              <w:t>Kids Together - a program designed to support children with disabilities/additional needs, aged 0-8 years, attending mainstream early learning environments</w:t>
            </w:r>
          </w:p>
        </w:tc>
        <w:tc>
          <w:tcPr>
            <w:tcW w:w="1425" w:type="dxa"/>
            <w:tcBorders>
              <w:top w:val="none" w:sz="12" w:space="0" w:color="000000"/>
              <w:left w:val="none" w:sz="12" w:space="0" w:color="000000"/>
              <w:bottom w:val="none" w:sz="12" w:space="0" w:color="000000"/>
              <w:right w:val="none" w:sz="12" w:space="0" w:color="000000"/>
            </w:tcBorders>
          </w:tcPr>
          <w:p w14:paraId="6E1BC873" w14:textId="77777777" w:rsidR="00DE5ED5" w:rsidRPr="009233BF" w:rsidRDefault="00DE5ED5">
            <w:pPr>
              <w:spacing w:after="0" w:line="276" w:lineRule="auto"/>
              <w:rPr>
                <w:rFonts w:cs="Arial"/>
                <w:bCs/>
              </w:rPr>
            </w:pPr>
            <w:r w:rsidRPr="009233BF">
              <w:rPr>
                <w:rFonts w:cs="Arial"/>
                <w:bCs/>
              </w:rPr>
              <w:t>Interviews, focus groups, observations / Framework analysis</w:t>
            </w:r>
          </w:p>
          <w:p w14:paraId="3AE5DDFC" w14:textId="77777777" w:rsidR="00DE5ED5" w:rsidRPr="009233BF" w:rsidRDefault="00DE5ED5">
            <w:pPr>
              <w:spacing w:after="0"/>
              <w:rPr>
                <w:rFonts w:eastAsia="MS Mincho" w:cs="Arial"/>
                <w:bCs/>
                <w:lang w:val="en-US"/>
              </w:rPr>
            </w:pPr>
          </w:p>
        </w:tc>
        <w:tc>
          <w:tcPr>
            <w:tcW w:w="3510" w:type="dxa"/>
            <w:tcBorders>
              <w:top w:val="none" w:sz="12" w:space="0" w:color="000000"/>
              <w:left w:val="none" w:sz="12" w:space="0" w:color="000000"/>
              <w:bottom w:val="none" w:sz="12" w:space="0" w:color="000000"/>
              <w:right w:val="none" w:sz="12" w:space="0" w:color="000000"/>
            </w:tcBorders>
          </w:tcPr>
          <w:p w14:paraId="1F81F047" w14:textId="77777777" w:rsidR="00DE5ED5" w:rsidRPr="009233BF" w:rsidRDefault="00DE5ED5">
            <w:pPr>
              <w:spacing w:after="0"/>
              <w:rPr>
                <w:rFonts w:eastAsia="MS Mincho" w:cs="Arial"/>
                <w:bCs/>
                <w:lang w:val="en-US"/>
              </w:rPr>
            </w:pPr>
            <w:r w:rsidRPr="009233BF">
              <w:rPr>
                <w:rFonts w:cs="Arial"/>
                <w:bCs/>
                <w:lang w:val="en-US"/>
              </w:rPr>
              <w:t>The Kids Together model met the identified need for a multi-faceted key worker transdisciplinary inclusion model based within the early childhood education setting. Kids Together was shown to be a highly effective and innovative model for supporting the inclusion of children with disabilities/additional needs in a range of environments central for early childhood learning and development.</w:t>
            </w:r>
          </w:p>
        </w:tc>
        <w:tc>
          <w:tcPr>
            <w:tcW w:w="1065" w:type="dxa"/>
            <w:tcBorders>
              <w:top w:val="none" w:sz="12" w:space="0" w:color="000000"/>
              <w:left w:val="none" w:sz="12" w:space="0" w:color="000000"/>
              <w:bottom w:val="none" w:sz="12" w:space="0" w:color="000000"/>
              <w:right w:val="none" w:sz="12" w:space="0" w:color="000000"/>
            </w:tcBorders>
          </w:tcPr>
          <w:p w14:paraId="56EBA491" w14:textId="77777777" w:rsidR="00DE5ED5" w:rsidRPr="009233BF" w:rsidRDefault="00DE5ED5">
            <w:pPr>
              <w:spacing w:after="0"/>
              <w:rPr>
                <w:rFonts w:eastAsia="MS Mincho" w:cs="Arial"/>
                <w:bCs/>
              </w:rPr>
            </w:pPr>
            <w:r w:rsidRPr="009233BF">
              <w:rPr>
                <w:rFonts w:cs="Arial"/>
                <w:bCs/>
              </w:rPr>
              <w:t>Role of key worker important for families from lower SES or First Nations back-grounds</w:t>
            </w:r>
          </w:p>
        </w:tc>
      </w:tr>
      <w:tr w:rsidR="00DE5ED5" w:rsidRPr="00E4576E" w14:paraId="052CDBEC" w14:textId="77777777">
        <w:trPr>
          <w:cnfStyle w:val="000000010000" w:firstRow="0" w:lastRow="0" w:firstColumn="0" w:lastColumn="0" w:oddVBand="0" w:evenVBand="0" w:oddHBand="0" w:evenHBand="1" w:firstRowFirstColumn="0" w:firstRowLastColumn="0" w:lastRowFirstColumn="0" w:lastRowLastColumn="0"/>
          <w:trHeight w:val="1650"/>
        </w:trPr>
        <w:tc>
          <w:tcPr>
            <w:tcW w:w="1365" w:type="dxa"/>
            <w:tcBorders>
              <w:top w:val="none" w:sz="12" w:space="0" w:color="000000"/>
              <w:left w:val="none" w:sz="12" w:space="0" w:color="000000"/>
              <w:bottom w:val="nil"/>
              <w:right w:val="none" w:sz="12" w:space="0" w:color="000000"/>
            </w:tcBorders>
          </w:tcPr>
          <w:p w14:paraId="2AA66E4D" w14:textId="77777777" w:rsidR="00DE5ED5" w:rsidRPr="009233BF" w:rsidRDefault="00DE5ED5">
            <w:pPr>
              <w:spacing w:after="0" w:line="276" w:lineRule="auto"/>
              <w:rPr>
                <w:rFonts w:cs="Arial"/>
                <w:bCs/>
              </w:rPr>
            </w:pPr>
            <w:r w:rsidRPr="009233BF">
              <w:rPr>
                <w:rFonts w:cs="Arial"/>
                <w:bCs/>
              </w:rPr>
              <w:t>Cosgrove,</w:t>
            </w:r>
          </w:p>
          <w:p w14:paraId="4DE2473B" w14:textId="77777777" w:rsidR="00DE5ED5" w:rsidRPr="009233BF" w:rsidRDefault="00DE5ED5">
            <w:pPr>
              <w:spacing w:after="0" w:line="276" w:lineRule="auto"/>
              <w:rPr>
                <w:rFonts w:cs="Arial"/>
                <w:bCs/>
              </w:rPr>
            </w:pPr>
            <w:r w:rsidRPr="009233BF">
              <w:rPr>
                <w:rFonts w:cs="Arial"/>
                <w:bCs/>
              </w:rPr>
              <w:t>2019,</w:t>
            </w:r>
          </w:p>
          <w:p w14:paraId="7CD3724E" w14:textId="77777777" w:rsidR="00DE5ED5" w:rsidRPr="009233BF" w:rsidRDefault="00DE5ED5">
            <w:pPr>
              <w:spacing w:after="0" w:line="276" w:lineRule="auto"/>
              <w:rPr>
                <w:rFonts w:cs="Arial"/>
                <w:bCs/>
              </w:rPr>
            </w:pPr>
            <w:r w:rsidRPr="009233BF">
              <w:rPr>
                <w:rFonts w:cs="Arial"/>
                <w:bCs/>
              </w:rPr>
              <w:t>United States</w:t>
            </w:r>
          </w:p>
        </w:tc>
        <w:tc>
          <w:tcPr>
            <w:tcW w:w="1545" w:type="dxa"/>
            <w:tcBorders>
              <w:top w:val="none" w:sz="12" w:space="0" w:color="000000"/>
              <w:left w:val="none" w:sz="12" w:space="0" w:color="000000"/>
              <w:bottom w:val="nil"/>
              <w:right w:val="none" w:sz="12" w:space="0" w:color="000000"/>
            </w:tcBorders>
          </w:tcPr>
          <w:p w14:paraId="56D50C4D" w14:textId="77777777" w:rsidR="00DE5ED5" w:rsidRPr="009233BF" w:rsidRDefault="00DE5ED5">
            <w:pPr>
              <w:spacing w:after="0"/>
              <w:rPr>
                <w:rFonts w:cs="Arial"/>
                <w:bCs/>
              </w:rPr>
            </w:pPr>
            <w:r w:rsidRPr="009233BF">
              <w:rPr>
                <w:rFonts w:cs="Arial"/>
                <w:bCs/>
              </w:rPr>
              <w:t>Disability or developmental delay</w:t>
            </w:r>
          </w:p>
        </w:tc>
        <w:tc>
          <w:tcPr>
            <w:tcW w:w="1545" w:type="dxa"/>
            <w:tcBorders>
              <w:top w:val="none" w:sz="12" w:space="0" w:color="000000"/>
              <w:left w:val="none" w:sz="12" w:space="0" w:color="000000"/>
              <w:bottom w:val="nil"/>
              <w:right w:val="none" w:sz="12" w:space="0" w:color="000000"/>
            </w:tcBorders>
          </w:tcPr>
          <w:p w14:paraId="4645CA74" w14:textId="77777777" w:rsidR="00DE5ED5" w:rsidRPr="009233BF" w:rsidRDefault="00DE5ED5">
            <w:pPr>
              <w:spacing w:after="0"/>
              <w:rPr>
                <w:rFonts w:cs="Arial"/>
                <w:bCs/>
                <w:lang w:val="en-US"/>
              </w:rPr>
            </w:pPr>
            <w:r w:rsidRPr="009233BF">
              <w:rPr>
                <w:rFonts w:cs="Arial"/>
                <w:bCs/>
                <w:lang w:val="en-US"/>
              </w:rPr>
              <w:t>To examine perceptions of EI providers about the impact of FAN training.</w:t>
            </w:r>
          </w:p>
        </w:tc>
        <w:tc>
          <w:tcPr>
            <w:tcW w:w="1365" w:type="dxa"/>
            <w:tcBorders>
              <w:top w:val="none" w:sz="12" w:space="0" w:color="000000"/>
              <w:left w:val="none" w:sz="12" w:space="0" w:color="000000"/>
              <w:bottom w:val="nil"/>
              <w:right w:val="none" w:sz="12" w:space="0" w:color="000000"/>
            </w:tcBorders>
          </w:tcPr>
          <w:p w14:paraId="7E748DDE" w14:textId="77777777" w:rsidR="00DE5ED5" w:rsidRPr="009233BF" w:rsidRDefault="00DE5ED5">
            <w:pPr>
              <w:spacing w:after="0"/>
              <w:rPr>
                <w:rFonts w:cs="Arial"/>
                <w:bCs/>
                <w:lang w:val="en-US"/>
              </w:rPr>
            </w:pPr>
            <w:r w:rsidRPr="009233BF">
              <w:rPr>
                <w:rFonts w:cs="Arial"/>
                <w:bCs/>
                <w:lang w:val="en-US"/>
              </w:rPr>
              <w:t>Early intervention providers (n=5)</w:t>
            </w:r>
          </w:p>
        </w:tc>
        <w:tc>
          <w:tcPr>
            <w:tcW w:w="2130" w:type="dxa"/>
            <w:tcBorders>
              <w:top w:val="none" w:sz="12" w:space="0" w:color="000000"/>
              <w:left w:val="none" w:sz="12" w:space="0" w:color="000000"/>
              <w:bottom w:val="nil"/>
              <w:right w:val="none" w:sz="12" w:space="0" w:color="000000"/>
            </w:tcBorders>
          </w:tcPr>
          <w:p w14:paraId="587373A9" w14:textId="77777777" w:rsidR="00DE5ED5" w:rsidRPr="009233BF" w:rsidRDefault="00DE5ED5">
            <w:pPr>
              <w:spacing w:after="0" w:line="276" w:lineRule="auto"/>
              <w:rPr>
                <w:rFonts w:cs="Arial"/>
                <w:bCs/>
              </w:rPr>
            </w:pPr>
            <w:r w:rsidRPr="009233BF">
              <w:rPr>
                <w:rFonts w:cs="Arial"/>
                <w:bCs/>
              </w:rPr>
              <w:t>FAN (Facilitating Attuned Interactions) approach to family engagement and reflective practice.</w:t>
            </w:r>
          </w:p>
        </w:tc>
        <w:tc>
          <w:tcPr>
            <w:tcW w:w="1425" w:type="dxa"/>
            <w:tcBorders>
              <w:top w:val="none" w:sz="12" w:space="0" w:color="000000"/>
              <w:left w:val="none" w:sz="12" w:space="0" w:color="000000"/>
              <w:bottom w:val="nil"/>
              <w:right w:val="none" w:sz="12" w:space="0" w:color="000000"/>
            </w:tcBorders>
          </w:tcPr>
          <w:p w14:paraId="6028F787" w14:textId="77777777" w:rsidR="00DE5ED5" w:rsidRPr="009233BF" w:rsidRDefault="00DE5ED5">
            <w:pPr>
              <w:spacing w:after="0"/>
              <w:rPr>
                <w:rFonts w:cs="Arial"/>
                <w:bCs/>
                <w:lang w:val="en-US"/>
              </w:rPr>
            </w:pPr>
            <w:r w:rsidRPr="009233BF">
              <w:rPr>
                <w:rFonts w:cs="Arial"/>
                <w:bCs/>
                <w:lang w:val="en-US"/>
              </w:rPr>
              <w:t>Focus group/</w:t>
            </w:r>
          </w:p>
          <w:p w14:paraId="1EACEDC8" w14:textId="77777777" w:rsidR="00DE5ED5" w:rsidRPr="009233BF" w:rsidRDefault="00DE5ED5">
            <w:pPr>
              <w:spacing w:after="0"/>
              <w:rPr>
                <w:rFonts w:cs="Arial"/>
                <w:bCs/>
                <w:lang w:val="en-US"/>
              </w:rPr>
            </w:pPr>
            <w:r w:rsidRPr="009233BF">
              <w:rPr>
                <w:rFonts w:cs="Arial"/>
                <w:bCs/>
                <w:lang w:val="en-US"/>
              </w:rPr>
              <w:t>Thematic analysis</w:t>
            </w:r>
          </w:p>
        </w:tc>
        <w:tc>
          <w:tcPr>
            <w:tcW w:w="3510" w:type="dxa"/>
            <w:tcBorders>
              <w:top w:val="none" w:sz="12" w:space="0" w:color="000000"/>
              <w:left w:val="none" w:sz="12" w:space="0" w:color="000000"/>
              <w:bottom w:val="nil"/>
              <w:right w:val="none" w:sz="12" w:space="0" w:color="000000"/>
            </w:tcBorders>
          </w:tcPr>
          <w:p w14:paraId="6B2ACF2C" w14:textId="77777777" w:rsidR="00DE5ED5" w:rsidRPr="009233BF" w:rsidRDefault="00DE5ED5">
            <w:pPr>
              <w:spacing w:after="0"/>
              <w:rPr>
                <w:rFonts w:cs="Arial"/>
                <w:bCs/>
                <w:lang w:val="en-US"/>
              </w:rPr>
            </w:pPr>
            <w:r w:rsidRPr="009233BF">
              <w:rPr>
                <w:rFonts w:cs="Arial"/>
                <w:bCs/>
                <w:lang w:val="en-US"/>
              </w:rPr>
              <w:t>Providers felt more empathic with parents, more collaborative, and more effective and satisfied in their roles. FAN is a promising approach and practical tool to strengthen relationships between parents and professionals in EI.</w:t>
            </w:r>
          </w:p>
        </w:tc>
        <w:tc>
          <w:tcPr>
            <w:tcW w:w="1065" w:type="dxa"/>
            <w:tcBorders>
              <w:top w:val="none" w:sz="12" w:space="0" w:color="000000"/>
              <w:left w:val="none" w:sz="12" w:space="0" w:color="000000"/>
              <w:bottom w:val="nil"/>
              <w:right w:val="none" w:sz="12" w:space="0" w:color="000000"/>
            </w:tcBorders>
          </w:tcPr>
          <w:p w14:paraId="645AA9B1" w14:textId="77777777" w:rsidR="00DE5ED5" w:rsidRPr="009233BF" w:rsidRDefault="00DE5ED5">
            <w:pPr>
              <w:spacing w:after="0"/>
              <w:rPr>
                <w:rFonts w:cs="Arial"/>
                <w:bCs/>
              </w:rPr>
            </w:pPr>
            <w:r w:rsidRPr="009233BF">
              <w:rPr>
                <w:rFonts w:cs="Arial"/>
                <w:bCs/>
              </w:rPr>
              <w:t>No</w:t>
            </w:r>
          </w:p>
        </w:tc>
      </w:tr>
      <w:tr w:rsidR="00DE5ED5" w:rsidRPr="00E4576E" w14:paraId="608F28BD" w14:textId="77777777">
        <w:trPr>
          <w:cnfStyle w:val="000000100000" w:firstRow="0" w:lastRow="0" w:firstColumn="0" w:lastColumn="0" w:oddVBand="0" w:evenVBand="0" w:oddHBand="1" w:evenHBand="0" w:firstRowFirstColumn="0" w:firstRowLastColumn="0" w:lastRowFirstColumn="0" w:lastRowLastColumn="0"/>
          <w:trHeight w:val="3273"/>
        </w:trPr>
        <w:tc>
          <w:tcPr>
            <w:tcW w:w="1365" w:type="dxa"/>
            <w:tcBorders>
              <w:top w:val="nil"/>
              <w:bottom w:val="single" w:sz="4" w:space="0" w:color="auto"/>
            </w:tcBorders>
          </w:tcPr>
          <w:p w14:paraId="24FDA070" w14:textId="77777777" w:rsidR="00DE5ED5" w:rsidRPr="009233BF" w:rsidRDefault="00DE5ED5">
            <w:pPr>
              <w:spacing w:after="0" w:line="276" w:lineRule="auto"/>
              <w:rPr>
                <w:rFonts w:eastAsia="MS Mincho" w:cs="Arial"/>
                <w:bCs/>
              </w:rPr>
            </w:pPr>
            <w:r w:rsidRPr="009233BF">
              <w:rPr>
                <w:rFonts w:eastAsia="MS Mincho" w:cs="Arial"/>
                <w:bCs/>
              </w:rPr>
              <w:t>Haine-Schlagel, 2020*,</w:t>
            </w:r>
          </w:p>
          <w:p w14:paraId="3100A8E7" w14:textId="77777777" w:rsidR="00DE5ED5" w:rsidRPr="009233BF" w:rsidRDefault="00DE5ED5">
            <w:pPr>
              <w:spacing w:after="0" w:line="276" w:lineRule="auto"/>
              <w:rPr>
                <w:rFonts w:eastAsia="MS Mincho" w:cs="Arial"/>
                <w:bCs/>
              </w:rPr>
            </w:pPr>
            <w:r w:rsidRPr="009233BF">
              <w:rPr>
                <w:rFonts w:eastAsia="MS Mincho" w:cs="Arial"/>
                <w:bCs/>
              </w:rPr>
              <w:t>United States</w:t>
            </w:r>
          </w:p>
          <w:p w14:paraId="015C72F3" w14:textId="77777777" w:rsidR="00DE5ED5" w:rsidRPr="009233BF" w:rsidRDefault="00DE5ED5">
            <w:pPr>
              <w:spacing w:after="0" w:line="276" w:lineRule="auto"/>
              <w:rPr>
                <w:rFonts w:eastAsia="MS Mincho" w:cs="Arial"/>
                <w:bCs/>
              </w:rPr>
            </w:pPr>
          </w:p>
        </w:tc>
        <w:tc>
          <w:tcPr>
            <w:tcW w:w="1545" w:type="dxa"/>
            <w:tcBorders>
              <w:top w:val="nil"/>
              <w:bottom w:val="single" w:sz="4" w:space="0" w:color="auto"/>
            </w:tcBorders>
          </w:tcPr>
          <w:p w14:paraId="52B27D43" w14:textId="77777777" w:rsidR="00DE5ED5" w:rsidRPr="009233BF" w:rsidRDefault="00DE5ED5">
            <w:pPr>
              <w:spacing w:after="0"/>
              <w:rPr>
                <w:rFonts w:eastAsia="MS Mincho" w:cs="Arial"/>
                <w:bCs/>
              </w:rPr>
            </w:pPr>
            <w:r w:rsidRPr="009233BF">
              <w:rPr>
                <w:rFonts w:eastAsia="MS Mincho" w:cs="Arial"/>
                <w:bCs/>
              </w:rPr>
              <w:t>Autism (toddlers showing signs of autism)</w:t>
            </w:r>
          </w:p>
        </w:tc>
        <w:tc>
          <w:tcPr>
            <w:tcW w:w="1545" w:type="dxa"/>
            <w:tcBorders>
              <w:top w:val="nil"/>
              <w:bottom w:val="single" w:sz="4" w:space="0" w:color="auto"/>
            </w:tcBorders>
          </w:tcPr>
          <w:p w14:paraId="247C5AE5" w14:textId="77777777" w:rsidR="00DE5ED5" w:rsidRPr="009233BF" w:rsidRDefault="00DE5ED5">
            <w:pPr>
              <w:spacing w:after="0"/>
              <w:rPr>
                <w:rFonts w:eastAsia="MS Mincho" w:cs="Arial"/>
                <w:bCs/>
                <w:lang w:val="en-US"/>
              </w:rPr>
            </w:pPr>
            <w:r w:rsidRPr="009233BF">
              <w:rPr>
                <w:rFonts w:eastAsia="MS Mincho" w:cs="Arial"/>
                <w:bCs/>
                <w:lang w:val="en-US"/>
              </w:rPr>
              <w:t>To examine service providers perspectives on PACT tools (that are part of Project ImPACT).</w:t>
            </w:r>
          </w:p>
        </w:tc>
        <w:tc>
          <w:tcPr>
            <w:tcW w:w="1365" w:type="dxa"/>
            <w:tcBorders>
              <w:top w:val="nil"/>
              <w:bottom w:val="single" w:sz="4" w:space="0" w:color="auto"/>
            </w:tcBorders>
          </w:tcPr>
          <w:p w14:paraId="51B7C32E" w14:textId="77777777" w:rsidR="00DE5ED5" w:rsidRPr="009233BF" w:rsidRDefault="00DE5ED5">
            <w:pPr>
              <w:spacing w:after="0"/>
              <w:rPr>
                <w:rFonts w:eastAsia="MS Mincho" w:cs="Arial"/>
                <w:bCs/>
                <w:lang w:val="en-US"/>
              </w:rPr>
            </w:pPr>
            <w:r w:rsidRPr="009233BF">
              <w:rPr>
                <w:rFonts w:eastAsia="MS Mincho" w:cs="Arial"/>
                <w:bCs/>
                <w:lang w:val="en-US"/>
              </w:rPr>
              <w:t>Agency trainers (n=14); therapists (n=24)</w:t>
            </w:r>
          </w:p>
        </w:tc>
        <w:tc>
          <w:tcPr>
            <w:tcW w:w="2130" w:type="dxa"/>
            <w:tcBorders>
              <w:top w:val="nil"/>
              <w:bottom w:val="single" w:sz="4" w:space="0" w:color="auto"/>
            </w:tcBorders>
          </w:tcPr>
          <w:p w14:paraId="11C79A33" w14:textId="77777777" w:rsidR="00DE5ED5" w:rsidRPr="009233BF" w:rsidRDefault="00DE5ED5">
            <w:pPr>
              <w:spacing w:after="0" w:line="276" w:lineRule="auto"/>
              <w:rPr>
                <w:rFonts w:eastAsia="MS Mincho" w:cs="Arial"/>
                <w:bCs/>
              </w:rPr>
            </w:pPr>
            <w:r w:rsidRPr="009233BF">
              <w:rPr>
                <w:rFonts w:eastAsia="MS Mincho" w:cs="Arial"/>
                <w:bCs/>
              </w:rPr>
              <w:t>PIT - a community</w:t>
            </w:r>
            <w:r w:rsidRPr="009233BF">
              <w:rPr>
                <w:rFonts w:ascii="Cambria Math" w:eastAsia="MS Mincho" w:hAnsi="Cambria Math" w:cs="Cambria Math"/>
                <w:bCs/>
              </w:rPr>
              <w:t>‐</w:t>
            </w:r>
            <w:r w:rsidRPr="009233BF">
              <w:rPr>
                <w:rFonts w:eastAsia="MS Mincho" w:cs="Arial"/>
                <w:bCs/>
              </w:rPr>
              <w:t>adapted, naturalistic, developmental behavioural intervention based on Project ImPACT</w:t>
            </w:r>
          </w:p>
        </w:tc>
        <w:tc>
          <w:tcPr>
            <w:tcW w:w="1425" w:type="dxa"/>
            <w:tcBorders>
              <w:top w:val="nil"/>
              <w:bottom w:val="single" w:sz="4" w:space="0" w:color="auto"/>
            </w:tcBorders>
          </w:tcPr>
          <w:p w14:paraId="31734BE1" w14:textId="77777777" w:rsidR="00DE5ED5" w:rsidRPr="009233BF" w:rsidRDefault="00DE5ED5">
            <w:pPr>
              <w:spacing w:after="0"/>
              <w:rPr>
                <w:rFonts w:eastAsia="MS Mincho" w:cs="Arial"/>
                <w:bCs/>
                <w:lang w:val="en-US"/>
              </w:rPr>
            </w:pPr>
            <w:r w:rsidRPr="009233BF">
              <w:rPr>
                <w:rFonts w:eastAsia="MS Mincho" w:cs="Arial"/>
                <w:bCs/>
                <w:lang w:val="en-US"/>
              </w:rPr>
              <w:t>Interviews/</w:t>
            </w:r>
          </w:p>
          <w:p w14:paraId="2F32B6CE" w14:textId="77777777" w:rsidR="00DE5ED5" w:rsidRPr="009233BF" w:rsidRDefault="00DE5ED5">
            <w:pPr>
              <w:spacing w:after="0"/>
              <w:rPr>
                <w:rFonts w:eastAsia="MS Mincho" w:cs="Arial"/>
                <w:bCs/>
                <w:lang w:val="en-US"/>
              </w:rPr>
            </w:pPr>
            <w:r w:rsidRPr="009233BF">
              <w:rPr>
                <w:rFonts w:eastAsia="MS Mincho" w:cs="Arial"/>
                <w:bCs/>
                <w:lang w:val="en-US"/>
              </w:rPr>
              <w:t>grounded theory approach to thematic analysis</w:t>
            </w:r>
          </w:p>
        </w:tc>
        <w:tc>
          <w:tcPr>
            <w:tcW w:w="3510" w:type="dxa"/>
            <w:tcBorders>
              <w:top w:val="nil"/>
              <w:bottom w:val="single" w:sz="4" w:space="0" w:color="auto"/>
            </w:tcBorders>
          </w:tcPr>
          <w:p w14:paraId="479BBBED" w14:textId="77777777" w:rsidR="00DE5ED5" w:rsidRPr="009233BF" w:rsidRDefault="00DE5ED5">
            <w:pPr>
              <w:spacing w:after="0" w:line="276" w:lineRule="auto"/>
              <w:rPr>
                <w:rFonts w:eastAsia="MS Mincho" w:cs="Arial"/>
                <w:bCs/>
              </w:rPr>
            </w:pPr>
            <w:r w:rsidRPr="009233BF">
              <w:rPr>
                <w:rFonts w:eastAsia="MS Mincho" w:cs="Arial"/>
                <w:bCs/>
              </w:rPr>
              <w:t>Providers perceived the integration of parent engagement strategies as having a positive impact on implementation. Providers considered the strategies to be acceptable, appropriate, and effective, though barriers of time and complexity were noted. Incorporating parent engagement strategies into parent</w:t>
            </w:r>
            <w:r w:rsidRPr="009233BF">
              <w:rPr>
                <w:rFonts w:ascii="Cambria Math" w:eastAsia="MS Mincho" w:hAnsi="Cambria Math" w:cs="Cambria Math"/>
                <w:bCs/>
              </w:rPr>
              <w:t>‐</w:t>
            </w:r>
            <w:r w:rsidRPr="009233BF">
              <w:rPr>
                <w:rFonts w:eastAsia="MS Mincho" w:cs="Arial"/>
                <w:bCs/>
              </w:rPr>
              <w:t>mediated interventions for autism is well</w:t>
            </w:r>
            <w:r w:rsidRPr="009233BF">
              <w:rPr>
                <w:rFonts w:ascii="Cambria Math" w:eastAsia="MS Mincho" w:hAnsi="Cambria Math" w:cs="Cambria Math"/>
                <w:bCs/>
              </w:rPr>
              <w:t>‐</w:t>
            </w:r>
            <w:r w:rsidRPr="009233BF">
              <w:rPr>
                <w:rFonts w:eastAsia="MS Mincho" w:cs="Arial"/>
                <w:bCs/>
              </w:rPr>
              <w:t>received by providers and may improve quality of service delivery.</w:t>
            </w:r>
          </w:p>
        </w:tc>
        <w:tc>
          <w:tcPr>
            <w:tcW w:w="1065" w:type="dxa"/>
            <w:tcBorders>
              <w:top w:val="nil"/>
              <w:bottom w:val="single" w:sz="4" w:space="0" w:color="auto"/>
            </w:tcBorders>
          </w:tcPr>
          <w:p w14:paraId="3C854AB0" w14:textId="77777777" w:rsidR="00DE5ED5" w:rsidRPr="009233BF" w:rsidRDefault="00DE5ED5">
            <w:pPr>
              <w:spacing w:after="0"/>
              <w:rPr>
                <w:rFonts w:eastAsia="MS Mincho" w:cs="Arial"/>
                <w:bCs/>
              </w:rPr>
            </w:pPr>
            <w:r w:rsidRPr="009233BF">
              <w:rPr>
                <w:rFonts w:eastAsia="MS Mincho" w:cs="Arial"/>
                <w:bCs/>
              </w:rPr>
              <w:t>No</w:t>
            </w:r>
          </w:p>
        </w:tc>
      </w:tr>
    </w:tbl>
    <w:p w14:paraId="3211ED04" w14:textId="7B1B68B6" w:rsidR="00DE5ED5" w:rsidRPr="006478C1" w:rsidRDefault="008C3D4A" w:rsidP="00786158">
      <w:pPr>
        <w:rPr>
          <w:rFonts w:cs="Arial"/>
          <w:color w:val="000000" w:themeColor="text1"/>
          <w:sz w:val="20"/>
          <w:szCs w:val="20"/>
          <w:lang w:val="en-US"/>
        </w:rPr>
      </w:pPr>
      <w:r w:rsidRPr="006478C1">
        <w:rPr>
          <w:rFonts w:cs="Arial"/>
          <w:color w:val="000000" w:themeColor="text1"/>
          <w:sz w:val="20"/>
          <w:szCs w:val="20"/>
          <w:lang w:val="en-US"/>
        </w:rPr>
        <w:t>Note. * Indicates qualitative data extracted from a mixed methods research study. Acronyms are defined within each relevant study in the column or intervention in focus column.</w:t>
      </w:r>
    </w:p>
    <w:p w14:paraId="70D2814B" w14:textId="77777777" w:rsidR="008C3D4A" w:rsidRDefault="008C3D4A" w:rsidP="00786158">
      <w:pPr>
        <w:rPr>
          <w:rFonts w:cs="Arial"/>
          <w:color w:val="000000" w:themeColor="text1"/>
          <w:lang w:val="en-US"/>
        </w:rPr>
      </w:pPr>
    </w:p>
    <w:p w14:paraId="46F7BC8C" w14:textId="77777777" w:rsidR="008C3D4A" w:rsidRDefault="008C3D4A" w:rsidP="00786158">
      <w:pPr>
        <w:rPr>
          <w:rFonts w:cs="Arial"/>
          <w:color w:val="000000" w:themeColor="text1"/>
          <w:lang w:val="en-US"/>
        </w:rPr>
      </w:pPr>
    </w:p>
    <w:p w14:paraId="5F211A39" w14:textId="77777777" w:rsidR="008C3D4A" w:rsidRDefault="008C3D4A" w:rsidP="00786158">
      <w:pPr>
        <w:rPr>
          <w:rFonts w:cs="Arial"/>
          <w:color w:val="000000" w:themeColor="text1"/>
          <w:lang w:val="en-US"/>
        </w:rPr>
      </w:pPr>
    </w:p>
    <w:p w14:paraId="27951786" w14:textId="77777777" w:rsidR="008C3D4A" w:rsidRDefault="008C3D4A" w:rsidP="00786158">
      <w:pPr>
        <w:rPr>
          <w:rFonts w:cs="Arial"/>
          <w:color w:val="000000" w:themeColor="text1"/>
          <w:lang w:val="en-US"/>
        </w:rPr>
      </w:pPr>
    </w:p>
    <w:p w14:paraId="675F6A35" w14:textId="77777777" w:rsidR="00890FF0" w:rsidRDefault="00890FF0" w:rsidP="00786158">
      <w:pPr>
        <w:rPr>
          <w:rFonts w:cs="Arial"/>
          <w:color w:val="000000" w:themeColor="text1"/>
          <w:lang w:val="en-US"/>
        </w:rPr>
        <w:sectPr w:rsidR="00890FF0" w:rsidSect="0070044D">
          <w:pgSz w:w="16838" w:h="11906" w:orient="landscape"/>
          <w:pgMar w:top="1440" w:right="1440" w:bottom="1440" w:left="1440" w:header="709" w:footer="709" w:gutter="0"/>
          <w:cols w:space="708"/>
          <w:titlePg/>
          <w:docGrid w:linePitch="360"/>
        </w:sectPr>
      </w:pPr>
    </w:p>
    <w:p w14:paraId="23D7DA25" w14:textId="4B2F0F01" w:rsidR="008C3D4A" w:rsidRDefault="00890FF0" w:rsidP="00786158">
      <w:pPr>
        <w:rPr>
          <w:rFonts w:cs="Arial"/>
          <w:color w:val="000000" w:themeColor="text1"/>
          <w:lang w:val="en-US"/>
        </w:rPr>
      </w:pPr>
      <w:r w:rsidRPr="00890FF0">
        <w:rPr>
          <w:rFonts w:cs="Arial"/>
          <w:color w:val="000000" w:themeColor="text1"/>
          <w:lang w:val="en-US"/>
        </w:rPr>
        <w:t>Risk of bias in qualitative studies is displayed in Table 19. Studies are ordered from newest to oldest. It was common that included studies did not address the risk of bias associated with not identifying researcher positionality (item 6) or influence (item 7) in the work, and some lack of addressing the philosophical stance.</w:t>
      </w:r>
    </w:p>
    <w:p w14:paraId="58501AD1" w14:textId="77777777" w:rsidR="006478C1" w:rsidRDefault="006478C1" w:rsidP="00786158">
      <w:pPr>
        <w:rPr>
          <w:rFonts w:cs="Arial"/>
          <w:color w:val="000000" w:themeColor="text1"/>
          <w:lang w:val="en-US"/>
        </w:rPr>
      </w:pPr>
    </w:p>
    <w:p w14:paraId="3E9DC1D3" w14:textId="42B15F5F" w:rsidR="00890FF0" w:rsidRPr="00627239" w:rsidRDefault="00627239" w:rsidP="00627239">
      <w:pPr>
        <w:pStyle w:val="Caption"/>
        <w:keepNext/>
      </w:pPr>
      <w:bookmarkStart w:id="122" w:name="_Toc177725018"/>
      <w:bookmarkStart w:id="123" w:name="_Toc177727338"/>
      <w:r w:rsidRPr="00C36F4E">
        <w:rPr>
          <w:b/>
          <w:bCs/>
        </w:rPr>
        <w:t xml:space="preserve">Table </w:t>
      </w:r>
      <w:r w:rsidRPr="00C36F4E">
        <w:rPr>
          <w:b/>
          <w:bCs/>
        </w:rPr>
        <w:fldChar w:fldCharType="begin"/>
      </w:r>
      <w:r w:rsidRPr="00C36F4E">
        <w:rPr>
          <w:b/>
          <w:bCs/>
        </w:rPr>
        <w:instrText xml:space="preserve"> SEQ Table \* ARABIC </w:instrText>
      </w:r>
      <w:r w:rsidRPr="00C36F4E">
        <w:rPr>
          <w:b/>
          <w:bCs/>
        </w:rPr>
        <w:fldChar w:fldCharType="separate"/>
      </w:r>
      <w:r w:rsidR="00303407">
        <w:rPr>
          <w:b/>
          <w:bCs/>
          <w:noProof/>
        </w:rPr>
        <w:t>20</w:t>
      </w:r>
      <w:r w:rsidRPr="00C36F4E">
        <w:rPr>
          <w:b/>
          <w:bCs/>
          <w:noProof/>
        </w:rPr>
        <w:fldChar w:fldCharType="end"/>
      </w:r>
      <w:r w:rsidRPr="00C36F4E">
        <w:rPr>
          <w:b/>
          <w:bCs/>
        </w:rPr>
        <w:t>.</w:t>
      </w:r>
      <w:r w:rsidRPr="00AE08A8">
        <w:t xml:space="preserve"> Risk of bias of qualitative studies</w:t>
      </w:r>
      <w:bookmarkEnd w:id="122"/>
      <w:bookmarkEnd w:id="123"/>
    </w:p>
    <w:tbl>
      <w:tblPr>
        <w:tblW w:w="8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2"/>
        <w:gridCol w:w="576"/>
        <w:gridCol w:w="576"/>
        <w:gridCol w:w="576"/>
        <w:gridCol w:w="576"/>
        <w:gridCol w:w="576"/>
        <w:gridCol w:w="576"/>
        <w:gridCol w:w="576"/>
        <w:gridCol w:w="576"/>
        <w:gridCol w:w="576"/>
        <w:gridCol w:w="576"/>
      </w:tblGrid>
      <w:tr w:rsidR="00272F72" w:rsidRPr="00502561" w14:paraId="71EBC32C" w14:textId="77777777">
        <w:trPr>
          <w:trHeight w:val="330"/>
        </w:trPr>
        <w:tc>
          <w:tcPr>
            <w:tcW w:w="2362" w:type="dxa"/>
            <w:tcBorders>
              <w:top w:val="single" w:sz="4" w:space="0" w:color="auto"/>
              <w:left w:val="nil"/>
              <w:bottom w:val="nil"/>
              <w:right w:val="nil"/>
            </w:tcBorders>
            <w:shd w:val="clear" w:color="auto" w:fill="082A75"/>
          </w:tcPr>
          <w:p w14:paraId="6CE94C75" w14:textId="77777777" w:rsidR="00272F72" w:rsidRPr="00272F72" w:rsidRDefault="00272F72">
            <w:pPr>
              <w:spacing w:after="0" w:line="276" w:lineRule="auto"/>
              <w:rPr>
                <w:rFonts w:eastAsia="Segoe UI" w:cs="Arial"/>
                <w:b/>
                <w:bCs/>
                <w:color w:val="FFFFFF"/>
                <w:sz w:val="20"/>
                <w:szCs w:val="20"/>
                <w:lang w:val="en-US"/>
              </w:rPr>
            </w:pPr>
          </w:p>
        </w:tc>
        <w:tc>
          <w:tcPr>
            <w:tcW w:w="5760" w:type="dxa"/>
            <w:gridSpan w:val="10"/>
            <w:tcBorders>
              <w:top w:val="single" w:sz="4" w:space="0" w:color="auto"/>
              <w:left w:val="nil"/>
              <w:bottom w:val="nil"/>
              <w:right w:val="nil"/>
            </w:tcBorders>
            <w:shd w:val="clear" w:color="auto" w:fill="082A75"/>
          </w:tcPr>
          <w:p w14:paraId="4D27260E" w14:textId="77777777" w:rsidR="00272F72" w:rsidRPr="00272F72" w:rsidRDefault="00272F72">
            <w:pPr>
              <w:spacing w:after="0" w:line="276" w:lineRule="auto"/>
              <w:jc w:val="center"/>
              <w:rPr>
                <w:rFonts w:eastAsia="Segoe UI" w:cs="Arial"/>
                <w:b/>
                <w:bCs/>
                <w:color w:val="FFFFFF"/>
                <w:sz w:val="20"/>
                <w:szCs w:val="20"/>
                <w:lang w:val="en-US"/>
              </w:rPr>
            </w:pPr>
            <w:r w:rsidRPr="00272F72">
              <w:rPr>
                <w:rFonts w:eastAsia="Segoe UI" w:cs="Arial"/>
                <w:b/>
                <w:bCs/>
                <w:color w:val="FFFFFF"/>
                <w:sz w:val="20"/>
                <w:szCs w:val="20"/>
                <w:lang w:val="en-US"/>
              </w:rPr>
              <w:t>JBI RoB Item Numbers</w:t>
            </w:r>
          </w:p>
        </w:tc>
      </w:tr>
      <w:tr w:rsidR="00272F72" w:rsidRPr="00502561" w14:paraId="43624EB6" w14:textId="77777777">
        <w:trPr>
          <w:trHeight w:val="330"/>
        </w:trPr>
        <w:tc>
          <w:tcPr>
            <w:tcW w:w="2362" w:type="dxa"/>
            <w:tcBorders>
              <w:top w:val="nil"/>
              <w:left w:val="nil"/>
              <w:bottom w:val="single" w:sz="4" w:space="0" w:color="auto"/>
              <w:right w:val="nil"/>
            </w:tcBorders>
            <w:shd w:val="clear" w:color="auto" w:fill="082A75"/>
          </w:tcPr>
          <w:p w14:paraId="7CAB51E3"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 xml:space="preserve">Author Year  </w:t>
            </w:r>
          </w:p>
        </w:tc>
        <w:tc>
          <w:tcPr>
            <w:tcW w:w="576" w:type="dxa"/>
            <w:tcBorders>
              <w:top w:val="nil"/>
              <w:left w:val="nil"/>
              <w:bottom w:val="single" w:sz="4" w:space="0" w:color="auto"/>
              <w:right w:val="nil"/>
            </w:tcBorders>
            <w:shd w:val="clear" w:color="auto" w:fill="082A75"/>
          </w:tcPr>
          <w:p w14:paraId="537168AD"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1</w:t>
            </w:r>
          </w:p>
        </w:tc>
        <w:tc>
          <w:tcPr>
            <w:tcW w:w="576" w:type="dxa"/>
            <w:tcBorders>
              <w:top w:val="nil"/>
              <w:left w:val="nil"/>
              <w:bottom w:val="single" w:sz="4" w:space="0" w:color="auto"/>
              <w:right w:val="nil"/>
            </w:tcBorders>
            <w:shd w:val="clear" w:color="auto" w:fill="082A75"/>
          </w:tcPr>
          <w:p w14:paraId="40C98E63"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 xml:space="preserve">2 </w:t>
            </w:r>
          </w:p>
        </w:tc>
        <w:tc>
          <w:tcPr>
            <w:tcW w:w="576" w:type="dxa"/>
            <w:tcBorders>
              <w:top w:val="nil"/>
              <w:left w:val="nil"/>
              <w:bottom w:val="single" w:sz="4" w:space="0" w:color="auto"/>
              <w:right w:val="nil"/>
            </w:tcBorders>
            <w:shd w:val="clear" w:color="auto" w:fill="082A75"/>
          </w:tcPr>
          <w:p w14:paraId="0F684821"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 xml:space="preserve">3 </w:t>
            </w:r>
          </w:p>
        </w:tc>
        <w:tc>
          <w:tcPr>
            <w:tcW w:w="576" w:type="dxa"/>
            <w:tcBorders>
              <w:top w:val="nil"/>
              <w:left w:val="nil"/>
              <w:bottom w:val="single" w:sz="4" w:space="0" w:color="auto"/>
              <w:right w:val="nil"/>
            </w:tcBorders>
            <w:shd w:val="clear" w:color="auto" w:fill="082A75"/>
          </w:tcPr>
          <w:p w14:paraId="2EA3DD80" w14:textId="77777777" w:rsidR="00272F72" w:rsidRPr="00272F72" w:rsidRDefault="00272F72">
            <w:pPr>
              <w:spacing w:after="0" w:line="276" w:lineRule="auto"/>
              <w:jc w:val="center"/>
              <w:rPr>
                <w:rFonts w:eastAsia="Segoe UI" w:cs="Arial"/>
                <w:b/>
                <w:bCs/>
                <w:color w:val="FFFFFF"/>
                <w:sz w:val="20"/>
                <w:szCs w:val="20"/>
                <w:lang w:val="en-US"/>
              </w:rPr>
            </w:pPr>
            <w:r w:rsidRPr="00272F72">
              <w:rPr>
                <w:rFonts w:eastAsia="Segoe UI" w:cs="Arial"/>
                <w:b/>
                <w:bCs/>
                <w:color w:val="FFFFFF"/>
                <w:sz w:val="20"/>
                <w:szCs w:val="20"/>
                <w:lang w:val="en-US"/>
              </w:rPr>
              <w:t>4</w:t>
            </w:r>
          </w:p>
        </w:tc>
        <w:tc>
          <w:tcPr>
            <w:tcW w:w="576" w:type="dxa"/>
            <w:tcBorders>
              <w:top w:val="nil"/>
              <w:left w:val="nil"/>
              <w:bottom w:val="single" w:sz="4" w:space="0" w:color="auto"/>
              <w:right w:val="nil"/>
            </w:tcBorders>
            <w:shd w:val="clear" w:color="auto" w:fill="082A75"/>
          </w:tcPr>
          <w:p w14:paraId="5F75443A"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5</w:t>
            </w:r>
          </w:p>
        </w:tc>
        <w:tc>
          <w:tcPr>
            <w:tcW w:w="576" w:type="dxa"/>
            <w:tcBorders>
              <w:top w:val="nil"/>
              <w:left w:val="nil"/>
              <w:bottom w:val="single" w:sz="4" w:space="0" w:color="auto"/>
              <w:right w:val="nil"/>
            </w:tcBorders>
            <w:shd w:val="clear" w:color="auto" w:fill="082A75"/>
          </w:tcPr>
          <w:p w14:paraId="30C73EE9"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6</w:t>
            </w:r>
          </w:p>
        </w:tc>
        <w:tc>
          <w:tcPr>
            <w:tcW w:w="576" w:type="dxa"/>
            <w:tcBorders>
              <w:top w:val="nil"/>
              <w:left w:val="nil"/>
              <w:bottom w:val="single" w:sz="4" w:space="0" w:color="auto"/>
              <w:right w:val="nil"/>
            </w:tcBorders>
            <w:shd w:val="clear" w:color="auto" w:fill="082A75"/>
          </w:tcPr>
          <w:p w14:paraId="66C54250"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7</w:t>
            </w:r>
          </w:p>
        </w:tc>
        <w:tc>
          <w:tcPr>
            <w:tcW w:w="576" w:type="dxa"/>
            <w:tcBorders>
              <w:top w:val="nil"/>
              <w:left w:val="nil"/>
              <w:bottom w:val="single" w:sz="4" w:space="0" w:color="auto"/>
              <w:right w:val="nil"/>
            </w:tcBorders>
            <w:shd w:val="clear" w:color="auto" w:fill="082A75"/>
          </w:tcPr>
          <w:p w14:paraId="388DF6D1"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8</w:t>
            </w:r>
          </w:p>
        </w:tc>
        <w:tc>
          <w:tcPr>
            <w:tcW w:w="576" w:type="dxa"/>
            <w:tcBorders>
              <w:top w:val="nil"/>
              <w:left w:val="nil"/>
              <w:bottom w:val="single" w:sz="4" w:space="0" w:color="auto"/>
              <w:right w:val="nil"/>
            </w:tcBorders>
            <w:shd w:val="clear" w:color="auto" w:fill="082A75"/>
          </w:tcPr>
          <w:p w14:paraId="39427E27"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9</w:t>
            </w:r>
          </w:p>
        </w:tc>
        <w:tc>
          <w:tcPr>
            <w:tcW w:w="576" w:type="dxa"/>
            <w:tcBorders>
              <w:top w:val="nil"/>
              <w:left w:val="nil"/>
              <w:bottom w:val="single" w:sz="4" w:space="0" w:color="auto"/>
              <w:right w:val="nil"/>
            </w:tcBorders>
            <w:shd w:val="clear" w:color="auto" w:fill="082A75"/>
          </w:tcPr>
          <w:p w14:paraId="46EE69EC" w14:textId="77777777" w:rsidR="00272F72" w:rsidRPr="00272F72" w:rsidRDefault="00272F72">
            <w:pPr>
              <w:spacing w:after="0" w:line="276" w:lineRule="auto"/>
              <w:rPr>
                <w:rFonts w:eastAsia="Segoe UI" w:cs="Arial"/>
                <w:b/>
                <w:bCs/>
                <w:color w:val="FFFFFF"/>
                <w:sz w:val="20"/>
                <w:szCs w:val="20"/>
                <w:lang w:val="en-US"/>
              </w:rPr>
            </w:pPr>
            <w:r w:rsidRPr="00272F72">
              <w:rPr>
                <w:rFonts w:eastAsia="Segoe UI" w:cs="Arial"/>
                <w:b/>
                <w:bCs/>
                <w:color w:val="FFFFFF"/>
                <w:sz w:val="20"/>
                <w:szCs w:val="20"/>
                <w:lang w:val="en-US"/>
              </w:rPr>
              <w:t>10</w:t>
            </w:r>
          </w:p>
        </w:tc>
      </w:tr>
      <w:tr w:rsidR="00272F72" w:rsidRPr="00502561" w14:paraId="2ABDF1F4" w14:textId="77777777">
        <w:trPr>
          <w:trHeight w:val="300"/>
        </w:trPr>
        <w:tc>
          <w:tcPr>
            <w:tcW w:w="2362" w:type="dxa"/>
            <w:tcBorders>
              <w:top w:val="single" w:sz="4" w:space="0" w:color="auto"/>
            </w:tcBorders>
            <w:vAlign w:val="bottom"/>
          </w:tcPr>
          <w:p w14:paraId="2D727D00"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Elvrum 2024</w:t>
            </w:r>
          </w:p>
        </w:tc>
        <w:tc>
          <w:tcPr>
            <w:tcW w:w="576" w:type="dxa"/>
            <w:tcBorders>
              <w:top w:val="single" w:sz="4" w:space="0" w:color="auto"/>
            </w:tcBorders>
            <w:shd w:val="clear" w:color="auto" w:fill="92D050"/>
            <w:vAlign w:val="bottom"/>
          </w:tcPr>
          <w:p w14:paraId="1C323D86"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tcBorders>
              <w:top w:val="single" w:sz="4" w:space="0" w:color="auto"/>
            </w:tcBorders>
            <w:shd w:val="clear" w:color="auto" w:fill="92D050"/>
            <w:vAlign w:val="bottom"/>
          </w:tcPr>
          <w:p w14:paraId="4E6EECF5"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tcBorders>
              <w:top w:val="single" w:sz="4" w:space="0" w:color="auto"/>
            </w:tcBorders>
            <w:shd w:val="clear" w:color="auto" w:fill="92D050"/>
            <w:vAlign w:val="bottom"/>
          </w:tcPr>
          <w:p w14:paraId="1085647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tcBorders>
              <w:top w:val="single" w:sz="4" w:space="0" w:color="auto"/>
            </w:tcBorders>
            <w:shd w:val="clear" w:color="auto" w:fill="92D050"/>
            <w:vAlign w:val="bottom"/>
          </w:tcPr>
          <w:p w14:paraId="686B4367"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tcBorders>
              <w:top w:val="single" w:sz="4" w:space="0" w:color="auto"/>
            </w:tcBorders>
            <w:shd w:val="clear" w:color="auto" w:fill="92D050"/>
            <w:vAlign w:val="bottom"/>
          </w:tcPr>
          <w:p w14:paraId="7605A60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tcBorders>
              <w:top w:val="single" w:sz="4" w:space="0" w:color="auto"/>
            </w:tcBorders>
            <w:shd w:val="clear" w:color="auto" w:fill="FF0000"/>
            <w:vAlign w:val="bottom"/>
          </w:tcPr>
          <w:p w14:paraId="51BF2BB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tcBorders>
              <w:top w:val="single" w:sz="4" w:space="0" w:color="auto"/>
            </w:tcBorders>
            <w:shd w:val="clear" w:color="auto" w:fill="FFC000"/>
            <w:vAlign w:val="bottom"/>
          </w:tcPr>
          <w:p w14:paraId="2DFBF45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tcBorders>
              <w:top w:val="single" w:sz="4" w:space="0" w:color="auto"/>
            </w:tcBorders>
            <w:shd w:val="clear" w:color="auto" w:fill="92D050"/>
            <w:vAlign w:val="bottom"/>
          </w:tcPr>
          <w:p w14:paraId="35D9EC6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tcBorders>
              <w:top w:val="single" w:sz="4" w:space="0" w:color="auto"/>
            </w:tcBorders>
            <w:shd w:val="clear" w:color="auto" w:fill="92D050"/>
            <w:vAlign w:val="bottom"/>
          </w:tcPr>
          <w:p w14:paraId="044DE3E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tcBorders>
              <w:top w:val="single" w:sz="4" w:space="0" w:color="auto"/>
            </w:tcBorders>
            <w:shd w:val="clear" w:color="auto" w:fill="92D050"/>
            <w:vAlign w:val="bottom"/>
          </w:tcPr>
          <w:p w14:paraId="3B2C3A1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59A145CC" w14:textId="77777777">
        <w:trPr>
          <w:trHeight w:val="300"/>
        </w:trPr>
        <w:tc>
          <w:tcPr>
            <w:tcW w:w="2362" w:type="dxa"/>
            <w:vAlign w:val="bottom"/>
          </w:tcPr>
          <w:p w14:paraId="53F7F6CE"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Pfeiffer 2024</w:t>
            </w:r>
          </w:p>
        </w:tc>
        <w:tc>
          <w:tcPr>
            <w:tcW w:w="576" w:type="dxa"/>
            <w:shd w:val="clear" w:color="auto" w:fill="92D050"/>
            <w:vAlign w:val="bottom"/>
          </w:tcPr>
          <w:p w14:paraId="6AC41C84"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0086F270"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540F572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B9044C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8AC172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1D022E1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7AEA47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1E80BA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E12BAF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F9C48C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7CB25E0A" w14:textId="77777777">
        <w:trPr>
          <w:trHeight w:val="300"/>
        </w:trPr>
        <w:tc>
          <w:tcPr>
            <w:tcW w:w="2362" w:type="dxa"/>
            <w:vAlign w:val="bottom"/>
          </w:tcPr>
          <w:p w14:paraId="1AFF89D7"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Amsbary 2023</w:t>
            </w:r>
          </w:p>
        </w:tc>
        <w:tc>
          <w:tcPr>
            <w:tcW w:w="576" w:type="dxa"/>
            <w:shd w:val="clear" w:color="auto" w:fill="FF0000"/>
            <w:vAlign w:val="bottom"/>
          </w:tcPr>
          <w:p w14:paraId="5857B1B4"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374933DD"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0E57673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4A1FC98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408409E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247BC68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3B7C991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360AC67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66D011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2ED0009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72947323" w14:textId="77777777">
        <w:trPr>
          <w:trHeight w:val="300"/>
        </w:trPr>
        <w:tc>
          <w:tcPr>
            <w:tcW w:w="2362" w:type="dxa"/>
            <w:vAlign w:val="bottom"/>
          </w:tcPr>
          <w:p w14:paraId="61CE9BA5"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Callanan 2023</w:t>
            </w:r>
          </w:p>
        </w:tc>
        <w:tc>
          <w:tcPr>
            <w:tcW w:w="576" w:type="dxa"/>
            <w:shd w:val="clear" w:color="auto" w:fill="FF0000"/>
            <w:vAlign w:val="bottom"/>
          </w:tcPr>
          <w:p w14:paraId="4E35E614"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04C85EA4"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15E3771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525CB26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935F037"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354D480C"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70D1B49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3809386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4C6A34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373F54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5EAFBB7E" w14:textId="77777777">
        <w:trPr>
          <w:trHeight w:val="300"/>
        </w:trPr>
        <w:tc>
          <w:tcPr>
            <w:tcW w:w="2362" w:type="dxa"/>
            <w:vAlign w:val="bottom"/>
          </w:tcPr>
          <w:p w14:paraId="4411EC38"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Miller 2023</w:t>
            </w:r>
          </w:p>
        </w:tc>
        <w:tc>
          <w:tcPr>
            <w:tcW w:w="576" w:type="dxa"/>
            <w:shd w:val="clear" w:color="auto" w:fill="92D050"/>
            <w:vAlign w:val="bottom"/>
          </w:tcPr>
          <w:p w14:paraId="7E9FE666"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5756D0E3"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38987BA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CCC20F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E1A5EA7"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64AE1737"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5BD7E1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199E09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748C95C"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E61881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5FFD900F" w14:textId="77777777">
        <w:trPr>
          <w:trHeight w:val="300"/>
        </w:trPr>
        <w:tc>
          <w:tcPr>
            <w:tcW w:w="2362" w:type="dxa"/>
            <w:vAlign w:val="bottom"/>
          </w:tcPr>
          <w:p w14:paraId="16B8AD63"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Rollins 2023</w:t>
            </w:r>
          </w:p>
        </w:tc>
        <w:tc>
          <w:tcPr>
            <w:tcW w:w="576" w:type="dxa"/>
            <w:shd w:val="clear" w:color="auto" w:fill="FFC000"/>
            <w:vAlign w:val="bottom"/>
          </w:tcPr>
          <w:p w14:paraId="45E075EC"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4F18B919"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0281D02C"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91BE487"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E1ADFE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780C1E4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03F315B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F95BC1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E5E972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DDA6FB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15E70592" w14:textId="77777777">
        <w:trPr>
          <w:trHeight w:val="300"/>
        </w:trPr>
        <w:tc>
          <w:tcPr>
            <w:tcW w:w="2362" w:type="dxa"/>
            <w:vAlign w:val="bottom"/>
          </w:tcPr>
          <w:p w14:paraId="1D8C6698"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Rufsvold 2023</w:t>
            </w:r>
          </w:p>
        </w:tc>
        <w:tc>
          <w:tcPr>
            <w:tcW w:w="576" w:type="dxa"/>
            <w:shd w:val="clear" w:color="auto" w:fill="92D050"/>
            <w:vAlign w:val="bottom"/>
          </w:tcPr>
          <w:p w14:paraId="2E489236"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311DF5EA"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656FD2B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DF4C0D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1965DE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009C6AE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0BBE554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FD926B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8B011D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5A995DC"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101FEB23" w14:textId="77777777">
        <w:trPr>
          <w:trHeight w:val="300"/>
        </w:trPr>
        <w:tc>
          <w:tcPr>
            <w:tcW w:w="2362" w:type="dxa"/>
            <w:vAlign w:val="bottom"/>
          </w:tcPr>
          <w:p w14:paraId="5ACD740D"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Beamish 2022</w:t>
            </w:r>
          </w:p>
        </w:tc>
        <w:tc>
          <w:tcPr>
            <w:tcW w:w="576" w:type="dxa"/>
            <w:shd w:val="clear" w:color="auto" w:fill="FF0000"/>
            <w:vAlign w:val="bottom"/>
          </w:tcPr>
          <w:p w14:paraId="16E9F18A"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27E3F44E"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6F201E8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E3F810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2546942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1FADAFF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6544B23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775716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F8D11B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1EDF01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5FC52AB0" w14:textId="77777777">
        <w:trPr>
          <w:trHeight w:val="300"/>
        </w:trPr>
        <w:tc>
          <w:tcPr>
            <w:tcW w:w="2362" w:type="dxa"/>
            <w:vAlign w:val="bottom"/>
          </w:tcPr>
          <w:p w14:paraId="338C5636"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Bejno 2022</w:t>
            </w:r>
          </w:p>
        </w:tc>
        <w:tc>
          <w:tcPr>
            <w:tcW w:w="576" w:type="dxa"/>
            <w:shd w:val="clear" w:color="auto" w:fill="FFC000"/>
            <w:vAlign w:val="bottom"/>
          </w:tcPr>
          <w:p w14:paraId="29D42DCF"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4BEE3005"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0BB5172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D45AC6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4F49E1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2762106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81B374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72450B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738957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0CA665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167F4673" w14:textId="77777777">
        <w:trPr>
          <w:trHeight w:val="300"/>
        </w:trPr>
        <w:tc>
          <w:tcPr>
            <w:tcW w:w="2362" w:type="dxa"/>
            <w:vAlign w:val="bottom"/>
          </w:tcPr>
          <w:p w14:paraId="2A039148"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Miller 2022</w:t>
            </w:r>
          </w:p>
        </w:tc>
        <w:tc>
          <w:tcPr>
            <w:tcW w:w="576" w:type="dxa"/>
            <w:shd w:val="clear" w:color="auto" w:fill="92D050"/>
            <w:vAlign w:val="bottom"/>
          </w:tcPr>
          <w:p w14:paraId="65E94DD9"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425C5DBE"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6C8508A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6AAE01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2462B26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79623B0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487E9AA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C0024A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C8A0928"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68E271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649B235A" w14:textId="77777777">
        <w:trPr>
          <w:trHeight w:val="300"/>
        </w:trPr>
        <w:tc>
          <w:tcPr>
            <w:tcW w:w="2362" w:type="dxa"/>
            <w:vAlign w:val="bottom"/>
          </w:tcPr>
          <w:p w14:paraId="2BBE651F"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Siller 2022</w:t>
            </w:r>
          </w:p>
        </w:tc>
        <w:tc>
          <w:tcPr>
            <w:tcW w:w="576" w:type="dxa"/>
            <w:shd w:val="clear" w:color="auto" w:fill="92D050"/>
            <w:vAlign w:val="bottom"/>
          </w:tcPr>
          <w:p w14:paraId="423A2AB5"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FFC000"/>
            <w:vAlign w:val="bottom"/>
          </w:tcPr>
          <w:p w14:paraId="4C85306E"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2C9FBB2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6DBED8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E33775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776C3C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0242CFA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825831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222535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9E3D62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2CB4E9E4" w14:textId="77777777">
        <w:trPr>
          <w:trHeight w:val="300"/>
        </w:trPr>
        <w:tc>
          <w:tcPr>
            <w:tcW w:w="2362" w:type="dxa"/>
            <w:vAlign w:val="bottom"/>
          </w:tcPr>
          <w:p w14:paraId="2EA832B3"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Verhaegh 2022</w:t>
            </w:r>
          </w:p>
        </w:tc>
        <w:tc>
          <w:tcPr>
            <w:tcW w:w="576" w:type="dxa"/>
            <w:shd w:val="clear" w:color="auto" w:fill="FFC000"/>
            <w:vAlign w:val="bottom"/>
          </w:tcPr>
          <w:p w14:paraId="05ADD24D"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78697C35"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01CEEBD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A3AC19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B20BA6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719D0E2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13532E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0EFADD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5ED526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C7FC4FC"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43833C3A" w14:textId="77777777">
        <w:trPr>
          <w:trHeight w:val="300"/>
        </w:trPr>
        <w:tc>
          <w:tcPr>
            <w:tcW w:w="2362" w:type="dxa"/>
            <w:vAlign w:val="bottom"/>
          </w:tcPr>
          <w:p w14:paraId="337D8A59"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Armstrong 2021</w:t>
            </w:r>
          </w:p>
        </w:tc>
        <w:tc>
          <w:tcPr>
            <w:tcW w:w="576" w:type="dxa"/>
            <w:shd w:val="clear" w:color="auto" w:fill="92D050"/>
            <w:vAlign w:val="bottom"/>
          </w:tcPr>
          <w:p w14:paraId="72314CD9"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685E1CD6"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7D852F4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972D7E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5D2C75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23519A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A263AD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7AB364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E4DE6C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D9C62B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50876A13" w14:textId="77777777">
        <w:trPr>
          <w:trHeight w:val="300"/>
        </w:trPr>
        <w:tc>
          <w:tcPr>
            <w:tcW w:w="2362" w:type="dxa"/>
            <w:vAlign w:val="bottom"/>
          </w:tcPr>
          <w:p w14:paraId="1CAA56B0"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Aylward 2021</w:t>
            </w:r>
          </w:p>
        </w:tc>
        <w:tc>
          <w:tcPr>
            <w:tcW w:w="576" w:type="dxa"/>
            <w:shd w:val="clear" w:color="auto" w:fill="92D050"/>
            <w:vAlign w:val="bottom"/>
          </w:tcPr>
          <w:p w14:paraId="4DCC5AB4"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33C09125"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7D8D058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261A7BD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10CBDF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40E1948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290C2EC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536A539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114B70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02BE106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14B6C4DC" w14:textId="77777777">
        <w:trPr>
          <w:trHeight w:val="300"/>
        </w:trPr>
        <w:tc>
          <w:tcPr>
            <w:tcW w:w="2362" w:type="dxa"/>
            <w:vAlign w:val="bottom"/>
          </w:tcPr>
          <w:p w14:paraId="75FD3903"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Akhbari Ziegler 2020</w:t>
            </w:r>
          </w:p>
        </w:tc>
        <w:tc>
          <w:tcPr>
            <w:tcW w:w="576" w:type="dxa"/>
            <w:shd w:val="clear" w:color="auto" w:fill="FF0000"/>
            <w:vAlign w:val="bottom"/>
          </w:tcPr>
          <w:p w14:paraId="0E811E54"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0A75481F"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505C8B4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0958F21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344C7CD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755E93E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485C1307"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F52C9C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7614007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8634E1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009DFEB6" w14:textId="77777777">
        <w:trPr>
          <w:trHeight w:val="300"/>
        </w:trPr>
        <w:tc>
          <w:tcPr>
            <w:tcW w:w="2362" w:type="dxa"/>
            <w:vAlign w:val="bottom"/>
          </w:tcPr>
          <w:p w14:paraId="42AAE7F1"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Haine-Schlagel 2020</w:t>
            </w:r>
          </w:p>
        </w:tc>
        <w:tc>
          <w:tcPr>
            <w:tcW w:w="576" w:type="dxa"/>
            <w:shd w:val="clear" w:color="auto" w:fill="FFC000"/>
            <w:vAlign w:val="bottom"/>
          </w:tcPr>
          <w:p w14:paraId="3190CEFC"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1B61697F"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0318FFB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116A30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0C7979C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2B4161B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064F947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5FE3B1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52CE5B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675CF4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6FCE7741" w14:textId="77777777">
        <w:trPr>
          <w:trHeight w:val="300"/>
        </w:trPr>
        <w:tc>
          <w:tcPr>
            <w:tcW w:w="2362" w:type="dxa"/>
            <w:vAlign w:val="bottom"/>
          </w:tcPr>
          <w:p w14:paraId="484141C4"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Cosgrove 2019</w:t>
            </w:r>
          </w:p>
        </w:tc>
        <w:tc>
          <w:tcPr>
            <w:tcW w:w="576" w:type="dxa"/>
            <w:shd w:val="clear" w:color="auto" w:fill="FFC000"/>
            <w:vAlign w:val="bottom"/>
          </w:tcPr>
          <w:p w14:paraId="0A84D825"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2564BD83"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24C71BA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57D10C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29F8F80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4F503A0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53CEE05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280E2C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658924E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95A146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547457D0" w14:textId="77777777">
        <w:trPr>
          <w:trHeight w:val="300"/>
        </w:trPr>
        <w:tc>
          <w:tcPr>
            <w:tcW w:w="2362" w:type="dxa"/>
            <w:vAlign w:val="bottom"/>
          </w:tcPr>
          <w:p w14:paraId="5EC1FAC3"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Gibbs 2019</w:t>
            </w:r>
          </w:p>
        </w:tc>
        <w:tc>
          <w:tcPr>
            <w:tcW w:w="576" w:type="dxa"/>
            <w:shd w:val="clear" w:color="auto" w:fill="92D050"/>
            <w:vAlign w:val="bottom"/>
          </w:tcPr>
          <w:p w14:paraId="52BDF84F"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5CEBD6FF"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5EA3EED8"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20EB81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9BA6D6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2004EB9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77CE65B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4209B88"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1FB94E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B8B923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16EFF8E4" w14:textId="77777777">
        <w:trPr>
          <w:trHeight w:val="300"/>
        </w:trPr>
        <w:tc>
          <w:tcPr>
            <w:tcW w:w="2362" w:type="dxa"/>
            <w:vAlign w:val="bottom"/>
          </w:tcPr>
          <w:p w14:paraId="0E59A3A0"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Nilses 2019</w:t>
            </w:r>
          </w:p>
        </w:tc>
        <w:tc>
          <w:tcPr>
            <w:tcW w:w="576" w:type="dxa"/>
            <w:shd w:val="clear" w:color="auto" w:fill="92D050"/>
            <w:vAlign w:val="bottom"/>
          </w:tcPr>
          <w:p w14:paraId="1FE6FB88"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7B4C520A"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39F44E5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C6DE0B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E53353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92D12D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1387AC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EC9FDE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61D6A5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184990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0BC4B545" w14:textId="77777777">
        <w:trPr>
          <w:trHeight w:val="300"/>
        </w:trPr>
        <w:tc>
          <w:tcPr>
            <w:tcW w:w="2362" w:type="dxa"/>
            <w:vAlign w:val="bottom"/>
          </w:tcPr>
          <w:p w14:paraId="0F2BF7A8"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Rogerson 2019</w:t>
            </w:r>
          </w:p>
        </w:tc>
        <w:tc>
          <w:tcPr>
            <w:tcW w:w="576" w:type="dxa"/>
            <w:shd w:val="clear" w:color="auto" w:fill="FFC000"/>
            <w:vAlign w:val="bottom"/>
          </w:tcPr>
          <w:p w14:paraId="24C89DAF"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3F55F826"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601D9EC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6B60EB04"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024F78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2538F8A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15A79C6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5A28B23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64A307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73307F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199C111D" w14:textId="77777777">
        <w:trPr>
          <w:trHeight w:val="300"/>
        </w:trPr>
        <w:tc>
          <w:tcPr>
            <w:tcW w:w="2362" w:type="dxa"/>
            <w:vAlign w:val="bottom"/>
          </w:tcPr>
          <w:p w14:paraId="146AD031"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Due 2018</w:t>
            </w:r>
          </w:p>
        </w:tc>
        <w:tc>
          <w:tcPr>
            <w:tcW w:w="576" w:type="dxa"/>
            <w:shd w:val="clear" w:color="auto" w:fill="FFC000"/>
            <w:vAlign w:val="bottom"/>
          </w:tcPr>
          <w:p w14:paraId="60C19D26"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7EB6A13A"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3F5439E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D3D910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DF2ACE3"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41DF626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31CEA60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FC4B64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892C50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19D463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5FFCFEEC" w14:textId="77777777">
        <w:trPr>
          <w:trHeight w:val="300"/>
        </w:trPr>
        <w:tc>
          <w:tcPr>
            <w:tcW w:w="2362" w:type="dxa"/>
            <w:vAlign w:val="bottom"/>
          </w:tcPr>
          <w:p w14:paraId="13494A8C"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Jones 2018</w:t>
            </w:r>
          </w:p>
        </w:tc>
        <w:tc>
          <w:tcPr>
            <w:tcW w:w="576" w:type="dxa"/>
            <w:shd w:val="clear" w:color="auto" w:fill="FFC000"/>
            <w:vAlign w:val="bottom"/>
          </w:tcPr>
          <w:p w14:paraId="7DBD9B7F"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FFC000"/>
            <w:vAlign w:val="bottom"/>
          </w:tcPr>
          <w:p w14:paraId="6E0351A4"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1060002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4DF3CB7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CD062A7"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016567C7"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2A4AFF3B"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1A2E4E48"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D7DE8F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25E8AB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3BCCB731" w14:textId="77777777">
        <w:trPr>
          <w:trHeight w:val="300"/>
        </w:trPr>
        <w:tc>
          <w:tcPr>
            <w:tcW w:w="2362" w:type="dxa"/>
            <w:vAlign w:val="bottom"/>
          </w:tcPr>
          <w:p w14:paraId="07CC9F85"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Salisbury 2018</w:t>
            </w:r>
          </w:p>
        </w:tc>
        <w:tc>
          <w:tcPr>
            <w:tcW w:w="576" w:type="dxa"/>
            <w:shd w:val="clear" w:color="auto" w:fill="FFC000"/>
            <w:vAlign w:val="bottom"/>
          </w:tcPr>
          <w:p w14:paraId="5010677D"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205F0CC4"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7979735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34A12D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BC28EB7"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41E9C19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3FB3D5A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7117684A"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2A08C0D1"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2CD9D4FD"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36BD2377" w14:textId="77777777">
        <w:trPr>
          <w:trHeight w:val="300"/>
        </w:trPr>
        <w:tc>
          <w:tcPr>
            <w:tcW w:w="2362" w:type="dxa"/>
            <w:vAlign w:val="bottom"/>
          </w:tcPr>
          <w:p w14:paraId="379C9F01"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Burke 2017</w:t>
            </w:r>
          </w:p>
        </w:tc>
        <w:tc>
          <w:tcPr>
            <w:tcW w:w="576" w:type="dxa"/>
            <w:shd w:val="clear" w:color="auto" w:fill="FFC000"/>
            <w:vAlign w:val="bottom"/>
          </w:tcPr>
          <w:p w14:paraId="0E8CB8CA"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4799E58A"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7607B5E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20DA1F6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AF4A7EF"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C000"/>
            <w:vAlign w:val="bottom"/>
          </w:tcPr>
          <w:p w14:paraId="46DB680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6A326CB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2B82A890"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E89799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B0AC1E5"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r>
      <w:tr w:rsidR="00272F72" w:rsidRPr="00502561" w14:paraId="6553ACF3" w14:textId="77777777">
        <w:trPr>
          <w:trHeight w:val="300"/>
        </w:trPr>
        <w:tc>
          <w:tcPr>
            <w:tcW w:w="2362" w:type="dxa"/>
            <w:vAlign w:val="bottom"/>
          </w:tcPr>
          <w:p w14:paraId="11066BB1" w14:textId="77777777" w:rsidR="00272F72" w:rsidRPr="00272F72" w:rsidRDefault="00272F72">
            <w:pPr>
              <w:spacing w:after="0" w:line="276" w:lineRule="auto"/>
              <w:rPr>
                <w:rFonts w:eastAsia="MS Mincho" w:cs="Arial"/>
                <w:bCs/>
                <w:color w:val="082A75"/>
                <w:sz w:val="20"/>
                <w:szCs w:val="20"/>
                <w:lang w:val="en-US"/>
              </w:rPr>
            </w:pPr>
            <w:r w:rsidRPr="00272F72">
              <w:rPr>
                <w:rFonts w:eastAsia="Calibri" w:cs="Arial"/>
                <w:bCs/>
                <w:color w:val="000000"/>
                <w:sz w:val="20"/>
                <w:szCs w:val="20"/>
                <w:lang w:val="en-US"/>
              </w:rPr>
              <w:t>Clapham 2017</w:t>
            </w:r>
          </w:p>
        </w:tc>
        <w:tc>
          <w:tcPr>
            <w:tcW w:w="576" w:type="dxa"/>
            <w:shd w:val="clear" w:color="auto" w:fill="FFC000"/>
            <w:vAlign w:val="bottom"/>
          </w:tcPr>
          <w:p w14:paraId="3E5E2883"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3D4500CF" w14:textId="77777777" w:rsidR="00272F72" w:rsidRPr="00272F72" w:rsidRDefault="00272F72">
            <w:pPr>
              <w:spacing w:after="0" w:line="276" w:lineRule="auto"/>
              <w:rPr>
                <w:rFonts w:eastAsia="MS Mincho" w:cs="Arial"/>
                <w:b/>
                <w:color w:val="082A75"/>
                <w:sz w:val="20"/>
                <w:szCs w:val="20"/>
                <w:lang w:val="en-US"/>
              </w:rPr>
            </w:pPr>
            <w:r w:rsidRPr="00272F72">
              <w:rPr>
                <w:rFonts w:eastAsia="Segoe UI" w:cs="Arial"/>
                <w:b/>
                <w:color w:val="082A75"/>
                <w:sz w:val="20"/>
                <w:szCs w:val="20"/>
                <w:lang w:val="en-US"/>
              </w:rPr>
              <w:t xml:space="preserve"> </w:t>
            </w:r>
          </w:p>
        </w:tc>
        <w:tc>
          <w:tcPr>
            <w:tcW w:w="576" w:type="dxa"/>
            <w:shd w:val="clear" w:color="auto" w:fill="92D050"/>
            <w:vAlign w:val="bottom"/>
          </w:tcPr>
          <w:p w14:paraId="1B3CC929"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05FDFA12"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7B6F45A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76CFEB96"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FF0000"/>
            <w:vAlign w:val="bottom"/>
          </w:tcPr>
          <w:p w14:paraId="218DC41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56A978A8"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3E86A2FE" w14:textId="77777777" w:rsidR="00272F72" w:rsidRPr="00272F72" w:rsidRDefault="00272F72">
            <w:pPr>
              <w:spacing w:after="0" w:line="276" w:lineRule="auto"/>
              <w:rPr>
                <w:rFonts w:eastAsia="MS Mincho" w:cs="Arial"/>
                <w:b/>
                <w:color w:val="082A75"/>
                <w:sz w:val="20"/>
                <w:szCs w:val="20"/>
                <w:lang w:val="en-US"/>
              </w:rPr>
            </w:pPr>
            <w:r w:rsidRPr="00272F72">
              <w:rPr>
                <w:rFonts w:eastAsia="Times New Roman" w:cs="Arial"/>
                <w:b/>
                <w:color w:val="082A75"/>
                <w:sz w:val="20"/>
                <w:szCs w:val="20"/>
                <w:lang w:val="en-US"/>
              </w:rPr>
              <w:t xml:space="preserve"> </w:t>
            </w:r>
          </w:p>
        </w:tc>
        <w:tc>
          <w:tcPr>
            <w:tcW w:w="576" w:type="dxa"/>
            <w:shd w:val="clear" w:color="auto" w:fill="92D050"/>
            <w:vAlign w:val="bottom"/>
          </w:tcPr>
          <w:p w14:paraId="4E27BB92" w14:textId="77777777" w:rsidR="00272F72" w:rsidRPr="00272F72" w:rsidRDefault="00272F72">
            <w:pPr>
              <w:spacing w:after="0" w:line="276" w:lineRule="auto"/>
              <w:rPr>
                <w:rFonts w:eastAsia="Times New Roman" w:cs="Arial"/>
                <w:b/>
                <w:color w:val="082A75"/>
                <w:sz w:val="20"/>
                <w:szCs w:val="20"/>
                <w:lang w:val="en-US"/>
              </w:rPr>
            </w:pPr>
          </w:p>
        </w:tc>
      </w:tr>
    </w:tbl>
    <w:p w14:paraId="5065C0B1" w14:textId="77777777" w:rsidR="001969B7" w:rsidRPr="006478C1" w:rsidRDefault="001969B7" w:rsidP="001969B7">
      <w:pPr>
        <w:rPr>
          <w:rFonts w:cs="Arial"/>
          <w:color w:val="000000" w:themeColor="text1"/>
          <w:sz w:val="20"/>
          <w:szCs w:val="20"/>
          <w:lang w:val="en-US"/>
        </w:rPr>
      </w:pPr>
      <w:r w:rsidRPr="006478C1">
        <w:rPr>
          <w:rFonts w:cs="Arial"/>
          <w:color w:val="000000" w:themeColor="text1"/>
          <w:sz w:val="20"/>
          <w:szCs w:val="20"/>
          <w:lang w:val="en-US"/>
        </w:rPr>
        <w:t xml:space="preserve">Notes: RoB = risk of bias; JBI = Joanna Briggs Institute, items from the quality assessment metric for qualitative studies: </w:t>
      </w:r>
    </w:p>
    <w:p w14:paraId="6A9E3617" w14:textId="77777777" w:rsidR="001969B7"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 xml:space="preserve">1. Is there congruity between the stated philosophical perspective and the research methodology? </w:t>
      </w:r>
    </w:p>
    <w:p w14:paraId="528E10DB" w14:textId="77777777" w:rsidR="001969B7"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 xml:space="preserve">2. Is there congruity between the research methodology and the research question or objectives? </w:t>
      </w:r>
    </w:p>
    <w:p w14:paraId="2F298F1B" w14:textId="77777777" w:rsidR="001969B7"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 xml:space="preserve">3. Is there congruity between the research methodology and the methods used to collect data? </w:t>
      </w:r>
    </w:p>
    <w:p w14:paraId="6863C7B6" w14:textId="77777777" w:rsidR="001969B7"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 xml:space="preserve">4. Is there congruity between the research methodology and the representation and analysis of data? 5. Is there congruity between the research methodology and the interpretation of results? </w:t>
      </w:r>
    </w:p>
    <w:p w14:paraId="56F18734" w14:textId="77777777" w:rsidR="001969B7"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 xml:space="preserve">6. Is there a statement locating the researcher culturally or theoretically? </w:t>
      </w:r>
    </w:p>
    <w:p w14:paraId="0ADCB9EC" w14:textId="77777777" w:rsidR="001969B7"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 xml:space="preserve">7. Is the influence of the researcher on the research, and vice- versa, addressed? </w:t>
      </w:r>
    </w:p>
    <w:p w14:paraId="50D55904" w14:textId="77777777" w:rsidR="001969B7"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 xml:space="preserve">8. Are participants, and their voices, adequately represented? </w:t>
      </w:r>
    </w:p>
    <w:p w14:paraId="23C4D6D5" w14:textId="77777777" w:rsidR="001969B7"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 xml:space="preserve">9. Is the research ethical according to current criteria or, for recent studies, and is there evidence of ethical approval by an appropriate body? </w:t>
      </w:r>
    </w:p>
    <w:p w14:paraId="51725DD4" w14:textId="77777777" w:rsidR="001969B7"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 xml:space="preserve">10. Do the conclusions drawn in the research report flow from the analysis, or interpretation, of the data? </w:t>
      </w:r>
    </w:p>
    <w:p w14:paraId="637A7BB9" w14:textId="2B866D8D" w:rsidR="00272F72" w:rsidRPr="00413D94" w:rsidRDefault="001969B7" w:rsidP="001969B7">
      <w:pPr>
        <w:rPr>
          <w:rFonts w:cs="Arial"/>
          <w:color w:val="000000" w:themeColor="text1"/>
          <w:sz w:val="20"/>
          <w:szCs w:val="20"/>
          <w:lang w:val="en-US"/>
        </w:rPr>
      </w:pPr>
      <w:r w:rsidRPr="00413D94">
        <w:rPr>
          <w:rFonts w:cs="Arial"/>
          <w:color w:val="000000" w:themeColor="text1"/>
          <w:sz w:val="20"/>
          <w:szCs w:val="20"/>
          <w:lang w:val="en-US"/>
        </w:rPr>
        <w:t>Colour code: Red = No; Orange = Unclear; Green = Yes.</w:t>
      </w:r>
    </w:p>
    <w:p w14:paraId="64B8B5FB" w14:textId="77777777" w:rsidR="00EC0255" w:rsidRDefault="00EC0255" w:rsidP="001969B7">
      <w:pPr>
        <w:rPr>
          <w:rFonts w:cs="Arial"/>
          <w:color w:val="000000" w:themeColor="text1"/>
          <w:lang w:val="en-US"/>
        </w:rPr>
      </w:pPr>
    </w:p>
    <w:p w14:paraId="36021226" w14:textId="77777777" w:rsidR="009103FC" w:rsidRDefault="009103FC" w:rsidP="00EC0255">
      <w:pPr>
        <w:rPr>
          <w:rFonts w:cs="Arial"/>
          <w:b/>
          <w:bCs/>
          <w:color w:val="000000" w:themeColor="text1"/>
          <w:lang w:val="en-US"/>
        </w:rPr>
      </w:pPr>
    </w:p>
    <w:p w14:paraId="1BDEF6BC" w14:textId="625B05F4" w:rsidR="00EC0255" w:rsidRPr="00EC0255" w:rsidRDefault="00EC0255" w:rsidP="00EC0255">
      <w:pPr>
        <w:rPr>
          <w:rFonts w:cs="Arial"/>
          <w:b/>
          <w:bCs/>
          <w:color w:val="000000" w:themeColor="text1"/>
          <w:lang w:val="en-US"/>
        </w:rPr>
      </w:pPr>
      <w:r w:rsidRPr="00EC0255">
        <w:rPr>
          <w:rFonts w:cs="Arial"/>
          <w:b/>
          <w:bCs/>
          <w:color w:val="000000" w:themeColor="text1"/>
          <w:lang w:val="en-US"/>
        </w:rPr>
        <w:t>Aboriginal and Torres Strait Islander evidence</w:t>
      </w:r>
    </w:p>
    <w:p w14:paraId="163733A6" w14:textId="63E59C26" w:rsidR="00EC0255" w:rsidRPr="00EC0255" w:rsidRDefault="00EC0255" w:rsidP="00EC0255">
      <w:pPr>
        <w:rPr>
          <w:rFonts w:cs="Arial"/>
          <w:color w:val="000000" w:themeColor="text1"/>
          <w:lang w:val="en-US"/>
        </w:rPr>
      </w:pPr>
      <w:r w:rsidRPr="00EC0255">
        <w:rPr>
          <w:rFonts w:cs="Arial"/>
          <w:color w:val="000000" w:themeColor="text1"/>
          <w:lang w:val="en-US"/>
        </w:rPr>
        <w:t xml:space="preserve">Seventeen publications reported relevant evidence from Aboriginal and Torres Strait Islander populations. In this dataset the inclusion criteria were expanded to publications from 2005 to take advantage of 20 years of evidence rather than 10. Also included were samples of children with or without identified developmental concerns, delays or disability in recognition of the broadly-based community-level approaches to addressing childhood and family needs and the systemic disadvantages experienced by many Aboriginal and Torres Strait Islander children and families. </w:t>
      </w:r>
    </w:p>
    <w:p w14:paraId="4E72905B" w14:textId="1A587CF8" w:rsidR="00EC0255" w:rsidRPr="00EC0255" w:rsidRDefault="00EC0255" w:rsidP="00EC0255">
      <w:pPr>
        <w:rPr>
          <w:rFonts w:cs="Arial"/>
          <w:color w:val="000000" w:themeColor="text1"/>
          <w:lang w:val="en-US"/>
        </w:rPr>
      </w:pPr>
      <w:r w:rsidRPr="00EC0255">
        <w:rPr>
          <w:rFonts w:cs="Arial"/>
          <w:color w:val="000000" w:themeColor="text1"/>
          <w:lang w:val="en-US"/>
        </w:rPr>
        <w:t xml:space="preserve">Table 21 provides a summary of the evidence reported in publications retrieved through the search and through SNAICC identified sources. Papers are presented in order of publication (newest to oldest), ranging from 2023 to 2006.  Publication types were broadly classified as government reports, consultations or program evaluations, typically involving mixed methods of data collection (n=7); peer reviewed publications of research findings including systematic reviews (n=3); qualitative studies (n=3); mixed methods studies (n =4); and one longitudinal study. </w:t>
      </w:r>
    </w:p>
    <w:p w14:paraId="01258673" w14:textId="2485E58E" w:rsidR="00EC0255" w:rsidRPr="00EC0255" w:rsidRDefault="00EC0255" w:rsidP="00EC0255">
      <w:pPr>
        <w:rPr>
          <w:rFonts w:cs="Arial"/>
          <w:color w:val="000000" w:themeColor="text1"/>
          <w:lang w:val="en-US"/>
        </w:rPr>
      </w:pPr>
      <w:r w:rsidRPr="00EC0255">
        <w:rPr>
          <w:rFonts w:cs="Arial"/>
          <w:color w:val="000000" w:themeColor="text1"/>
          <w:lang w:val="en-US"/>
        </w:rPr>
        <w:t xml:space="preserve">This body of evidence endorses practices that are culturally responsive and safe and provides some exemplars of practices that support these ways of working. In Table 20, the column ‘recommendations for ECI settings and approaches’, is organised according to whether the recommendations pertain to the early childhood system as a whole, or principles, practices or strategies relevant to supporting children with developmental concerns, delay or disabilities and their families and communities. </w:t>
      </w:r>
    </w:p>
    <w:p w14:paraId="7D417C59" w14:textId="5AA677A4" w:rsidR="00EC0255" w:rsidRPr="00EC0255" w:rsidRDefault="00EC0255" w:rsidP="00EC0255">
      <w:pPr>
        <w:rPr>
          <w:rFonts w:cs="Arial"/>
          <w:color w:val="000000" w:themeColor="text1"/>
          <w:lang w:val="en-US"/>
        </w:rPr>
      </w:pPr>
      <w:r w:rsidRPr="00EC0255">
        <w:rPr>
          <w:rFonts w:cs="Arial"/>
          <w:color w:val="000000" w:themeColor="text1"/>
          <w:lang w:val="en-US"/>
        </w:rPr>
        <w:t xml:space="preserve">In summary, most publications report a need for system-level changes to authentically engage with Aboriginal and Torres Strait Islander ways of being, knowing, and doing, including embedding community leadership into all levels of decision-making to support tailoring of systems to local circumstances; effectively investing in and resourcing community-controlled organisations and workforces; and embedding routine data collection and feedback for improvements. Principles highlighted are consistent with those identified across most ECI frameworks: build trust, ensure cultural safety, support families holistically, foster empowerment, but also explicitly identify the need to recognise and foster cultural identity and to address barriers to family and child engagement with early childhood supports.    </w:t>
      </w:r>
    </w:p>
    <w:p w14:paraId="7B09C970" w14:textId="544C65CB" w:rsidR="00EC0255" w:rsidRDefault="00EC0255" w:rsidP="00EC0255">
      <w:pPr>
        <w:rPr>
          <w:rFonts w:cs="Arial"/>
          <w:color w:val="000000" w:themeColor="text1"/>
          <w:lang w:val="en-US"/>
        </w:rPr>
      </w:pPr>
      <w:r w:rsidRPr="00EC0255">
        <w:rPr>
          <w:rFonts w:cs="Arial"/>
          <w:color w:val="000000" w:themeColor="text1"/>
          <w:lang w:val="en-US"/>
        </w:rPr>
        <w:t xml:space="preserve">Identified practices included active engagement with Aboriginal and Torres Strait Islander organisations and staff to build workforce capacity; improving cultural safety of programs; building staff capacity to be trauma informed and culturally aware; engaging actively with families; providing support early; shared decision making; shared resources; connecting children and families to culture, Country and language; and using strength-based assessments and practices.  </w:t>
      </w:r>
    </w:p>
    <w:p w14:paraId="41C4F6D8" w14:textId="77777777" w:rsidR="00B72CFF" w:rsidRDefault="00B72CFF" w:rsidP="00EC0255">
      <w:pPr>
        <w:rPr>
          <w:rFonts w:cs="Arial"/>
          <w:color w:val="000000" w:themeColor="text1"/>
          <w:lang w:val="en-US"/>
        </w:rPr>
      </w:pPr>
    </w:p>
    <w:p w14:paraId="47588F09" w14:textId="77777777" w:rsidR="00B72CFF" w:rsidRDefault="00B72CFF" w:rsidP="00EC0255">
      <w:pPr>
        <w:rPr>
          <w:rFonts w:cs="Arial"/>
          <w:color w:val="000000" w:themeColor="text1"/>
          <w:lang w:val="en-US"/>
        </w:rPr>
      </w:pPr>
    </w:p>
    <w:p w14:paraId="22F7E58F" w14:textId="77777777" w:rsidR="00B72CFF" w:rsidRDefault="00B72CFF" w:rsidP="00EC0255">
      <w:pPr>
        <w:rPr>
          <w:rFonts w:cs="Arial"/>
          <w:color w:val="000000" w:themeColor="text1"/>
          <w:lang w:val="en-US"/>
        </w:rPr>
      </w:pPr>
    </w:p>
    <w:p w14:paraId="5F9D9D69" w14:textId="77777777" w:rsidR="00B72CFF" w:rsidRDefault="00B72CFF" w:rsidP="00EC0255">
      <w:pPr>
        <w:rPr>
          <w:rFonts w:cs="Arial"/>
          <w:color w:val="000000" w:themeColor="text1"/>
          <w:lang w:val="en-US"/>
        </w:rPr>
      </w:pPr>
    </w:p>
    <w:p w14:paraId="44DAA10A" w14:textId="77777777" w:rsidR="00B72CFF" w:rsidRDefault="00B72CFF" w:rsidP="00EC0255">
      <w:pPr>
        <w:rPr>
          <w:rFonts w:cs="Arial"/>
          <w:color w:val="000000" w:themeColor="text1"/>
          <w:lang w:val="en-US"/>
        </w:rPr>
      </w:pPr>
    </w:p>
    <w:p w14:paraId="270B1D66" w14:textId="77777777" w:rsidR="00B72CFF" w:rsidRDefault="00B72CFF" w:rsidP="00EC0255">
      <w:pPr>
        <w:rPr>
          <w:rFonts w:cs="Arial"/>
          <w:color w:val="000000" w:themeColor="text1"/>
          <w:lang w:val="en-US"/>
        </w:rPr>
      </w:pPr>
    </w:p>
    <w:p w14:paraId="1F3A7184" w14:textId="77777777" w:rsidR="00B72CFF" w:rsidRDefault="00B72CFF" w:rsidP="00EC0255">
      <w:pPr>
        <w:rPr>
          <w:rFonts w:cs="Arial"/>
          <w:color w:val="000000" w:themeColor="text1"/>
          <w:lang w:val="en-US"/>
        </w:rPr>
      </w:pPr>
    </w:p>
    <w:p w14:paraId="358E54D9" w14:textId="77777777" w:rsidR="004200E4" w:rsidRDefault="004200E4" w:rsidP="00EC0255">
      <w:pPr>
        <w:rPr>
          <w:rFonts w:cs="Arial"/>
          <w:color w:val="000000" w:themeColor="text1"/>
          <w:lang w:val="en-US"/>
        </w:rPr>
        <w:sectPr w:rsidR="004200E4" w:rsidSect="00890FF0">
          <w:pgSz w:w="11906" w:h="16838"/>
          <w:pgMar w:top="1440" w:right="1440" w:bottom="1440" w:left="1440" w:header="709" w:footer="709" w:gutter="0"/>
          <w:cols w:space="708"/>
          <w:titlePg/>
          <w:docGrid w:linePitch="360"/>
        </w:sectPr>
      </w:pPr>
    </w:p>
    <w:p w14:paraId="416A7669" w14:textId="40098F65" w:rsidR="00B72CFF" w:rsidRDefault="00627239" w:rsidP="00627239">
      <w:pPr>
        <w:pStyle w:val="Caption"/>
        <w:rPr>
          <w:rFonts w:cs="Arial"/>
          <w:color w:val="000000" w:themeColor="text1"/>
          <w:lang w:val="en-US"/>
        </w:rPr>
      </w:pPr>
      <w:bookmarkStart w:id="124" w:name="_Ref177725110"/>
      <w:bookmarkStart w:id="125" w:name="_Toc177725019"/>
      <w:bookmarkStart w:id="126" w:name="_Toc177727339"/>
      <w:r w:rsidRPr="00F51D81">
        <w:rPr>
          <w:b/>
          <w:bCs/>
        </w:rPr>
        <w:t xml:space="preserve">Table </w:t>
      </w:r>
      <w:r w:rsidRPr="00F51D81">
        <w:rPr>
          <w:b/>
          <w:bCs/>
        </w:rPr>
        <w:fldChar w:fldCharType="begin"/>
      </w:r>
      <w:r w:rsidRPr="00F51D81">
        <w:rPr>
          <w:b/>
          <w:bCs/>
        </w:rPr>
        <w:instrText xml:space="preserve"> SEQ Table \* ARABIC </w:instrText>
      </w:r>
      <w:r w:rsidRPr="00F51D81">
        <w:rPr>
          <w:b/>
          <w:bCs/>
        </w:rPr>
        <w:fldChar w:fldCharType="separate"/>
      </w:r>
      <w:r w:rsidR="00303407">
        <w:rPr>
          <w:b/>
          <w:bCs/>
          <w:noProof/>
        </w:rPr>
        <w:t>21</w:t>
      </w:r>
      <w:r w:rsidRPr="00F51D81">
        <w:rPr>
          <w:b/>
          <w:bCs/>
          <w:noProof/>
        </w:rPr>
        <w:fldChar w:fldCharType="end"/>
      </w:r>
      <w:bookmarkEnd w:id="124"/>
      <w:r w:rsidRPr="00F51D81">
        <w:rPr>
          <w:b/>
          <w:bCs/>
        </w:rPr>
        <w:t>.</w:t>
      </w:r>
      <w:r w:rsidRPr="00DE20F0">
        <w:t xml:space="preserve"> Aboriginal and Torres Strait Islander evidence</w:t>
      </w:r>
      <w:bookmarkEnd w:id="125"/>
      <w:bookmarkEnd w:id="126"/>
    </w:p>
    <w:tbl>
      <w:tblPr>
        <w:tblStyle w:val="UniofMelTable315"/>
        <w:tblW w:w="14034" w:type="dxa"/>
        <w:tblLook w:val="04A0" w:firstRow="1" w:lastRow="0" w:firstColumn="1" w:lastColumn="0" w:noHBand="0" w:noVBand="1"/>
      </w:tblPr>
      <w:tblGrid>
        <w:gridCol w:w="1117"/>
        <w:gridCol w:w="1781"/>
        <w:gridCol w:w="1407"/>
        <w:gridCol w:w="1986"/>
        <w:gridCol w:w="3662"/>
        <w:gridCol w:w="4081"/>
      </w:tblGrid>
      <w:tr w:rsidR="0000335F" w:rsidRPr="0000335F" w14:paraId="38A0EDA9" w14:textId="77777777">
        <w:trPr>
          <w:cnfStyle w:val="100000000000" w:firstRow="1" w:lastRow="0" w:firstColumn="0" w:lastColumn="0" w:oddVBand="0" w:evenVBand="0" w:oddHBand="0" w:evenHBand="0" w:firstRowFirstColumn="0" w:firstRowLastColumn="0" w:lastRowFirstColumn="0" w:lastRowLastColumn="0"/>
          <w:trHeight w:val="716"/>
        </w:trPr>
        <w:tc>
          <w:tcPr>
            <w:tcW w:w="1052" w:type="dxa"/>
            <w:shd w:val="clear" w:color="auto" w:fill="082A75"/>
          </w:tcPr>
          <w:p w14:paraId="1A387B0A" w14:textId="77777777" w:rsidR="0000335F" w:rsidRPr="0000335F" w:rsidRDefault="0000335F">
            <w:pPr>
              <w:suppressAutoHyphens/>
              <w:spacing w:after="0"/>
              <w:rPr>
                <w:rFonts w:cs="Arial"/>
                <w:b/>
                <w:szCs w:val="22"/>
                <w:lang w:eastAsia="en-AU"/>
              </w:rPr>
            </w:pPr>
            <w:r w:rsidRPr="0000335F">
              <w:rPr>
                <w:rFonts w:cs="Arial"/>
                <w:b/>
                <w:szCs w:val="22"/>
                <w:lang w:eastAsia="en-AU"/>
              </w:rPr>
              <w:t>Author year</w:t>
            </w:r>
          </w:p>
        </w:tc>
        <w:tc>
          <w:tcPr>
            <w:tcW w:w="1783" w:type="dxa"/>
            <w:shd w:val="clear" w:color="auto" w:fill="082A75"/>
          </w:tcPr>
          <w:p w14:paraId="03D4EA34" w14:textId="77777777" w:rsidR="0000335F" w:rsidRPr="0000335F" w:rsidRDefault="0000335F">
            <w:pPr>
              <w:suppressAutoHyphens/>
              <w:spacing w:after="0"/>
              <w:rPr>
                <w:rFonts w:cs="Arial"/>
                <w:b/>
                <w:szCs w:val="22"/>
                <w:lang w:eastAsia="en-AU"/>
              </w:rPr>
            </w:pPr>
            <w:r w:rsidRPr="0000335F">
              <w:rPr>
                <w:rFonts w:cs="Arial"/>
                <w:b/>
                <w:szCs w:val="22"/>
                <w:lang w:eastAsia="en-AU"/>
              </w:rPr>
              <w:t xml:space="preserve">Title </w:t>
            </w:r>
          </w:p>
          <w:p w14:paraId="1A298FE1" w14:textId="77777777" w:rsidR="0000335F" w:rsidRPr="0000335F" w:rsidRDefault="0000335F">
            <w:pPr>
              <w:suppressAutoHyphens/>
              <w:spacing w:after="0"/>
              <w:rPr>
                <w:rFonts w:cs="Arial"/>
                <w:b/>
                <w:szCs w:val="22"/>
                <w:lang w:eastAsia="en-AU"/>
              </w:rPr>
            </w:pPr>
            <w:r w:rsidRPr="0000335F">
              <w:rPr>
                <w:rFonts w:cs="Arial"/>
                <w:b/>
                <w:szCs w:val="22"/>
                <w:lang w:eastAsia="en-AU"/>
              </w:rPr>
              <w:t>Report type</w:t>
            </w:r>
          </w:p>
        </w:tc>
        <w:tc>
          <w:tcPr>
            <w:tcW w:w="1410" w:type="dxa"/>
            <w:shd w:val="clear" w:color="auto" w:fill="082A75"/>
          </w:tcPr>
          <w:p w14:paraId="47816D0D" w14:textId="77777777" w:rsidR="0000335F" w:rsidRPr="0000335F" w:rsidRDefault="0000335F">
            <w:pPr>
              <w:suppressAutoHyphens/>
              <w:spacing w:after="0"/>
              <w:rPr>
                <w:rFonts w:cs="Arial"/>
                <w:b/>
                <w:szCs w:val="22"/>
                <w:lang w:eastAsia="en-AU"/>
              </w:rPr>
            </w:pPr>
            <w:r w:rsidRPr="0000335F">
              <w:rPr>
                <w:rFonts w:cs="Arial"/>
                <w:b/>
                <w:szCs w:val="22"/>
                <w:lang w:eastAsia="en-AU"/>
              </w:rPr>
              <w:t>Disability in focus</w:t>
            </w:r>
          </w:p>
        </w:tc>
        <w:tc>
          <w:tcPr>
            <w:tcW w:w="1992" w:type="dxa"/>
            <w:shd w:val="clear" w:color="auto" w:fill="082A75"/>
          </w:tcPr>
          <w:p w14:paraId="4B415C0C" w14:textId="77777777" w:rsidR="0000335F" w:rsidRPr="0000335F" w:rsidRDefault="0000335F">
            <w:pPr>
              <w:suppressAutoHyphens/>
              <w:spacing w:after="0"/>
              <w:rPr>
                <w:rFonts w:cs="Arial"/>
                <w:b/>
                <w:szCs w:val="22"/>
                <w:lang w:eastAsia="en-AU"/>
              </w:rPr>
            </w:pPr>
            <w:r w:rsidRPr="0000335F">
              <w:rPr>
                <w:rFonts w:cs="Arial"/>
                <w:b/>
                <w:szCs w:val="22"/>
                <w:lang w:eastAsia="en-AU"/>
              </w:rPr>
              <w:t xml:space="preserve">Aim of evidence  </w:t>
            </w:r>
          </w:p>
        </w:tc>
        <w:tc>
          <w:tcPr>
            <w:tcW w:w="3686" w:type="dxa"/>
            <w:shd w:val="clear" w:color="auto" w:fill="082A75"/>
          </w:tcPr>
          <w:p w14:paraId="25750769" w14:textId="77777777" w:rsidR="0000335F" w:rsidRPr="0000335F" w:rsidRDefault="0000335F">
            <w:pPr>
              <w:suppressAutoHyphens/>
              <w:spacing w:after="0"/>
              <w:rPr>
                <w:rFonts w:cs="Arial"/>
                <w:b/>
                <w:szCs w:val="22"/>
                <w:lang w:eastAsia="en-AU"/>
              </w:rPr>
            </w:pPr>
            <w:r w:rsidRPr="0000335F">
              <w:rPr>
                <w:rFonts w:cs="Arial"/>
                <w:b/>
                <w:szCs w:val="22"/>
                <w:lang w:eastAsia="en-AU"/>
              </w:rPr>
              <w:t>Key finding</w:t>
            </w:r>
            <w:r w:rsidRPr="0000335F">
              <w:rPr>
                <w:rFonts w:cs="Arial"/>
                <w:b/>
                <w:color w:val="FFFFFF"/>
                <w:szCs w:val="22"/>
                <w:lang w:eastAsia="en-AU"/>
              </w:rPr>
              <w:t>s or resource description</w:t>
            </w:r>
          </w:p>
        </w:tc>
        <w:tc>
          <w:tcPr>
            <w:tcW w:w="4111" w:type="dxa"/>
            <w:shd w:val="clear" w:color="auto" w:fill="082A75"/>
          </w:tcPr>
          <w:p w14:paraId="15AA12D3" w14:textId="77777777" w:rsidR="0000335F" w:rsidRPr="0000335F" w:rsidRDefault="0000335F">
            <w:pPr>
              <w:suppressAutoHyphens/>
              <w:spacing w:after="0"/>
              <w:rPr>
                <w:rFonts w:cs="Arial"/>
                <w:b/>
                <w:szCs w:val="22"/>
                <w:lang w:eastAsia="en-AU"/>
              </w:rPr>
            </w:pPr>
            <w:r w:rsidRPr="0000335F">
              <w:rPr>
                <w:rFonts w:cs="Arial"/>
                <w:b/>
                <w:szCs w:val="22"/>
                <w:lang w:eastAsia="en-AU"/>
              </w:rPr>
              <w:t xml:space="preserve">Recommendations for EC settings and approaches </w:t>
            </w:r>
          </w:p>
        </w:tc>
      </w:tr>
      <w:tr w:rsidR="0000335F" w:rsidRPr="0000335F" w14:paraId="57CC4282" w14:textId="77777777">
        <w:trPr>
          <w:cnfStyle w:val="000000100000" w:firstRow="0" w:lastRow="0" w:firstColumn="0" w:lastColumn="0" w:oddVBand="0" w:evenVBand="0" w:oddHBand="1" w:evenHBand="0" w:firstRowFirstColumn="0" w:firstRowLastColumn="0" w:lastRowFirstColumn="0" w:lastRowLastColumn="0"/>
          <w:trHeight w:val="123"/>
        </w:trPr>
        <w:tc>
          <w:tcPr>
            <w:tcW w:w="1052" w:type="dxa"/>
          </w:tcPr>
          <w:p w14:paraId="10CA5167" w14:textId="77777777" w:rsidR="0000335F" w:rsidRPr="0000335F" w:rsidRDefault="0000335F">
            <w:pPr>
              <w:spacing w:after="0"/>
              <w:rPr>
                <w:rFonts w:eastAsia="MS Mincho" w:cs="Arial"/>
                <w:bCs/>
                <w:lang w:val="en-US"/>
              </w:rPr>
            </w:pPr>
            <w:r w:rsidRPr="0000335F">
              <w:rPr>
                <w:rFonts w:eastAsia="MS Mincho" w:cs="Arial"/>
                <w:bCs/>
                <w:lang w:val="en-US"/>
              </w:rPr>
              <w:t>Australian Gov. Dept. of Education and Dept. of Health and Aged Care, 2023</w:t>
            </w:r>
          </w:p>
        </w:tc>
        <w:tc>
          <w:tcPr>
            <w:tcW w:w="1783" w:type="dxa"/>
          </w:tcPr>
          <w:p w14:paraId="3CA18A33" w14:textId="77777777" w:rsidR="0000335F" w:rsidRPr="0000335F" w:rsidRDefault="0000335F">
            <w:pPr>
              <w:suppressAutoHyphens/>
              <w:spacing w:after="0"/>
              <w:rPr>
                <w:rFonts w:cs="Arial"/>
                <w:lang w:eastAsia="en-AU"/>
              </w:rPr>
            </w:pPr>
            <w:r w:rsidRPr="0000335F">
              <w:rPr>
                <w:rFonts w:cs="Arial"/>
                <w:lang w:eastAsia="en-AU"/>
              </w:rPr>
              <w:t>Connected Beginnings Mid-Term Evaluation: Final Report.</w:t>
            </w:r>
          </w:p>
          <w:p w14:paraId="1C3F9FB2" w14:textId="77777777" w:rsidR="0000335F" w:rsidRPr="0000335F" w:rsidRDefault="0000335F">
            <w:pPr>
              <w:suppressAutoHyphens/>
              <w:spacing w:after="0"/>
              <w:rPr>
                <w:rFonts w:cs="Arial"/>
                <w:lang w:eastAsia="en-AU"/>
              </w:rPr>
            </w:pPr>
          </w:p>
          <w:p w14:paraId="4FDE28FC" w14:textId="77777777" w:rsidR="0000335F" w:rsidRPr="0000335F" w:rsidRDefault="0000335F">
            <w:pPr>
              <w:suppressAutoHyphens/>
              <w:spacing w:after="0"/>
              <w:rPr>
                <w:rFonts w:cs="Arial"/>
                <w:lang w:eastAsia="en-AU"/>
              </w:rPr>
            </w:pPr>
            <w:r w:rsidRPr="0000335F">
              <w:rPr>
                <w:rFonts w:cs="Arial"/>
                <w:lang w:eastAsia="en-AU"/>
              </w:rPr>
              <w:t>Gov. Report</w:t>
            </w:r>
          </w:p>
        </w:tc>
        <w:tc>
          <w:tcPr>
            <w:tcW w:w="1410" w:type="dxa"/>
          </w:tcPr>
          <w:p w14:paraId="18D723AA"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107FFB9D" w14:textId="77777777" w:rsidR="0000335F" w:rsidRPr="0000335F" w:rsidRDefault="0000335F">
            <w:pPr>
              <w:spacing w:after="0"/>
              <w:rPr>
                <w:rFonts w:eastAsia="MS Mincho" w:cs="Arial"/>
                <w:bCs/>
              </w:rPr>
            </w:pPr>
          </w:p>
        </w:tc>
        <w:tc>
          <w:tcPr>
            <w:tcW w:w="1992" w:type="dxa"/>
          </w:tcPr>
          <w:p w14:paraId="18E47B1F" w14:textId="77777777" w:rsidR="0000335F" w:rsidRPr="0000335F" w:rsidRDefault="0000335F">
            <w:pPr>
              <w:spacing w:after="0"/>
              <w:rPr>
                <w:rFonts w:eastAsia="MS Mincho" w:cs="Arial"/>
                <w:bCs/>
              </w:rPr>
            </w:pPr>
            <w:r w:rsidRPr="0000335F">
              <w:rPr>
                <w:rFonts w:eastAsia="MS Mincho" w:cs="Arial"/>
                <w:bCs/>
              </w:rPr>
              <w:t xml:space="preserve">To identify lessons and inform ongoing improvement to implementation of the Connected Beginnings Program Connected Beginnings aims to increase children and families’ engagement with health and early childhood education and care through integrated, culturally appropriate local services. </w:t>
            </w:r>
          </w:p>
        </w:tc>
        <w:tc>
          <w:tcPr>
            <w:tcW w:w="3686" w:type="dxa"/>
          </w:tcPr>
          <w:p w14:paraId="105419E0" w14:textId="77777777" w:rsidR="0000335F" w:rsidRPr="0000335F" w:rsidRDefault="0000335F">
            <w:pPr>
              <w:spacing w:after="0"/>
              <w:ind w:left="316" w:hanging="316"/>
              <w:rPr>
                <w:rFonts w:eastAsia="MS Mincho" w:cs="Arial"/>
                <w:bCs/>
              </w:rPr>
            </w:pPr>
            <w:r w:rsidRPr="0000335F">
              <w:rPr>
                <w:rFonts w:eastAsia="MS Mincho" w:cs="Arial"/>
                <w:bCs/>
              </w:rPr>
              <w:t>Early educational and well-being outcomes for Aboriginal and Torres Strait Islander children are being supported</w:t>
            </w:r>
          </w:p>
          <w:p w14:paraId="0571500A" w14:textId="77777777" w:rsidR="0000335F" w:rsidRPr="0000335F" w:rsidRDefault="0000335F">
            <w:pPr>
              <w:spacing w:after="0"/>
              <w:ind w:left="316" w:hanging="316"/>
              <w:rPr>
                <w:rFonts w:eastAsia="MS Mincho" w:cs="Arial"/>
                <w:bCs/>
              </w:rPr>
            </w:pPr>
            <w:r w:rsidRPr="0000335F">
              <w:rPr>
                <w:rFonts w:eastAsia="MS Mincho" w:cs="Arial"/>
                <w:bCs/>
              </w:rPr>
              <w:t xml:space="preserve">Qualitative examples of increased school readiness in Connected Beginnings communities, supported children’s and mother’s health and wellbeing, children’s increased exposure to culture, parents feeling empowered to support child health, development and early learning, and families being holistically supported </w:t>
            </w:r>
          </w:p>
          <w:p w14:paraId="671842CF" w14:textId="77777777" w:rsidR="0000335F" w:rsidRPr="0000335F" w:rsidRDefault="0000335F">
            <w:pPr>
              <w:spacing w:after="0"/>
              <w:ind w:left="316" w:hanging="316"/>
              <w:rPr>
                <w:rFonts w:eastAsia="MS Mincho" w:cs="Arial"/>
                <w:bCs/>
              </w:rPr>
            </w:pPr>
            <w:r w:rsidRPr="0000335F">
              <w:rPr>
                <w:rFonts w:eastAsia="MS Mincho" w:cs="Arial"/>
                <w:bCs/>
              </w:rPr>
              <w:t>Emerging data suggests that Connected Beginnings is positively contributing to the four Priority Reforms under the National Agreement on Closing the Gap: Formal partnerships and shared decision making, Building the community-controlled sector, Transforming government organisations, Shared access to data and information at the regional level</w:t>
            </w:r>
          </w:p>
        </w:tc>
        <w:tc>
          <w:tcPr>
            <w:tcW w:w="4111" w:type="dxa"/>
          </w:tcPr>
          <w:p w14:paraId="28C7DB5D" w14:textId="77777777" w:rsidR="0000335F" w:rsidRPr="0000335F" w:rsidRDefault="0000335F">
            <w:pPr>
              <w:spacing w:after="0"/>
              <w:rPr>
                <w:rFonts w:eastAsia="MS Mincho" w:cs="Arial"/>
                <w:bCs/>
              </w:rPr>
            </w:pPr>
            <w:r w:rsidRPr="0000335F">
              <w:rPr>
                <w:rFonts w:eastAsia="MS Mincho" w:cs="Arial"/>
                <w:bCs/>
              </w:rPr>
              <w:t xml:space="preserve"> System-level: </w:t>
            </w:r>
          </w:p>
          <w:p w14:paraId="1637424C"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Provide clarity on the role of Collective Impact</w:t>
            </w:r>
          </w:p>
          <w:p w14:paraId="60F72A56"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Understand the service environment</w:t>
            </w:r>
          </w:p>
          <w:p w14:paraId="051FFF16"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Bring community voice into programs</w:t>
            </w:r>
          </w:p>
          <w:p w14:paraId="37899A4D"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 xml:space="preserve">Data sharing </w:t>
            </w:r>
          </w:p>
          <w:p w14:paraId="34F1555D" w14:textId="77777777" w:rsidR="0000335F" w:rsidRPr="0000335F" w:rsidRDefault="0000335F">
            <w:pPr>
              <w:spacing w:after="0"/>
              <w:ind w:left="31"/>
              <w:rPr>
                <w:rFonts w:eastAsia="MS Mincho" w:cs="Arial"/>
                <w:bCs/>
              </w:rPr>
            </w:pPr>
            <w:r w:rsidRPr="0000335F">
              <w:rPr>
                <w:rFonts w:eastAsia="MS Mincho" w:cs="Arial"/>
                <w:bCs/>
              </w:rPr>
              <w:t>Principles</w:t>
            </w:r>
          </w:p>
          <w:p w14:paraId="29649F03"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Build trust</w:t>
            </w:r>
          </w:p>
          <w:p w14:paraId="143501D8"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Focus on cultural safety</w:t>
            </w:r>
          </w:p>
          <w:p w14:paraId="50948772"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Support families holistically</w:t>
            </w:r>
          </w:p>
          <w:p w14:paraId="6D1D014B" w14:textId="77777777" w:rsidR="0000335F" w:rsidRPr="0000335F" w:rsidRDefault="0000335F" w:rsidP="003B0B17">
            <w:pPr>
              <w:numPr>
                <w:ilvl w:val="0"/>
                <w:numId w:val="242"/>
              </w:numPr>
              <w:spacing w:before="0" w:after="0"/>
              <w:ind w:left="318" w:hanging="283"/>
              <w:rPr>
                <w:rFonts w:eastAsia="MS Mincho" w:cs="Arial"/>
                <w:bCs/>
              </w:rPr>
            </w:pPr>
            <w:r w:rsidRPr="0000335F">
              <w:rPr>
                <w:rFonts w:eastAsia="MS Mincho" w:cs="Arial"/>
                <w:bCs/>
              </w:rPr>
              <w:t>Address barriers</w:t>
            </w:r>
          </w:p>
          <w:p w14:paraId="0CC79522" w14:textId="77777777" w:rsidR="0000335F" w:rsidRPr="0000335F" w:rsidRDefault="0000335F">
            <w:pPr>
              <w:spacing w:after="0"/>
              <w:ind w:left="31"/>
              <w:rPr>
                <w:rFonts w:eastAsia="MS Mincho" w:cs="Arial"/>
                <w:bCs/>
              </w:rPr>
            </w:pPr>
            <w:r w:rsidRPr="0000335F">
              <w:rPr>
                <w:rFonts w:eastAsia="MS Mincho" w:cs="Arial"/>
                <w:bCs/>
              </w:rPr>
              <w:t>Practices/strategies</w:t>
            </w:r>
          </w:p>
          <w:p w14:paraId="5FB0E8A1"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Share spaces and resources</w:t>
            </w:r>
          </w:p>
          <w:p w14:paraId="20D959EF"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Hold forums for collaboration</w:t>
            </w:r>
          </w:p>
          <w:p w14:paraId="4D5BD973"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Engage local First Nations organisations and staff</w:t>
            </w:r>
          </w:p>
          <w:p w14:paraId="57B1F062" w14:textId="77777777" w:rsidR="0000335F" w:rsidRPr="0000335F" w:rsidRDefault="0000335F" w:rsidP="003B0B17">
            <w:pPr>
              <w:numPr>
                <w:ilvl w:val="0"/>
                <w:numId w:val="242"/>
              </w:numPr>
              <w:spacing w:before="0" w:after="0"/>
              <w:ind w:left="314" w:hanging="283"/>
              <w:rPr>
                <w:rFonts w:eastAsia="MS Mincho" w:cs="Arial"/>
                <w:bCs/>
              </w:rPr>
            </w:pPr>
            <w:r w:rsidRPr="0000335F">
              <w:rPr>
                <w:rFonts w:eastAsia="MS Mincho" w:cs="Arial"/>
                <w:bCs/>
              </w:rPr>
              <w:t>Share decision making</w:t>
            </w:r>
          </w:p>
          <w:p w14:paraId="605FD71C" w14:textId="77777777" w:rsidR="0000335F" w:rsidRPr="0000335F" w:rsidRDefault="0000335F">
            <w:pPr>
              <w:spacing w:after="0"/>
              <w:ind w:left="314"/>
              <w:rPr>
                <w:rFonts w:eastAsia="MS Mincho" w:cs="Arial"/>
                <w:bCs/>
              </w:rPr>
            </w:pPr>
          </w:p>
        </w:tc>
      </w:tr>
      <w:tr w:rsidR="0000335F" w:rsidRPr="0000335F" w14:paraId="281CEE37" w14:textId="77777777">
        <w:trPr>
          <w:cnfStyle w:val="000000010000" w:firstRow="0" w:lastRow="0" w:firstColumn="0" w:lastColumn="0" w:oddVBand="0" w:evenVBand="0" w:oddHBand="0" w:evenHBand="1" w:firstRowFirstColumn="0" w:firstRowLastColumn="0" w:lastRowFirstColumn="0" w:lastRowLastColumn="0"/>
          <w:trHeight w:val="123"/>
        </w:trPr>
        <w:tc>
          <w:tcPr>
            <w:tcW w:w="1052" w:type="dxa"/>
          </w:tcPr>
          <w:p w14:paraId="5220604C" w14:textId="77777777" w:rsidR="0000335F" w:rsidRPr="0000335F" w:rsidRDefault="0000335F">
            <w:pPr>
              <w:spacing w:after="0"/>
              <w:rPr>
                <w:rFonts w:eastAsia="MS Mincho" w:cs="Arial"/>
                <w:bCs/>
                <w:lang w:val="en-US"/>
              </w:rPr>
            </w:pPr>
            <w:r w:rsidRPr="0000335F">
              <w:rPr>
                <w:rFonts w:eastAsia="MS Mincho" w:cs="Arial"/>
                <w:bCs/>
                <w:lang w:val="en-US"/>
              </w:rPr>
              <w:t>SNAICC, 2023</w:t>
            </w:r>
          </w:p>
        </w:tc>
        <w:tc>
          <w:tcPr>
            <w:tcW w:w="1783" w:type="dxa"/>
          </w:tcPr>
          <w:p w14:paraId="3F1B331A" w14:textId="77777777" w:rsidR="0000335F" w:rsidRPr="0000335F" w:rsidRDefault="0000335F">
            <w:pPr>
              <w:suppressAutoHyphens/>
              <w:spacing w:after="0"/>
              <w:rPr>
                <w:rFonts w:cs="Arial"/>
                <w:lang w:eastAsia="en-AU"/>
              </w:rPr>
            </w:pPr>
            <w:r w:rsidRPr="0000335F">
              <w:rPr>
                <w:rFonts w:cs="Arial"/>
                <w:lang w:eastAsia="en-AU"/>
              </w:rPr>
              <w:t>Stronger ACCOS, Stronger Families Final Report.</w:t>
            </w:r>
          </w:p>
          <w:p w14:paraId="11845114" w14:textId="77777777" w:rsidR="0000335F" w:rsidRPr="0000335F" w:rsidRDefault="0000335F">
            <w:pPr>
              <w:suppressAutoHyphens/>
              <w:spacing w:after="0"/>
              <w:rPr>
                <w:rFonts w:cs="Arial"/>
                <w:lang w:eastAsia="en-AU"/>
              </w:rPr>
            </w:pPr>
          </w:p>
          <w:p w14:paraId="1C271D92" w14:textId="77777777" w:rsidR="0000335F" w:rsidRPr="0000335F" w:rsidRDefault="0000335F">
            <w:pPr>
              <w:suppressAutoHyphens/>
              <w:spacing w:after="0"/>
              <w:rPr>
                <w:rFonts w:eastAsia="MS Mincho" w:cs="Arial"/>
                <w:color w:val="000000"/>
                <w:lang w:eastAsia="en-AU"/>
              </w:rPr>
            </w:pPr>
            <w:r w:rsidRPr="0000335F">
              <w:rPr>
                <w:rFonts w:cs="Arial"/>
                <w:lang w:eastAsia="en-AU"/>
              </w:rPr>
              <w:t>Gov. Report</w:t>
            </w:r>
          </w:p>
        </w:tc>
        <w:tc>
          <w:tcPr>
            <w:tcW w:w="1410" w:type="dxa"/>
          </w:tcPr>
          <w:p w14:paraId="23A63173"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39C3C03A" w14:textId="77777777" w:rsidR="0000335F" w:rsidRPr="0000335F" w:rsidRDefault="0000335F">
            <w:pPr>
              <w:spacing w:after="0"/>
              <w:rPr>
                <w:rFonts w:eastAsia="MS Mincho" w:cs="Arial"/>
                <w:bCs/>
              </w:rPr>
            </w:pPr>
          </w:p>
        </w:tc>
        <w:tc>
          <w:tcPr>
            <w:tcW w:w="1992" w:type="dxa"/>
          </w:tcPr>
          <w:p w14:paraId="25B2346F" w14:textId="77777777" w:rsidR="0000335F" w:rsidRPr="0000335F" w:rsidRDefault="0000335F">
            <w:pPr>
              <w:spacing w:after="0"/>
              <w:rPr>
                <w:rFonts w:eastAsia="MS Mincho" w:cs="Arial"/>
                <w:bCs/>
              </w:rPr>
            </w:pPr>
            <w:r w:rsidRPr="0000335F">
              <w:rPr>
                <w:rFonts w:eastAsia="MS Mincho" w:cs="Arial"/>
                <w:bCs/>
              </w:rPr>
              <w:t>To identify existing knowledge and consult with Aboriginal Community-Controlled Organisations (ACCO) on their strengths, needs, barriers and opportunities for accessing DSS funding and delivering Family and Children Activity programs</w:t>
            </w:r>
          </w:p>
        </w:tc>
        <w:tc>
          <w:tcPr>
            <w:tcW w:w="3686" w:type="dxa"/>
          </w:tcPr>
          <w:p w14:paraId="4092451D" w14:textId="77777777" w:rsidR="0000335F" w:rsidRPr="0000335F" w:rsidRDefault="0000335F">
            <w:pPr>
              <w:spacing w:after="0"/>
              <w:ind w:left="314" w:hanging="360"/>
              <w:rPr>
                <w:rFonts w:eastAsia="MS Mincho" w:cs="Arial"/>
                <w:bCs/>
              </w:rPr>
            </w:pPr>
            <w:r w:rsidRPr="0000335F">
              <w:rPr>
                <w:rFonts w:eastAsia="MS Mincho" w:cs="Arial"/>
                <w:bCs/>
              </w:rPr>
              <w:t>Strengths: ACCOs are inextricably connected to the communities they serve; ACCOs use a holistic model of care to delivery integrated and culturally safe services</w:t>
            </w:r>
          </w:p>
          <w:p w14:paraId="46724B9E" w14:textId="77777777" w:rsidR="0000335F" w:rsidRPr="0000335F" w:rsidRDefault="0000335F">
            <w:pPr>
              <w:spacing w:after="0"/>
              <w:ind w:left="314" w:hanging="360"/>
              <w:rPr>
                <w:rFonts w:eastAsia="MS Mincho" w:cs="Arial"/>
                <w:bCs/>
              </w:rPr>
            </w:pPr>
            <w:r w:rsidRPr="0000335F">
              <w:rPr>
                <w:rFonts w:eastAsia="MS Mincho" w:cs="Arial"/>
                <w:bCs/>
              </w:rPr>
              <w:t>Barriers: Lack of community control in program design and funding allocation processes; Funding processes; funding doesn’t match the model of care; poor partnerships; reporting burdens; resources for core operational functions and infrastructure; data, evaluation, and research; stability in funding agreements</w:t>
            </w:r>
          </w:p>
          <w:p w14:paraId="29CBBD53" w14:textId="77777777" w:rsidR="0000335F" w:rsidRPr="0000335F" w:rsidRDefault="0000335F">
            <w:pPr>
              <w:spacing w:after="0"/>
              <w:ind w:left="314" w:hanging="360"/>
              <w:rPr>
                <w:rFonts w:eastAsia="MS Mincho" w:cs="Arial"/>
                <w:bCs/>
              </w:rPr>
            </w:pPr>
            <w:r w:rsidRPr="0000335F">
              <w:rPr>
                <w:rFonts w:eastAsia="MS Mincho" w:cs="Arial"/>
                <w:bCs/>
              </w:rPr>
              <w:t xml:space="preserve">Opportunities: Improving navigation and support services; building government capacity to support ACCOs; undertake funding reform </w:t>
            </w:r>
          </w:p>
        </w:tc>
        <w:tc>
          <w:tcPr>
            <w:tcW w:w="4111" w:type="dxa"/>
          </w:tcPr>
          <w:p w14:paraId="082AD33A" w14:textId="77777777" w:rsidR="0000335F" w:rsidRPr="0000335F" w:rsidRDefault="0000335F">
            <w:pPr>
              <w:spacing w:after="0"/>
              <w:rPr>
                <w:rFonts w:eastAsia="MS Mincho" w:cs="Arial"/>
                <w:bCs/>
              </w:rPr>
            </w:pPr>
            <w:r w:rsidRPr="0000335F">
              <w:rPr>
                <w:rFonts w:eastAsia="MS Mincho" w:cs="Arial"/>
                <w:bCs/>
              </w:rPr>
              <w:t>System level recommendations:</w:t>
            </w:r>
          </w:p>
          <w:p w14:paraId="6DF602C7" w14:textId="77777777" w:rsidR="0000335F" w:rsidRPr="0000335F" w:rsidRDefault="0000335F" w:rsidP="003B0B17">
            <w:pPr>
              <w:numPr>
                <w:ilvl w:val="0"/>
                <w:numId w:val="244"/>
              </w:numPr>
              <w:spacing w:before="0" w:after="0"/>
              <w:ind w:left="314" w:hanging="283"/>
              <w:rPr>
                <w:rFonts w:eastAsia="MS Mincho" w:cs="Arial"/>
                <w:bCs/>
              </w:rPr>
            </w:pPr>
            <w:r w:rsidRPr="0000335F">
              <w:rPr>
                <w:rFonts w:eastAsia="MS Mincho" w:cs="Arial"/>
                <w:bCs/>
              </w:rPr>
              <w:t>Embed community-led decision making at every stage of funding development and allocation</w:t>
            </w:r>
          </w:p>
          <w:p w14:paraId="11D57AAA" w14:textId="77777777" w:rsidR="0000335F" w:rsidRPr="0000335F" w:rsidRDefault="0000335F" w:rsidP="003B0B17">
            <w:pPr>
              <w:numPr>
                <w:ilvl w:val="0"/>
                <w:numId w:val="244"/>
              </w:numPr>
              <w:spacing w:before="0" w:after="0"/>
              <w:ind w:left="314" w:hanging="283"/>
              <w:rPr>
                <w:rFonts w:eastAsia="MS Mincho" w:cs="Arial"/>
                <w:bCs/>
              </w:rPr>
            </w:pPr>
            <w:r w:rsidRPr="0000335F">
              <w:rPr>
                <w:rFonts w:eastAsia="MS Mincho" w:cs="Arial"/>
                <w:bCs/>
              </w:rPr>
              <w:t>Prioritise ACCOs as providers of children and family services for Aboriginal and Torres Strait Islander children and families</w:t>
            </w:r>
          </w:p>
          <w:p w14:paraId="45CF94AA" w14:textId="77777777" w:rsidR="0000335F" w:rsidRPr="0000335F" w:rsidRDefault="0000335F" w:rsidP="003B0B17">
            <w:pPr>
              <w:numPr>
                <w:ilvl w:val="0"/>
                <w:numId w:val="244"/>
              </w:numPr>
              <w:spacing w:before="0" w:after="0"/>
              <w:ind w:left="314" w:hanging="283"/>
              <w:rPr>
                <w:rFonts w:eastAsia="MS Mincho" w:cs="Arial"/>
                <w:bCs/>
              </w:rPr>
            </w:pPr>
            <w:r w:rsidRPr="0000335F">
              <w:rPr>
                <w:rFonts w:eastAsia="MS Mincho" w:cs="Arial"/>
                <w:bCs/>
              </w:rPr>
              <w:t>Invest in growth, development, and sustainability of ACCOs through core-functions funding</w:t>
            </w:r>
          </w:p>
          <w:p w14:paraId="47870D7B" w14:textId="77777777" w:rsidR="0000335F" w:rsidRPr="0000335F" w:rsidRDefault="0000335F" w:rsidP="003B0B17">
            <w:pPr>
              <w:numPr>
                <w:ilvl w:val="0"/>
                <w:numId w:val="244"/>
              </w:numPr>
              <w:spacing w:before="0" w:after="0"/>
              <w:ind w:left="314" w:hanging="283"/>
              <w:rPr>
                <w:rFonts w:eastAsia="MS Mincho" w:cs="Arial"/>
                <w:bCs/>
              </w:rPr>
            </w:pPr>
            <w:r w:rsidRPr="0000335F">
              <w:rPr>
                <w:rFonts w:eastAsia="MS Mincho" w:cs="Arial"/>
                <w:bCs/>
              </w:rPr>
              <w:t>Reduce administrative burdens across the system</w:t>
            </w:r>
          </w:p>
          <w:p w14:paraId="231D0BB7" w14:textId="77777777" w:rsidR="0000335F" w:rsidRPr="0000335F" w:rsidRDefault="0000335F" w:rsidP="003B0B17">
            <w:pPr>
              <w:numPr>
                <w:ilvl w:val="0"/>
                <w:numId w:val="244"/>
              </w:numPr>
              <w:spacing w:before="0" w:after="0"/>
              <w:ind w:left="314" w:hanging="283"/>
              <w:rPr>
                <w:rFonts w:eastAsia="MS Mincho" w:cs="Arial"/>
                <w:bCs/>
              </w:rPr>
            </w:pPr>
            <w:r w:rsidRPr="0000335F">
              <w:rPr>
                <w:rFonts w:eastAsia="MS Mincho" w:cs="Arial"/>
                <w:bCs/>
              </w:rPr>
              <w:t xml:space="preserve">Increase investment in and support for ACCOs-led research and evaluation </w:t>
            </w:r>
          </w:p>
          <w:p w14:paraId="2C5731C4" w14:textId="77777777" w:rsidR="0000335F" w:rsidRPr="0000335F" w:rsidRDefault="0000335F" w:rsidP="003B0B17">
            <w:pPr>
              <w:numPr>
                <w:ilvl w:val="0"/>
                <w:numId w:val="244"/>
              </w:numPr>
              <w:spacing w:before="0" w:after="0"/>
              <w:ind w:left="314" w:hanging="283"/>
              <w:rPr>
                <w:rFonts w:eastAsia="MS Mincho" w:cs="Arial"/>
                <w:bCs/>
              </w:rPr>
            </w:pPr>
            <w:r w:rsidRPr="0000335F">
              <w:rPr>
                <w:rFonts w:eastAsia="MS Mincho" w:cs="Arial"/>
                <w:bCs/>
              </w:rPr>
              <w:t>Build government capacity to work better with ACCOs</w:t>
            </w:r>
          </w:p>
        </w:tc>
      </w:tr>
      <w:tr w:rsidR="0000335F" w:rsidRPr="0000335F" w14:paraId="06B25ACD" w14:textId="77777777">
        <w:trPr>
          <w:cnfStyle w:val="000000100000" w:firstRow="0" w:lastRow="0" w:firstColumn="0" w:lastColumn="0" w:oddVBand="0" w:evenVBand="0" w:oddHBand="1" w:evenHBand="0" w:firstRowFirstColumn="0" w:firstRowLastColumn="0" w:lastRowFirstColumn="0" w:lastRowLastColumn="0"/>
          <w:trHeight w:val="123"/>
        </w:trPr>
        <w:tc>
          <w:tcPr>
            <w:tcW w:w="1052" w:type="dxa"/>
          </w:tcPr>
          <w:p w14:paraId="78EB8ECA" w14:textId="77777777" w:rsidR="0000335F" w:rsidRPr="0000335F" w:rsidRDefault="0000335F">
            <w:pPr>
              <w:spacing w:after="0"/>
              <w:rPr>
                <w:rFonts w:eastAsia="MS Mincho" w:cs="Arial"/>
                <w:bCs/>
              </w:rPr>
            </w:pPr>
            <w:r w:rsidRPr="0000335F">
              <w:rPr>
                <w:rFonts w:eastAsia="MS Mincho" w:cs="Arial"/>
                <w:bCs/>
              </w:rPr>
              <w:t>Elek, 2022</w:t>
            </w:r>
          </w:p>
        </w:tc>
        <w:tc>
          <w:tcPr>
            <w:tcW w:w="1783" w:type="dxa"/>
          </w:tcPr>
          <w:p w14:paraId="7FD1E147" w14:textId="77777777" w:rsidR="0000335F" w:rsidRPr="0000335F" w:rsidRDefault="0000335F">
            <w:pPr>
              <w:spacing w:after="0"/>
              <w:rPr>
                <w:rFonts w:eastAsia="MS Mincho" w:cs="Arial"/>
                <w:bCs/>
              </w:rPr>
            </w:pPr>
            <w:r w:rsidRPr="0000335F">
              <w:rPr>
                <w:rFonts w:eastAsia="MS Mincho" w:cs="Arial"/>
                <w:bCs/>
              </w:rPr>
              <w:t>An opportunity for our little ones: findings from an evaluation of an Aboriginal early childhood learning centre in central Australia.</w:t>
            </w:r>
          </w:p>
          <w:p w14:paraId="31BC5169" w14:textId="77777777" w:rsidR="0000335F" w:rsidRPr="0000335F" w:rsidRDefault="0000335F">
            <w:pPr>
              <w:spacing w:after="0"/>
              <w:rPr>
                <w:rFonts w:eastAsia="MS Mincho" w:cs="Arial"/>
                <w:bCs/>
              </w:rPr>
            </w:pPr>
          </w:p>
          <w:p w14:paraId="208C0349" w14:textId="77777777" w:rsidR="0000335F" w:rsidRPr="0000335F" w:rsidRDefault="0000335F">
            <w:pPr>
              <w:spacing w:after="0"/>
              <w:rPr>
                <w:rFonts w:eastAsia="MS Mincho" w:cs="Arial"/>
                <w:bCs/>
              </w:rPr>
            </w:pPr>
            <w:r w:rsidRPr="0000335F">
              <w:rPr>
                <w:rFonts w:eastAsia="MS Mincho" w:cs="Arial"/>
                <w:bCs/>
              </w:rPr>
              <w:t>Peer reviewed paper</w:t>
            </w:r>
          </w:p>
        </w:tc>
        <w:tc>
          <w:tcPr>
            <w:tcW w:w="1410" w:type="dxa"/>
          </w:tcPr>
          <w:p w14:paraId="3666CEB4"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2114984C" w14:textId="77777777" w:rsidR="0000335F" w:rsidRPr="0000335F" w:rsidRDefault="0000335F">
            <w:pPr>
              <w:spacing w:after="0"/>
              <w:rPr>
                <w:rFonts w:eastAsia="MS Mincho" w:cs="Arial"/>
                <w:bCs/>
              </w:rPr>
            </w:pPr>
          </w:p>
        </w:tc>
        <w:tc>
          <w:tcPr>
            <w:tcW w:w="1992" w:type="dxa"/>
          </w:tcPr>
          <w:p w14:paraId="2E236B56" w14:textId="77777777" w:rsidR="0000335F" w:rsidRPr="0000335F" w:rsidRDefault="0000335F">
            <w:pPr>
              <w:spacing w:after="0"/>
              <w:rPr>
                <w:rFonts w:eastAsia="MS Mincho" w:cs="Arial"/>
                <w:bCs/>
              </w:rPr>
            </w:pPr>
            <w:r w:rsidRPr="0000335F">
              <w:rPr>
                <w:rFonts w:eastAsia="MS Mincho" w:cs="Arial"/>
                <w:bCs/>
              </w:rPr>
              <w:t>To evaluate the Arrwekele Akaltye-Irretyeke Apmere Centre for Aboriginal children</w:t>
            </w:r>
          </w:p>
        </w:tc>
        <w:tc>
          <w:tcPr>
            <w:tcW w:w="3686" w:type="dxa"/>
          </w:tcPr>
          <w:p w14:paraId="1FD97FE9" w14:textId="77777777" w:rsidR="0000335F" w:rsidRPr="0000335F" w:rsidRDefault="0000335F">
            <w:pPr>
              <w:spacing w:after="0"/>
              <w:ind w:left="316" w:hanging="284"/>
              <w:rPr>
                <w:rFonts w:eastAsia="MS Mincho" w:cs="Arial"/>
                <w:bCs/>
              </w:rPr>
            </w:pPr>
            <w:r w:rsidRPr="0000335F">
              <w:rPr>
                <w:rFonts w:eastAsia="MS Mincho" w:cs="Arial"/>
                <w:bCs/>
              </w:rPr>
              <w:t xml:space="preserve">Despite facing challenges during its establishment, by the end of the evaluation children were attending the Centre and receiving high-quality service (CLASS observation tools) </w:t>
            </w:r>
          </w:p>
          <w:p w14:paraId="760CD3ED" w14:textId="77777777" w:rsidR="0000335F" w:rsidRPr="0000335F" w:rsidRDefault="0000335F">
            <w:pPr>
              <w:spacing w:after="0"/>
              <w:ind w:left="316" w:hanging="284"/>
              <w:rPr>
                <w:rFonts w:eastAsia="MS Mincho" w:cs="Arial"/>
                <w:bCs/>
              </w:rPr>
            </w:pPr>
            <w:r w:rsidRPr="0000335F">
              <w:rPr>
                <w:rFonts w:eastAsia="MS Mincho" w:cs="Arial"/>
                <w:bCs/>
              </w:rPr>
              <w:t>The service was overwhelmingly valued families and community representatives</w:t>
            </w:r>
          </w:p>
          <w:p w14:paraId="652B1379" w14:textId="77777777" w:rsidR="0000335F" w:rsidRPr="0000335F" w:rsidRDefault="0000335F">
            <w:pPr>
              <w:spacing w:after="0"/>
              <w:ind w:left="316" w:hanging="284"/>
              <w:rPr>
                <w:rFonts w:eastAsia="MS Mincho" w:cs="Arial"/>
                <w:bCs/>
              </w:rPr>
            </w:pPr>
            <w:r w:rsidRPr="0000335F">
              <w:rPr>
                <w:rFonts w:eastAsia="MS Mincho" w:cs="Arial"/>
                <w:bCs/>
              </w:rPr>
              <w:t>The children entered the centre with low average levels of development (ASQ-TRAK) and language skills (Preschool Language Scales, 5</w:t>
            </w:r>
            <w:r w:rsidRPr="0000335F">
              <w:rPr>
                <w:rFonts w:eastAsia="MS Mincho" w:cs="Arial"/>
                <w:bCs/>
                <w:vertAlign w:val="superscript"/>
              </w:rPr>
              <w:t>th</w:t>
            </w:r>
            <w:r w:rsidRPr="0000335F">
              <w:rPr>
                <w:rFonts w:eastAsia="MS Mincho" w:cs="Arial"/>
                <w:bCs/>
              </w:rPr>
              <w:t xml:space="preserve"> Edition, PLS-5) </w:t>
            </w:r>
          </w:p>
          <w:p w14:paraId="4096E3D8" w14:textId="77777777" w:rsidR="0000335F" w:rsidRPr="0000335F" w:rsidRDefault="0000335F">
            <w:pPr>
              <w:spacing w:after="0"/>
              <w:ind w:left="316" w:hanging="284"/>
              <w:rPr>
                <w:rFonts w:eastAsia="MS Mincho" w:cs="Arial"/>
                <w:bCs/>
              </w:rPr>
            </w:pPr>
            <w:r w:rsidRPr="0000335F">
              <w:rPr>
                <w:rFonts w:eastAsia="MS Mincho" w:cs="Arial"/>
                <w:bCs/>
              </w:rPr>
              <w:t>12 children with follow-up data on the PLS-5 showed language improvements</w:t>
            </w:r>
          </w:p>
        </w:tc>
        <w:tc>
          <w:tcPr>
            <w:tcW w:w="4111" w:type="dxa"/>
          </w:tcPr>
          <w:p w14:paraId="77AFBBF8" w14:textId="77777777" w:rsidR="0000335F" w:rsidRPr="0000335F" w:rsidRDefault="0000335F">
            <w:pPr>
              <w:spacing w:after="0"/>
              <w:ind w:left="314" w:hanging="283"/>
              <w:rPr>
                <w:rFonts w:eastAsia="MS Mincho" w:cs="Arial"/>
                <w:bCs/>
              </w:rPr>
            </w:pPr>
            <w:r w:rsidRPr="0000335F">
              <w:rPr>
                <w:rFonts w:eastAsia="MS Mincho" w:cs="Arial"/>
                <w:bCs/>
              </w:rPr>
              <w:t>System level:</w:t>
            </w:r>
          </w:p>
          <w:p w14:paraId="2BCB0584" w14:textId="77777777" w:rsidR="0000335F" w:rsidRPr="0000335F" w:rsidRDefault="0000335F" w:rsidP="003B0B17">
            <w:pPr>
              <w:numPr>
                <w:ilvl w:val="0"/>
                <w:numId w:val="249"/>
              </w:numPr>
              <w:spacing w:before="0" w:after="0"/>
              <w:ind w:left="318" w:hanging="283"/>
              <w:rPr>
                <w:rFonts w:eastAsia="MS Mincho" w:cs="Arial"/>
                <w:bCs/>
              </w:rPr>
            </w:pPr>
            <w:r w:rsidRPr="0000335F">
              <w:rPr>
                <w:rFonts w:eastAsia="MS Mincho" w:cs="Arial"/>
                <w:bCs/>
              </w:rPr>
              <w:t xml:space="preserve">The evaluation showed that the Centre could be improved by increasing the number of staff, reducing the high staff turnover </w:t>
            </w:r>
          </w:p>
          <w:p w14:paraId="269F6C80" w14:textId="77777777" w:rsidR="0000335F" w:rsidRPr="0000335F" w:rsidRDefault="0000335F" w:rsidP="003B0B17">
            <w:pPr>
              <w:numPr>
                <w:ilvl w:val="0"/>
                <w:numId w:val="249"/>
              </w:numPr>
              <w:spacing w:before="0" w:after="0"/>
              <w:ind w:left="318" w:hanging="283"/>
              <w:rPr>
                <w:rFonts w:eastAsia="MS Mincho" w:cs="Arial"/>
                <w:bCs/>
              </w:rPr>
            </w:pPr>
            <w:r w:rsidRPr="0000335F">
              <w:rPr>
                <w:rFonts w:eastAsia="MS Mincho" w:cs="Arial"/>
                <w:bCs/>
              </w:rPr>
              <w:t xml:space="preserve">Proactively put resources in place to ensure routine data collection to support evaluation </w:t>
            </w:r>
          </w:p>
          <w:p w14:paraId="4D123248" w14:textId="77777777" w:rsidR="0000335F" w:rsidRPr="0000335F" w:rsidRDefault="0000335F">
            <w:pPr>
              <w:spacing w:after="0"/>
              <w:ind w:left="314" w:hanging="283"/>
              <w:rPr>
                <w:rFonts w:eastAsia="MS Mincho" w:cs="Arial"/>
                <w:bCs/>
              </w:rPr>
            </w:pPr>
            <w:r w:rsidRPr="0000335F">
              <w:rPr>
                <w:rFonts w:eastAsia="MS Mincho" w:cs="Arial"/>
                <w:bCs/>
              </w:rPr>
              <w:t>Practices:</w:t>
            </w:r>
          </w:p>
          <w:p w14:paraId="4E1FCE72" w14:textId="77777777" w:rsidR="0000335F" w:rsidRPr="0000335F" w:rsidRDefault="0000335F" w:rsidP="003B0B17">
            <w:pPr>
              <w:numPr>
                <w:ilvl w:val="0"/>
                <w:numId w:val="250"/>
              </w:numPr>
              <w:spacing w:before="0" w:after="0"/>
              <w:ind w:left="318" w:hanging="283"/>
              <w:rPr>
                <w:rFonts w:eastAsia="MS Mincho" w:cs="Arial"/>
                <w:bCs/>
              </w:rPr>
            </w:pPr>
            <w:r w:rsidRPr="0000335F">
              <w:rPr>
                <w:rFonts w:eastAsia="MS Mincho" w:cs="Arial"/>
                <w:bCs/>
              </w:rPr>
              <w:t>Improve cultural safety of the program</w:t>
            </w:r>
          </w:p>
          <w:p w14:paraId="353FC089" w14:textId="77777777" w:rsidR="0000335F" w:rsidRPr="0000335F" w:rsidRDefault="0000335F" w:rsidP="003B0B17">
            <w:pPr>
              <w:numPr>
                <w:ilvl w:val="0"/>
                <w:numId w:val="250"/>
              </w:numPr>
              <w:spacing w:before="0" w:after="0"/>
              <w:ind w:left="318" w:hanging="283"/>
              <w:rPr>
                <w:rFonts w:eastAsia="MS Mincho" w:cs="Arial"/>
                <w:bCs/>
              </w:rPr>
            </w:pPr>
            <w:r w:rsidRPr="0000335F">
              <w:rPr>
                <w:rFonts w:eastAsia="MS Mincho" w:cs="Arial"/>
                <w:bCs/>
              </w:rPr>
              <w:t>Engage better with parents and carers</w:t>
            </w:r>
          </w:p>
          <w:p w14:paraId="69CA086E" w14:textId="77777777" w:rsidR="0000335F" w:rsidRPr="0000335F" w:rsidRDefault="0000335F">
            <w:pPr>
              <w:spacing w:after="0"/>
              <w:ind w:left="314" w:hanging="283"/>
              <w:rPr>
                <w:rFonts w:eastAsia="MS Mincho" w:cs="Arial"/>
                <w:bCs/>
              </w:rPr>
            </w:pPr>
          </w:p>
        </w:tc>
      </w:tr>
      <w:tr w:rsidR="0000335F" w:rsidRPr="0000335F" w14:paraId="7228EB27" w14:textId="77777777">
        <w:trPr>
          <w:cnfStyle w:val="000000010000" w:firstRow="0" w:lastRow="0" w:firstColumn="0" w:lastColumn="0" w:oddVBand="0" w:evenVBand="0" w:oddHBand="0" w:evenHBand="1" w:firstRowFirstColumn="0" w:firstRowLastColumn="0" w:lastRowFirstColumn="0" w:lastRowLastColumn="0"/>
          <w:trHeight w:val="123"/>
        </w:trPr>
        <w:tc>
          <w:tcPr>
            <w:tcW w:w="1052" w:type="dxa"/>
          </w:tcPr>
          <w:p w14:paraId="03522119" w14:textId="77777777" w:rsidR="0000335F" w:rsidRPr="0000335F" w:rsidRDefault="0000335F">
            <w:pPr>
              <w:spacing w:after="0"/>
              <w:rPr>
                <w:rFonts w:eastAsia="MS Mincho" w:cs="Arial"/>
                <w:bCs/>
              </w:rPr>
            </w:pPr>
            <w:r w:rsidRPr="0000335F">
              <w:rPr>
                <w:rFonts w:eastAsia="MS Mincho" w:cs="Arial"/>
                <w:bCs/>
              </w:rPr>
              <w:t xml:space="preserve">Simpson, 2022 </w:t>
            </w:r>
          </w:p>
        </w:tc>
        <w:tc>
          <w:tcPr>
            <w:tcW w:w="1783" w:type="dxa"/>
          </w:tcPr>
          <w:p w14:paraId="00CC7F86" w14:textId="602539DB" w:rsidR="0000335F" w:rsidRPr="0000335F" w:rsidRDefault="0000335F">
            <w:pPr>
              <w:spacing w:after="0"/>
              <w:rPr>
                <w:rFonts w:eastAsia="MS Mincho" w:cs="Arial"/>
                <w:bCs/>
              </w:rPr>
            </w:pPr>
            <w:r w:rsidRPr="0000335F">
              <w:rPr>
                <w:rFonts w:eastAsia="MS Mincho" w:cs="Arial"/>
                <w:bCs/>
              </w:rPr>
              <w:t>Health promotion in an Australian Aboriginal community: The growing strong brains</w:t>
            </w:r>
            <w:r w:rsidR="00413D94">
              <w:rPr>
                <w:rFonts w:eastAsia="MS Mincho" w:cs="Arial"/>
                <w:bCs/>
              </w:rPr>
              <w:t xml:space="preserve"> </w:t>
            </w:r>
            <w:r w:rsidRPr="0000335F">
              <w:rPr>
                <w:rFonts w:eastAsia="MS Mincho" w:cs="Arial"/>
                <w:bCs/>
                <w:vertAlign w:val="superscript"/>
              </w:rPr>
              <w:t xml:space="preserve">RT </w:t>
            </w:r>
            <w:r w:rsidRPr="0000335F">
              <w:rPr>
                <w:rFonts w:eastAsia="MS Mincho" w:cs="Arial"/>
                <w:bCs/>
              </w:rPr>
              <w:t>toolkit.</w:t>
            </w:r>
          </w:p>
          <w:p w14:paraId="4044D714" w14:textId="77777777" w:rsidR="0000335F" w:rsidRPr="0000335F" w:rsidRDefault="0000335F">
            <w:pPr>
              <w:spacing w:after="0"/>
              <w:rPr>
                <w:rFonts w:eastAsia="MS Mincho" w:cs="Arial"/>
                <w:bCs/>
              </w:rPr>
            </w:pPr>
          </w:p>
          <w:p w14:paraId="2BFBE8DC" w14:textId="77777777" w:rsidR="0000335F" w:rsidRPr="0000335F" w:rsidRDefault="0000335F">
            <w:pPr>
              <w:spacing w:after="0"/>
              <w:rPr>
                <w:rFonts w:eastAsia="MS Mincho" w:cs="Arial"/>
                <w:bCs/>
              </w:rPr>
            </w:pPr>
            <w:r w:rsidRPr="0000335F">
              <w:rPr>
                <w:rFonts w:eastAsia="MS Mincho" w:cs="Arial"/>
                <w:bCs/>
              </w:rPr>
              <w:t>Mixed methods study.</w:t>
            </w:r>
          </w:p>
        </w:tc>
        <w:tc>
          <w:tcPr>
            <w:tcW w:w="1410" w:type="dxa"/>
          </w:tcPr>
          <w:p w14:paraId="7A211B68"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63255CAA" w14:textId="77777777" w:rsidR="0000335F" w:rsidRPr="0000335F" w:rsidRDefault="0000335F">
            <w:pPr>
              <w:spacing w:after="0"/>
              <w:rPr>
                <w:rFonts w:eastAsia="MS Mincho" w:cs="Arial"/>
                <w:bCs/>
              </w:rPr>
            </w:pPr>
          </w:p>
        </w:tc>
        <w:tc>
          <w:tcPr>
            <w:tcW w:w="1992" w:type="dxa"/>
          </w:tcPr>
          <w:p w14:paraId="2B60D793" w14:textId="77777777" w:rsidR="0000335F" w:rsidRPr="0000335F" w:rsidRDefault="0000335F">
            <w:pPr>
              <w:spacing w:after="0"/>
              <w:rPr>
                <w:rFonts w:eastAsia="MS Mincho" w:cs="Arial"/>
                <w:bCs/>
              </w:rPr>
            </w:pPr>
            <w:r w:rsidRPr="0000335F">
              <w:rPr>
                <w:rFonts w:eastAsia="MS Mincho" w:cs="Arial"/>
                <w:bCs/>
              </w:rPr>
              <w:t>To describe the implementation and evaluation of the Growing Strong Brains (GSB</w:t>
            </w:r>
            <w:r w:rsidRPr="0000335F">
              <w:rPr>
                <w:rFonts w:eastAsia="MS Mincho" w:cs="Arial"/>
                <w:bCs/>
                <w:vertAlign w:val="superscript"/>
              </w:rPr>
              <w:t>RT</w:t>
            </w:r>
            <w:r w:rsidRPr="0000335F">
              <w:rPr>
                <w:rFonts w:eastAsia="MS Mincho" w:cs="Arial"/>
                <w:bCs/>
              </w:rPr>
              <w:t>) toolkit in a remote Aboriginal community in Western Australia over a 2-year period</w:t>
            </w:r>
          </w:p>
        </w:tc>
        <w:tc>
          <w:tcPr>
            <w:tcW w:w="3686" w:type="dxa"/>
          </w:tcPr>
          <w:p w14:paraId="3D3AF8DF" w14:textId="77777777" w:rsidR="0000335F" w:rsidRPr="0000335F" w:rsidRDefault="0000335F">
            <w:pPr>
              <w:spacing w:after="0"/>
              <w:ind w:left="316" w:hanging="316"/>
              <w:rPr>
                <w:rFonts w:eastAsia="MS Mincho" w:cs="Arial"/>
                <w:bCs/>
              </w:rPr>
            </w:pPr>
            <w:r w:rsidRPr="0000335F">
              <w:rPr>
                <w:rFonts w:eastAsia="MS Mincho" w:cs="Arial"/>
                <w:bCs/>
              </w:rPr>
              <w:t xml:space="preserve">Establishing local Aboriginal project staff was pivotal to the success of the project. </w:t>
            </w:r>
          </w:p>
          <w:p w14:paraId="1A6A4E04" w14:textId="77777777" w:rsidR="0000335F" w:rsidRPr="0000335F" w:rsidRDefault="0000335F">
            <w:pPr>
              <w:spacing w:after="0"/>
              <w:ind w:left="316" w:hanging="316"/>
              <w:rPr>
                <w:rFonts w:eastAsia="MS Mincho" w:cs="Arial"/>
                <w:bCs/>
              </w:rPr>
            </w:pPr>
            <w:r w:rsidRPr="0000335F">
              <w:rPr>
                <w:rFonts w:eastAsia="MS Mincho" w:cs="Arial"/>
                <w:bCs/>
              </w:rPr>
              <w:t xml:space="preserve">When delivering services for and with Aboriginal people, it is essential that cultural competence, safety and decision-making is carried through from planning to implementation and evaluation, and involves genuine, respectful and authentic relationships. </w:t>
            </w:r>
          </w:p>
          <w:p w14:paraId="7B3FC278" w14:textId="77777777" w:rsidR="0000335F" w:rsidRPr="0000335F" w:rsidRDefault="0000335F">
            <w:pPr>
              <w:spacing w:after="0"/>
              <w:ind w:left="316" w:hanging="316"/>
              <w:rPr>
                <w:rFonts w:eastAsia="MS Mincho" w:cs="Arial"/>
                <w:bCs/>
              </w:rPr>
            </w:pPr>
            <w:r w:rsidRPr="0000335F">
              <w:rPr>
                <w:rFonts w:eastAsia="MS Mincho" w:cs="Arial"/>
                <w:bCs/>
              </w:rPr>
              <w:t>Sufficient time allocation directed towards building relationships with other services and local community members needs to be considered and built into future projects</w:t>
            </w:r>
          </w:p>
        </w:tc>
        <w:tc>
          <w:tcPr>
            <w:tcW w:w="4111" w:type="dxa"/>
          </w:tcPr>
          <w:p w14:paraId="58147FAF" w14:textId="77777777" w:rsidR="0000335F" w:rsidRPr="0000335F" w:rsidRDefault="0000335F">
            <w:pPr>
              <w:spacing w:after="0"/>
              <w:ind w:left="314" w:hanging="314"/>
              <w:rPr>
                <w:rFonts w:eastAsia="MS Mincho" w:cs="Arial"/>
                <w:bCs/>
              </w:rPr>
            </w:pPr>
            <w:r w:rsidRPr="0000335F">
              <w:rPr>
                <w:rFonts w:eastAsia="MS Mincho" w:cs="Arial"/>
                <w:bCs/>
              </w:rPr>
              <w:t>System level:</w:t>
            </w:r>
          </w:p>
          <w:p w14:paraId="257353C9" w14:textId="77777777" w:rsidR="0000335F" w:rsidRPr="0000335F" w:rsidRDefault="0000335F" w:rsidP="003B0B17">
            <w:pPr>
              <w:numPr>
                <w:ilvl w:val="0"/>
                <w:numId w:val="251"/>
              </w:numPr>
              <w:spacing w:before="0" w:after="0"/>
              <w:ind w:left="318" w:hanging="283"/>
              <w:rPr>
                <w:rFonts w:eastAsia="MS Mincho" w:cs="Arial"/>
                <w:bCs/>
              </w:rPr>
            </w:pPr>
            <w:r w:rsidRPr="0000335F">
              <w:rPr>
                <w:rFonts w:eastAsia="MS Mincho" w:cs="Arial"/>
                <w:bCs/>
              </w:rPr>
              <w:t>Allow integration through all levels of the community</w:t>
            </w:r>
          </w:p>
          <w:p w14:paraId="54621F7C" w14:textId="77777777" w:rsidR="0000335F" w:rsidRPr="0000335F" w:rsidRDefault="0000335F" w:rsidP="003B0B17">
            <w:pPr>
              <w:numPr>
                <w:ilvl w:val="0"/>
                <w:numId w:val="251"/>
              </w:numPr>
              <w:spacing w:before="0" w:after="0"/>
              <w:ind w:left="318" w:hanging="283"/>
              <w:rPr>
                <w:rFonts w:eastAsia="MS Mincho" w:cs="Arial"/>
                <w:bCs/>
              </w:rPr>
            </w:pPr>
            <w:r w:rsidRPr="0000335F">
              <w:rPr>
                <w:rFonts w:eastAsia="MS Mincho" w:cs="Arial"/>
                <w:bCs/>
              </w:rPr>
              <w:t>Flexibility in approach to consultation and implementation, and importance of strong partnerships with local Elders and Aboriginal stakeholders</w:t>
            </w:r>
          </w:p>
          <w:p w14:paraId="535EAD3D" w14:textId="77777777" w:rsidR="0000335F" w:rsidRPr="0000335F" w:rsidRDefault="0000335F" w:rsidP="003B0B17">
            <w:pPr>
              <w:numPr>
                <w:ilvl w:val="0"/>
                <w:numId w:val="251"/>
              </w:numPr>
              <w:spacing w:before="0" w:after="0"/>
              <w:ind w:left="318" w:hanging="283"/>
              <w:rPr>
                <w:rFonts w:eastAsia="MS Mincho" w:cs="Arial"/>
                <w:bCs/>
              </w:rPr>
            </w:pPr>
            <w:r w:rsidRPr="0000335F">
              <w:rPr>
                <w:rFonts w:eastAsia="MS Mincho" w:cs="Arial"/>
                <w:bCs/>
              </w:rPr>
              <w:t>A community development approach focusing on capacity building and authentic relationships with local Elders and local champions ensured recognition was given to local issues and the impact of socio-economic and health disadvantage in communities</w:t>
            </w:r>
          </w:p>
        </w:tc>
      </w:tr>
      <w:tr w:rsidR="0000335F" w:rsidRPr="0000335F" w14:paraId="6DF20460" w14:textId="77777777">
        <w:trPr>
          <w:cnfStyle w:val="000000100000" w:firstRow="0" w:lastRow="0" w:firstColumn="0" w:lastColumn="0" w:oddVBand="0" w:evenVBand="0" w:oddHBand="1" w:evenHBand="0" w:firstRowFirstColumn="0" w:firstRowLastColumn="0" w:lastRowFirstColumn="0" w:lastRowLastColumn="0"/>
          <w:trHeight w:val="123"/>
        </w:trPr>
        <w:tc>
          <w:tcPr>
            <w:tcW w:w="1052" w:type="dxa"/>
          </w:tcPr>
          <w:p w14:paraId="26D229E3" w14:textId="77777777" w:rsidR="0000335F" w:rsidRPr="0000335F" w:rsidRDefault="0000335F">
            <w:pPr>
              <w:spacing w:after="0"/>
              <w:rPr>
                <w:rFonts w:eastAsia="MS Mincho" w:cs="Arial"/>
                <w:bCs/>
              </w:rPr>
            </w:pPr>
            <w:r w:rsidRPr="0000335F">
              <w:rPr>
                <w:rFonts w:eastAsia="MS Mincho" w:cs="Arial"/>
                <w:bCs/>
              </w:rPr>
              <w:t>SNAICC, 2021</w:t>
            </w:r>
          </w:p>
        </w:tc>
        <w:tc>
          <w:tcPr>
            <w:tcW w:w="1783" w:type="dxa"/>
          </w:tcPr>
          <w:p w14:paraId="679DA089" w14:textId="77777777" w:rsidR="0000335F" w:rsidRPr="0000335F" w:rsidRDefault="0000335F">
            <w:pPr>
              <w:spacing w:after="0"/>
              <w:rPr>
                <w:rFonts w:eastAsia="MS Mincho" w:cs="Arial"/>
                <w:bCs/>
              </w:rPr>
            </w:pPr>
            <w:r w:rsidRPr="0000335F">
              <w:rPr>
                <w:rFonts w:eastAsia="MS Mincho" w:cs="Arial"/>
                <w:bCs/>
              </w:rPr>
              <w:t>National Aboriginal and Torres Strait Islander Early Childhood Strategy Consultation Report.</w:t>
            </w:r>
          </w:p>
          <w:p w14:paraId="25249504" w14:textId="77777777" w:rsidR="0000335F" w:rsidRPr="0000335F" w:rsidRDefault="0000335F">
            <w:pPr>
              <w:spacing w:after="0"/>
              <w:rPr>
                <w:rFonts w:eastAsia="MS Mincho" w:cs="Arial"/>
                <w:bCs/>
              </w:rPr>
            </w:pPr>
          </w:p>
          <w:p w14:paraId="07758DDA" w14:textId="77777777" w:rsidR="0000335F" w:rsidRPr="0000335F" w:rsidRDefault="0000335F">
            <w:pPr>
              <w:spacing w:after="0"/>
              <w:rPr>
                <w:rFonts w:eastAsia="MS Mincho" w:cs="Arial"/>
                <w:bCs/>
              </w:rPr>
            </w:pPr>
            <w:r w:rsidRPr="0000335F">
              <w:rPr>
                <w:rFonts w:eastAsia="MS Mincho" w:cs="Arial"/>
                <w:bCs/>
              </w:rPr>
              <w:t>Gov. report</w:t>
            </w:r>
          </w:p>
          <w:p w14:paraId="43CF9E0A" w14:textId="77777777" w:rsidR="0000335F" w:rsidRPr="0000335F" w:rsidRDefault="0000335F">
            <w:pPr>
              <w:spacing w:after="0"/>
              <w:rPr>
                <w:rFonts w:eastAsia="MS Mincho" w:cs="Arial"/>
                <w:bCs/>
              </w:rPr>
            </w:pPr>
          </w:p>
        </w:tc>
        <w:tc>
          <w:tcPr>
            <w:tcW w:w="1410" w:type="dxa"/>
          </w:tcPr>
          <w:p w14:paraId="0EEEC82B"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tc>
        <w:tc>
          <w:tcPr>
            <w:tcW w:w="1992" w:type="dxa"/>
          </w:tcPr>
          <w:p w14:paraId="7981C7A0" w14:textId="77777777" w:rsidR="0000335F" w:rsidRPr="0000335F" w:rsidRDefault="0000335F">
            <w:pPr>
              <w:spacing w:after="0"/>
              <w:rPr>
                <w:rFonts w:eastAsia="MS Mincho" w:cs="Arial"/>
                <w:bCs/>
              </w:rPr>
            </w:pPr>
            <w:r w:rsidRPr="0000335F">
              <w:rPr>
                <w:rFonts w:eastAsia="MS Mincho" w:cs="Arial"/>
                <w:bCs/>
              </w:rPr>
              <w:t>To test the stated Vision, Goals and purpose of the Framework, ensuring that the preliminary efforts were aligned to the world view and lived experiences of Aboriginal and Torres Strait Islander children and families across Australia</w:t>
            </w:r>
          </w:p>
        </w:tc>
        <w:tc>
          <w:tcPr>
            <w:tcW w:w="3686" w:type="dxa"/>
          </w:tcPr>
          <w:p w14:paraId="02D43333" w14:textId="77777777" w:rsidR="0000335F" w:rsidRPr="0000335F" w:rsidRDefault="0000335F">
            <w:pPr>
              <w:spacing w:after="0"/>
              <w:rPr>
                <w:rFonts w:eastAsia="MS Mincho" w:cs="Arial"/>
                <w:bCs/>
              </w:rPr>
            </w:pPr>
            <w:r w:rsidRPr="0000335F">
              <w:rPr>
                <w:rFonts w:eastAsia="MS Mincho" w:cs="Arial"/>
                <w:bCs/>
              </w:rPr>
              <w:t xml:space="preserve">Five goals: </w:t>
            </w:r>
          </w:p>
          <w:p w14:paraId="21BCD890" w14:textId="77777777" w:rsidR="0000335F" w:rsidRPr="0000335F" w:rsidRDefault="0000335F" w:rsidP="003B0B17">
            <w:pPr>
              <w:numPr>
                <w:ilvl w:val="0"/>
                <w:numId w:val="246"/>
              </w:numPr>
              <w:spacing w:before="0" w:after="0"/>
              <w:ind w:left="316" w:hanging="285"/>
              <w:rPr>
                <w:rFonts w:eastAsia="MS Mincho" w:cs="Arial"/>
                <w:bCs/>
              </w:rPr>
            </w:pPr>
            <w:r w:rsidRPr="0000335F">
              <w:rPr>
                <w:rFonts w:eastAsia="MS Mincho" w:cs="Arial"/>
                <w:bCs/>
              </w:rPr>
              <w:t>Aboriginal and Torres Strait Islander children are both healthy and remain strong</w:t>
            </w:r>
          </w:p>
          <w:p w14:paraId="64CCC628" w14:textId="77777777" w:rsidR="0000335F" w:rsidRPr="0000335F" w:rsidRDefault="0000335F" w:rsidP="003B0B17">
            <w:pPr>
              <w:numPr>
                <w:ilvl w:val="0"/>
                <w:numId w:val="246"/>
              </w:numPr>
              <w:spacing w:before="0" w:after="0"/>
              <w:ind w:left="316" w:hanging="285"/>
              <w:rPr>
                <w:rFonts w:eastAsia="MS Mincho" w:cs="Arial"/>
                <w:bCs/>
              </w:rPr>
            </w:pPr>
            <w:r w:rsidRPr="0000335F">
              <w:rPr>
                <w:rFonts w:eastAsia="MS Mincho" w:cs="Arial"/>
                <w:bCs/>
              </w:rPr>
              <w:t>Aboriginal and Torres Strait Islander children are supported to thrive in their early years</w:t>
            </w:r>
          </w:p>
          <w:p w14:paraId="1EDAE611" w14:textId="77777777" w:rsidR="0000335F" w:rsidRPr="0000335F" w:rsidRDefault="0000335F" w:rsidP="003B0B17">
            <w:pPr>
              <w:numPr>
                <w:ilvl w:val="0"/>
                <w:numId w:val="246"/>
              </w:numPr>
              <w:spacing w:before="0" w:after="0"/>
              <w:ind w:left="316" w:hanging="285"/>
              <w:rPr>
                <w:rFonts w:eastAsia="MS Mincho" w:cs="Arial"/>
                <w:bCs/>
              </w:rPr>
            </w:pPr>
            <w:r w:rsidRPr="0000335F">
              <w:rPr>
                <w:rFonts w:eastAsia="MS Mincho" w:cs="Arial"/>
                <w:bCs/>
              </w:rPr>
              <w:t>Aboriginal and Torres Strait Islander children are supported to establish and maintain strong connections to culture, Country and language</w:t>
            </w:r>
          </w:p>
          <w:p w14:paraId="4EB8E57A" w14:textId="77777777" w:rsidR="0000335F" w:rsidRPr="0000335F" w:rsidRDefault="0000335F" w:rsidP="003B0B17">
            <w:pPr>
              <w:numPr>
                <w:ilvl w:val="0"/>
                <w:numId w:val="246"/>
              </w:numPr>
              <w:spacing w:before="0" w:after="0"/>
              <w:ind w:left="316" w:hanging="285"/>
              <w:rPr>
                <w:rFonts w:eastAsia="MS Mincho" w:cs="Arial"/>
                <w:bCs/>
              </w:rPr>
            </w:pPr>
            <w:r w:rsidRPr="0000335F">
              <w:rPr>
                <w:rFonts w:eastAsia="MS Mincho" w:cs="Arial"/>
                <w:bCs/>
              </w:rPr>
              <w:t>Aboriginal and Torres Strait Islander children grow up in safe nurturing homes, supported by strong families and communities</w:t>
            </w:r>
          </w:p>
          <w:p w14:paraId="26486837" w14:textId="77777777" w:rsidR="0000335F" w:rsidRPr="0000335F" w:rsidRDefault="0000335F" w:rsidP="003B0B17">
            <w:pPr>
              <w:numPr>
                <w:ilvl w:val="0"/>
                <w:numId w:val="246"/>
              </w:numPr>
              <w:spacing w:before="0" w:after="0"/>
              <w:ind w:left="316" w:hanging="285"/>
              <w:rPr>
                <w:rFonts w:eastAsia="MS Mincho" w:cs="Arial"/>
                <w:bCs/>
              </w:rPr>
            </w:pPr>
            <w:r w:rsidRPr="0000335F">
              <w:rPr>
                <w:rFonts w:eastAsia="MS Mincho" w:cs="Arial"/>
                <w:bCs/>
              </w:rPr>
              <w:t>Aboriginal and Torres Strait Islander children, families and communities are active partners in building a better service system</w:t>
            </w:r>
          </w:p>
          <w:p w14:paraId="42D2D93A" w14:textId="77777777" w:rsidR="0000335F" w:rsidRPr="0000335F" w:rsidRDefault="0000335F">
            <w:pPr>
              <w:spacing w:after="0"/>
              <w:rPr>
                <w:rFonts w:eastAsia="MS Mincho" w:cs="Arial"/>
                <w:bCs/>
              </w:rPr>
            </w:pPr>
          </w:p>
        </w:tc>
        <w:tc>
          <w:tcPr>
            <w:tcW w:w="4111" w:type="dxa"/>
          </w:tcPr>
          <w:p w14:paraId="2DE45858" w14:textId="77777777" w:rsidR="0000335F" w:rsidRPr="0000335F" w:rsidRDefault="0000335F">
            <w:pPr>
              <w:spacing w:after="0"/>
              <w:ind w:left="314" w:hanging="314"/>
              <w:rPr>
                <w:rFonts w:eastAsia="MS Mincho" w:cs="Arial"/>
                <w:bCs/>
              </w:rPr>
            </w:pPr>
            <w:r w:rsidRPr="0000335F">
              <w:rPr>
                <w:rFonts w:eastAsia="MS Mincho" w:cs="Arial"/>
                <w:bCs/>
              </w:rPr>
              <w:t xml:space="preserve">System level: </w:t>
            </w:r>
          </w:p>
          <w:p w14:paraId="2C1DEC61" w14:textId="77777777" w:rsidR="0000335F" w:rsidRPr="0000335F" w:rsidRDefault="0000335F" w:rsidP="003B0B17">
            <w:pPr>
              <w:numPr>
                <w:ilvl w:val="0"/>
                <w:numId w:val="253"/>
              </w:numPr>
              <w:spacing w:before="0" w:after="0"/>
              <w:ind w:left="318" w:hanging="283"/>
              <w:rPr>
                <w:rFonts w:eastAsia="MS Mincho" w:cs="Arial"/>
                <w:bCs/>
              </w:rPr>
            </w:pPr>
            <w:r w:rsidRPr="0000335F">
              <w:rPr>
                <w:rFonts w:eastAsia="MS Mincho" w:cs="Arial"/>
                <w:bCs/>
              </w:rPr>
              <w:t>Culturally safe early intervention and preventions services</w:t>
            </w:r>
          </w:p>
          <w:p w14:paraId="130218DC" w14:textId="77777777" w:rsidR="0000335F" w:rsidRPr="0000335F" w:rsidRDefault="0000335F" w:rsidP="003B0B17">
            <w:pPr>
              <w:numPr>
                <w:ilvl w:val="0"/>
                <w:numId w:val="252"/>
              </w:numPr>
              <w:spacing w:before="0" w:after="0"/>
              <w:ind w:left="318" w:hanging="283"/>
              <w:rPr>
                <w:rFonts w:eastAsia="MS Mincho" w:cs="Arial"/>
                <w:bCs/>
              </w:rPr>
            </w:pPr>
            <w:r w:rsidRPr="0000335F">
              <w:rPr>
                <w:rFonts w:eastAsia="MS Mincho" w:cs="Arial"/>
                <w:bCs/>
              </w:rPr>
              <w:t>Better cultural safety of disability support services (through, for example, a mechanism for ongoing Aboriginal and Torres Strait Islander input into NDIS policy design)</w:t>
            </w:r>
          </w:p>
          <w:p w14:paraId="52807EAC" w14:textId="77777777" w:rsidR="0000335F" w:rsidRPr="0000335F" w:rsidRDefault="0000335F" w:rsidP="003B0B17">
            <w:pPr>
              <w:numPr>
                <w:ilvl w:val="0"/>
                <w:numId w:val="252"/>
              </w:numPr>
              <w:spacing w:before="0" w:after="0"/>
              <w:ind w:left="318" w:hanging="283"/>
              <w:rPr>
                <w:rFonts w:eastAsia="MS Mincho" w:cs="Arial"/>
                <w:bCs/>
              </w:rPr>
            </w:pPr>
            <w:r w:rsidRPr="0000335F">
              <w:rPr>
                <w:rFonts w:eastAsia="MS Mincho" w:cs="Arial"/>
                <w:bCs/>
              </w:rPr>
              <w:t>Adopt a systematic and coordinated approach toward improving outcomes for Aboriginal and Torres Strait Islander children</w:t>
            </w:r>
          </w:p>
          <w:p w14:paraId="268862A7" w14:textId="77777777" w:rsidR="0000335F" w:rsidRPr="0000335F" w:rsidRDefault="0000335F" w:rsidP="003B0B17">
            <w:pPr>
              <w:numPr>
                <w:ilvl w:val="0"/>
                <w:numId w:val="252"/>
              </w:numPr>
              <w:spacing w:before="0" w:after="0"/>
              <w:ind w:left="318" w:hanging="283"/>
              <w:rPr>
                <w:rFonts w:eastAsia="MS Mincho" w:cs="Arial"/>
                <w:bCs/>
              </w:rPr>
            </w:pPr>
            <w:r w:rsidRPr="0000335F">
              <w:rPr>
                <w:rFonts w:eastAsia="MS Mincho" w:cs="Arial"/>
                <w:bCs/>
              </w:rPr>
              <w:t>Aboriginal and Torres Strait Islander children, families and communities are active partners in building a better service system</w:t>
            </w:r>
          </w:p>
          <w:p w14:paraId="593D7629" w14:textId="77777777" w:rsidR="0000335F" w:rsidRPr="0000335F" w:rsidRDefault="0000335F">
            <w:pPr>
              <w:spacing w:after="0"/>
              <w:ind w:left="314" w:hanging="314"/>
              <w:rPr>
                <w:rFonts w:eastAsia="MS Mincho" w:cs="Arial"/>
                <w:bCs/>
              </w:rPr>
            </w:pPr>
            <w:r w:rsidRPr="0000335F">
              <w:rPr>
                <w:rFonts w:eastAsia="MS Mincho" w:cs="Arial"/>
                <w:bCs/>
              </w:rPr>
              <w:t>Practices</w:t>
            </w:r>
          </w:p>
          <w:p w14:paraId="25EAE667" w14:textId="77777777" w:rsidR="0000335F" w:rsidRPr="0000335F" w:rsidRDefault="0000335F" w:rsidP="003B0B17">
            <w:pPr>
              <w:numPr>
                <w:ilvl w:val="0"/>
                <w:numId w:val="254"/>
              </w:numPr>
              <w:spacing w:before="0" w:after="0"/>
              <w:ind w:left="318" w:hanging="283"/>
              <w:rPr>
                <w:rFonts w:eastAsia="MS Mincho" w:cs="Arial"/>
                <w:bCs/>
              </w:rPr>
            </w:pPr>
            <w:r w:rsidRPr="0000335F">
              <w:rPr>
                <w:rFonts w:eastAsia="MS Mincho" w:cs="Arial"/>
                <w:bCs/>
              </w:rPr>
              <w:t>Aboriginal and Torres Strait Islander children are supported to establish and maintain strong connections to culture, Country and language</w:t>
            </w:r>
          </w:p>
          <w:p w14:paraId="3F95B949" w14:textId="77777777" w:rsidR="0000335F" w:rsidRPr="0000335F" w:rsidRDefault="0000335F">
            <w:pPr>
              <w:spacing w:after="0"/>
              <w:ind w:left="314" w:hanging="314"/>
              <w:rPr>
                <w:rFonts w:eastAsia="MS Mincho" w:cs="Arial"/>
                <w:bCs/>
              </w:rPr>
            </w:pPr>
          </w:p>
        </w:tc>
      </w:tr>
      <w:tr w:rsidR="0000335F" w:rsidRPr="0000335F" w14:paraId="6D48474A" w14:textId="77777777">
        <w:trPr>
          <w:cnfStyle w:val="000000010000" w:firstRow="0" w:lastRow="0" w:firstColumn="0" w:lastColumn="0" w:oddVBand="0" w:evenVBand="0" w:oddHBand="0" w:evenHBand="1" w:firstRowFirstColumn="0" w:firstRowLastColumn="0" w:lastRowFirstColumn="0" w:lastRowLastColumn="0"/>
          <w:trHeight w:val="123"/>
        </w:trPr>
        <w:tc>
          <w:tcPr>
            <w:tcW w:w="1052" w:type="dxa"/>
          </w:tcPr>
          <w:p w14:paraId="789ED56D" w14:textId="77777777" w:rsidR="0000335F" w:rsidRPr="0000335F" w:rsidRDefault="0000335F">
            <w:pPr>
              <w:spacing w:after="0"/>
              <w:rPr>
                <w:rFonts w:eastAsia="MS Mincho" w:cs="Arial"/>
                <w:bCs/>
              </w:rPr>
            </w:pPr>
            <w:r w:rsidRPr="0000335F">
              <w:rPr>
                <w:rFonts w:eastAsia="MS Mincho" w:cs="Arial"/>
                <w:bCs/>
              </w:rPr>
              <w:t>Kral, 2021</w:t>
            </w:r>
          </w:p>
        </w:tc>
        <w:tc>
          <w:tcPr>
            <w:tcW w:w="1783" w:type="dxa"/>
          </w:tcPr>
          <w:p w14:paraId="006EAEDD" w14:textId="77777777" w:rsidR="0000335F" w:rsidRPr="0000335F" w:rsidRDefault="0000335F">
            <w:pPr>
              <w:spacing w:after="0"/>
              <w:rPr>
                <w:rFonts w:eastAsia="MS Mincho" w:cs="Arial"/>
                <w:bCs/>
              </w:rPr>
            </w:pPr>
            <w:r w:rsidRPr="0000335F">
              <w:rPr>
                <w:rFonts w:eastAsia="MS Mincho" w:cs="Arial"/>
                <w:bCs/>
              </w:rPr>
              <w:t>A strong start for every Indigenous child.</w:t>
            </w:r>
          </w:p>
          <w:p w14:paraId="3136F5EE" w14:textId="77777777" w:rsidR="0000335F" w:rsidRPr="0000335F" w:rsidRDefault="0000335F">
            <w:pPr>
              <w:spacing w:after="0"/>
              <w:rPr>
                <w:rFonts w:eastAsia="MS Mincho" w:cs="Arial"/>
                <w:bCs/>
              </w:rPr>
            </w:pPr>
          </w:p>
          <w:p w14:paraId="2485744B" w14:textId="77777777" w:rsidR="0000335F" w:rsidRPr="0000335F" w:rsidRDefault="0000335F">
            <w:pPr>
              <w:spacing w:after="0"/>
              <w:rPr>
                <w:rFonts w:eastAsia="MS Mincho" w:cs="Arial"/>
                <w:bCs/>
              </w:rPr>
            </w:pPr>
            <w:r w:rsidRPr="0000335F">
              <w:rPr>
                <w:rFonts w:eastAsia="MS Mincho" w:cs="Arial"/>
                <w:bCs/>
              </w:rPr>
              <w:t>Working paper / review</w:t>
            </w:r>
          </w:p>
        </w:tc>
        <w:tc>
          <w:tcPr>
            <w:tcW w:w="1410" w:type="dxa"/>
          </w:tcPr>
          <w:p w14:paraId="2ECB3581"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tc>
        <w:tc>
          <w:tcPr>
            <w:tcW w:w="1992" w:type="dxa"/>
          </w:tcPr>
          <w:p w14:paraId="44D0664D" w14:textId="77777777" w:rsidR="0000335F" w:rsidRPr="0000335F" w:rsidRDefault="0000335F">
            <w:pPr>
              <w:spacing w:after="0"/>
              <w:rPr>
                <w:rFonts w:eastAsia="MS Mincho" w:cs="Arial"/>
                <w:bCs/>
              </w:rPr>
            </w:pPr>
            <w:r w:rsidRPr="0000335F">
              <w:rPr>
                <w:rFonts w:eastAsia="MS Mincho" w:cs="Arial"/>
                <w:bCs/>
              </w:rPr>
              <w:t xml:space="preserve">Focus on early years policies and provision in Aotearoa New Zealand, Australia and Canada, synthesise evidence on children’s early development, with a particular focus on the conditions and approaches that support positive outcomes for Indigenous children </w:t>
            </w:r>
          </w:p>
        </w:tc>
        <w:tc>
          <w:tcPr>
            <w:tcW w:w="3686" w:type="dxa"/>
          </w:tcPr>
          <w:p w14:paraId="09F15E4C" w14:textId="77777777" w:rsidR="0000335F" w:rsidRPr="0000335F" w:rsidRDefault="0000335F">
            <w:pPr>
              <w:spacing w:after="0"/>
              <w:ind w:left="316" w:hanging="362"/>
              <w:rPr>
                <w:rFonts w:eastAsia="MS Mincho" w:cs="Arial"/>
                <w:bCs/>
              </w:rPr>
            </w:pPr>
            <w:r w:rsidRPr="0000335F">
              <w:rPr>
                <w:rFonts w:eastAsia="MS Mincho" w:cs="Arial"/>
                <w:bCs/>
              </w:rPr>
              <w:t>Early years provision for Indigenous children is expanding but access challenges particularly in remote areas remain, as well as appropriately skilled educators</w:t>
            </w:r>
          </w:p>
          <w:p w14:paraId="0BBB3BF7" w14:textId="77777777" w:rsidR="0000335F" w:rsidRPr="0000335F" w:rsidRDefault="0000335F">
            <w:pPr>
              <w:spacing w:after="0"/>
              <w:ind w:left="316" w:hanging="362"/>
              <w:rPr>
                <w:rFonts w:eastAsia="MS Mincho" w:cs="Arial"/>
                <w:bCs/>
              </w:rPr>
            </w:pPr>
            <w:r w:rsidRPr="0000335F">
              <w:rPr>
                <w:rFonts w:eastAsia="MS Mincho" w:cs="Arial"/>
                <w:bCs/>
              </w:rPr>
              <w:t>A limited evidence base, for and by Indigenous communities</w:t>
            </w:r>
          </w:p>
          <w:p w14:paraId="28F8289B" w14:textId="77777777" w:rsidR="0000335F" w:rsidRPr="0000335F" w:rsidRDefault="0000335F">
            <w:pPr>
              <w:spacing w:after="0"/>
              <w:ind w:left="316" w:hanging="362"/>
              <w:rPr>
                <w:rFonts w:eastAsia="MS Mincho" w:cs="Arial"/>
                <w:bCs/>
              </w:rPr>
            </w:pPr>
            <w:r w:rsidRPr="0000335F">
              <w:rPr>
                <w:rFonts w:eastAsia="MS Mincho" w:cs="Arial"/>
                <w:bCs/>
              </w:rPr>
              <w:t>Future research and evaluative studies should be led and informed by the communities being served to increase relevance and usefulness of the evidence being produced</w:t>
            </w:r>
          </w:p>
          <w:p w14:paraId="533A8CC9" w14:textId="77777777" w:rsidR="0000335F" w:rsidRPr="0000335F" w:rsidRDefault="0000335F">
            <w:pPr>
              <w:spacing w:after="0"/>
              <w:ind w:left="316" w:hanging="362"/>
              <w:rPr>
                <w:rFonts w:eastAsia="MS Mincho" w:cs="Arial"/>
                <w:bCs/>
              </w:rPr>
            </w:pPr>
            <w:r w:rsidRPr="0000335F">
              <w:rPr>
                <w:rFonts w:eastAsia="MS Mincho" w:cs="Arial"/>
                <w:bCs/>
              </w:rPr>
              <w:t xml:space="preserve">Promising examples have adopted holistic approaches </w:t>
            </w:r>
          </w:p>
          <w:p w14:paraId="0837E9FE" w14:textId="77777777" w:rsidR="0000335F" w:rsidRPr="0000335F" w:rsidRDefault="0000335F">
            <w:pPr>
              <w:spacing w:after="0"/>
              <w:ind w:left="316" w:hanging="362"/>
              <w:rPr>
                <w:rFonts w:eastAsia="MS Mincho" w:cs="Arial"/>
                <w:bCs/>
              </w:rPr>
            </w:pPr>
            <w:r w:rsidRPr="0000335F">
              <w:rPr>
                <w:rFonts w:eastAsia="MS Mincho" w:cs="Arial"/>
                <w:bCs/>
              </w:rPr>
              <w:t>Strong community control over the design and nature of the programs has led many families to become involved</w:t>
            </w:r>
          </w:p>
          <w:p w14:paraId="6418691F" w14:textId="77777777" w:rsidR="0000335F" w:rsidRPr="0000335F" w:rsidRDefault="0000335F">
            <w:pPr>
              <w:spacing w:after="0"/>
              <w:ind w:left="316" w:hanging="362"/>
              <w:rPr>
                <w:rFonts w:eastAsia="MS Mincho" w:cs="Arial"/>
                <w:bCs/>
              </w:rPr>
            </w:pPr>
            <w:r w:rsidRPr="0000335F">
              <w:rPr>
                <w:rFonts w:eastAsia="MS Mincho" w:cs="Arial"/>
                <w:bCs/>
              </w:rPr>
              <w:t>Many programs have prioritised the maintenance and promotion of local language and cultural practices and respectful inclusion of local cultural ways of working</w:t>
            </w:r>
          </w:p>
          <w:p w14:paraId="1785BEC7" w14:textId="77777777" w:rsidR="0000335F" w:rsidRPr="0000335F" w:rsidRDefault="0000335F">
            <w:pPr>
              <w:spacing w:after="0"/>
              <w:ind w:left="316" w:hanging="362"/>
              <w:rPr>
                <w:rFonts w:eastAsia="MS Mincho" w:cs="Arial"/>
                <w:bCs/>
              </w:rPr>
            </w:pPr>
            <w:r w:rsidRPr="0000335F">
              <w:rPr>
                <w:rFonts w:eastAsia="MS Mincho" w:cs="Arial"/>
                <w:bCs/>
              </w:rPr>
              <w:t>Involvement of local workforce was important</w:t>
            </w:r>
          </w:p>
        </w:tc>
        <w:tc>
          <w:tcPr>
            <w:tcW w:w="4111" w:type="dxa"/>
          </w:tcPr>
          <w:p w14:paraId="00F49D15" w14:textId="77777777" w:rsidR="0000335F" w:rsidRPr="0000335F" w:rsidRDefault="0000335F">
            <w:pPr>
              <w:spacing w:after="0"/>
              <w:rPr>
                <w:rFonts w:eastAsia="MS Mincho" w:cs="Arial"/>
                <w:bCs/>
              </w:rPr>
            </w:pPr>
            <w:r w:rsidRPr="0000335F">
              <w:rPr>
                <w:rFonts w:eastAsia="MS Mincho" w:cs="Arial"/>
                <w:bCs/>
              </w:rPr>
              <w:t xml:space="preserve">Framework for strengthening Indigenous children’s early learning and well-being: </w:t>
            </w:r>
          </w:p>
          <w:p w14:paraId="433AD85D" w14:textId="77777777" w:rsidR="0000335F" w:rsidRPr="0000335F" w:rsidRDefault="0000335F">
            <w:pPr>
              <w:spacing w:after="0"/>
              <w:rPr>
                <w:rFonts w:eastAsia="MS Mincho" w:cs="Arial"/>
                <w:bCs/>
              </w:rPr>
            </w:pPr>
            <w:r w:rsidRPr="0000335F">
              <w:rPr>
                <w:rFonts w:eastAsia="MS Mincho" w:cs="Arial"/>
                <w:bCs/>
              </w:rPr>
              <w:t>Practices:</w:t>
            </w:r>
          </w:p>
          <w:p w14:paraId="438B484B" w14:textId="77777777" w:rsidR="0000335F" w:rsidRPr="0000335F" w:rsidRDefault="0000335F" w:rsidP="003B0B17">
            <w:pPr>
              <w:numPr>
                <w:ilvl w:val="0"/>
                <w:numId w:val="241"/>
              </w:numPr>
              <w:spacing w:before="0" w:after="0"/>
              <w:ind w:left="463"/>
              <w:rPr>
                <w:rFonts w:eastAsia="MS Mincho" w:cs="Arial"/>
                <w:bCs/>
              </w:rPr>
            </w:pPr>
            <w:r w:rsidRPr="0000335F">
              <w:rPr>
                <w:rFonts w:eastAsia="MS Mincho" w:cs="Arial"/>
                <w:bCs/>
              </w:rPr>
              <w:t>Partnership is fundamental</w:t>
            </w:r>
          </w:p>
          <w:p w14:paraId="516148C0" w14:textId="77777777" w:rsidR="0000335F" w:rsidRPr="0000335F" w:rsidRDefault="0000335F" w:rsidP="003B0B17">
            <w:pPr>
              <w:numPr>
                <w:ilvl w:val="0"/>
                <w:numId w:val="241"/>
              </w:numPr>
              <w:spacing w:before="0" w:after="0"/>
              <w:ind w:left="463"/>
              <w:rPr>
                <w:rFonts w:eastAsia="MS Mincho" w:cs="Arial"/>
                <w:bCs/>
              </w:rPr>
            </w:pPr>
            <w:r w:rsidRPr="0000335F">
              <w:rPr>
                <w:rFonts w:eastAsia="MS Mincho" w:cs="Arial"/>
                <w:bCs/>
              </w:rPr>
              <w:t>Holistic approach</w:t>
            </w:r>
          </w:p>
          <w:p w14:paraId="1C30CFFC" w14:textId="77777777" w:rsidR="0000335F" w:rsidRPr="0000335F" w:rsidRDefault="0000335F" w:rsidP="003B0B17">
            <w:pPr>
              <w:numPr>
                <w:ilvl w:val="0"/>
                <w:numId w:val="241"/>
              </w:numPr>
              <w:spacing w:before="0" w:after="0"/>
              <w:ind w:left="463"/>
              <w:rPr>
                <w:rFonts w:eastAsia="MS Mincho" w:cs="Arial"/>
                <w:bCs/>
              </w:rPr>
            </w:pPr>
            <w:r w:rsidRPr="0000335F">
              <w:rPr>
                <w:rFonts w:eastAsia="MS Mincho" w:cs="Arial"/>
                <w:bCs/>
              </w:rPr>
              <w:t>Early support for children and families</w:t>
            </w:r>
          </w:p>
          <w:p w14:paraId="17A7AF0C" w14:textId="77777777" w:rsidR="0000335F" w:rsidRPr="0000335F" w:rsidRDefault="0000335F" w:rsidP="003B0B17">
            <w:pPr>
              <w:numPr>
                <w:ilvl w:val="0"/>
                <w:numId w:val="241"/>
              </w:numPr>
              <w:spacing w:before="0" w:after="0"/>
              <w:ind w:left="463"/>
              <w:rPr>
                <w:rFonts w:eastAsia="MS Mincho" w:cs="Arial"/>
                <w:bCs/>
              </w:rPr>
            </w:pPr>
            <w:r w:rsidRPr="0000335F">
              <w:rPr>
                <w:rFonts w:eastAsia="MS Mincho" w:cs="Arial"/>
                <w:bCs/>
              </w:rPr>
              <w:t>Culturally responsive policies and practices</w:t>
            </w:r>
          </w:p>
          <w:p w14:paraId="16F31131" w14:textId="77777777" w:rsidR="0000335F" w:rsidRPr="0000335F" w:rsidRDefault="0000335F" w:rsidP="003B0B17">
            <w:pPr>
              <w:numPr>
                <w:ilvl w:val="0"/>
                <w:numId w:val="241"/>
              </w:numPr>
              <w:spacing w:before="0" w:after="0"/>
              <w:ind w:left="463"/>
              <w:rPr>
                <w:rFonts w:eastAsia="MS Mincho" w:cs="Arial"/>
                <w:bCs/>
              </w:rPr>
            </w:pPr>
            <w:r w:rsidRPr="0000335F">
              <w:rPr>
                <w:rFonts w:eastAsia="MS Mincho" w:cs="Arial"/>
                <w:bCs/>
              </w:rPr>
              <w:t>Confident, capable early years educators</w:t>
            </w:r>
          </w:p>
          <w:p w14:paraId="05E73043" w14:textId="77777777" w:rsidR="0000335F" w:rsidRPr="0000335F" w:rsidRDefault="0000335F" w:rsidP="003B0B17">
            <w:pPr>
              <w:numPr>
                <w:ilvl w:val="0"/>
                <w:numId w:val="241"/>
              </w:numPr>
              <w:spacing w:before="0" w:after="0"/>
              <w:ind w:left="463"/>
              <w:rPr>
                <w:rFonts w:eastAsia="MS Mincho" w:cs="Arial"/>
                <w:bCs/>
              </w:rPr>
            </w:pPr>
            <w:r w:rsidRPr="0000335F">
              <w:rPr>
                <w:rFonts w:eastAsia="MS Mincho" w:cs="Arial"/>
                <w:bCs/>
              </w:rPr>
              <w:t>Bridging children’s home languages</w:t>
            </w:r>
          </w:p>
          <w:p w14:paraId="11333B4E" w14:textId="77777777" w:rsidR="0000335F" w:rsidRPr="0000335F" w:rsidRDefault="0000335F" w:rsidP="003B0B17">
            <w:pPr>
              <w:numPr>
                <w:ilvl w:val="0"/>
                <w:numId w:val="241"/>
              </w:numPr>
              <w:spacing w:before="0" w:after="0"/>
              <w:ind w:left="463"/>
              <w:rPr>
                <w:rFonts w:eastAsia="MS Mincho" w:cs="Arial"/>
                <w:bCs/>
              </w:rPr>
            </w:pPr>
            <w:r w:rsidRPr="0000335F">
              <w:rPr>
                <w:rFonts w:eastAsia="MS Mincho" w:cs="Arial"/>
                <w:bCs/>
              </w:rPr>
              <w:t>Broad, strengths-based assessments</w:t>
            </w:r>
          </w:p>
          <w:p w14:paraId="7576E551" w14:textId="77777777" w:rsidR="0000335F" w:rsidRPr="0000335F" w:rsidRDefault="0000335F" w:rsidP="003B0B17">
            <w:pPr>
              <w:numPr>
                <w:ilvl w:val="0"/>
                <w:numId w:val="241"/>
              </w:numPr>
              <w:spacing w:before="0" w:after="0"/>
              <w:ind w:left="463"/>
              <w:rPr>
                <w:rFonts w:eastAsia="MS Mincho" w:cs="Arial"/>
                <w:bCs/>
              </w:rPr>
            </w:pPr>
            <w:r w:rsidRPr="0000335F">
              <w:rPr>
                <w:rFonts w:eastAsia="MS Mincho" w:cs="Arial"/>
                <w:bCs/>
              </w:rPr>
              <w:t>Child-ready schools</w:t>
            </w:r>
          </w:p>
        </w:tc>
      </w:tr>
      <w:tr w:rsidR="0000335F" w:rsidRPr="0000335F" w14:paraId="235A6015" w14:textId="77777777">
        <w:trPr>
          <w:cnfStyle w:val="000000100000" w:firstRow="0" w:lastRow="0" w:firstColumn="0" w:lastColumn="0" w:oddVBand="0" w:evenVBand="0" w:oddHBand="1" w:evenHBand="0" w:firstRowFirstColumn="0" w:firstRowLastColumn="0" w:lastRowFirstColumn="0" w:lastRowLastColumn="0"/>
          <w:trHeight w:val="123"/>
        </w:trPr>
        <w:tc>
          <w:tcPr>
            <w:tcW w:w="1052" w:type="dxa"/>
          </w:tcPr>
          <w:p w14:paraId="08E3CD42" w14:textId="77777777" w:rsidR="0000335F" w:rsidRPr="0000335F" w:rsidRDefault="0000335F">
            <w:pPr>
              <w:spacing w:after="0"/>
              <w:rPr>
                <w:rFonts w:eastAsia="MS Mincho" w:cs="Arial"/>
                <w:bCs/>
              </w:rPr>
            </w:pPr>
            <w:r w:rsidRPr="0000335F">
              <w:rPr>
                <w:rFonts w:eastAsia="MS Mincho" w:cs="Arial"/>
                <w:bCs/>
              </w:rPr>
              <w:t>SNAICC 2021</w:t>
            </w:r>
          </w:p>
        </w:tc>
        <w:tc>
          <w:tcPr>
            <w:tcW w:w="1783" w:type="dxa"/>
          </w:tcPr>
          <w:p w14:paraId="26461BB2" w14:textId="77777777" w:rsidR="0000335F" w:rsidRPr="0000335F" w:rsidRDefault="0000335F">
            <w:pPr>
              <w:spacing w:after="0"/>
              <w:rPr>
                <w:rFonts w:eastAsia="MS Mincho" w:cs="Arial"/>
                <w:bCs/>
              </w:rPr>
            </w:pPr>
            <w:r w:rsidRPr="0000335F">
              <w:rPr>
                <w:rFonts w:eastAsia="MS Mincho" w:cs="Arial"/>
                <w:bCs/>
              </w:rPr>
              <w:t>National Framework for Protecting Australia’s Children 2021-2031. Successor Plan Consultation Report.</w:t>
            </w:r>
          </w:p>
          <w:p w14:paraId="6AA13069" w14:textId="77777777" w:rsidR="0000335F" w:rsidRPr="0000335F" w:rsidRDefault="0000335F">
            <w:pPr>
              <w:spacing w:after="0"/>
              <w:rPr>
                <w:rFonts w:eastAsia="MS Mincho" w:cs="Arial"/>
                <w:bCs/>
              </w:rPr>
            </w:pPr>
          </w:p>
          <w:p w14:paraId="44CB278D" w14:textId="77777777" w:rsidR="0000335F" w:rsidRPr="0000335F" w:rsidRDefault="0000335F">
            <w:pPr>
              <w:spacing w:after="0"/>
              <w:rPr>
                <w:rFonts w:eastAsia="MS Mincho" w:cs="Arial"/>
                <w:bCs/>
              </w:rPr>
            </w:pPr>
            <w:r w:rsidRPr="0000335F">
              <w:rPr>
                <w:rFonts w:eastAsia="MS Mincho" w:cs="Arial"/>
                <w:bCs/>
              </w:rPr>
              <w:t>Consultation report</w:t>
            </w:r>
          </w:p>
        </w:tc>
        <w:tc>
          <w:tcPr>
            <w:tcW w:w="1410" w:type="dxa"/>
          </w:tcPr>
          <w:p w14:paraId="40B92C48"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1AE49AC1" w14:textId="77777777" w:rsidR="0000335F" w:rsidRPr="0000335F" w:rsidRDefault="0000335F">
            <w:pPr>
              <w:spacing w:after="0"/>
              <w:rPr>
                <w:rFonts w:eastAsia="MS Mincho" w:cs="Arial"/>
                <w:bCs/>
              </w:rPr>
            </w:pPr>
          </w:p>
        </w:tc>
        <w:tc>
          <w:tcPr>
            <w:tcW w:w="1992" w:type="dxa"/>
          </w:tcPr>
          <w:p w14:paraId="4F11945C" w14:textId="77777777" w:rsidR="0000335F" w:rsidRPr="0000335F" w:rsidRDefault="0000335F">
            <w:pPr>
              <w:spacing w:after="0"/>
              <w:rPr>
                <w:rFonts w:eastAsia="MS Mincho" w:cs="Arial"/>
                <w:bCs/>
              </w:rPr>
            </w:pPr>
            <w:r w:rsidRPr="0000335F">
              <w:rPr>
                <w:rFonts w:eastAsia="MS Mincho" w:cs="Arial"/>
                <w:bCs/>
              </w:rPr>
              <w:t xml:space="preserve">To conduct a series of national consultations to guide the co-design of the successor framework to the National Framework for Protecting Australia’s Children </w:t>
            </w:r>
          </w:p>
        </w:tc>
        <w:tc>
          <w:tcPr>
            <w:tcW w:w="3686" w:type="dxa"/>
          </w:tcPr>
          <w:p w14:paraId="70757ABD" w14:textId="77777777" w:rsidR="0000335F" w:rsidRPr="0000335F" w:rsidRDefault="0000335F">
            <w:pPr>
              <w:spacing w:after="0"/>
              <w:ind w:left="316" w:hanging="284"/>
              <w:rPr>
                <w:rFonts w:eastAsia="MS Mincho" w:cs="Arial"/>
              </w:rPr>
            </w:pPr>
            <w:r w:rsidRPr="0000335F">
              <w:rPr>
                <w:rFonts w:eastAsia="MS Mincho" w:cs="Arial"/>
              </w:rPr>
              <w:t>Punitive responses by child protection systems that resulted in punishment, not help, leading to reluctance of families to engage with services</w:t>
            </w:r>
          </w:p>
          <w:p w14:paraId="65F2A563" w14:textId="77777777" w:rsidR="0000335F" w:rsidRPr="0000335F" w:rsidRDefault="0000335F">
            <w:pPr>
              <w:spacing w:after="0"/>
              <w:ind w:left="316" w:hanging="284"/>
              <w:rPr>
                <w:rFonts w:eastAsia="MS Mincho" w:cs="Arial"/>
                <w:bCs/>
              </w:rPr>
            </w:pPr>
            <w:r w:rsidRPr="0000335F">
              <w:rPr>
                <w:rFonts w:eastAsia="MS Mincho" w:cs="Arial"/>
                <w:bCs/>
              </w:rPr>
              <w:t>Inadequate responses to poverty and other drivers of child protection involvement</w:t>
            </w:r>
          </w:p>
          <w:p w14:paraId="28BFA30E" w14:textId="77777777" w:rsidR="0000335F" w:rsidRPr="0000335F" w:rsidRDefault="0000335F">
            <w:pPr>
              <w:spacing w:after="0"/>
              <w:ind w:left="316" w:hanging="284"/>
              <w:rPr>
                <w:rFonts w:eastAsia="MS Mincho" w:cs="Arial"/>
                <w:bCs/>
              </w:rPr>
            </w:pPr>
            <w:r w:rsidRPr="0000335F">
              <w:rPr>
                <w:rFonts w:eastAsia="MS Mincho" w:cs="Arial"/>
                <w:bCs/>
              </w:rPr>
              <w:t xml:space="preserve">A lack of accountability and transparency in government </w:t>
            </w:r>
          </w:p>
          <w:p w14:paraId="5ADF0CA0" w14:textId="77777777" w:rsidR="0000335F" w:rsidRPr="0000335F" w:rsidRDefault="0000335F">
            <w:pPr>
              <w:spacing w:after="0"/>
              <w:ind w:left="316" w:hanging="284"/>
              <w:rPr>
                <w:rFonts w:eastAsia="MS Mincho" w:cs="Arial"/>
                <w:bCs/>
              </w:rPr>
            </w:pPr>
            <w:r w:rsidRPr="0000335F">
              <w:rPr>
                <w:rFonts w:eastAsia="MS Mincho" w:cs="Arial"/>
                <w:bCs/>
              </w:rPr>
              <w:t>A lack of political will to make change and address issues, including failure of governments to act on solutions and recommendations previously posed</w:t>
            </w:r>
          </w:p>
          <w:p w14:paraId="39F44D56" w14:textId="77777777" w:rsidR="0000335F" w:rsidRPr="0000335F" w:rsidRDefault="0000335F">
            <w:pPr>
              <w:spacing w:after="0"/>
              <w:ind w:left="316" w:hanging="284"/>
              <w:rPr>
                <w:rFonts w:eastAsia="MS Mincho" w:cs="Arial"/>
                <w:bCs/>
              </w:rPr>
            </w:pPr>
            <w:r w:rsidRPr="0000335F">
              <w:rPr>
                <w:rFonts w:eastAsia="MS Mincho" w:cs="Arial"/>
                <w:bCs/>
              </w:rPr>
              <w:t xml:space="preserve">Data deficiencies </w:t>
            </w:r>
          </w:p>
          <w:p w14:paraId="6C47B5B4" w14:textId="77777777" w:rsidR="0000335F" w:rsidRPr="0000335F" w:rsidRDefault="0000335F">
            <w:pPr>
              <w:spacing w:after="0"/>
              <w:ind w:left="316" w:hanging="284"/>
              <w:rPr>
                <w:rFonts w:eastAsia="MS Mincho" w:cs="Arial"/>
                <w:bCs/>
              </w:rPr>
            </w:pPr>
            <w:r w:rsidRPr="0000335F">
              <w:rPr>
                <w:rFonts w:eastAsia="MS Mincho" w:cs="Arial"/>
                <w:bCs/>
              </w:rPr>
              <w:t>‘We’re tired of talking. Do what you know needs to be done’</w:t>
            </w:r>
          </w:p>
          <w:p w14:paraId="1612B5F3" w14:textId="77777777" w:rsidR="0000335F" w:rsidRPr="0000335F" w:rsidRDefault="0000335F">
            <w:pPr>
              <w:spacing w:after="0"/>
              <w:ind w:left="316" w:hanging="284"/>
              <w:rPr>
                <w:rFonts w:eastAsia="MS Mincho" w:cs="Arial"/>
                <w:bCs/>
              </w:rPr>
            </w:pPr>
            <w:r w:rsidRPr="0000335F">
              <w:rPr>
                <w:rFonts w:eastAsia="MS Mincho" w:cs="Arial"/>
                <w:bCs/>
              </w:rPr>
              <w:t>Power imbalances, reflecting lack of self-determination for Aboriginal and Torres Strait Islander peoples, communities and organisations</w:t>
            </w:r>
          </w:p>
          <w:p w14:paraId="66DAF2FB" w14:textId="77777777" w:rsidR="0000335F" w:rsidRPr="0000335F" w:rsidRDefault="0000335F">
            <w:pPr>
              <w:spacing w:after="0"/>
              <w:ind w:left="316" w:hanging="284"/>
              <w:rPr>
                <w:rFonts w:eastAsia="MS Mincho" w:cs="Arial"/>
                <w:bCs/>
              </w:rPr>
            </w:pPr>
            <w:r w:rsidRPr="0000335F">
              <w:rPr>
                <w:rFonts w:eastAsia="MS Mincho" w:cs="Arial"/>
                <w:bCs/>
              </w:rPr>
              <w:t>Systemic racism</w:t>
            </w:r>
          </w:p>
          <w:p w14:paraId="78A880DD" w14:textId="77777777" w:rsidR="0000335F" w:rsidRPr="0000335F" w:rsidRDefault="0000335F">
            <w:pPr>
              <w:spacing w:after="0"/>
              <w:ind w:left="316" w:hanging="284"/>
              <w:rPr>
                <w:rFonts w:eastAsia="MS Mincho" w:cs="Arial"/>
                <w:bCs/>
              </w:rPr>
            </w:pPr>
            <w:r w:rsidRPr="0000335F">
              <w:rPr>
                <w:rFonts w:eastAsia="MS Mincho" w:cs="Arial"/>
                <w:bCs/>
              </w:rPr>
              <w:t>Failure to apply and uphold the Aboriginal and Torres Strait Islander Child Placement Principle</w:t>
            </w:r>
          </w:p>
        </w:tc>
        <w:tc>
          <w:tcPr>
            <w:tcW w:w="4111" w:type="dxa"/>
          </w:tcPr>
          <w:p w14:paraId="73649DE3" w14:textId="77777777" w:rsidR="0000335F" w:rsidRPr="0000335F" w:rsidRDefault="0000335F">
            <w:pPr>
              <w:spacing w:after="0"/>
              <w:rPr>
                <w:rFonts w:eastAsia="MS Mincho" w:cs="Arial"/>
                <w:bCs/>
              </w:rPr>
            </w:pPr>
            <w:r w:rsidRPr="0000335F">
              <w:rPr>
                <w:rFonts w:eastAsia="MS Mincho" w:cs="Arial"/>
                <w:bCs/>
              </w:rPr>
              <w:t>Key drivers of change:</w:t>
            </w:r>
          </w:p>
          <w:p w14:paraId="7609F430" w14:textId="77777777" w:rsidR="0000335F" w:rsidRPr="0000335F" w:rsidRDefault="0000335F">
            <w:pPr>
              <w:spacing w:after="0"/>
              <w:rPr>
                <w:rFonts w:eastAsia="MS Mincho" w:cs="Arial"/>
                <w:bCs/>
              </w:rPr>
            </w:pPr>
            <w:r w:rsidRPr="0000335F">
              <w:rPr>
                <w:rFonts w:eastAsia="MS Mincho" w:cs="Arial"/>
                <w:bCs/>
              </w:rPr>
              <w:t>Systems level:</w:t>
            </w:r>
          </w:p>
          <w:p w14:paraId="76E9D6D6" w14:textId="77777777" w:rsidR="0000335F" w:rsidRPr="0000335F" w:rsidRDefault="0000335F" w:rsidP="003B0B17">
            <w:pPr>
              <w:numPr>
                <w:ilvl w:val="0"/>
                <w:numId w:val="248"/>
              </w:numPr>
              <w:spacing w:before="0" w:after="0"/>
              <w:ind w:left="314" w:hanging="283"/>
              <w:rPr>
                <w:rFonts w:eastAsia="MS Mincho" w:cs="Arial"/>
                <w:bCs/>
              </w:rPr>
            </w:pPr>
            <w:r w:rsidRPr="0000335F">
              <w:rPr>
                <w:rFonts w:eastAsia="MS Mincho" w:cs="Arial"/>
                <w:bCs/>
              </w:rPr>
              <w:t xml:space="preserve">Greater accountability and transparency of child protection systems </w:t>
            </w:r>
          </w:p>
          <w:p w14:paraId="03E3C442" w14:textId="77777777" w:rsidR="0000335F" w:rsidRPr="0000335F" w:rsidRDefault="0000335F" w:rsidP="003B0B17">
            <w:pPr>
              <w:numPr>
                <w:ilvl w:val="0"/>
                <w:numId w:val="248"/>
              </w:numPr>
              <w:spacing w:before="0" w:after="0"/>
              <w:ind w:left="314" w:hanging="283"/>
              <w:rPr>
                <w:rFonts w:eastAsia="MS Mincho" w:cs="Arial"/>
                <w:bCs/>
              </w:rPr>
            </w:pPr>
            <w:r w:rsidRPr="0000335F">
              <w:rPr>
                <w:rFonts w:eastAsia="MS Mincho" w:cs="Arial"/>
                <w:bCs/>
              </w:rPr>
              <w:t>Increased self-determination for Aboriginal and Torres Strait Islander people</w:t>
            </w:r>
          </w:p>
          <w:p w14:paraId="53ECDCD6" w14:textId="77777777" w:rsidR="0000335F" w:rsidRPr="0000335F" w:rsidRDefault="0000335F" w:rsidP="003B0B17">
            <w:pPr>
              <w:numPr>
                <w:ilvl w:val="0"/>
                <w:numId w:val="248"/>
              </w:numPr>
              <w:spacing w:before="0" w:after="0"/>
              <w:ind w:left="314" w:hanging="283"/>
              <w:rPr>
                <w:rFonts w:eastAsia="MS Mincho" w:cs="Arial"/>
                <w:bCs/>
              </w:rPr>
            </w:pPr>
            <w:r w:rsidRPr="0000335F">
              <w:rPr>
                <w:rFonts w:eastAsia="MS Mincho" w:cs="Arial"/>
                <w:bCs/>
              </w:rPr>
              <w:t>Increased funding for and autonomy of Aboriginal and Torres Strait Islander community-controlled organisations</w:t>
            </w:r>
          </w:p>
          <w:p w14:paraId="40E0D4CF" w14:textId="77777777" w:rsidR="0000335F" w:rsidRPr="0000335F" w:rsidRDefault="0000335F" w:rsidP="003B0B17">
            <w:pPr>
              <w:numPr>
                <w:ilvl w:val="0"/>
                <w:numId w:val="248"/>
              </w:numPr>
              <w:spacing w:before="0" w:after="0"/>
              <w:ind w:left="314" w:hanging="283"/>
              <w:rPr>
                <w:rFonts w:eastAsia="MS Mincho" w:cs="Arial"/>
                <w:bCs/>
              </w:rPr>
            </w:pPr>
            <w:r w:rsidRPr="0000335F">
              <w:rPr>
                <w:rFonts w:eastAsia="MS Mincho" w:cs="Arial"/>
                <w:bCs/>
              </w:rPr>
              <w:t>Reorienting the system to family support</w:t>
            </w:r>
          </w:p>
          <w:p w14:paraId="0C50E597" w14:textId="77777777" w:rsidR="0000335F" w:rsidRPr="0000335F" w:rsidRDefault="0000335F" w:rsidP="003B0B17">
            <w:pPr>
              <w:numPr>
                <w:ilvl w:val="0"/>
                <w:numId w:val="248"/>
              </w:numPr>
              <w:spacing w:before="0" w:after="0"/>
              <w:ind w:left="314" w:hanging="283"/>
              <w:rPr>
                <w:rFonts w:eastAsia="MS Mincho" w:cs="Arial"/>
                <w:bCs/>
              </w:rPr>
            </w:pPr>
            <w:r w:rsidRPr="0000335F">
              <w:rPr>
                <w:rFonts w:eastAsia="MS Mincho" w:cs="Arial"/>
                <w:bCs/>
              </w:rPr>
              <w:t>Championing Aboriginal and Torres Strait Islander kinship care</w:t>
            </w:r>
          </w:p>
          <w:p w14:paraId="168483E9" w14:textId="77777777" w:rsidR="0000335F" w:rsidRPr="0000335F" w:rsidRDefault="0000335F">
            <w:pPr>
              <w:spacing w:after="0"/>
              <w:rPr>
                <w:rFonts w:eastAsia="MS Mincho" w:cs="Arial"/>
                <w:bCs/>
              </w:rPr>
            </w:pPr>
            <w:r w:rsidRPr="0000335F">
              <w:rPr>
                <w:rFonts w:eastAsia="MS Mincho" w:cs="Arial"/>
                <w:bCs/>
              </w:rPr>
              <w:t>Practices:</w:t>
            </w:r>
          </w:p>
          <w:p w14:paraId="74C54201" w14:textId="77777777" w:rsidR="0000335F" w:rsidRPr="0000335F" w:rsidRDefault="0000335F" w:rsidP="003B0B17">
            <w:pPr>
              <w:numPr>
                <w:ilvl w:val="0"/>
                <w:numId w:val="248"/>
              </w:numPr>
              <w:spacing w:before="0" w:after="0"/>
              <w:ind w:left="314" w:hanging="283"/>
              <w:rPr>
                <w:rFonts w:eastAsia="MS Mincho" w:cs="Arial"/>
                <w:bCs/>
              </w:rPr>
            </w:pPr>
            <w:r w:rsidRPr="0000335F">
              <w:rPr>
                <w:rFonts w:eastAsia="MS Mincho" w:cs="Arial"/>
                <w:bCs/>
              </w:rPr>
              <w:t>Upholding the rights of the child and young person</w:t>
            </w:r>
          </w:p>
          <w:p w14:paraId="4E8221B0" w14:textId="77777777" w:rsidR="0000335F" w:rsidRPr="0000335F" w:rsidRDefault="0000335F" w:rsidP="003B0B17">
            <w:pPr>
              <w:numPr>
                <w:ilvl w:val="0"/>
                <w:numId w:val="248"/>
              </w:numPr>
              <w:spacing w:before="0" w:after="0"/>
              <w:ind w:left="314" w:hanging="283"/>
              <w:rPr>
                <w:rFonts w:eastAsia="MS Mincho" w:cs="Arial"/>
                <w:bCs/>
              </w:rPr>
            </w:pPr>
            <w:r w:rsidRPr="0000335F">
              <w:rPr>
                <w:rFonts w:eastAsia="MS Mincho" w:cs="Arial"/>
                <w:bCs/>
              </w:rPr>
              <w:t>Connection to family, community and culture</w:t>
            </w:r>
          </w:p>
          <w:p w14:paraId="71534A68" w14:textId="77777777" w:rsidR="0000335F" w:rsidRPr="0000335F" w:rsidRDefault="0000335F" w:rsidP="003B0B17">
            <w:pPr>
              <w:numPr>
                <w:ilvl w:val="0"/>
                <w:numId w:val="248"/>
              </w:numPr>
              <w:spacing w:before="0" w:after="0"/>
              <w:ind w:left="314" w:hanging="283"/>
              <w:rPr>
                <w:rFonts w:eastAsia="MS Mincho" w:cs="Arial"/>
                <w:bCs/>
              </w:rPr>
            </w:pPr>
            <w:r w:rsidRPr="0000335F">
              <w:rPr>
                <w:rFonts w:eastAsia="MS Mincho" w:cs="Arial"/>
                <w:bCs/>
              </w:rPr>
              <w:t>Workforce development, both improved support and empowerment of Aboriginal and Torres Strait Islander workers and improved cultural competency of non-Indigenous workers</w:t>
            </w:r>
          </w:p>
        </w:tc>
      </w:tr>
      <w:tr w:rsidR="0000335F" w:rsidRPr="0000335F" w14:paraId="48160A90" w14:textId="77777777">
        <w:trPr>
          <w:cnfStyle w:val="000000010000" w:firstRow="0" w:lastRow="0" w:firstColumn="0" w:lastColumn="0" w:oddVBand="0" w:evenVBand="0" w:oddHBand="0" w:evenHBand="1" w:firstRowFirstColumn="0" w:firstRowLastColumn="0" w:lastRowFirstColumn="0" w:lastRowLastColumn="0"/>
          <w:trHeight w:val="244"/>
        </w:trPr>
        <w:tc>
          <w:tcPr>
            <w:tcW w:w="1052" w:type="dxa"/>
          </w:tcPr>
          <w:p w14:paraId="5D24D979" w14:textId="77777777" w:rsidR="0000335F" w:rsidRPr="0000335F" w:rsidRDefault="0000335F">
            <w:pPr>
              <w:spacing w:after="0"/>
              <w:rPr>
                <w:rFonts w:eastAsia="MS Mincho" w:cs="Arial"/>
                <w:bCs/>
              </w:rPr>
            </w:pPr>
            <w:r w:rsidRPr="0000335F">
              <w:rPr>
                <w:rFonts w:eastAsia="MS Mincho" w:cs="Arial"/>
                <w:bCs/>
              </w:rPr>
              <w:t>Harrison, 2020</w:t>
            </w:r>
          </w:p>
        </w:tc>
        <w:tc>
          <w:tcPr>
            <w:tcW w:w="1783" w:type="dxa"/>
          </w:tcPr>
          <w:p w14:paraId="69B7DA9C" w14:textId="77777777" w:rsidR="0000335F" w:rsidRPr="0000335F" w:rsidRDefault="0000335F">
            <w:pPr>
              <w:spacing w:after="0"/>
              <w:rPr>
                <w:rFonts w:eastAsia="MS Mincho" w:cs="Arial"/>
                <w:bCs/>
              </w:rPr>
            </w:pPr>
            <w:r w:rsidRPr="0000335F">
              <w:rPr>
                <w:rFonts w:eastAsia="MS Mincho" w:cs="Arial"/>
                <w:bCs/>
              </w:rPr>
              <w:t>Flourishing on the margins: A study of babies and belonging in an Australian Aboriginal community childcare centre.</w:t>
            </w:r>
          </w:p>
          <w:p w14:paraId="4D4A82D7" w14:textId="77777777" w:rsidR="0000335F" w:rsidRPr="0000335F" w:rsidRDefault="0000335F">
            <w:pPr>
              <w:spacing w:after="0"/>
              <w:rPr>
                <w:rFonts w:eastAsia="MS Mincho" w:cs="Arial"/>
                <w:bCs/>
              </w:rPr>
            </w:pPr>
            <w:r w:rsidRPr="0000335F">
              <w:rPr>
                <w:rFonts w:eastAsia="MS Mincho" w:cs="Arial"/>
                <w:bCs/>
              </w:rPr>
              <w:br/>
              <w:t>Qual. study</w:t>
            </w:r>
          </w:p>
        </w:tc>
        <w:tc>
          <w:tcPr>
            <w:tcW w:w="1410" w:type="dxa"/>
          </w:tcPr>
          <w:p w14:paraId="3E8A48B9"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5A14BA25" w14:textId="77777777" w:rsidR="0000335F" w:rsidRPr="0000335F" w:rsidRDefault="0000335F">
            <w:pPr>
              <w:spacing w:after="0"/>
              <w:rPr>
                <w:rFonts w:eastAsia="MS Mincho" w:cs="Arial"/>
                <w:bCs/>
              </w:rPr>
            </w:pPr>
          </w:p>
        </w:tc>
        <w:tc>
          <w:tcPr>
            <w:tcW w:w="1992" w:type="dxa"/>
          </w:tcPr>
          <w:p w14:paraId="68360E95" w14:textId="77777777" w:rsidR="0000335F" w:rsidRPr="0000335F" w:rsidRDefault="0000335F">
            <w:pPr>
              <w:spacing w:after="0"/>
              <w:rPr>
                <w:rFonts w:eastAsia="MS Mincho" w:cs="Arial"/>
                <w:bCs/>
              </w:rPr>
            </w:pPr>
            <w:r w:rsidRPr="0000335F">
              <w:rPr>
                <w:rFonts w:eastAsia="MS Mincho" w:cs="Arial"/>
                <w:bCs/>
              </w:rPr>
              <w:t>To gain an appreciation of the specialist nature of the Multifunctional Aboriginal Children’s service in QLD and how it supports babies’ belonging, by integrating understandings of cultural safety, attachment relationships, and Aboriginal child-rearing practices</w:t>
            </w:r>
          </w:p>
        </w:tc>
        <w:tc>
          <w:tcPr>
            <w:tcW w:w="3686" w:type="dxa"/>
          </w:tcPr>
          <w:p w14:paraId="7CDA4E9B" w14:textId="77777777" w:rsidR="0000335F" w:rsidRPr="0000335F" w:rsidRDefault="0000335F">
            <w:pPr>
              <w:spacing w:after="0"/>
              <w:ind w:left="316" w:hanging="362"/>
              <w:rPr>
                <w:rFonts w:eastAsia="MS Mincho" w:cs="Arial"/>
                <w:bCs/>
              </w:rPr>
            </w:pPr>
            <w:r w:rsidRPr="0000335F">
              <w:rPr>
                <w:rFonts w:eastAsia="MS Mincho" w:cs="Arial"/>
                <w:bCs/>
              </w:rPr>
              <w:t>Babies’ experiences centre on Aboriginal concepts of ‘the strong child’, multiple attachments with multiple caregivers, including siblings, and responsibility: children caring for each other</w:t>
            </w:r>
          </w:p>
          <w:p w14:paraId="5E068066" w14:textId="77777777" w:rsidR="0000335F" w:rsidRPr="0000335F" w:rsidRDefault="0000335F">
            <w:pPr>
              <w:spacing w:after="0"/>
              <w:ind w:left="316" w:hanging="362"/>
              <w:rPr>
                <w:rFonts w:eastAsia="MS Mincho" w:cs="Arial"/>
                <w:bCs/>
              </w:rPr>
            </w:pPr>
            <w:r w:rsidRPr="0000335F">
              <w:rPr>
                <w:rFonts w:eastAsia="MS Mincho" w:cs="Arial"/>
                <w:bCs/>
              </w:rPr>
              <w:t>Pedagogy and practice: educators’ use of silence and non-verbal communication and educators’ use of voice and verbal communication</w:t>
            </w:r>
          </w:p>
        </w:tc>
        <w:tc>
          <w:tcPr>
            <w:tcW w:w="4111" w:type="dxa"/>
          </w:tcPr>
          <w:p w14:paraId="3A78BF11" w14:textId="77777777" w:rsidR="0000335F" w:rsidRPr="0000335F" w:rsidRDefault="0000335F">
            <w:pPr>
              <w:spacing w:after="0"/>
              <w:ind w:left="314" w:hanging="314"/>
              <w:rPr>
                <w:rFonts w:eastAsia="MS Mincho" w:cs="Arial"/>
                <w:bCs/>
                <w:lang w:val="en-US"/>
              </w:rPr>
            </w:pPr>
            <w:r w:rsidRPr="0000335F">
              <w:rPr>
                <w:rFonts w:eastAsia="MS Mincho" w:cs="Arial"/>
                <w:bCs/>
                <w:lang w:val="en-US"/>
              </w:rPr>
              <w:t xml:space="preserve">Practices: </w:t>
            </w:r>
          </w:p>
          <w:p w14:paraId="4546CC3D" w14:textId="77777777" w:rsidR="0000335F" w:rsidRPr="0000335F" w:rsidRDefault="0000335F" w:rsidP="003B0B17">
            <w:pPr>
              <w:numPr>
                <w:ilvl w:val="0"/>
                <w:numId w:val="254"/>
              </w:numPr>
              <w:spacing w:before="0" w:after="0"/>
              <w:ind w:left="318" w:hanging="284"/>
              <w:rPr>
                <w:rFonts w:eastAsia="MS Mincho" w:cs="Arial"/>
                <w:bCs/>
                <w:lang w:val="en-US"/>
              </w:rPr>
            </w:pPr>
            <w:r w:rsidRPr="0000335F">
              <w:rPr>
                <w:rFonts w:eastAsia="MS Mincho" w:cs="Arial"/>
                <w:bCs/>
                <w:lang w:val="en-US"/>
              </w:rPr>
              <w:t>The Multifunctional Aboriginal Children’s service program exemplified specific, specialist practices grounded in ‘the strengths of Aboriginal cultural traditions (of) family life and raising children that ‘can be a protective force for children, families and communities’</w:t>
            </w:r>
          </w:p>
        </w:tc>
      </w:tr>
      <w:tr w:rsidR="0000335F" w:rsidRPr="0000335F" w14:paraId="2636967C" w14:textId="77777777">
        <w:trPr>
          <w:cnfStyle w:val="000000100000" w:firstRow="0" w:lastRow="0" w:firstColumn="0" w:lastColumn="0" w:oddVBand="0" w:evenVBand="0" w:oddHBand="1" w:evenHBand="0" w:firstRowFirstColumn="0" w:firstRowLastColumn="0" w:lastRowFirstColumn="0" w:lastRowLastColumn="0"/>
          <w:trHeight w:val="244"/>
        </w:trPr>
        <w:tc>
          <w:tcPr>
            <w:tcW w:w="1052" w:type="dxa"/>
          </w:tcPr>
          <w:p w14:paraId="10A01E51" w14:textId="77777777" w:rsidR="0000335F" w:rsidRPr="0000335F" w:rsidRDefault="0000335F">
            <w:pPr>
              <w:spacing w:after="0"/>
              <w:rPr>
                <w:rFonts w:eastAsia="MS Mincho" w:cs="Arial"/>
                <w:bCs/>
              </w:rPr>
            </w:pPr>
            <w:r w:rsidRPr="0000335F">
              <w:rPr>
                <w:rFonts w:eastAsia="MS Mincho" w:cs="Arial"/>
                <w:bCs/>
              </w:rPr>
              <w:t>Elek, 2020</w:t>
            </w:r>
          </w:p>
        </w:tc>
        <w:tc>
          <w:tcPr>
            <w:tcW w:w="1783" w:type="dxa"/>
          </w:tcPr>
          <w:p w14:paraId="69B7C165" w14:textId="77777777" w:rsidR="0000335F" w:rsidRPr="0000335F" w:rsidRDefault="0000335F">
            <w:pPr>
              <w:spacing w:after="0"/>
              <w:rPr>
                <w:rFonts w:eastAsia="MS Mincho" w:cs="Arial"/>
                <w:bCs/>
              </w:rPr>
            </w:pPr>
            <w:r w:rsidRPr="0000335F">
              <w:rPr>
                <w:rFonts w:eastAsia="MS Mincho" w:cs="Arial"/>
                <w:bCs/>
              </w:rPr>
              <w:t>Can early childhood education programs support positive outcomes for Indigenous children? A systematic review of the international literature.</w:t>
            </w:r>
          </w:p>
          <w:p w14:paraId="498333D4" w14:textId="77777777" w:rsidR="0000335F" w:rsidRPr="0000335F" w:rsidRDefault="0000335F">
            <w:pPr>
              <w:spacing w:after="0"/>
              <w:rPr>
                <w:rFonts w:eastAsia="MS Mincho" w:cs="Arial"/>
                <w:bCs/>
              </w:rPr>
            </w:pPr>
          </w:p>
          <w:p w14:paraId="49683AAF" w14:textId="77777777" w:rsidR="0000335F" w:rsidRPr="0000335F" w:rsidRDefault="0000335F">
            <w:pPr>
              <w:spacing w:after="0"/>
              <w:rPr>
                <w:rFonts w:eastAsia="MS Mincho" w:cs="Arial"/>
                <w:bCs/>
              </w:rPr>
            </w:pPr>
            <w:r w:rsidRPr="0000335F">
              <w:rPr>
                <w:rFonts w:eastAsia="MS Mincho" w:cs="Arial"/>
                <w:bCs/>
              </w:rPr>
              <w:t>Systematic review</w:t>
            </w:r>
          </w:p>
        </w:tc>
        <w:tc>
          <w:tcPr>
            <w:tcW w:w="1410" w:type="dxa"/>
          </w:tcPr>
          <w:p w14:paraId="3EA03047"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2268F26E" w14:textId="77777777" w:rsidR="0000335F" w:rsidRPr="0000335F" w:rsidRDefault="0000335F">
            <w:pPr>
              <w:spacing w:after="0"/>
              <w:rPr>
                <w:rFonts w:eastAsia="MS Mincho" w:cs="Arial"/>
                <w:bCs/>
              </w:rPr>
            </w:pPr>
          </w:p>
        </w:tc>
        <w:tc>
          <w:tcPr>
            <w:tcW w:w="1992" w:type="dxa"/>
          </w:tcPr>
          <w:p w14:paraId="2F29293F" w14:textId="77777777" w:rsidR="0000335F" w:rsidRPr="0000335F" w:rsidRDefault="0000335F">
            <w:pPr>
              <w:spacing w:after="0"/>
              <w:rPr>
                <w:rFonts w:eastAsia="MS Mincho" w:cs="Arial"/>
                <w:bCs/>
              </w:rPr>
            </w:pPr>
            <w:r w:rsidRPr="0000335F">
              <w:rPr>
                <w:rFonts w:eastAsia="MS Mincho" w:cs="Arial"/>
                <w:bCs/>
              </w:rPr>
              <w:t>To identify programs in early childhood education settings targeting Indigenous children’s learning, development and wellbeing and identify key features and how acceptable they were to the community</w:t>
            </w:r>
          </w:p>
        </w:tc>
        <w:tc>
          <w:tcPr>
            <w:tcW w:w="3686" w:type="dxa"/>
          </w:tcPr>
          <w:p w14:paraId="59203412" w14:textId="77777777" w:rsidR="0000335F" w:rsidRPr="0000335F" w:rsidRDefault="0000335F">
            <w:pPr>
              <w:spacing w:after="0"/>
              <w:ind w:left="316" w:hanging="362"/>
              <w:rPr>
                <w:rFonts w:eastAsia="MS Mincho" w:cs="Arial"/>
                <w:bCs/>
              </w:rPr>
            </w:pPr>
            <w:r w:rsidRPr="0000335F">
              <w:rPr>
                <w:rFonts w:eastAsia="MS Mincho" w:cs="Arial"/>
                <w:bCs/>
              </w:rPr>
              <w:t>12 experimental or quasi-experimental studies assessing the impact of 11 programs were included (5 Canada, 3 Australia, 2 USA, 1 Vietnam). All showed promising, if limited, effects on outcomes for Indigenous children</w:t>
            </w:r>
          </w:p>
          <w:p w14:paraId="437A7CBE" w14:textId="77777777" w:rsidR="0000335F" w:rsidRPr="0000335F" w:rsidRDefault="0000335F">
            <w:pPr>
              <w:spacing w:after="0"/>
              <w:ind w:left="316" w:hanging="362"/>
              <w:rPr>
                <w:rFonts w:eastAsia="MS Mincho" w:cs="Arial"/>
                <w:bCs/>
              </w:rPr>
            </w:pPr>
            <w:r w:rsidRPr="0000335F">
              <w:rPr>
                <w:rFonts w:eastAsia="MS Mincho" w:cs="Arial"/>
                <w:bCs/>
              </w:rPr>
              <w:t>Wide variation in study designs and programs</w:t>
            </w:r>
          </w:p>
          <w:p w14:paraId="4D105592" w14:textId="77777777" w:rsidR="0000335F" w:rsidRPr="0000335F" w:rsidRDefault="0000335F">
            <w:pPr>
              <w:spacing w:after="0"/>
              <w:ind w:left="316" w:hanging="362"/>
              <w:rPr>
                <w:rFonts w:eastAsia="MS Mincho" w:cs="Arial"/>
                <w:bCs/>
              </w:rPr>
            </w:pPr>
            <w:r w:rsidRPr="0000335F">
              <w:rPr>
                <w:rFonts w:eastAsia="MS Mincho" w:cs="Arial"/>
                <w:bCs/>
              </w:rPr>
              <w:t>Promising outcomes related to parenting capacity, community acceptance or parental engagement in the service, language development, wellbeing</w:t>
            </w:r>
          </w:p>
          <w:p w14:paraId="06AFA5FF" w14:textId="77777777" w:rsidR="0000335F" w:rsidRPr="0000335F" w:rsidRDefault="0000335F">
            <w:pPr>
              <w:spacing w:after="0"/>
              <w:ind w:left="316" w:hanging="362"/>
              <w:rPr>
                <w:rFonts w:eastAsia="MS Mincho" w:cs="Arial"/>
                <w:bCs/>
              </w:rPr>
            </w:pPr>
            <w:r w:rsidRPr="0000335F">
              <w:rPr>
                <w:rFonts w:eastAsia="MS Mincho" w:cs="Arial"/>
                <w:bCs/>
              </w:rPr>
              <w:t>Most programs included cultural programming and family and community engagement</w:t>
            </w:r>
          </w:p>
          <w:p w14:paraId="1B7FE6F4" w14:textId="77777777" w:rsidR="0000335F" w:rsidRPr="0000335F" w:rsidRDefault="0000335F">
            <w:pPr>
              <w:spacing w:after="0"/>
              <w:rPr>
                <w:rFonts w:eastAsia="MS Mincho" w:cs="Arial"/>
                <w:bCs/>
              </w:rPr>
            </w:pPr>
            <w:r w:rsidRPr="0000335F">
              <w:rPr>
                <w:rFonts w:eastAsia="MS Mincho" w:cs="Arial"/>
                <w:bCs/>
              </w:rPr>
              <w:t xml:space="preserve"> </w:t>
            </w:r>
          </w:p>
        </w:tc>
        <w:tc>
          <w:tcPr>
            <w:tcW w:w="4111" w:type="dxa"/>
          </w:tcPr>
          <w:p w14:paraId="14CBE4C7" w14:textId="77777777" w:rsidR="0000335F" w:rsidRPr="0000335F" w:rsidRDefault="0000335F">
            <w:pPr>
              <w:spacing w:after="0"/>
              <w:ind w:left="314" w:hanging="314"/>
              <w:rPr>
                <w:rFonts w:eastAsia="MS Mincho" w:cs="Arial"/>
                <w:bCs/>
                <w:lang w:val="en-US"/>
              </w:rPr>
            </w:pPr>
            <w:r w:rsidRPr="0000335F">
              <w:rPr>
                <w:rFonts w:eastAsia="MS Mincho" w:cs="Arial"/>
                <w:bCs/>
                <w:lang w:val="en-US"/>
              </w:rPr>
              <w:t>Practices: Related to need for research</w:t>
            </w:r>
          </w:p>
          <w:p w14:paraId="6D145A5E" w14:textId="77777777" w:rsidR="0000335F" w:rsidRPr="0000335F" w:rsidRDefault="0000335F" w:rsidP="003B0B17">
            <w:pPr>
              <w:numPr>
                <w:ilvl w:val="0"/>
                <w:numId w:val="254"/>
              </w:numPr>
              <w:spacing w:before="0" w:after="0"/>
              <w:ind w:left="318" w:hanging="283"/>
              <w:rPr>
                <w:rFonts w:eastAsia="MS Mincho" w:cs="Arial"/>
                <w:lang w:val="en-US"/>
              </w:rPr>
            </w:pPr>
            <w:r w:rsidRPr="0000335F">
              <w:rPr>
                <w:rFonts w:eastAsia="MS Mincho" w:cs="Arial"/>
                <w:lang w:val="en-US"/>
              </w:rPr>
              <w:t>There is scope for further rigorous experimental research on the impact of programs which are responsive to local contexts, and which adheres to principles for the conduct of research with Indigenous communities</w:t>
            </w:r>
          </w:p>
          <w:p w14:paraId="40DBAB34" w14:textId="77777777" w:rsidR="0000335F" w:rsidRPr="0000335F" w:rsidRDefault="0000335F" w:rsidP="003B0B17">
            <w:pPr>
              <w:numPr>
                <w:ilvl w:val="0"/>
                <w:numId w:val="254"/>
              </w:numPr>
              <w:spacing w:before="0" w:after="0"/>
              <w:ind w:left="318" w:hanging="283"/>
              <w:rPr>
                <w:rFonts w:eastAsia="MS Mincho" w:cs="Arial"/>
                <w:lang w:val="en-US"/>
              </w:rPr>
            </w:pPr>
            <w:r w:rsidRPr="0000335F">
              <w:rPr>
                <w:rFonts w:eastAsia="MS Mincho" w:cs="Arial"/>
                <w:lang w:val="en-US"/>
              </w:rPr>
              <w:t>An effective program for Indigenous children in one community may be unlikely to see success replicated in another community</w:t>
            </w:r>
          </w:p>
          <w:p w14:paraId="4643C8AD" w14:textId="77777777" w:rsidR="0000335F" w:rsidRPr="0000335F" w:rsidRDefault="0000335F" w:rsidP="003B0B17">
            <w:pPr>
              <w:numPr>
                <w:ilvl w:val="0"/>
                <w:numId w:val="254"/>
              </w:numPr>
              <w:spacing w:before="0" w:after="0"/>
              <w:ind w:left="318" w:hanging="283"/>
              <w:rPr>
                <w:rFonts w:eastAsia="MS Mincho" w:cs="Arial"/>
                <w:bCs/>
                <w:lang w:val="en-US"/>
              </w:rPr>
            </w:pPr>
            <w:r w:rsidRPr="0000335F">
              <w:rPr>
                <w:rFonts w:eastAsia="MS Mincho" w:cs="Arial"/>
                <w:bCs/>
                <w:lang w:val="en-US"/>
              </w:rPr>
              <w:t>Those designing programs may be best to look at programs in similar context or with communities with similar characteristics, and to work alongside local communities to adapt programs in ways that suit the needs and wishes of those communities</w:t>
            </w:r>
          </w:p>
          <w:p w14:paraId="31766612" w14:textId="77777777" w:rsidR="0000335F" w:rsidRPr="0000335F" w:rsidRDefault="0000335F" w:rsidP="003B0B17">
            <w:pPr>
              <w:numPr>
                <w:ilvl w:val="0"/>
                <w:numId w:val="254"/>
              </w:numPr>
              <w:spacing w:before="0" w:after="0"/>
              <w:ind w:left="318" w:hanging="283"/>
              <w:rPr>
                <w:rFonts w:eastAsia="MS Mincho" w:cs="Arial"/>
                <w:lang w:val="en-US"/>
              </w:rPr>
            </w:pPr>
            <w:r w:rsidRPr="0000335F">
              <w:rPr>
                <w:rFonts w:eastAsia="MS Mincho" w:cs="Arial"/>
                <w:lang w:val="en-US"/>
              </w:rPr>
              <w:t>Need to pay greater attention to principles and frameworks for the conduct of research with Indigenous communities</w:t>
            </w:r>
          </w:p>
        </w:tc>
      </w:tr>
      <w:tr w:rsidR="0000335F" w:rsidRPr="0000335F" w14:paraId="499ECD56" w14:textId="77777777">
        <w:trPr>
          <w:cnfStyle w:val="000000010000" w:firstRow="0" w:lastRow="0" w:firstColumn="0" w:lastColumn="0" w:oddVBand="0" w:evenVBand="0" w:oddHBand="0" w:evenHBand="1" w:firstRowFirstColumn="0" w:firstRowLastColumn="0" w:lastRowFirstColumn="0" w:lastRowLastColumn="0"/>
          <w:trHeight w:val="244"/>
        </w:trPr>
        <w:tc>
          <w:tcPr>
            <w:tcW w:w="1052" w:type="dxa"/>
          </w:tcPr>
          <w:p w14:paraId="1737D3A3" w14:textId="77777777" w:rsidR="0000335F" w:rsidRPr="0000335F" w:rsidRDefault="0000335F">
            <w:pPr>
              <w:spacing w:after="0"/>
              <w:rPr>
                <w:rFonts w:eastAsia="MS Mincho" w:cs="Arial"/>
                <w:bCs/>
              </w:rPr>
            </w:pPr>
            <w:r w:rsidRPr="0000335F">
              <w:rPr>
                <w:rFonts w:eastAsia="MS Mincho" w:cs="Arial"/>
                <w:bCs/>
              </w:rPr>
              <w:t>Page, 2019</w:t>
            </w:r>
          </w:p>
        </w:tc>
        <w:tc>
          <w:tcPr>
            <w:tcW w:w="1783" w:type="dxa"/>
          </w:tcPr>
          <w:p w14:paraId="53BEDDB8" w14:textId="77777777" w:rsidR="0000335F" w:rsidRPr="0000335F" w:rsidRDefault="0000335F">
            <w:pPr>
              <w:spacing w:after="0"/>
              <w:rPr>
                <w:rFonts w:eastAsia="MS Mincho" w:cs="Arial"/>
                <w:bCs/>
              </w:rPr>
            </w:pPr>
            <w:r w:rsidRPr="0000335F">
              <w:rPr>
                <w:rFonts w:eastAsia="MS Mincho" w:cs="Arial"/>
                <w:bCs/>
              </w:rPr>
              <w:t>An Abecedarian approach with Aboriginal families and their young children in Australia: Playgroup participation and developmental outcomes.</w:t>
            </w:r>
          </w:p>
          <w:p w14:paraId="5C4CBCF3" w14:textId="77777777" w:rsidR="0000335F" w:rsidRPr="0000335F" w:rsidRDefault="0000335F">
            <w:pPr>
              <w:spacing w:after="0"/>
              <w:rPr>
                <w:rFonts w:eastAsia="MS Mincho" w:cs="Arial"/>
                <w:bCs/>
              </w:rPr>
            </w:pPr>
          </w:p>
          <w:p w14:paraId="06F99FB5" w14:textId="77777777" w:rsidR="0000335F" w:rsidRPr="0000335F" w:rsidRDefault="0000335F">
            <w:pPr>
              <w:spacing w:after="0"/>
              <w:rPr>
                <w:rFonts w:eastAsia="MS Mincho" w:cs="Arial"/>
                <w:bCs/>
              </w:rPr>
            </w:pPr>
            <w:r w:rsidRPr="0000335F">
              <w:rPr>
                <w:rFonts w:eastAsia="MS Mincho" w:cs="Arial"/>
                <w:bCs/>
              </w:rPr>
              <w:t>Descriptive study</w:t>
            </w:r>
          </w:p>
        </w:tc>
        <w:tc>
          <w:tcPr>
            <w:tcW w:w="1410" w:type="dxa"/>
          </w:tcPr>
          <w:p w14:paraId="317085AC"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44C4E3B0" w14:textId="77777777" w:rsidR="0000335F" w:rsidRPr="0000335F" w:rsidRDefault="0000335F">
            <w:pPr>
              <w:spacing w:after="0"/>
              <w:rPr>
                <w:rFonts w:eastAsia="MS Mincho" w:cs="Arial"/>
                <w:bCs/>
              </w:rPr>
            </w:pPr>
          </w:p>
        </w:tc>
        <w:tc>
          <w:tcPr>
            <w:tcW w:w="1992" w:type="dxa"/>
          </w:tcPr>
          <w:p w14:paraId="505FA65C" w14:textId="77777777" w:rsidR="0000335F" w:rsidRPr="0000335F" w:rsidRDefault="0000335F">
            <w:pPr>
              <w:spacing w:after="0"/>
              <w:rPr>
                <w:rFonts w:eastAsia="MS Mincho" w:cs="Arial"/>
                <w:bCs/>
              </w:rPr>
            </w:pPr>
            <w:r w:rsidRPr="0000335F">
              <w:rPr>
                <w:rFonts w:eastAsia="MS Mincho" w:cs="Arial"/>
                <w:bCs/>
              </w:rPr>
              <w:t>To explore whether the Abecedarian Approach Australia (3A) intervention, with strong cultural adaptations, can boost young Aboriginal children’s early language and learning skills, prior to preschool.</w:t>
            </w:r>
          </w:p>
        </w:tc>
        <w:tc>
          <w:tcPr>
            <w:tcW w:w="3686" w:type="dxa"/>
          </w:tcPr>
          <w:p w14:paraId="007E05F2" w14:textId="77777777" w:rsidR="0000335F" w:rsidRPr="0000335F" w:rsidRDefault="0000335F">
            <w:pPr>
              <w:spacing w:after="0"/>
              <w:ind w:left="316" w:hanging="316"/>
              <w:rPr>
                <w:rFonts w:eastAsia="MS Mincho" w:cs="Arial"/>
                <w:bCs/>
              </w:rPr>
            </w:pPr>
            <w:r w:rsidRPr="0000335F">
              <w:rPr>
                <w:rFonts w:eastAsia="MS Mincho" w:cs="Arial"/>
                <w:bCs/>
              </w:rPr>
              <w:t>Children’s language and early learning were associated with intervention dosage. Higher exposure to Conversational Reading and Learning Games predicted stronger language and overall development for young children</w:t>
            </w:r>
          </w:p>
        </w:tc>
        <w:tc>
          <w:tcPr>
            <w:tcW w:w="4111" w:type="dxa"/>
          </w:tcPr>
          <w:p w14:paraId="7DB6C550" w14:textId="77777777" w:rsidR="0000335F" w:rsidRPr="0000335F" w:rsidRDefault="0000335F">
            <w:pPr>
              <w:spacing w:after="0"/>
              <w:ind w:left="314" w:hanging="314"/>
              <w:rPr>
                <w:rFonts w:eastAsia="MS Mincho" w:cs="Arial"/>
                <w:bCs/>
              </w:rPr>
            </w:pPr>
            <w:r w:rsidRPr="0000335F">
              <w:rPr>
                <w:rFonts w:eastAsia="MS Mincho" w:cs="Arial"/>
                <w:bCs/>
              </w:rPr>
              <w:t>Practices:</w:t>
            </w:r>
          </w:p>
          <w:p w14:paraId="67BC9B4D" w14:textId="77777777" w:rsidR="0000335F" w:rsidRPr="0000335F" w:rsidRDefault="0000335F" w:rsidP="003B0B17">
            <w:pPr>
              <w:numPr>
                <w:ilvl w:val="0"/>
                <w:numId w:val="255"/>
              </w:numPr>
              <w:spacing w:before="0" w:after="0"/>
              <w:ind w:left="318" w:hanging="283"/>
              <w:rPr>
                <w:rFonts w:eastAsia="MS Mincho" w:cs="Arial"/>
                <w:bCs/>
              </w:rPr>
            </w:pPr>
            <w:r w:rsidRPr="0000335F">
              <w:rPr>
                <w:rFonts w:eastAsia="MS Mincho" w:cs="Arial"/>
                <w:bCs/>
              </w:rPr>
              <w:t>Findings suggest that Abecedarian Approach Australia (3A) intervention can be effectively delivered in playgroups in remote settings and is a meaningful and robust strategy to support early childhood learning, with potential to improve educational outcomes for young Aboriginal children in remote communities</w:t>
            </w:r>
          </w:p>
        </w:tc>
      </w:tr>
      <w:tr w:rsidR="0000335F" w:rsidRPr="0000335F" w14:paraId="4F5D646C" w14:textId="77777777">
        <w:trPr>
          <w:cnfStyle w:val="000000100000" w:firstRow="0" w:lastRow="0" w:firstColumn="0" w:lastColumn="0" w:oddVBand="0" w:evenVBand="0" w:oddHBand="1" w:evenHBand="0" w:firstRowFirstColumn="0" w:firstRowLastColumn="0" w:lastRowFirstColumn="0" w:lastRowLastColumn="0"/>
          <w:trHeight w:val="244"/>
        </w:trPr>
        <w:tc>
          <w:tcPr>
            <w:tcW w:w="1052" w:type="dxa"/>
          </w:tcPr>
          <w:p w14:paraId="6C383973" w14:textId="77777777" w:rsidR="0000335F" w:rsidRPr="0000335F" w:rsidRDefault="0000335F">
            <w:pPr>
              <w:spacing w:after="0"/>
              <w:rPr>
                <w:rFonts w:eastAsia="MS Mincho" w:cs="Arial"/>
                <w:bCs/>
              </w:rPr>
            </w:pPr>
            <w:r w:rsidRPr="0000335F">
              <w:rPr>
                <w:rFonts w:eastAsia="MS Mincho" w:cs="Arial"/>
                <w:bCs/>
              </w:rPr>
              <w:t xml:space="preserve">Jones, </w:t>
            </w:r>
          </w:p>
          <w:p w14:paraId="4400EF7B" w14:textId="77777777" w:rsidR="0000335F" w:rsidRPr="0000335F" w:rsidRDefault="0000335F">
            <w:pPr>
              <w:spacing w:after="0"/>
              <w:rPr>
                <w:rFonts w:eastAsia="MS Mincho" w:cs="Arial"/>
                <w:bCs/>
              </w:rPr>
            </w:pPr>
            <w:r w:rsidRPr="0000335F">
              <w:rPr>
                <w:rFonts w:eastAsia="MS Mincho" w:cs="Arial"/>
                <w:bCs/>
              </w:rPr>
              <w:t>2018</w:t>
            </w:r>
          </w:p>
        </w:tc>
        <w:tc>
          <w:tcPr>
            <w:tcW w:w="1783" w:type="dxa"/>
          </w:tcPr>
          <w:p w14:paraId="72F02184" w14:textId="77777777" w:rsidR="0000335F" w:rsidRPr="0000335F" w:rsidRDefault="0000335F">
            <w:pPr>
              <w:spacing w:after="0"/>
              <w:rPr>
                <w:rFonts w:eastAsia="MS Mincho" w:cs="Arial"/>
                <w:bCs/>
              </w:rPr>
            </w:pPr>
            <w:r w:rsidRPr="0000335F">
              <w:rPr>
                <w:rFonts w:eastAsia="MS Mincho" w:cs="Arial"/>
                <w:bCs/>
              </w:rPr>
              <w:t>A program to respond to otitis media in remote Australian Aboriginal communities: A qualitative investigation of parent perspectives.</w:t>
            </w:r>
          </w:p>
          <w:p w14:paraId="0142AB02" w14:textId="77777777" w:rsidR="0000335F" w:rsidRPr="0000335F" w:rsidRDefault="0000335F">
            <w:pPr>
              <w:spacing w:after="0"/>
              <w:rPr>
                <w:rFonts w:eastAsia="MS Mincho" w:cs="Arial"/>
                <w:bCs/>
              </w:rPr>
            </w:pPr>
          </w:p>
          <w:p w14:paraId="75A72E56" w14:textId="77777777" w:rsidR="0000335F" w:rsidRPr="0000335F" w:rsidRDefault="0000335F">
            <w:pPr>
              <w:spacing w:after="0"/>
              <w:rPr>
                <w:rFonts w:eastAsia="MS Mincho" w:cs="Arial"/>
                <w:bCs/>
              </w:rPr>
            </w:pPr>
            <w:r w:rsidRPr="0000335F">
              <w:rPr>
                <w:rFonts w:eastAsia="MS Mincho" w:cs="Arial"/>
                <w:bCs/>
              </w:rPr>
              <w:t>Qual. study</w:t>
            </w:r>
          </w:p>
        </w:tc>
        <w:tc>
          <w:tcPr>
            <w:tcW w:w="1410" w:type="dxa"/>
          </w:tcPr>
          <w:p w14:paraId="29A98571" w14:textId="77777777" w:rsidR="0000335F" w:rsidRPr="0000335F" w:rsidRDefault="0000335F">
            <w:pPr>
              <w:spacing w:after="0"/>
              <w:rPr>
                <w:rFonts w:eastAsia="MS Mincho" w:cs="Arial"/>
                <w:bCs/>
              </w:rPr>
            </w:pPr>
            <w:r w:rsidRPr="0000335F">
              <w:rPr>
                <w:rFonts w:eastAsia="MS Mincho" w:cs="Arial"/>
                <w:bCs/>
              </w:rPr>
              <w:t>Risk of hearing impairment</w:t>
            </w:r>
          </w:p>
        </w:tc>
        <w:tc>
          <w:tcPr>
            <w:tcW w:w="1992" w:type="dxa"/>
          </w:tcPr>
          <w:p w14:paraId="67710A27" w14:textId="77777777" w:rsidR="0000335F" w:rsidRPr="0000335F" w:rsidRDefault="0000335F">
            <w:pPr>
              <w:spacing w:after="0"/>
              <w:rPr>
                <w:rFonts w:eastAsia="MS Mincho" w:cs="Arial"/>
                <w:bCs/>
              </w:rPr>
            </w:pPr>
            <w:r w:rsidRPr="0000335F">
              <w:rPr>
                <w:rFonts w:cs="Arial"/>
                <w:bCs/>
                <w:lang w:val="en-US"/>
              </w:rPr>
              <w:t xml:space="preserve">To investigate the views about the </w:t>
            </w:r>
            <w:r w:rsidRPr="0000335F">
              <w:rPr>
                <w:rFonts w:eastAsia="MS Mincho" w:cs="Arial"/>
                <w:bCs/>
              </w:rPr>
              <w:t>Learning to Talk, Talking to Learn</w:t>
            </w:r>
            <w:r w:rsidRPr="0000335F">
              <w:rPr>
                <w:rFonts w:cs="Arial"/>
                <w:bCs/>
                <w:lang w:val="en-US"/>
              </w:rPr>
              <w:t xml:space="preserve"> (LiTTLe) Program among parents and other caregivers.</w:t>
            </w:r>
          </w:p>
        </w:tc>
        <w:tc>
          <w:tcPr>
            <w:tcW w:w="3686" w:type="dxa"/>
          </w:tcPr>
          <w:p w14:paraId="769F6CA8" w14:textId="77777777" w:rsidR="0000335F" w:rsidRPr="0000335F" w:rsidRDefault="0000335F">
            <w:pPr>
              <w:spacing w:after="0"/>
              <w:ind w:left="316" w:hanging="316"/>
              <w:rPr>
                <w:rFonts w:eastAsia="MS Mincho" w:cs="Arial"/>
                <w:bCs/>
              </w:rPr>
            </w:pPr>
            <w:r w:rsidRPr="0000335F">
              <w:rPr>
                <w:rFonts w:eastAsia="MS Mincho" w:cs="Arial"/>
                <w:bCs/>
              </w:rPr>
              <w:t xml:space="preserve">Caregivers were positive about the interactive speech and language strategies in the program. </w:t>
            </w:r>
          </w:p>
          <w:p w14:paraId="5D1857D9" w14:textId="77777777" w:rsidR="0000335F" w:rsidRPr="0000335F" w:rsidRDefault="0000335F">
            <w:pPr>
              <w:spacing w:after="0"/>
              <w:ind w:left="316" w:hanging="316"/>
              <w:rPr>
                <w:rFonts w:eastAsia="MS Mincho" w:cs="Arial"/>
                <w:bCs/>
              </w:rPr>
            </w:pPr>
            <w:r w:rsidRPr="0000335F">
              <w:rPr>
                <w:rFonts w:eastAsia="MS Mincho" w:cs="Arial"/>
                <w:bCs/>
              </w:rPr>
              <w:t xml:space="preserve">Some strategies which some parents found alien or difficult were talking slowly, following along with the child’s topic, using parallel talk, or baby talk. </w:t>
            </w:r>
          </w:p>
          <w:p w14:paraId="09EF128D" w14:textId="77777777" w:rsidR="0000335F" w:rsidRPr="0000335F" w:rsidRDefault="0000335F">
            <w:pPr>
              <w:spacing w:after="0"/>
              <w:ind w:left="316" w:hanging="316"/>
              <w:rPr>
                <w:rFonts w:eastAsia="MS Mincho" w:cs="Arial"/>
                <w:bCs/>
              </w:rPr>
            </w:pPr>
            <w:r w:rsidRPr="0000335F">
              <w:rPr>
                <w:rFonts w:eastAsia="MS Mincho" w:cs="Arial"/>
                <w:bCs/>
              </w:rPr>
              <w:t xml:space="preserve">Children’s hearing was considered by caregivers to be important for understanding people, enjoying music, and detecting environmental sounds including signs of danger. </w:t>
            </w:r>
          </w:p>
          <w:p w14:paraId="33A76239" w14:textId="77777777" w:rsidR="0000335F" w:rsidRPr="0000335F" w:rsidRDefault="0000335F">
            <w:pPr>
              <w:spacing w:after="0"/>
              <w:ind w:left="316" w:hanging="316"/>
              <w:rPr>
                <w:rFonts w:eastAsia="MS Mincho" w:cs="Arial"/>
                <w:bCs/>
              </w:rPr>
            </w:pPr>
            <w:r w:rsidRPr="0000335F">
              <w:rPr>
                <w:rFonts w:eastAsia="MS Mincho" w:cs="Arial"/>
                <w:bCs/>
              </w:rPr>
              <w:t>Caregivers felt strongly that the program had helped prepare children for school through familiarising their child with early literacy activities and resources, as well as school routines.</w:t>
            </w:r>
          </w:p>
        </w:tc>
        <w:tc>
          <w:tcPr>
            <w:tcW w:w="4111" w:type="dxa"/>
          </w:tcPr>
          <w:p w14:paraId="376FE49F" w14:textId="77777777" w:rsidR="0000335F" w:rsidRPr="0000335F" w:rsidRDefault="0000335F">
            <w:pPr>
              <w:spacing w:after="0"/>
              <w:ind w:left="314" w:hanging="314"/>
              <w:rPr>
                <w:rFonts w:eastAsia="MS Mincho" w:cs="Arial"/>
                <w:bCs/>
              </w:rPr>
            </w:pPr>
            <w:r w:rsidRPr="0000335F">
              <w:rPr>
                <w:rFonts w:eastAsia="MS Mincho" w:cs="Arial"/>
                <w:bCs/>
              </w:rPr>
              <w:t xml:space="preserve">Practices: </w:t>
            </w:r>
          </w:p>
          <w:p w14:paraId="5AA27F47" w14:textId="77777777" w:rsidR="0000335F" w:rsidRPr="0000335F" w:rsidRDefault="0000335F" w:rsidP="003B0B17">
            <w:pPr>
              <w:numPr>
                <w:ilvl w:val="0"/>
                <w:numId w:val="255"/>
              </w:numPr>
              <w:spacing w:before="0" w:after="0"/>
              <w:ind w:left="318" w:hanging="283"/>
              <w:rPr>
                <w:rFonts w:eastAsia="MS Mincho" w:cs="Arial"/>
                <w:bCs/>
              </w:rPr>
            </w:pPr>
            <w:r w:rsidRPr="0000335F">
              <w:rPr>
                <w:rFonts w:eastAsia="MS Mincho" w:cs="Arial"/>
                <w:bCs/>
              </w:rPr>
              <w:t xml:space="preserve">Involvement of parents in a social group setting with aims for holistic improvements in language, health and school readiness was seen as important elements </w:t>
            </w:r>
          </w:p>
          <w:p w14:paraId="26F9A6A1" w14:textId="77777777" w:rsidR="0000335F" w:rsidRPr="0000335F" w:rsidRDefault="0000335F">
            <w:pPr>
              <w:spacing w:after="0"/>
              <w:rPr>
                <w:rFonts w:eastAsia="MS Mincho" w:cs="Arial"/>
                <w:bCs/>
              </w:rPr>
            </w:pPr>
            <w:r w:rsidRPr="0000335F">
              <w:rPr>
                <w:rFonts w:eastAsia="MS Mincho" w:cs="Arial"/>
                <w:bCs/>
              </w:rPr>
              <w:t xml:space="preserve">Findings highlighted </w:t>
            </w:r>
          </w:p>
          <w:p w14:paraId="527A2E2D" w14:textId="77777777" w:rsidR="0000335F" w:rsidRPr="0000335F" w:rsidRDefault="0000335F" w:rsidP="003B0B17">
            <w:pPr>
              <w:numPr>
                <w:ilvl w:val="0"/>
                <w:numId w:val="255"/>
              </w:numPr>
              <w:spacing w:before="0" w:after="0"/>
              <w:ind w:left="318" w:hanging="283"/>
              <w:rPr>
                <w:rFonts w:eastAsia="MS Mincho" w:cs="Arial"/>
                <w:bCs/>
              </w:rPr>
            </w:pPr>
            <w:r w:rsidRPr="0000335F">
              <w:rPr>
                <w:rFonts w:eastAsia="MS Mincho" w:cs="Arial"/>
                <w:bCs/>
              </w:rPr>
              <w:t xml:space="preserve">the value of ‘home’ language </w:t>
            </w:r>
          </w:p>
          <w:p w14:paraId="344A5D53" w14:textId="77777777" w:rsidR="0000335F" w:rsidRPr="0000335F" w:rsidRDefault="0000335F" w:rsidP="003B0B17">
            <w:pPr>
              <w:numPr>
                <w:ilvl w:val="0"/>
                <w:numId w:val="255"/>
              </w:numPr>
              <w:spacing w:before="0" w:after="0"/>
              <w:ind w:left="318" w:hanging="283"/>
              <w:rPr>
                <w:rFonts w:eastAsia="MS Mincho" w:cs="Arial"/>
                <w:bCs/>
              </w:rPr>
            </w:pPr>
            <w:r w:rsidRPr="0000335F">
              <w:rPr>
                <w:rFonts w:eastAsia="MS Mincho" w:cs="Arial"/>
                <w:bCs/>
              </w:rPr>
              <w:t>provided some insight as to barriers to early fitting of hearing aids (utility, stigma, influence of government control influencing willingness to be identified)</w:t>
            </w:r>
          </w:p>
          <w:p w14:paraId="23EAFEFD" w14:textId="77777777" w:rsidR="0000335F" w:rsidRPr="0000335F" w:rsidRDefault="0000335F" w:rsidP="003B0B17">
            <w:pPr>
              <w:numPr>
                <w:ilvl w:val="0"/>
                <w:numId w:val="255"/>
              </w:numPr>
              <w:spacing w:before="0" w:after="0"/>
              <w:ind w:left="318" w:hanging="283"/>
              <w:rPr>
                <w:rFonts w:eastAsia="MS Mincho" w:cs="Arial"/>
                <w:bCs/>
              </w:rPr>
            </w:pPr>
            <w:r w:rsidRPr="0000335F">
              <w:rPr>
                <w:rFonts w:eastAsia="MS Mincho" w:cs="Arial"/>
                <w:bCs/>
              </w:rPr>
              <w:t>high value of the program for school readiness</w:t>
            </w:r>
          </w:p>
          <w:p w14:paraId="0944EE7B" w14:textId="77777777" w:rsidR="0000335F" w:rsidRPr="0000335F" w:rsidRDefault="0000335F" w:rsidP="003B0B17">
            <w:pPr>
              <w:numPr>
                <w:ilvl w:val="0"/>
                <w:numId w:val="255"/>
              </w:numPr>
              <w:spacing w:before="0" w:after="0"/>
              <w:ind w:left="318" w:hanging="283"/>
              <w:rPr>
                <w:rFonts w:eastAsia="MS Mincho" w:cs="Arial"/>
                <w:bCs/>
              </w:rPr>
            </w:pPr>
            <w:r w:rsidRPr="0000335F">
              <w:rPr>
                <w:rFonts w:eastAsia="MS Mincho" w:cs="Arial"/>
                <w:bCs/>
              </w:rPr>
              <w:t>value of parent-peer engagement</w:t>
            </w:r>
          </w:p>
          <w:p w14:paraId="347D8B7F" w14:textId="77777777" w:rsidR="0000335F" w:rsidRPr="0000335F" w:rsidRDefault="0000335F" w:rsidP="003B0B17">
            <w:pPr>
              <w:numPr>
                <w:ilvl w:val="0"/>
                <w:numId w:val="255"/>
              </w:numPr>
              <w:spacing w:before="0" w:after="0"/>
              <w:ind w:left="318" w:hanging="283"/>
              <w:rPr>
                <w:rFonts w:eastAsia="MS Mincho" w:cs="Arial"/>
                <w:bCs/>
              </w:rPr>
            </w:pPr>
            <w:r w:rsidRPr="0000335F">
              <w:rPr>
                <w:rFonts w:eastAsia="MS Mincho" w:cs="Arial"/>
                <w:bCs/>
              </w:rPr>
              <w:t>need for greater cross sector collaboration (health-education).</w:t>
            </w:r>
          </w:p>
        </w:tc>
      </w:tr>
      <w:tr w:rsidR="0000335F" w:rsidRPr="0000335F" w14:paraId="390E0C73" w14:textId="77777777">
        <w:trPr>
          <w:cnfStyle w:val="000000010000" w:firstRow="0" w:lastRow="0" w:firstColumn="0" w:lastColumn="0" w:oddVBand="0" w:evenVBand="0" w:oddHBand="0" w:evenHBand="1" w:firstRowFirstColumn="0" w:firstRowLastColumn="0" w:lastRowFirstColumn="0" w:lastRowLastColumn="0"/>
          <w:trHeight w:val="244"/>
        </w:trPr>
        <w:tc>
          <w:tcPr>
            <w:tcW w:w="1052" w:type="dxa"/>
          </w:tcPr>
          <w:p w14:paraId="4CE2628B" w14:textId="77777777" w:rsidR="0000335F" w:rsidRPr="0000335F" w:rsidRDefault="0000335F">
            <w:pPr>
              <w:spacing w:after="0"/>
              <w:rPr>
                <w:rFonts w:eastAsia="MS Mincho" w:cs="Arial"/>
                <w:bCs/>
              </w:rPr>
            </w:pPr>
            <w:r w:rsidRPr="0000335F">
              <w:rPr>
                <w:rFonts w:eastAsia="MS Mincho" w:cs="Arial"/>
                <w:bCs/>
              </w:rPr>
              <w:t>Emerson, 2015</w:t>
            </w:r>
          </w:p>
        </w:tc>
        <w:tc>
          <w:tcPr>
            <w:tcW w:w="1783" w:type="dxa"/>
          </w:tcPr>
          <w:p w14:paraId="23EB4A23" w14:textId="77777777" w:rsidR="0000335F" w:rsidRPr="0000335F" w:rsidRDefault="0000335F">
            <w:pPr>
              <w:spacing w:after="0"/>
              <w:rPr>
                <w:rFonts w:eastAsia="MS Mincho" w:cs="Arial"/>
                <w:bCs/>
              </w:rPr>
            </w:pPr>
            <w:r w:rsidRPr="0000335F">
              <w:rPr>
                <w:rFonts w:eastAsia="MS Mincho" w:cs="Arial"/>
                <w:bCs/>
              </w:rPr>
              <w:t>Good Beginnings: Getting it right in the early years. Review of the evidence on the importance of a healthy start to life and on interventions to promote good beginnings</w:t>
            </w:r>
          </w:p>
          <w:p w14:paraId="1487D9D0" w14:textId="77777777" w:rsidR="0000335F" w:rsidRPr="0000335F" w:rsidRDefault="0000335F">
            <w:pPr>
              <w:spacing w:after="0"/>
              <w:rPr>
                <w:rFonts w:eastAsia="MS Mincho" w:cs="Arial"/>
                <w:bCs/>
              </w:rPr>
            </w:pPr>
          </w:p>
          <w:p w14:paraId="3ABBC3C6" w14:textId="77777777" w:rsidR="0000335F" w:rsidRPr="0000335F" w:rsidRDefault="0000335F">
            <w:pPr>
              <w:spacing w:after="0"/>
              <w:rPr>
                <w:rFonts w:eastAsia="MS Mincho" w:cs="Arial"/>
                <w:bCs/>
              </w:rPr>
            </w:pPr>
            <w:r w:rsidRPr="0000335F">
              <w:rPr>
                <w:rFonts w:eastAsia="MS Mincho" w:cs="Arial"/>
                <w:bCs/>
              </w:rPr>
              <w:t xml:space="preserve">Review </w:t>
            </w:r>
          </w:p>
        </w:tc>
        <w:tc>
          <w:tcPr>
            <w:tcW w:w="1410" w:type="dxa"/>
          </w:tcPr>
          <w:p w14:paraId="50525A25"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025927C5" w14:textId="77777777" w:rsidR="0000335F" w:rsidRPr="0000335F" w:rsidRDefault="0000335F">
            <w:pPr>
              <w:spacing w:after="0"/>
              <w:rPr>
                <w:rFonts w:eastAsia="MS Mincho" w:cs="Arial"/>
                <w:bCs/>
              </w:rPr>
            </w:pPr>
          </w:p>
        </w:tc>
        <w:tc>
          <w:tcPr>
            <w:tcW w:w="1992" w:type="dxa"/>
          </w:tcPr>
          <w:p w14:paraId="31575A61" w14:textId="77777777" w:rsidR="0000335F" w:rsidRPr="0000335F" w:rsidRDefault="0000335F">
            <w:pPr>
              <w:spacing w:after="0"/>
              <w:rPr>
                <w:rFonts w:eastAsia="MS Mincho" w:cs="Arial"/>
                <w:bCs/>
              </w:rPr>
            </w:pPr>
            <w:r w:rsidRPr="0000335F">
              <w:rPr>
                <w:rFonts w:eastAsia="MS Mincho" w:cs="Arial"/>
                <w:bCs/>
              </w:rPr>
              <w:t>To summarise what is known about the effectiveness of Australian and international programs delivered in the context of child and maternal health, early learning and positive parenting, and highlight the existing evidence about their implementation in Aboriginal and Torres Strait Islander communities</w:t>
            </w:r>
          </w:p>
          <w:p w14:paraId="7F32FC5A" w14:textId="77777777" w:rsidR="0000335F" w:rsidRPr="0000335F" w:rsidRDefault="0000335F">
            <w:pPr>
              <w:spacing w:after="0"/>
              <w:rPr>
                <w:rFonts w:eastAsia="MS Mincho" w:cs="Arial"/>
                <w:bCs/>
              </w:rPr>
            </w:pPr>
            <w:r w:rsidRPr="0000335F">
              <w:rPr>
                <w:rFonts w:eastAsia="MS Mincho" w:cs="Arial"/>
                <w:bCs/>
              </w:rPr>
              <w:t>To evaluate the effectiveness and rank the interventions based on evidence</w:t>
            </w:r>
          </w:p>
        </w:tc>
        <w:tc>
          <w:tcPr>
            <w:tcW w:w="3686" w:type="dxa"/>
          </w:tcPr>
          <w:p w14:paraId="6207F39E" w14:textId="77777777" w:rsidR="0000335F" w:rsidRPr="0000335F" w:rsidRDefault="0000335F">
            <w:pPr>
              <w:spacing w:after="0"/>
              <w:ind w:left="316" w:hanging="316"/>
              <w:rPr>
                <w:rFonts w:eastAsia="MS Mincho" w:cs="Arial"/>
                <w:bCs/>
              </w:rPr>
            </w:pPr>
            <w:r w:rsidRPr="0000335F">
              <w:rPr>
                <w:rFonts w:eastAsia="MS Mincho" w:cs="Arial"/>
                <w:bCs/>
              </w:rPr>
              <w:t xml:space="preserve">Interventions are grouped by: </w:t>
            </w:r>
          </w:p>
          <w:p w14:paraId="6619D607" w14:textId="77777777" w:rsidR="0000335F" w:rsidRPr="0000335F" w:rsidRDefault="0000335F" w:rsidP="003B0B17">
            <w:pPr>
              <w:numPr>
                <w:ilvl w:val="0"/>
                <w:numId w:val="245"/>
              </w:numPr>
              <w:spacing w:before="0" w:after="0"/>
              <w:ind w:left="316" w:hanging="316"/>
              <w:rPr>
                <w:rFonts w:eastAsia="MS Mincho" w:cs="Arial"/>
                <w:bCs/>
              </w:rPr>
            </w:pPr>
            <w:r w:rsidRPr="0000335F">
              <w:rPr>
                <w:rFonts w:eastAsia="MS Mincho" w:cs="Arial"/>
                <w:bCs/>
              </w:rPr>
              <w:t xml:space="preserve">Maternal and child health interventions </w:t>
            </w:r>
          </w:p>
          <w:p w14:paraId="0834BE63" w14:textId="77777777" w:rsidR="0000335F" w:rsidRPr="0000335F" w:rsidRDefault="0000335F" w:rsidP="003B0B17">
            <w:pPr>
              <w:numPr>
                <w:ilvl w:val="0"/>
                <w:numId w:val="245"/>
              </w:numPr>
              <w:spacing w:before="0" w:after="0"/>
              <w:ind w:left="316" w:hanging="316"/>
              <w:rPr>
                <w:rFonts w:eastAsia="MS Mincho" w:cs="Arial"/>
                <w:bCs/>
              </w:rPr>
            </w:pPr>
            <w:r w:rsidRPr="0000335F">
              <w:rPr>
                <w:rFonts w:eastAsia="MS Mincho" w:cs="Arial"/>
                <w:bCs/>
              </w:rPr>
              <w:t>Early learning interventions</w:t>
            </w:r>
          </w:p>
          <w:p w14:paraId="6A788865" w14:textId="77777777" w:rsidR="0000335F" w:rsidRPr="0000335F" w:rsidRDefault="0000335F" w:rsidP="003B0B17">
            <w:pPr>
              <w:numPr>
                <w:ilvl w:val="0"/>
                <w:numId w:val="245"/>
              </w:numPr>
              <w:spacing w:before="0" w:after="0"/>
              <w:ind w:left="316" w:hanging="316"/>
              <w:rPr>
                <w:rFonts w:eastAsia="MS Mincho" w:cs="Arial"/>
                <w:bCs/>
              </w:rPr>
            </w:pPr>
            <w:r w:rsidRPr="0000335F">
              <w:rPr>
                <w:rFonts w:eastAsia="MS Mincho" w:cs="Arial"/>
                <w:bCs/>
              </w:rPr>
              <w:t>Positive parenting interventions</w:t>
            </w:r>
          </w:p>
          <w:p w14:paraId="2D157FE1" w14:textId="77777777" w:rsidR="0000335F" w:rsidRPr="0000335F" w:rsidRDefault="0000335F" w:rsidP="003B0B17">
            <w:pPr>
              <w:numPr>
                <w:ilvl w:val="0"/>
                <w:numId w:val="245"/>
              </w:numPr>
              <w:spacing w:before="0" w:after="0"/>
              <w:ind w:left="316" w:hanging="316"/>
              <w:rPr>
                <w:rFonts w:eastAsia="MS Mincho" w:cs="Arial"/>
                <w:bCs/>
              </w:rPr>
            </w:pPr>
            <w:r w:rsidRPr="0000335F">
              <w:rPr>
                <w:rFonts w:eastAsia="MS Mincho" w:cs="Arial"/>
                <w:bCs/>
              </w:rPr>
              <w:t>Integrated service delivery</w:t>
            </w:r>
          </w:p>
          <w:p w14:paraId="2CD7B7E0" w14:textId="77777777" w:rsidR="0000335F" w:rsidRPr="0000335F" w:rsidRDefault="0000335F">
            <w:pPr>
              <w:spacing w:after="0"/>
              <w:ind w:left="720"/>
              <w:rPr>
                <w:rFonts w:eastAsia="MS Mincho" w:cs="Arial"/>
                <w:bCs/>
              </w:rPr>
            </w:pPr>
          </w:p>
          <w:p w14:paraId="6AB5DDBF" w14:textId="77777777" w:rsidR="0000335F" w:rsidRPr="0000335F" w:rsidRDefault="0000335F">
            <w:pPr>
              <w:spacing w:after="0"/>
              <w:ind w:left="316" w:hanging="316"/>
              <w:rPr>
                <w:rFonts w:eastAsia="MS Mincho" w:cs="Arial"/>
                <w:bCs/>
              </w:rPr>
            </w:pPr>
            <w:r w:rsidRPr="0000335F">
              <w:rPr>
                <w:rFonts w:eastAsia="MS Mincho" w:cs="Arial"/>
                <w:bCs/>
              </w:rPr>
              <w:t>Interventions that are designed specifically for Aboriginal and Torres Strait Islander families have limited evidence, yet</w:t>
            </w:r>
          </w:p>
          <w:p w14:paraId="5E08CC44" w14:textId="77777777" w:rsidR="0000335F" w:rsidRPr="0000335F" w:rsidRDefault="0000335F">
            <w:pPr>
              <w:spacing w:after="0"/>
              <w:ind w:left="316" w:hanging="316"/>
              <w:rPr>
                <w:rFonts w:eastAsia="MS Mincho" w:cs="Arial"/>
                <w:bCs/>
              </w:rPr>
            </w:pPr>
            <w:r w:rsidRPr="0000335F">
              <w:rPr>
                <w:rFonts w:eastAsia="MS Mincho" w:cs="Arial"/>
                <w:bCs/>
              </w:rPr>
              <w:t>Interventions that have been adapted for Aboriginal and Torres Strait Islander families have some evidence of effectiveness</w:t>
            </w:r>
          </w:p>
          <w:p w14:paraId="12912B6A" w14:textId="77777777" w:rsidR="0000335F" w:rsidRPr="0000335F" w:rsidRDefault="0000335F">
            <w:pPr>
              <w:spacing w:after="0"/>
              <w:ind w:left="316" w:hanging="316"/>
              <w:rPr>
                <w:rFonts w:eastAsia="MS Mincho" w:cs="Arial"/>
                <w:bCs/>
              </w:rPr>
            </w:pPr>
            <w:r w:rsidRPr="0000335F">
              <w:rPr>
                <w:rFonts w:eastAsia="MS Mincho" w:cs="Arial"/>
                <w:bCs/>
              </w:rPr>
              <w:t>Interventions that have evidence they are effective have not been evaluated with Aboriginal and Torres Strait Islander families</w:t>
            </w:r>
          </w:p>
          <w:p w14:paraId="663B4BC2" w14:textId="77777777" w:rsidR="0000335F" w:rsidRPr="0000335F" w:rsidRDefault="0000335F">
            <w:pPr>
              <w:spacing w:after="0"/>
              <w:ind w:left="316" w:hanging="316"/>
              <w:rPr>
                <w:rFonts w:eastAsia="MS Mincho" w:cs="Arial"/>
                <w:bCs/>
              </w:rPr>
            </w:pPr>
            <w:r w:rsidRPr="0000335F">
              <w:rPr>
                <w:rFonts w:eastAsia="MS Mincho" w:cs="Arial"/>
                <w:bCs/>
              </w:rPr>
              <w:t xml:space="preserve">Most evidence-based programs have not been tested through RCTs in Australia (let alone in Aboriginal and Torres Strait Islander communities) </w:t>
            </w:r>
          </w:p>
        </w:tc>
        <w:tc>
          <w:tcPr>
            <w:tcW w:w="4111" w:type="dxa"/>
          </w:tcPr>
          <w:p w14:paraId="0BD651E8" w14:textId="77777777" w:rsidR="0000335F" w:rsidRPr="0000335F" w:rsidRDefault="0000335F">
            <w:pPr>
              <w:spacing w:after="0"/>
              <w:rPr>
                <w:rFonts w:eastAsia="MS Mincho" w:cs="Arial"/>
                <w:bCs/>
              </w:rPr>
            </w:pPr>
            <w:r w:rsidRPr="0000335F">
              <w:rPr>
                <w:rFonts w:eastAsia="MS Mincho" w:cs="Arial"/>
                <w:bCs/>
              </w:rPr>
              <w:t xml:space="preserve">Practices: </w:t>
            </w:r>
          </w:p>
          <w:p w14:paraId="3810F17F" w14:textId="77777777" w:rsidR="0000335F" w:rsidRPr="0000335F" w:rsidRDefault="0000335F">
            <w:pPr>
              <w:spacing w:after="0"/>
              <w:rPr>
                <w:rFonts w:eastAsia="MS Mincho" w:cs="Arial"/>
                <w:bCs/>
              </w:rPr>
            </w:pPr>
            <w:r w:rsidRPr="0000335F">
              <w:rPr>
                <w:rFonts w:eastAsia="MS Mincho" w:cs="Arial"/>
                <w:bCs/>
              </w:rPr>
              <w:t xml:space="preserve">Effective service delivery strategies when working with Aboriginal and Torres Strait Islander families include: </w:t>
            </w:r>
          </w:p>
          <w:p w14:paraId="7D0D6229" w14:textId="77777777" w:rsidR="0000335F" w:rsidRPr="0000335F" w:rsidRDefault="0000335F" w:rsidP="003B0B17">
            <w:pPr>
              <w:numPr>
                <w:ilvl w:val="0"/>
                <w:numId w:val="247"/>
              </w:numPr>
              <w:spacing w:before="0" w:after="0"/>
              <w:ind w:left="456"/>
              <w:rPr>
                <w:rFonts w:eastAsia="MS Mincho" w:cs="Arial"/>
                <w:bCs/>
              </w:rPr>
            </w:pPr>
            <w:r w:rsidRPr="0000335F">
              <w:rPr>
                <w:rFonts w:eastAsia="MS Mincho" w:cs="Arial"/>
                <w:bCs/>
              </w:rPr>
              <w:t xml:space="preserve">Doing projects with, not for, Aboriginal and Torres Strait Islander families. </w:t>
            </w:r>
          </w:p>
          <w:p w14:paraId="057BB49C" w14:textId="77777777" w:rsidR="0000335F" w:rsidRPr="0000335F" w:rsidRDefault="0000335F" w:rsidP="003B0B17">
            <w:pPr>
              <w:numPr>
                <w:ilvl w:val="0"/>
                <w:numId w:val="247"/>
              </w:numPr>
              <w:spacing w:before="0" w:after="0"/>
              <w:ind w:left="456"/>
              <w:rPr>
                <w:rFonts w:eastAsia="MS Mincho" w:cs="Arial"/>
                <w:bCs/>
              </w:rPr>
            </w:pPr>
            <w:r w:rsidRPr="0000335F">
              <w:rPr>
                <w:rFonts w:eastAsia="MS Mincho" w:cs="Arial"/>
                <w:bCs/>
              </w:rPr>
              <w:t>Respect for language and culture is critical</w:t>
            </w:r>
          </w:p>
          <w:p w14:paraId="75CC85EE" w14:textId="77777777" w:rsidR="0000335F" w:rsidRPr="0000335F" w:rsidRDefault="0000335F" w:rsidP="003B0B17">
            <w:pPr>
              <w:numPr>
                <w:ilvl w:val="0"/>
                <w:numId w:val="247"/>
              </w:numPr>
              <w:spacing w:before="0" w:after="0"/>
              <w:ind w:left="456"/>
              <w:rPr>
                <w:rFonts w:eastAsia="MS Mincho" w:cs="Arial"/>
                <w:bCs/>
              </w:rPr>
            </w:pPr>
            <w:r w:rsidRPr="0000335F">
              <w:rPr>
                <w:rFonts w:eastAsia="MS Mincho" w:cs="Arial"/>
                <w:bCs/>
              </w:rPr>
              <w:t>Working together through partnerships, networks and shared leadership</w:t>
            </w:r>
          </w:p>
          <w:p w14:paraId="423B03AE" w14:textId="77777777" w:rsidR="0000335F" w:rsidRPr="0000335F" w:rsidRDefault="0000335F" w:rsidP="003B0B17">
            <w:pPr>
              <w:numPr>
                <w:ilvl w:val="0"/>
                <w:numId w:val="247"/>
              </w:numPr>
              <w:spacing w:before="0" w:after="0"/>
              <w:ind w:left="456"/>
              <w:rPr>
                <w:rFonts w:eastAsia="MS Mincho" w:cs="Arial"/>
                <w:bCs/>
              </w:rPr>
            </w:pPr>
            <w:r w:rsidRPr="0000335F">
              <w:rPr>
                <w:rFonts w:eastAsia="MS Mincho" w:cs="Arial"/>
                <w:bCs/>
              </w:rPr>
              <w:t>Holistic and integrated approaches, recognising and building strengths</w:t>
            </w:r>
          </w:p>
          <w:p w14:paraId="6D090C97" w14:textId="77777777" w:rsidR="0000335F" w:rsidRPr="0000335F" w:rsidRDefault="0000335F" w:rsidP="003B0B17">
            <w:pPr>
              <w:numPr>
                <w:ilvl w:val="0"/>
                <w:numId w:val="247"/>
              </w:numPr>
              <w:spacing w:before="0" w:after="0"/>
              <w:ind w:left="456"/>
              <w:rPr>
                <w:rFonts w:eastAsia="MS Mincho" w:cs="Arial"/>
                <w:bCs/>
              </w:rPr>
            </w:pPr>
            <w:r w:rsidRPr="0000335F">
              <w:rPr>
                <w:rFonts w:eastAsia="MS Mincho" w:cs="Arial"/>
                <w:bCs/>
              </w:rPr>
              <w:t>Address experiences of trauma and avenues for healing</w:t>
            </w:r>
          </w:p>
          <w:p w14:paraId="0F34E9A8" w14:textId="77777777" w:rsidR="0000335F" w:rsidRPr="0000335F" w:rsidRDefault="0000335F" w:rsidP="003B0B17">
            <w:pPr>
              <w:numPr>
                <w:ilvl w:val="0"/>
                <w:numId w:val="247"/>
              </w:numPr>
              <w:spacing w:before="0" w:after="0"/>
              <w:ind w:left="456"/>
              <w:rPr>
                <w:rFonts w:eastAsia="MS Mincho" w:cs="Arial"/>
                <w:bCs/>
              </w:rPr>
            </w:pPr>
            <w:r w:rsidRPr="0000335F">
              <w:rPr>
                <w:rFonts w:eastAsia="MS Mincho" w:cs="Arial"/>
                <w:bCs/>
              </w:rPr>
              <w:t xml:space="preserve">Need for skilled practitioners with high levels of cultural competence </w:t>
            </w:r>
          </w:p>
          <w:p w14:paraId="7BF47B9D" w14:textId="77777777" w:rsidR="0000335F" w:rsidRPr="0000335F" w:rsidRDefault="0000335F" w:rsidP="003B0B17">
            <w:pPr>
              <w:numPr>
                <w:ilvl w:val="0"/>
                <w:numId w:val="247"/>
              </w:numPr>
              <w:spacing w:before="0" w:after="0"/>
              <w:ind w:left="456"/>
              <w:rPr>
                <w:rFonts w:eastAsia="MS Mincho" w:cs="Arial"/>
                <w:bCs/>
              </w:rPr>
            </w:pPr>
            <w:r w:rsidRPr="0000335F">
              <w:rPr>
                <w:rFonts w:eastAsia="MS Mincho" w:cs="Arial"/>
                <w:bCs/>
              </w:rPr>
              <w:t>Develop social capital and recognise social determinants</w:t>
            </w:r>
          </w:p>
          <w:p w14:paraId="6D372EF8" w14:textId="77777777" w:rsidR="0000335F" w:rsidRPr="0000335F" w:rsidRDefault="0000335F">
            <w:pPr>
              <w:spacing w:after="0"/>
              <w:rPr>
                <w:rFonts w:eastAsia="MS Mincho" w:cs="Arial"/>
                <w:bCs/>
              </w:rPr>
            </w:pPr>
            <w:r w:rsidRPr="0000335F">
              <w:rPr>
                <w:rFonts w:eastAsia="MS Mincho" w:cs="Arial"/>
                <w:bCs/>
              </w:rPr>
              <w:t>Systems level:</w:t>
            </w:r>
          </w:p>
          <w:p w14:paraId="7911C060" w14:textId="77777777" w:rsidR="0000335F" w:rsidRPr="0000335F" w:rsidRDefault="0000335F">
            <w:pPr>
              <w:spacing w:after="0"/>
              <w:ind w:left="314" w:hanging="283"/>
              <w:rPr>
                <w:rFonts w:eastAsia="MS Mincho" w:cs="Arial"/>
                <w:bCs/>
              </w:rPr>
            </w:pPr>
            <w:r w:rsidRPr="0000335F">
              <w:rPr>
                <w:rFonts w:eastAsia="MS Mincho" w:cs="Arial"/>
                <w:bCs/>
              </w:rPr>
              <w:t>Drive more consistent collection of outcomes data and investment in impact evaluation</w:t>
            </w:r>
          </w:p>
        </w:tc>
      </w:tr>
      <w:tr w:rsidR="0000335F" w:rsidRPr="0000335F" w14:paraId="1CF283A4" w14:textId="77777777">
        <w:trPr>
          <w:cnfStyle w:val="000000100000" w:firstRow="0" w:lastRow="0" w:firstColumn="0" w:lastColumn="0" w:oddVBand="0" w:evenVBand="0" w:oddHBand="1" w:evenHBand="0" w:firstRowFirstColumn="0" w:firstRowLastColumn="0" w:lastRowFirstColumn="0" w:lastRowLastColumn="0"/>
          <w:trHeight w:val="244"/>
        </w:trPr>
        <w:tc>
          <w:tcPr>
            <w:tcW w:w="1052" w:type="dxa"/>
          </w:tcPr>
          <w:p w14:paraId="6B006F11" w14:textId="77777777" w:rsidR="0000335F" w:rsidRPr="0000335F" w:rsidRDefault="0000335F">
            <w:pPr>
              <w:spacing w:after="0"/>
              <w:rPr>
                <w:rFonts w:eastAsia="MS Mincho" w:cs="Arial"/>
              </w:rPr>
            </w:pPr>
            <w:r w:rsidRPr="0000335F">
              <w:rPr>
                <w:rFonts w:eastAsia="MS Mincho" w:cs="Arial"/>
              </w:rPr>
              <w:t>Arcos Holzinger &amp; Biddle, 2015</w:t>
            </w:r>
          </w:p>
        </w:tc>
        <w:tc>
          <w:tcPr>
            <w:tcW w:w="1783" w:type="dxa"/>
          </w:tcPr>
          <w:p w14:paraId="0AB1D079" w14:textId="77777777" w:rsidR="0000335F" w:rsidRPr="0000335F" w:rsidRDefault="0000335F">
            <w:pPr>
              <w:spacing w:after="0"/>
              <w:rPr>
                <w:rFonts w:eastAsia="MS Mincho" w:cs="Arial"/>
                <w:bCs/>
              </w:rPr>
            </w:pPr>
            <w:r w:rsidRPr="0000335F">
              <w:rPr>
                <w:rFonts w:eastAsia="MS Mincho" w:cs="Arial"/>
                <w:bCs/>
              </w:rPr>
              <w:t>The relationship between ECEC and the outcomes of Indigenous children: Evidence from the Longitudinal Study of Indigenous Children.</w:t>
            </w:r>
          </w:p>
          <w:p w14:paraId="629757A5" w14:textId="77777777" w:rsidR="0000335F" w:rsidRPr="0000335F" w:rsidRDefault="0000335F">
            <w:pPr>
              <w:spacing w:after="0"/>
              <w:rPr>
                <w:rFonts w:eastAsia="MS Mincho" w:cs="Arial"/>
                <w:bCs/>
              </w:rPr>
            </w:pPr>
          </w:p>
          <w:p w14:paraId="630A3CCA" w14:textId="77777777" w:rsidR="0000335F" w:rsidRPr="0000335F" w:rsidRDefault="0000335F">
            <w:pPr>
              <w:spacing w:after="0"/>
              <w:rPr>
                <w:rFonts w:eastAsia="MS Mincho" w:cs="Arial"/>
                <w:bCs/>
              </w:rPr>
            </w:pPr>
            <w:r w:rsidRPr="0000335F">
              <w:rPr>
                <w:rFonts w:eastAsia="MS Mincho" w:cs="Arial"/>
                <w:bCs/>
              </w:rPr>
              <w:t>Longitudinal study.</w:t>
            </w:r>
          </w:p>
        </w:tc>
        <w:tc>
          <w:tcPr>
            <w:tcW w:w="1410" w:type="dxa"/>
          </w:tcPr>
          <w:p w14:paraId="1ACB0826"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tc>
        <w:tc>
          <w:tcPr>
            <w:tcW w:w="1992" w:type="dxa"/>
          </w:tcPr>
          <w:p w14:paraId="7A044975" w14:textId="77777777" w:rsidR="0000335F" w:rsidRPr="0000335F" w:rsidRDefault="0000335F">
            <w:pPr>
              <w:spacing w:after="0"/>
              <w:rPr>
                <w:rFonts w:eastAsia="MS Mincho" w:cs="Arial"/>
              </w:rPr>
            </w:pPr>
            <w:r w:rsidRPr="0000335F">
              <w:rPr>
                <w:rFonts w:eastAsia="MS Mincho" w:cs="Arial"/>
              </w:rPr>
              <w:t>To understand the effects of preschool participation developmental and cognitive outcomes of Aboriginal and Torres Strait Islander children</w:t>
            </w:r>
          </w:p>
          <w:p w14:paraId="1182FB6D" w14:textId="77777777" w:rsidR="0000335F" w:rsidRPr="0000335F" w:rsidRDefault="0000335F">
            <w:pPr>
              <w:spacing w:after="0"/>
              <w:rPr>
                <w:rFonts w:eastAsia="MS Mincho" w:cs="Arial"/>
                <w:bCs/>
              </w:rPr>
            </w:pPr>
          </w:p>
        </w:tc>
        <w:tc>
          <w:tcPr>
            <w:tcW w:w="3686" w:type="dxa"/>
          </w:tcPr>
          <w:p w14:paraId="68F44A0E" w14:textId="77777777" w:rsidR="0000335F" w:rsidRPr="0000335F" w:rsidRDefault="0000335F">
            <w:pPr>
              <w:spacing w:after="0"/>
              <w:ind w:left="316" w:hanging="316"/>
              <w:rPr>
                <w:rFonts w:eastAsia="MS Mincho" w:cs="Arial"/>
                <w:bCs/>
                <w:lang w:val="en-US"/>
              </w:rPr>
            </w:pPr>
            <w:r w:rsidRPr="0000335F">
              <w:rPr>
                <w:rFonts w:eastAsia="MS Mincho" w:cs="Arial"/>
                <w:bCs/>
                <w:lang w:val="en-US"/>
              </w:rPr>
              <w:t>Preschool attendance associated with better short-term cognitive outcomes, and better long-term cognitive and developmental outcomes</w:t>
            </w:r>
          </w:p>
          <w:p w14:paraId="7EC9E388" w14:textId="77777777" w:rsidR="0000335F" w:rsidRPr="0000335F" w:rsidRDefault="0000335F">
            <w:pPr>
              <w:spacing w:after="0"/>
              <w:ind w:left="316" w:hanging="316"/>
              <w:rPr>
                <w:rFonts w:eastAsia="MS Mincho" w:cs="Arial"/>
                <w:bCs/>
                <w:lang w:val="en-US"/>
              </w:rPr>
            </w:pPr>
            <w:r w:rsidRPr="0000335F">
              <w:rPr>
                <w:rFonts w:eastAsia="MS Mincho" w:cs="Arial"/>
                <w:bCs/>
                <w:lang w:val="en-US"/>
              </w:rPr>
              <w:t>No significant effects of number of hours attended</w:t>
            </w:r>
          </w:p>
        </w:tc>
        <w:tc>
          <w:tcPr>
            <w:tcW w:w="4111" w:type="dxa"/>
          </w:tcPr>
          <w:p w14:paraId="222AE08E" w14:textId="77777777" w:rsidR="0000335F" w:rsidRPr="0000335F" w:rsidRDefault="0000335F">
            <w:pPr>
              <w:spacing w:after="0"/>
              <w:ind w:left="314" w:hanging="314"/>
              <w:rPr>
                <w:rFonts w:eastAsia="MS Mincho" w:cs="Arial"/>
                <w:bCs/>
              </w:rPr>
            </w:pPr>
            <w:r w:rsidRPr="0000335F">
              <w:rPr>
                <w:rFonts w:eastAsia="MS Mincho" w:cs="Arial"/>
                <w:bCs/>
              </w:rPr>
              <w:t>Practices:</w:t>
            </w:r>
          </w:p>
          <w:p w14:paraId="61F55CB5" w14:textId="77777777" w:rsidR="0000335F" w:rsidRPr="0000335F" w:rsidRDefault="0000335F" w:rsidP="003B0B17">
            <w:pPr>
              <w:numPr>
                <w:ilvl w:val="0"/>
                <w:numId w:val="256"/>
              </w:numPr>
              <w:spacing w:before="0" w:after="0"/>
              <w:ind w:left="318" w:hanging="283"/>
              <w:rPr>
                <w:rFonts w:eastAsia="MS Mincho" w:cs="Arial"/>
                <w:bCs/>
              </w:rPr>
            </w:pPr>
            <w:r w:rsidRPr="0000335F">
              <w:rPr>
                <w:rFonts w:eastAsia="MS Mincho" w:cs="Arial"/>
                <w:bCs/>
              </w:rPr>
              <w:t>Childcare attendance was associated with longer term cognitive and developmental improvements, but there is also some evidence that spending too long at childcare can be detrimental to children’s developmental and cognitive outcomes.</w:t>
            </w:r>
          </w:p>
        </w:tc>
      </w:tr>
      <w:tr w:rsidR="0000335F" w:rsidRPr="0000335F" w14:paraId="6A4CF2AD" w14:textId="77777777">
        <w:trPr>
          <w:cnfStyle w:val="000000010000" w:firstRow="0" w:lastRow="0" w:firstColumn="0" w:lastColumn="0" w:oddVBand="0" w:evenVBand="0" w:oddHBand="0" w:evenHBand="1" w:firstRowFirstColumn="0" w:firstRowLastColumn="0" w:lastRowFirstColumn="0" w:lastRowLastColumn="0"/>
          <w:trHeight w:val="244"/>
        </w:trPr>
        <w:tc>
          <w:tcPr>
            <w:tcW w:w="1052" w:type="dxa"/>
          </w:tcPr>
          <w:p w14:paraId="1EB0F609" w14:textId="77777777" w:rsidR="0000335F" w:rsidRPr="0000335F" w:rsidRDefault="0000335F">
            <w:pPr>
              <w:spacing w:after="0"/>
              <w:rPr>
                <w:rFonts w:eastAsia="MS Mincho" w:cs="Arial"/>
                <w:bCs/>
              </w:rPr>
            </w:pPr>
            <w:r w:rsidRPr="0000335F">
              <w:rPr>
                <w:rFonts w:eastAsia="MS Mincho" w:cs="Arial"/>
                <w:bCs/>
              </w:rPr>
              <w:t>SNAICC, 2012</w:t>
            </w:r>
          </w:p>
        </w:tc>
        <w:tc>
          <w:tcPr>
            <w:tcW w:w="1783" w:type="dxa"/>
          </w:tcPr>
          <w:p w14:paraId="05DB6761" w14:textId="77777777" w:rsidR="0000335F" w:rsidRPr="0000335F" w:rsidRDefault="0000335F">
            <w:pPr>
              <w:spacing w:after="0"/>
              <w:rPr>
                <w:rFonts w:eastAsia="MS Mincho" w:cs="Arial"/>
                <w:bCs/>
              </w:rPr>
            </w:pPr>
            <w:r w:rsidRPr="0000335F">
              <w:rPr>
                <w:rFonts w:eastAsia="MS Mincho" w:cs="Arial"/>
                <w:bCs/>
              </w:rPr>
              <w:t>Learning from Good Practice: Implementing the Early Years Learning Framework for Aboriginal and Torres Strait Islander Children.</w:t>
            </w:r>
          </w:p>
          <w:p w14:paraId="4D1998E1" w14:textId="77777777" w:rsidR="0000335F" w:rsidRPr="0000335F" w:rsidRDefault="0000335F">
            <w:pPr>
              <w:spacing w:after="0"/>
              <w:rPr>
                <w:rFonts w:eastAsia="MS Mincho" w:cs="Arial"/>
                <w:bCs/>
              </w:rPr>
            </w:pPr>
          </w:p>
          <w:p w14:paraId="6A0AC2C2" w14:textId="77777777" w:rsidR="0000335F" w:rsidRPr="0000335F" w:rsidRDefault="0000335F">
            <w:pPr>
              <w:spacing w:after="0"/>
              <w:rPr>
                <w:rFonts w:eastAsia="MS Mincho" w:cs="Arial"/>
                <w:bCs/>
              </w:rPr>
            </w:pPr>
            <w:r w:rsidRPr="0000335F">
              <w:rPr>
                <w:rFonts w:eastAsia="MS Mincho" w:cs="Arial"/>
                <w:bCs/>
              </w:rPr>
              <w:t>Gov. report</w:t>
            </w:r>
          </w:p>
        </w:tc>
        <w:tc>
          <w:tcPr>
            <w:tcW w:w="1410" w:type="dxa"/>
          </w:tcPr>
          <w:p w14:paraId="39DE7035"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25837207" w14:textId="77777777" w:rsidR="0000335F" w:rsidRPr="0000335F" w:rsidRDefault="0000335F">
            <w:pPr>
              <w:spacing w:after="0"/>
              <w:rPr>
                <w:rFonts w:eastAsia="MS Mincho" w:cs="Arial"/>
                <w:bCs/>
              </w:rPr>
            </w:pPr>
          </w:p>
        </w:tc>
        <w:tc>
          <w:tcPr>
            <w:tcW w:w="1992" w:type="dxa"/>
          </w:tcPr>
          <w:p w14:paraId="3EBA490A" w14:textId="77777777" w:rsidR="0000335F" w:rsidRPr="0000335F" w:rsidRDefault="0000335F">
            <w:pPr>
              <w:spacing w:after="0"/>
              <w:rPr>
                <w:rFonts w:eastAsia="MS Mincho" w:cs="Arial"/>
                <w:bCs/>
              </w:rPr>
            </w:pPr>
            <w:r w:rsidRPr="0000335F">
              <w:rPr>
                <w:rFonts w:eastAsia="MS Mincho" w:cs="Arial"/>
                <w:bCs/>
              </w:rPr>
              <w:t>To explore whether and how Aboriginal and Torres Strait Islander Early Childhood Education and Care services are implementing the Early Years Learning Framework</w:t>
            </w:r>
          </w:p>
        </w:tc>
        <w:tc>
          <w:tcPr>
            <w:tcW w:w="3686" w:type="dxa"/>
          </w:tcPr>
          <w:p w14:paraId="0B90DDF3" w14:textId="77777777" w:rsidR="0000335F" w:rsidRPr="0000335F" w:rsidRDefault="0000335F">
            <w:pPr>
              <w:spacing w:after="0"/>
              <w:ind w:left="316" w:hanging="316"/>
              <w:rPr>
                <w:rFonts w:eastAsia="MS Mincho" w:cs="Arial"/>
                <w:bCs/>
                <w:lang w:val="en-US"/>
              </w:rPr>
            </w:pPr>
            <w:r w:rsidRPr="0000335F">
              <w:rPr>
                <w:rFonts w:eastAsia="MS Mincho" w:cs="Arial"/>
                <w:bCs/>
                <w:lang w:val="en-US"/>
              </w:rPr>
              <w:t xml:space="preserve">ECEC services implementing the Early Years Learning Framework provide authentic and valuable examples of good practice. </w:t>
            </w:r>
          </w:p>
          <w:p w14:paraId="4F9F7A89" w14:textId="77777777" w:rsidR="0000335F" w:rsidRPr="0000335F" w:rsidRDefault="0000335F">
            <w:pPr>
              <w:spacing w:after="0"/>
              <w:ind w:left="316" w:hanging="316"/>
              <w:rPr>
                <w:rFonts w:eastAsia="MS Mincho" w:cs="Arial"/>
                <w:bCs/>
                <w:lang w:val="en-US"/>
              </w:rPr>
            </w:pPr>
            <w:r w:rsidRPr="0000335F">
              <w:rPr>
                <w:rFonts w:eastAsia="MS Mincho" w:cs="Arial"/>
                <w:bCs/>
                <w:lang w:val="en-US"/>
              </w:rPr>
              <w:t xml:space="preserve">The holistic, culturally empowering and comprehensive approach towards children’s development demonstrated by the services incorporates key Framework outcomes, principles and practices. They view children’s wellbeing in a broad, holistic sense. </w:t>
            </w:r>
          </w:p>
          <w:p w14:paraId="342CA9A5" w14:textId="77777777" w:rsidR="0000335F" w:rsidRPr="0000335F" w:rsidRDefault="0000335F">
            <w:pPr>
              <w:spacing w:after="0"/>
              <w:ind w:left="316" w:hanging="316"/>
              <w:rPr>
                <w:rFonts w:eastAsia="MS Mincho" w:cs="Arial"/>
                <w:bCs/>
                <w:lang w:val="en-US"/>
              </w:rPr>
            </w:pPr>
            <w:r w:rsidRPr="0000335F">
              <w:rPr>
                <w:rFonts w:eastAsia="MS Mincho" w:cs="Arial"/>
                <w:bCs/>
                <w:lang w:val="en-US"/>
              </w:rPr>
              <w:t xml:space="preserve">To ensure improved wellbeing and developmental outcomes for Aboriginal and Torres Strait Islander children, services require ongoing and stable support (funding, workforce development, infrastructure). </w:t>
            </w:r>
          </w:p>
        </w:tc>
        <w:tc>
          <w:tcPr>
            <w:tcW w:w="4111" w:type="dxa"/>
          </w:tcPr>
          <w:p w14:paraId="3074EA8C" w14:textId="77777777" w:rsidR="0000335F" w:rsidRPr="0000335F" w:rsidRDefault="0000335F">
            <w:pPr>
              <w:spacing w:after="0"/>
              <w:rPr>
                <w:rFonts w:eastAsia="MS Mincho" w:cs="Arial"/>
                <w:bCs/>
              </w:rPr>
            </w:pPr>
            <w:r w:rsidRPr="0000335F">
              <w:rPr>
                <w:rFonts w:eastAsia="MS Mincho" w:cs="Arial"/>
                <w:bCs/>
              </w:rPr>
              <w:t>Systems-level</w:t>
            </w:r>
          </w:p>
          <w:p w14:paraId="1056BAE7" w14:textId="77777777" w:rsidR="0000335F" w:rsidRPr="0000335F" w:rsidRDefault="0000335F" w:rsidP="003B0B17">
            <w:pPr>
              <w:numPr>
                <w:ilvl w:val="0"/>
                <w:numId w:val="256"/>
              </w:numPr>
              <w:spacing w:before="0" w:after="0"/>
              <w:ind w:left="318" w:hanging="283"/>
              <w:rPr>
                <w:rFonts w:eastAsia="MS Mincho" w:cs="Arial"/>
                <w:bCs/>
              </w:rPr>
            </w:pPr>
            <w:r w:rsidRPr="0000335F">
              <w:rPr>
                <w:rFonts w:eastAsia="MS Mincho" w:cs="Arial"/>
                <w:bCs/>
              </w:rPr>
              <w:t xml:space="preserve">To ensure improved wellbeing and developmental outcomes for Aboriginal and Torres Strait Islander children, ECEC services require ongoing and stable support (funding, workforce development, infrastructure). </w:t>
            </w:r>
            <w:r w:rsidRPr="0000335F">
              <w:rPr>
                <w:rFonts w:eastAsia="MS Mincho" w:cs="Arial"/>
                <w:bCs/>
                <w:lang w:val="en-US"/>
              </w:rPr>
              <w:t>21 specific recommendations are provided</w:t>
            </w:r>
          </w:p>
        </w:tc>
      </w:tr>
      <w:tr w:rsidR="0000335F" w:rsidRPr="0000335F" w14:paraId="55DF2B06" w14:textId="77777777">
        <w:trPr>
          <w:cnfStyle w:val="000000100000" w:firstRow="0" w:lastRow="0" w:firstColumn="0" w:lastColumn="0" w:oddVBand="0" w:evenVBand="0" w:oddHBand="1" w:evenHBand="0" w:firstRowFirstColumn="0" w:firstRowLastColumn="0" w:lastRowFirstColumn="0" w:lastRowLastColumn="0"/>
          <w:trHeight w:val="244"/>
        </w:trPr>
        <w:tc>
          <w:tcPr>
            <w:tcW w:w="1052" w:type="dxa"/>
          </w:tcPr>
          <w:p w14:paraId="2506D0FC" w14:textId="77777777" w:rsidR="0000335F" w:rsidRPr="0000335F" w:rsidRDefault="0000335F">
            <w:pPr>
              <w:spacing w:after="0"/>
              <w:rPr>
                <w:rFonts w:eastAsia="MS Mincho" w:cs="Arial"/>
                <w:bCs/>
              </w:rPr>
            </w:pPr>
            <w:r w:rsidRPr="0000335F">
              <w:rPr>
                <w:rFonts w:eastAsia="MS Mincho" w:cs="Arial"/>
                <w:bCs/>
              </w:rPr>
              <w:t>SNAICC, 2012</w:t>
            </w:r>
          </w:p>
        </w:tc>
        <w:tc>
          <w:tcPr>
            <w:tcW w:w="1783" w:type="dxa"/>
          </w:tcPr>
          <w:p w14:paraId="118C09E0" w14:textId="77777777" w:rsidR="0000335F" w:rsidRPr="0000335F" w:rsidRDefault="0000335F">
            <w:pPr>
              <w:spacing w:after="0"/>
              <w:rPr>
                <w:rFonts w:eastAsia="MS Mincho" w:cs="Arial"/>
                <w:bCs/>
              </w:rPr>
            </w:pPr>
            <w:r w:rsidRPr="0000335F">
              <w:rPr>
                <w:rFonts w:eastAsia="MS Mincho" w:cs="Arial"/>
                <w:bCs/>
              </w:rPr>
              <w:t>Improved outcomes for Aboriginal and Torres Strait Islander Children and Families in Early Childhood Education and Care Services: Learning from Good Practice.</w:t>
            </w:r>
          </w:p>
          <w:p w14:paraId="44637DF0" w14:textId="77777777" w:rsidR="0000335F" w:rsidRPr="0000335F" w:rsidRDefault="0000335F">
            <w:pPr>
              <w:spacing w:after="0"/>
              <w:rPr>
                <w:rFonts w:eastAsia="MS Mincho" w:cs="Arial"/>
                <w:bCs/>
              </w:rPr>
            </w:pPr>
          </w:p>
          <w:p w14:paraId="37E3366E" w14:textId="77777777" w:rsidR="0000335F" w:rsidRPr="0000335F" w:rsidRDefault="0000335F">
            <w:pPr>
              <w:spacing w:after="0"/>
              <w:rPr>
                <w:rFonts w:eastAsia="MS Mincho" w:cs="Arial"/>
                <w:bCs/>
              </w:rPr>
            </w:pPr>
            <w:r w:rsidRPr="0000335F">
              <w:rPr>
                <w:rFonts w:eastAsia="MS Mincho" w:cs="Arial"/>
                <w:bCs/>
              </w:rPr>
              <w:t>Gov. report</w:t>
            </w:r>
          </w:p>
        </w:tc>
        <w:tc>
          <w:tcPr>
            <w:tcW w:w="1410" w:type="dxa"/>
          </w:tcPr>
          <w:p w14:paraId="22ABF66D"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3A196C9E" w14:textId="77777777" w:rsidR="0000335F" w:rsidRPr="0000335F" w:rsidRDefault="0000335F">
            <w:pPr>
              <w:spacing w:after="0"/>
              <w:rPr>
                <w:rFonts w:eastAsia="MS Mincho" w:cs="Arial"/>
                <w:bCs/>
              </w:rPr>
            </w:pPr>
          </w:p>
        </w:tc>
        <w:tc>
          <w:tcPr>
            <w:tcW w:w="1992" w:type="dxa"/>
          </w:tcPr>
          <w:p w14:paraId="7C68CC00" w14:textId="77777777" w:rsidR="0000335F" w:rsidRPr="0000335F" w:rsidRDefault="0000335F">
            <w:pPr>
              <w:spacing w:after="0"/>
              <w:rPr>
                <w:rFonts w:eastAsia="MS Mincho" w:cs="Arial"/>
                <w:bCs/>
              </w:rPr>
            </w:pPr>
            <w:r w:rsidRPr="0000335F">
              <w:rPr>
                <w:rFonts w:eastAsia="MS Mincho" w:cs="Arial"/>
                <w:bCs/>
              </w:rPr>
              <w:t>To explore principles of good practice in delivering early childhood education and care services to Aboriginal and Torres Strait Islander children and families</w:t>
            </w:r>
          </w:p>
        </w:tc>
        <w:tc>
          <w:tcPr>
            <w:tcW w:w="3686" w:type="dxa"/>
          </w:tcPr>
          <w:p w14:paraId="5B671DB3" w14:textId="77777777" w:rsidR="0000335F" w:rsidRPr="0000335F" w:rsidRDefault="0000335F">
            <w:pPr>
              <w:spacing w:after="0"/>
              <w:ind w:left="316" w:hanging="316"/>
              <w:rPr>
                <w:rFonts w:eastAsia="MS Mincho" w:cs="Arial"/>
                <w:bCs/>
              </w:rPr>
            </w:pPr>
            <w:r w:rsidRPr="0000335F">
              <w:rPr>
                <w:rFonts w:eastAsia="MS Mincho" w:cs="Arial"/>
                <w:bCs/>
              </w:rPr>
              <w:t>Four principles are critical to provide the basis for strong, effective and quality ECEC which are accessible for and engage with Aboriginal and Torres Strait Islander communities.</w:t>
            </w:r>
          </w:p>
          <w:p w14:paraId="1DEB460E" w14:textId="77777777" w:rsidR="0000335F" w:rsidRPr="0000335F" w:rsidRDefault="0000335F">
            <w:pPr>
              <w:spacing w:after="0"/>
              <w:ind w:left="316" w:hanging="316"/>
              <w:rPr>
                <w:rFonts w:eastAsia="MS Mincho" w:cs="Arial"/>
                <w:bCs/>
              </w:rPr>
            </w:pPr>
            <w:r w:rsidRPr="0000335F">
              <w:rPr>
                <w:rFonts w:eastAsia="MS Mincho" w:cs="Arial"/>
                <w:bCs/>
              </w:rPr>
              <w:t xml:space="preserve">Services: </w:t>
            </w:r>
          </w:p>
          <w:p w14:paraId="65EB3B62" w14:textId="77777777" w:rsidR="0000335F" w:rsidRPr="0000335F" w:rsidRDefault="0000335F" w:rsidP="003B0B17">
            <w:pPr>
              <w:numPr>
                <w:ilvl w:val="0"/>
                <w:numId w:val="243"/>
              </w:numPr>
              <w:spacing w:before="0" w:after="0"/>
              <w:ind w:left="316" w:hanging="316"/>
              <w:rPr>
                <w:rFonts w:eastAsia="MS Mincho" w:cs="Arial"/>
                <w:bCs/>
              </w:rPr>
            </w:pPr>
            <w:r w:rsidRPr="0000335F">
              <w:rPr>
                <w:rFonts w:eastAsia="MS Mincho" w:cs="Arial"/>
                <w:bCs/>
              </w:rPr>
              <w:t>Employ innovative governance strategies</w:t>
            </w:r>
          </w:p>
          <w:p w14:paraId="0C521691" w14:textId="77777777" w:rsidR="0000335F" w:rsidRPr="0000335F" w:rsidRDefault="0000335F" w:rsidP="003B0B17">
            <w:pPr>
              <w:numPr>
                <w:ilvl w:val="0"/>
                <w:numId w:val="243"/>
              </w:numPr>
              <w:spacing w:before="0" w:after="0"/>
              <w:ind w:left="316" w:hanging="316"/>
              <w:rPr>
                <w:rFonts w:eastAsia="MS Mincho" w:cs="Arial"/>
                <w:bCs/>
              </w:rPr>
            </w:pPr>
            <w:r w:rsidRPr="0000335F">
              <w:rPr>
                <w:rFonts w:eastAsia="MS Mincho" w:cs="Arial"/>
                <w:bCs/>
              </w:rPr>
              <w:t>Foster an empowering culture</w:t>
            </w:r>
          </w:p>
          <w:p w14:paraId="443864BC" w14:textId="77777777" w:rsidR="0000335F" w:rsidRPr="0000335F" w:rsidRDefault="0000335F" w:rsidP="003B0B17">
            <w:pPr>
              <w:numPr>
                <w:ilvl w:val="0"/>
                <w:numId w:val="243"/>
              </w:numPr>
              <w:spacing w:before="0" w:after="0"/>
              <w:ind w:left="316" w:hanging="316"/>
              <w:rPr>
                <w:rFonts w:eastAsia="MS Mincho" w:cs="Arial"/>
                <w:bCs/>
              </w:rPr>
            </w:pPr>
            <w:r w:rsidRPr="0000335F">
              <w:rPr>
                <w:rFonts w:eastAsia="MS Mincho" w:cs="Arial"/>
                <w:bCs/>
              </w:rPr>
              <w:t xml:space="preserve">Support identity and culture </w:t>
            </w:r>
          </w:p>
          <w:p w14:paraId="427D52A5" w14:textId="77777777" w:rsidR="0000335F" w:rsidRPr="0000335F" w:rsidRDefault="0000335F" w:rsidP="003B0B17">
            <w:pPr>
              <w:numPr>
                <w:ilvl w:val="0"/>
                <w:numId w:val="243"/>
              </w:numPr>
              <w:spacing w:before="0" w:after="0"/>
              <w:ind w:left="316" w:hanging="316"/>
              <w:rPr>
                <w:rFonts w:eastAsia="MS Mincho" w:cs="Arial"/>
                <w:bCs/>
              </w:rPr>
            </w:pPr>
            <w:r w:rsidRPr="0000335F">
              <w:rPr>
                <w:rFonts w:eastAsia="MS Mincho" w:cs="Arial"/>
                <w:bCs/>
              </w:rPr>
              <w:t>Are holistic and responsive</w:t>
            </w:r>
          </w:p>
          <w:p w14:paraId="5CD84F51" w14:textId="77777777" w:rsidR="0000335F" w:rsidRPr="0000335F" w:rsidRDefault="0000335F">
            <w:pPr>
              <w:spacing w:after="0"/>
              <w:ind w:left="316"/>
              <w:rPr>
                <w:rFonts w:eastAsia="MS Mincho" w:cs="Arial"/>
                <w:bCs/>
              </w:rPr>
            </w:pPr>
          </w:p>
          <w:p w14:paraId="7167CC49" w14:textId="77777777" w:rsidR="0000335F" w:rsidRPr="0000335F" w:rsidRDefault="0000335F">
            <w:pPr>
              <w:spacing w:after="0"/>
              <w:ind w:left="316" w:hanging="316"/>
              <w:rPr>
                <w:rFonts w:eastAsia="MS Mincho" w:cs="Arial"/>
                <w:bCs/>
              </w:rPr>
            </w:pPr>
            <w:r w:rsidRPr="0000335F">
              <w:rPr>
                <w:rFonts w:eastAsia="MS Mincho" w:cs="Arial"/>
                <w:bCs/>
              </w:rPr>
              <w:t xml:space="preserve">These principles align with the objectives and the indicated outcomes of both the Early Years strategy and the Early Years Learning Framework. </w:t>
            </w:r>
          </w:p>
          <w:p w14:paraId="36150202" w14:textId="77777777" w:rsidR="0000335F" w:rsidRPr="0000335F" w:rsidRDefault="0000335F">
            <w:pPr>
              <w:spacing w:after="0"/>
              <w:ind w:left="316" w:hanging="316"/>
              <w:rPr>
                <w:rFonts w:eastAsia="MS Mincho" w:cs="Arial"/>
                <w:bCs/>
              </w:rPr>
            </w:pPr>
            <w:r w:rsidRPr="0000335F">
              <w:rPr>
                <w:rFonts w:eastAsia="MS Mincho" w:cs="Arial"/>
                <w:bCs/>
              </w:rPr>
              <w:t>They also stretch beyond to address the complex community development needs that are reflected in Aboriginal and Torres Strait Islander ECEC services</w:t>
            </w:r>
          </w:p>
        </w:tc>
        <w:tc>
          <w:tcPr>
            <w:tcW w:w="4111" w:type="dxa"/>
          </w:tcPr>
          <w:p w14:paraId="5EFAD95F" w14:textId="77777777" w:rsidR="0000335F" w:rsidRPr="0000335F" w:rsidRDefault="0000335F">
            <w:pPr>
              <w:spacing w:after="0"/>
              <w:ind w:left="314" w:hanging="314"/>
              <w:rPr>
                <w:rFonts w:eastAsia="MS Mincho" w:cs="Arial"/>
                <w:bCs/>
              </w:rPr>
            </w:pPr>
            <w:r w:rsidRPr="0000335F">
              <w:rPr>
                <w:rFonts w:eastAsia="MS Mincho" w:cs="Arial"/>
                <w:bCs/>
              </w:rPr>
              <w:t>Systems-level:</w:t>
            </w:r>
          </w:p>
          <w:p w14:paraId="5871F8C3" w14:textId="77777777" w:rsidR="0000335F" w:rsidRPr="0000335F" w:rsidRDefault="0000335F" w:rsidP="003B0B17">
            <w:pPr>
              <w:numPr>
                <w:ilvl w:val="0"/>
                <w:numId w:val="256"/>
              </w:numPr>
              <w:spacing w:before="0" w:after="0"/>
              <w:ind w:left="318" w:hanging="283"/>
              <w:rPr>
                <w:rFonts w:eastAsia="MS Mincho" w:cs="Arial"/>
                <w:bCs/>
              </w:rPr>
            </w:pPr>
            <w:r w:rsidRPr="0000335F">
              <w:rPr>
                <w:rFonts w:eastAsia="MS Mincho" w:cs="Arial"/>
                <w:bCs/>
              </w:rPr>
              <w:t>Practical understanding of the four principles and the related underlying values and service characteristics of Aboriginal and Torres Strait Islander community-controlled services could inform policy around workforce development of effective strategies, practice and procedures to support services to strength their ability to engage with and achieve outcomes for Aboriginal and Torres Strait Islander children and families.</w:t>
            </w:r>
          </w:p>
          <w:p w14:paraId="27613638" w14:textId="77777777" w:rsidR="0000335F" w:rsidRPr="0000335F" w:rsidRDefault="0000335F">
            <w:pPr>
              <w:spacing w:after="0"/>
              <w:rPr>
                <w:rFonts w:eastAsia="MS Mincho" w:cs="Arial"/>
                <w:bCs/>
              </w:rPr>
            </w:pPr>
            <w:r w:rsidRPr="0000335F">
              <w:rPr>
                <w:rFonts w:eastAsia="MS Mincho" w:cs="Arial"/>
                <w:bCs/>
              </w:rPr>
              <w:t>Principles:</w:t>
            </w:r>
          </w:p>
          <w:p w14:paraId="5769D2F7" w14:textId="77777777" w:rsidR="0000335F" w:rsidRPr="0000335F" w:rsidRDefault="0000335F" w:rsidP="003B0B17">
            <w:pPr>
              <w:numPr>
                <w:ilvl w:val="0"/>
                <w:numId w:val="256"/>
              </w:numPr>
              <w:spacing w:before="0" w:after="0"/>
              <w:ind w:left="318" w:hanging="283"/>
              <w:rPr>
                <w:rFonts w:eastAsia="MS Mincho" w:cs="Arial"/>
                <w:bCs/>
              </w:rPr>
            </w:pPr>
            <w:r w:rsidRPr="0000335F">
              <w:rPr>
                <w:rFonts w:eastAsia="MS Mincho" w:cs="Arial"/>
                <w:bCs/>
              </w:rPr>
              <w:t>Employ innovative governance</w:t>
            </w:r>
          </w:p>
          <w:p w14:paraId="11CF38A8" w14:textId="77777777" w:rsidR="0000335F" w:rsidRPr="0000335F" w:rsidRDefault="0000335F" w:rsidP="003B0B17">
            <w:pPr>
              <w:numPr>
                <w:ilvl w:val="0"/>
                <w:numId w:val="256"/>
              </w:numPr>
              <w:spacing w:before="0" w:after="0"/>
              <w:ind w:left="318" w:hanging="283"/>
              <w:rPr>
                <w:rFonts w:eastAsia="MS Mincho" w:cs="Arial"/>
                <w:bCs/>
              </w:rPr>
            </w:pPr>
            <w:r w:rsidRPr="0000335F">
              <w:rPr>
                <w:rFonts w:eastAsia="MS Mincho" w:cs="Arial"/>
                <w:bCs/>
              </w:rPr>
              <w:t>Foster an empowering culture</w:t>
            </w:r>
          </w:p>
          <w:p w14:paraId="55BD4039" w14:textId="77777777" w:rsidR="0000335F" w:rsidRPr="0000335F" w:rsidRDefault="0000335F" w:rsidP="003B0B17">
            <w:pPr>
              <w:numPr>
                <w:ilvl w:val="0"/>
                <w:numId w:val="256"/>
              </w:numPr>
              <w:spacing w:before="0" w:after="0"/>
              <w:ind w:left="318" w:hanging="283"/>
              <w:rPr>
                <w:rFonts w:eastAsia="MS Mincho" w:cs="Arial"/>
                <w:bCs/>
              </w:rPr>
            </w:pPr>
            <w:r w:rsidRPr="0000335F">
              <w:rPr>
                <w:rFonts w:eastAsia="MS Mincho" w:cs="Arial"/>
                <w:bCs/>
              </w:rPr>
              <w:t>Support identity and culture</w:t>
            </w:r>
          </w:p>
          <w:p w14:paraId="5855B794" w14:textId="77777777" w:rsidR="0000335F" w:rsidRPr="0000335F" w:rsidRDefault="0000335F" w:rsidP="003B0B17">
            <w:pPr>
              <w:numPr>
                <w:ilvl w:val="0"/>
                <w:numId w:val="256"/>
              </w:numPr>
              <w:spacing w:before="0" w:after="0"/>
              <w:ind w:left="318" w:hanging="283"/>
              <w:rPr>
                <w:rFonts w:eastAsia="MS Mincho" w:cs="Arial"/>
                <w:bCs/>
              </w:rPr>
            </w:pPr>
            <w:r w:rsidRPr="0000335F">
              <w:rPr>
                <w:rFonts w:eastAsia="MS Mincho" w:cs="Arial"/>
                <w:bCs/>
              </w:rPr>
              <w:t xml:space="preserve">Be holistic and responsive </w:t>
            </w:r>
          </w:p>
          <w:p w14:paraId="6B707FAE" w14:textId="77777777" w:rsidR="0000335F" w:rsidRPr="0000335F" w:rsidRDefault="0000335F">
            <w:pPr>
              <w:spacing w:after="0"/>
              <w:ind w:left="35"/>
              <w:rPr>
                <w:rFonts w:eastAsia="MS Mincho" w:cs="Arial"/>
                <w:bCs/>
              </w:rPr>
            </w:pPr>
          </w:p>
        </w:tc>
      </w:tr>
      <w:tr w:rsidR="0000335F" w:rsidRPr="0000335F" w14:paraId="36836ED9" w14:textId="77777777">
        <w:trPr>
          <w:cnfStyle w:val="000000010000" w:firstRow="0" w:lastRow="0" w:firstColumn="0" w:lastColumn="0" w:oddVBand="0" w:evenVBand="0" w:oddHBand="0" w:evenHBand="1" w:firstRowFirstColumn="0" w:firstRowLastColumn="0" w:lastRowFirstColumn="0" w:lastRowLastColumn="0"/>
          <w:trHeight w:val="244"/>
        </w:trPr>
        <w:tc>
          <w:tcPr>
            <w:tcW w:w="1052" w:type="dxa"/>
          </w:tcPr>
          <w:p w14:paraId="6D8265E9" w14:textId="77777777" w:rsidR="0000335F" w:rsidRPr="0000335F" w:rsidRDefault="0000335F">
            <w:pPr>
              <w:spacing w:after="0"/>
              <w:rPr>
                <w:rFonts w:eastAsia="MS Mincho" w:cs="Arial"/>
                <w:bCs/>
              </w:rPr>
            </w:pPr>
            <w:r w:rsidRPr="0000335F">
              <w:rPr>
                <w:rFonts w:eastAsia="MS Mincho" w:cs="Arial"/>
                <w:bCs/>
              </w:rPr>
              <w:t>Robinson, 2006</w:t>
            </w:r>
          </w:p>
          <w:p w14:paraId="3E8C8897" w14:textId="77777777" w:rsidR="0000335F" w:rsidRPr="0000335F" w:rsidRDefault="0000335F">
            <w:pPr>
              <w:spacing w:after="0"/>
              <w:rPr>
                <w:rFonts w:eastAsia="MS Mincho" w:cs="Arial"/>
                <w:bCs/>
              </w:rPr>
            </w:pPr>
          </w:p>
        </w:tc>
        <w:tc>
          <w:tcPr>
            <w:tcW w:w="1783" w:type="dxa"/>
          </w:tcPr>
          <w:p w14:paraId="3060E6BE" w14:textId="77777777" w:rsidR="0000335F" w:rsidRPr="0000335F" w:rsidRDefault="0000335F">
            <w:pPr>
              <w:spacing w:after="0"/>
              <w:rPr>
                <w:rFonts w:eastAsia="MS Mincho" w:cs="Arial"/>
                <w:bCs/>
              </w:rPr>
            </w:pPr>
            <w:r w:rsidRPr="0000335F">
              <w:rPr>
                <w:rFonts w:eastAsia="MS Mincho" w:cs="Arial"/>
                <w:bCs/>
              </w:rPr>
              <w:t>Ngaripirliga’ajirri. An early intervention program on the Tiwi Islands. Final Evaluation Report.</w:t>
            </w:r>
          </w:p>
          <w:p w14:paraId="1080D15B" w14:textId="77777777" w:rsidR="0000335F" w:rsidRPr="0000335F" w:rsidRDefault="0000335F">
            <w:pPr>
              <w:spacing w:after="0"/>
              <w:rPr>
                <w:rFonts w:eastAsia="MS Mincho" w:cs="Arial"/>
                <w:bCs/>
              </w:rPr>
            </w:pPr>
          </w:p>
          <w:p w14:paraId="38EC4ABA" w14:textId="77777777" w:rsidR="0000335F" w:rsidRPr="0000335F" w:rsidRDefault="0000335F">
            <w:pPr>
              <w:spacing w:after="0"/>
              <w:rPr>
                <w:rFonts w:eastAsia="MS Mincho" w:cs="Arial"/>
                <w:bCs/>
              </w:rPr>
            </w:pPr>
            <w:r w:rsidRPr="0000335F">
              <w:rPr>
                <w:rFonts w:eastAsia="MS Mincho" w:cs="Arial"/>
                <w:bCs/>
              </w:rPr>
              <w:t>Evaluation report.</w:t>
            </w:r>
          </w:p>
          <w:p w14:paraId="5BFBA406" w14:textId="77777777" w:rsidR="0000335F" w:rsidRPr="0000335F" w:rsidRDefault="0000335F">
            <w:pPr>
              <w:spacing w:after="0"/>
              <w:rPr>
                <w:rFonts w:eastAsia="MS Mincho" w:cs="Arial"/>
                <w:bCs/>
              </w:rPr>
            </w:pPr>
          </w:p>
        </w:tc>
        <w:tc>
          <w:tcPr>
            <w:tcW w:w="1410" w:type="dxa"/>
          </w:tcPr>
          <w:p w14:paraId="5FD06DF1"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5A16A8BD" w14:textId="77777777" w:rsidR="0000335F" w:rsidRPr="0000335F" w:rsidRDefault="0000335F">
            <w:pPr>
              <w:spacing w:after="0"/>
              <w:rPr>
                <w:rFonts w:eastAsia="MS Mincho" w:cs="Arial"/>
                <w:bCs/>
              </w:rPr>
            </w:pPr>
          </w:p>
        </w:tc>
        <w:tc>
          <w:tcPr>
            <w:tcW w:w="1992" w:type="dxa"/>
          </w:tcPr>
          <w:p w14:paraId="325453F8" w14:textId="77777777" w:rsidR="0000335F" w:rsidRPr="0000335F" w:rsidRDefault="0000335F">
            <w:pPr>
              <w:spacing w:after="0"/>
              <w:rPr>
                <w:rFonts w:eastAsia="MS Mincho" w:cs="Arial"/>
                <w:bCs/>
              </w:rPr>
            </w:pPr>
            <w:r w:rsidRPr="0000335F">
              <w:rPr>
                <w:rFonts w:eastAsia="MS Mincho" w:cs="Arial"/>
                <w:bCs/>
              </w:rPr>
              <w:t>To evaluate the Exploring Together program (10-week child development and parent education focused approach) that was redeveloped for Tiwi culture and family structures</w:t>
            </w:r>
          </w:p>
        </w:tc>
        <w:tc>
          <w:tcPr>
            <w:tcW w:w="3686" w:type="dxa"/>
          </w:tcPr>
          <w:p w14:paraId="68262DDA" w14:textId="77777777" w:rsidR="0000335F" w:rsidRPr="0000335F" w:rsidRDefault="0000335F">
            <w:pPr>
              <w:spacing w:after="0"/>
              <w:rPr>
                <w:rFonts w:eastAsia="MS Mincho" w:cs="Arial"/>
                <w:bCs/>
              </w:rPr>
            </w:pPr>
            <w:r w:rsidRPr="0000335F">
              <w:rPr>
                <w:rFonts w:eastAsia="MS Mincho" w:cs="Arial"/>
                <w:bCs/>
              </w:rPr>
              <w:t>74 children and over 80 parents /caregivers commenced the program</w:t>
            </w:r>
          </w:p>
          <w:p w14:paraId="1BB9FF74" w14:textId="77777777" w:rsidR="0000335F" w:rsidRPr="0000335F" w:rsidRDefault="0000335F" w:rsidP="003B0B17">
            <w:pPr>
              <w:numPr>
                <w:ilvl w:val="0"/>
                <w:numId w:val="240"/>
              </w:numPr>
              <w:spacing w:before="0" w:after="0"/>
              <w:ind w:left="316" w:hanging="284"/>
              <w:rPr>
                <w:rFonts w:eastAsia="MS Mincho" w:cs="Arial"/>
                <w:bCs/>
              </w:rPr>
            </w:pPr>
            <w:r w:rsidRPr="0000335F">
              <w:rPr>
                <w:rFonts w:eastAsia="MS Mincho" w:cs="Arial"/>
                <w:bCs/>
              </w:rPr>
              <w:t>Participation levels above 95%</w:t>
            </w:r>
          </w:p>
          <w:p w14:paraId="4989D743" w14:textId="77777777" w:rsidR="0000335F" w:rsidRPr="0000335F" w:rsidRDefault="0000335F" w:rsidP="003B0B17">
            <w:pPr>
              <w:numPr>
                <w:ilvl w:val="0"/>
                <w:numId w:val="240"/>
              </w:numPr>
              <w:spacing w:before="0" w:after="0"/>
              <w:ind w:left="316" w:hanging="284"/>
              <w:rPr>
                <w:rFonts w:eastAsia="MS Mincho" w:cs="Arial"/>
                <w:bCs/>
              </w:rPr>
            </w:pPr>
            <w:r w:rsidRPr="0000335F">
              <w:rPr>
                <w:rFonts w:eastAsia="MS Mincho" w:cs="Arial"/>
                <w:bCs/>
              </w:rPr>
              <w:t>80% showed decline in problem behaviours at school</w:t>
            </w:r>
          </w:p>
          <w:p w14:paraId="4814022D" w14:textId="77777777" w:rsidR="0000335F" w:rsidRPr="0000335F" w:rsidRDefault="0000335F" w:rsidP="003B0B17">
            <w:pPr>
              <w:numPr>
                <w:ilvl w:val="0"/>
                <w:numId w:val="240"/>
              </w:numPr>
              <w:spacing w:before="0" w:after="0"/>
              <w:ind w:left="316" w:hanging="284"/>
              <w:rPr>
                <w:rFonts w:eastAsia="MS Mincho" w:cs="Arial"/>
                <w:bCs/>
              </w:rPr>
            </w:pPr>
            <w:r w:rsidRPr="0000335F">
              <w:rPr>
                <w:rFonts w:eastAsia="MS Mincho" w:cs="Arial"/>
                <w:bCs/>
              </w:rPr>
              <w:t>60-80% parents showed improved communication with child</w:t>
            </w:r>
          </w:p>
          <w:p w14:paraId="42A45436" w14:textId="77777777" w:rsidR="0000335F" w:rsidRPr="0000335F" w:rsidRDefault="0000335F" w:rsidP="003B0B17">
            <w:pPr>
              <w:numPr>
                <w:ilvl w:val="0"/>
                <w:numId w:val="240"/>
              </w:numPr>
              <w:spacing w:before="0" w:after="0"/>
              <w:ind w:left="316" w:hanging="284"/>
              <w:rPr>
                <w:rFonts w:eastAsia="MS Mincho" w:cs="Arial"/>
                <w:bCs/>
              </w:rPr>
            </w:pPr>
            <w:r w:rsidRPr="0000335F">
              <w:rPr>
                <w:rFonts w:eastAsia="MS Mincho" w:cs="Arial"/>
                <w:bCs/>
              </w:rPr>
              <w:t>50% improvement in child behaviour at home</w:t>
            </w:r>
          </w:p>
        </w:tc>
        <w:tc>
          <w:tcPr>
            <w:tcW w:w="4111" w:type="dxa"/>
          </w:tcPr>
          <w:p w14:paraId="353F699E" w14:textId="77777777" w:rsidR="0000335F" w:rsidRPr="0000335F" w:rsidRDefault="0000335F">
            <w:pPr>
              <w:spacing w:after="0"/>
              <w:ind w:left="314" w:hanging="314"/>
              <w:rPr>
                <w:rFonts w:eastAsia="MS Mincho" w:cs="Arial"/>
                <w:bCs/>
              </w:rPr>
            </w:pPr>
            <w:r w:rsidRPr="0000335F">
              <w:rPr>
                <w:rFonts w:eastAsia="MS Mincho" w:cs="Arial"/>
                <w:bCs/>
              </w:rPr>
              <w:t>Practices:</w:t>
            </w:r>
          </w:p>
          <w:p w14:paraId="5CC3AF9C" w14:textId="77777777" w:rsidR="0000335F" w:rsidRPr="0000335F" w:rsidRDefault="0000335F" w:rsidP="003B0B17">
            <w:pPr>
              <w:numPr>
                <w:ilvl w:val="0"/>
                <w:numId w:val="257"/>
              </w:numPr>
              <w:spacing w:before="0" w:after="0"/>
              <w:ind w:left="318" w:hanging="283"/>
              <w:rPr>
                <w:rFonts w:eastAsia="MS Mincho" w:cs="Arial"/>
                <w:bCs/>
              </w:rPr>
            </w:pPr>
            <w:r w:rsidRPr="0000335F">
              <w:rPr>
                <w:rFonts w:eastAsia="MS Mincho" w:cs="Arial"/>
                <w:bCs/>
              </w:rPr>
              <w:t>Ngaripirliga’ajirri – supporting both child development and parent learning, can produce measurable improvements in child behaviour that are sustained at and beyond 6 months</w:t>
            </w:r>
          </w:p>
          <w:p w14:paraId="5A34CC03" w14:textId="77777777" w:rsidR="0000335F" w:rsidRPr="0000335F" w:rsidRDefault="0000335F" w:rsidP="003B0B17">
            <w:pPr>
              <w:numPr>
                <w:ilvl w:val="0"/>
                <w:numId w:val="257"/>
              </w:numPr>
              <w:spacing w:before="0" w:after="0"/>
              <w:ind w:left="318" w:hanging="283"/>
              <w:rPr>
                <w:rFonts w:eastAsia="MS Mincho" w:cs="Arial"/>
                <w:bCs/>
              </w:rPr>
            </w:pPr>
            <w:r w:rsidRPr="0000335F">
              <w:rPr>
                <w:rFonts w:eastAsia="MS Mincho" w:cs="Arial"/>
                <w:bCs/>
              </w:rPr>
              <w:t>Modify intervention strategies to make be responsive to Tiwi social and cultural context</w:t>
            </w:r>
          </w:p>
        </w:tc>
      </w:tr>
      <w:tr w:rsidR="0000335F" w:rsidRPr="0000335F" w14:paraId="2C8E8281" w14:textId="77777777">
        <w:trPr>
          <w:cnfStyle w:val="000000100000" w:firstRow="0" w:lastRow="0" w:firstColumn="0" w:lastColumn="0" w:oddVBand="0" w:evenVBand="0" w:oddHBand="1" w:evenHBand="0" w:firstRowFirstColumn="0" w:firstRowLastColumn="0" w:lastRowFirstColumn="0" w:lastRowLastColumn="0"/>
          <w:trHeight w:val="244"/>
        </w:trPr>
        <w:tc>
          <w:tcPr>
            <w:tcW w:w="1052" w:type="dxa"/>
            <w:tcBorders>
              <w:bottom w:val="single" w:sz="4" w:space="0" w:color="auto"/>
            </w:tcBorders>
          </w:tcPr>
          <w:p w14:paraId="6B4059EA" w14:textId="77777777" w:rsidR="0000335F" w:rsidRPr="0000335F" w:rsidRDefault="0000335F">
            <w:pPr>
              <w:spacing w:after="0"/>
              <w:rPr>
                <w:rFonts w:eastAsia="MS Mincho" w:cs="Arial"/>
                <w:bCs/>
              </w:rPr>
            </w:pPr>
            <w:r w:rsidRPr="0000335F">
              <w:rPr>
                <w:rFonts w:eastAsia="MS Mincho" w:cs="Arial"/>
                <w:bCs/>
              </w:rPr>
              <w:t>Trudgett, 2011</w:t>
            </w:r>
          </w:p>
          <w:p w14:paraId="1EC6531B" w14:textId="77777777" w:rsidR="0000335F" w:rsidRPr="0000335F" w:rsidRDefault="0000335F">
            <w:pPr>
              <w:spacing w:after="0"/>
              <w:rPr>
                <w:rFonts w:eastAsia="MS Mincho" w:cs="Arial"/>
                <w:bCs/>
              </w:rPr>
            </w:pPr>
          </w:p>
        </w:tc>
        <w:tc>
          <w:tcPr>
            <w:tcW w:w="1783" w:type="dxa"/>
            <w:tcBorders>
              <w:bottom w:val="single" w:sz="4" w:space="0" w:color="auto"/>
            </w:tcBorders>
          </w:tcPr>
          <w:p w14:paraId="396EF845" w14:textId="77777777" w:rsidR="0000335F" w:rsidRPr="0000335F" w:rsidRDefault="0000335F">
            <w:pPr>
              <w:spacing w:after="0"/>
              <w:rPr>
                <w:rFonts w:eastAsia="MS Mincho" w:cs="Arial"/>
                <w:bCs/>
              </w:rPr>
            </w:pPr>
            <w:r w:rsidRPr="0000335F">
              <w:rPr>
                <w:rFonts w:eastAsia="MS Mincho" w:cs="Arial"/>
                <w:bCs/>
              </w:rPr>
              <w:t>Engaging with early childhood education and care services: The perspectives of Indigenous Australian mothers and their young children.</w:t>
            </w:r>
          </w:p>
          <w:p w14:paraId="71373127" w14:textId="77777777" w:rsidR="0000335F" w:rsidRPr="0000335F" w:rsidRDefault="0000335F">
            <w:pPr>
              <w:spacing w:after="0"/>
              <w:rPr>
                <w:rFonts w:eastAsia="MS Mincho" w:cs="Arial"/>
                <w:bCs/>
              </w:rPr>
            </w:pPr>
          </w:p>
          <w:p w14:paraId="6D6586F2" w14:textId="77777777" w:rsidR="0000335F" w:rsidRPr="0000335F" w:rsidRDefault="0000335F">
            <w:pPr>
              <w:spacing w:after="0"/>
              <w:rPr>
                <w:rFonts w:eastAsia="MS Mincho" w:cs="Arial"/>
                <w:bCs/>
              </w:rPr>
            </w:pPr>
            <w:r w:rsidRPr="0000335F">
              <w:rPr>
                <w:rFonts w:eastAsia="MS Mincho" w:cs="Arial"/>
                <w:bCs/>
              </w:rPr>
              <w:t>Qual. study</w:t>
            </w:r>
          </w:p>
        </w:tc>
        <w:tc>
          <w:tcPr>
            <w:tcW w:w="1410" w:type="dxa"/>
            <w:tcBorders>
              <w:bottom w:val="single" w:sz="4" w:space="0" w:color="auto"/>
            </w:tcBorders>
          </w:tcPr>
          <w:p w14:paraId="6AF6F3C3" w14:textId="77777777" w:rsidR="0000335F" w:rsidRPr="0000335F" w:rsidRDefault="0000335F">
            <w:pPr>
              <w:spacing w:after="0"/>
              <w:rPr>
                <w:rFonts w:eastAsia="MS Mincho" w:cs="Arial"/>
                <w:bCs/>
              </w:rPr>
            </w:pPr>
            <w:r w:rsidRPr="0000335F">
              <w:rPr>
                <w:rFonts w:eastAsia="MS Mincho" w:cs="Arial"/>
                <w:bCs/>
              </w:rPr>
              <w:t>Broad focus on children (not disability specific)</w:t>
            </w:r>
          </w:p>
          <w:p w14:paraId="1EF277CD" w14:textId="77777777" w:rsidR="0000335F" w:rsidRPr="0000335F" w:rsidRDefault="0000335F">
            <w:pPr>
              <w:spacing w:after="0"/>
              <w:rPr>
                <w:rFonts w:eastAsia="MS Mincho" w:cs="Arial"/>
                <w:bCs/>
              </w:rPr>
            </w:pPr>
          </w:p>
        </w:tc>
        <w:tc>
          <w:tcPr>
            <w:tcW w:w="1992" w:type="dxa"/>
            <w:tcBorders>
              <w:bottom w:val="single" w:sz="4" w:space="0" w:color="auto"/>
            </w:tcBorders>
          </w:tcPr>
          <w:p w14:paraId="56EAC5F8" w14:textId="77777777" w:rsidR="0000335F" w:rsidRPr="0000335F" w:rsidRDefault="0000335F">
            <w:pPr>
              <w:spacing w:after="0" w:line="259" w:lineRule="auto"/>
              <w:rPr>
                <w:rFonts w:eastAsia="MS Mincho" w:cs="Arial"/>
              </w:rPr>
            </w:pPr>
            <w:r w:rsidRPr="0000335F">
              <w:rPr>
                <w:rFonts w:eastAsia="MS Mincho" w:cs="Arial"/>
              </w:rPr>
              <w:t>To understand the barriers and facilitators of engagement for Aboriginal and Torres Strait Islander families in NSW</w:t>
            </w:r>
          </w:p>
        </w:tc>
        <w:tc>
          <w:tcPr>
            <w:tcW w:w="3686" w:type="dxa"/>
            <w:tcBorders>
              <w:bottom w:val="single" w:sz="4" w:space="0" w:color="auto"/>
            </w:tcBorders>
          </w:tcPr>
          <w:p w14:paraId="07B99469" w14:textId="77777777" w:rsidR="0000335F" w:rsidRPr="0000335F" w:rsidRDefault="0000335F">
            <w:pPr>
              <w:spacing w:after="0"/>
              <w:ind w:left="316" w:hanging="316"/>
              <w:rPr>
                <w:rFonts w:eastAsia="MS Mincho" w:cs="Arial"/>
                <w:bCs/>
              </w:rPr>
            </w:pPr>
            <w:r w:rsidRPr="0000335F">
              <w:rPr>
                <w:rFonts w:eastAsia="MS Mincho" w:cs="Arial"/>
                <w:bCs/>
              </w:rPr>
              <w:t xml:space="preserve">Thematic analyses revealed several themes, the most important being the notion of trust (culture and community; the early childhood setting; practical issues). </w:t>
            </w:r>
          </w:p>
          <w:p w14:paraId="757F4766" w14:textId="77777777" w:rsidR="0000335F" w:rsidRPr="0000335F" w:rsidRDefault="0000335F">
            <w:pPr>
              <w:spacing w:after="0"/>
              <w:ind w:left="316" w:hanging="316"/>
              <w:rPr>
                <w:rFonts w:eastAsia="MS Mincho" w:cs="Arial"/>
                <w:bCs/>
              </w:rPr>
            </w:pPr>
            <w:r w:rsidRPr="0000335F">
              <w:rPr>
                <w:rFonts w:eastAsia="MS Mincho" w:cs="Arial"/>
                <w:bCs/>
              </w:rPr>
              <w:t xml:space="preserve">A clear theme in the child interviews was the importance of feeling connected with an adult worker at the centre they attended. </w:t>
            </w:r>
          </w:p>
          <w:p w14:paraId="2EE30A4B" w14:textId="77777777" w:rsidR="0000335F" w:rsidRPr="0000335F" w:rsidRDefault="0000335F">
            <w:pPr>
              <w:spacing w:after="0"/>
              <w:ind w:left="316" w:hanging="316"/>
              <w:rPr>
                <w:rFonts w:eastAsia="MS Mincho" w:cs="Arial"/>
              </w:rPr>
            </w:pPr>
            <w:r w:rsidRPr="0000335F">
              <w:rPr>
                <w:rFonts w:eastAsia="MS Mincho" w:cs="Arial"/>
              </w:rPr>
              <w:t>Aboriginal and Torres Strait Islander families are not a homogeneous group</w:t>
            </w:r>
          </w:p>
        </w:tc>
        <w:tc>
          <w:tcPr>
            <w:tcW w:w="4111" w:type="dxa"/>
            <w:tcBorders>
              <w:bottom w:val="single" w:sz="4" w:space="0" w:color="auto"/>
            </w:tcBorders>
          </w:tcPr>
          <w:p w14:paraId="570EAAD9" w14:textId="77777777" w:rsidR="0000335F" w:rsidRPr="0000335F" w:rsidRDefault="0000335F">
            <w:pPr>
              <w:spacing w:after="0"/>
              <w:ind w:left="314" w:hanging="314"/>
              <w:rPr>
                <w:rFonts w:eastAsia="MS Mincho" w:cs="Arial"/>
                <w:bCs/>
              </w:rPr>
            </w:pPr>
            <w:r w:rsidRPr="0000335F">
              <w:rPr>
                <w:rFonts w:eastAsia="MS Mincho" w:cs="Arial"/>
                <w:bCs/>
              </w:rPr>
              <w:t>Principles:</w:t>
            </w:r>
          </w:p>
          <w:p w14:paraId="68BD2B3C" w14:textId="77777777" w:rsidR="0000335F" w:rsidRPr="0000335F" w:rsidRDefault="0000335F" w:rsidP="003B0B17">
            <w:pPr>
              <w:numPr>
                <w:ilvl w:val="0"/>
                <w:numId w:val="258"/>
              </w:numPr>
              <w:spacing w:before="0" w:after="0"/>
              <w:ind w:left="318" w:hanging="283"/>
              <w:rPr>
                <w:rFonts w:eastAsia="MS Mincho" w:cs="Arial"/>
                <w:bCs/>
              </w:rPr>
            </w:pPr>
            <w:r w:rsidRPr="0000335F">
              <w:rPr>
                <w:rFonts w:eastAsia="MS Mincho" w:cs="Arial"/>
                <w:bCs/>
              </w:rPr>
              <w:t xml:space="preserve">Trust is a pivotal issue that could function as either a barrier or facilitator in childcare choices. </w:t>
            </w:r>
          </w:p>
          <w:p w14:paraId="3C3085EC" w14:textId="77777777" w:rsidR="0000335F" w:rsidRPr="0000335F" w:rsidRDefault="0000335F" w:rsidP="003B0B17">
            <w:pPr>
              <w:numPr>
                <w:ilvl w:val="0"/>
                <w:numId w:val="258"/>
              </w:numPr>
              <w:spacing w:before="0" w:after="0"/>
              <w:ind w:left="318" w:hanging="283"/>
              <w:rPr>
                <w:rFonts w:eastAsia="MS Mincho" w:cs="Arial"/>
              </w:rPr>
            </w:pPr>
            <w:r w:rsidRPr="0000335F">
              <w:rPr>
                <w:rFonts w:eastAsia="MS Mincho" w:cs="Arial"/>
              </w:rPr>
              <w:t>All</w:t>
            </w:r>
            <w:r w:rsidRPr="0000335F" w:rsidDel="00BC0C92">
              <w:rPr>
                <w:rFonts w:eastAsia="MS Mincho" w:cs="Arial"/>
              </w:rPr>
              <w:t xml:space="preserve"> </w:t>
            </w:r>
            <w:r w:rsidRPr="0000335F">
              <w:rPr>
                <w:rFonts w:eastAsia="MS Mincho" w:cs="Arial"/>
              </w:rPr>
              <w:t>Aboriginal and Torres Strait Islander families are not the same</w:t>
            </w:r>
          </w:p>
        </w:tc>
      </w:tr>
    </w:tbl>
    <w:p w14:paraId="6D3EB87D" w14:textId="2F4521E8" w:rsidR="0000335F" w:rsidRPr="00413D94" w:rsidRDefault="00EA5718" w:rsidP="00EC0255">
      <w:pPr>
        <w:rPr>
          <w:rFonts w:cs="Arial"/>
          <w:color w:val="000000" w:themeColor="text1"/>
          <w:sz w:val="20"/>
          <w:szCs w:val="20"/>
          <w:lang w:val="en-US"/>
        </w:rPr>
      </w:pPr>
      <w:r w:rsidRPr="00413D94">
        <w:rPr>
          <w:rFonts w:cs="Arial"/>
          <w:color w:val="000000" w:themeColor="text1"/>
          <w:sz w:val="20"/>
          <w:szCs w:val="20"/>
          <w:lang w:val="en-US"/>
        </w:rPr>
        <w:t>Note. Gov = government; Qual = qualitative.</w:t>
      </w:r>
    </w:p>
    <w:p w14:paraId="752F55B5" w14:textId="77777777" w:rsidR="00EA5718" w:rsidRDefault="00EA5718" w:rsidP="00EC0255">
      <w:pPr>
        <w:rPr>
          <w:rFonts w:cs="Arial"/>
          <w:color w:val="000000" w:themeColor="text1"/>
          <w:lang w:val="en-US"/>
        </w:rPr>
      </w:pPr>
    </w:p>
    <w:p w14:paraId="483337D3" w14:textId="77777777" w:rsidR="00EA5718" w:rsidRDefault="00EA5718" w:rsidP="00EC0255">
      <w:pPr>
        <w:rPr>
          <w:rFonts w:cs="Arial"/>
          <w:color w:val="000000" w:themeColor="text1"/>
          <w:lang w:val="en-US"/>
        </w:rPr>
      </w:pPr>
    </w:p>
    <w:p w14:paraId="1E780879" w14:textId="77777777" w:rsidR="00EA5718" w:rsidRDefault="00EA5718" w:rsidP="00EC0255">
      <w:pPr>
        <w:rPr>
          <w:rFonts w:cs="Arial"/>
          <w:color w:val="000000" w:themeColor="text1"/>
          <w:lang w:val="en-US"/>
        </w:rPr>
      </w:pPr>
    </w:p>
    <w:p w14:paraId="0B6B591F" w14:textId="77777777" w:rsidR="00EA5718" w:rsidRDefault="00EA5718" w:rsidP="00EC0255">
      <w:pPr>
        <w:rPr>
          <w:rFonts w:cs="Arial"/>
          <w:color w:val="000000" w:themeColor="text1"/>
          <w:lang w:val="en-US"/>
        </w:rPr>
      </w:pPr>
    </w:p>
    <w:p w14:paraId="212B0CDA" w14:textId="77777777" w:rsidR="00EA5718" w:rsidRDefault="00EA5718" w:rsidP="00EC0255">
      <w:pPr>
        <w:rPr>
          <w:rFonts w:cs="Arial"/>
          <w:color w:val="000000" w:themeColor="text1"/>
          <w:lang w:val="en-US"/>
        </w:rPr>
      </w:pPr>
    </w:p>
    <w:p w14:paraId="024BAFF7" w14:textId="77777777" w:rsidR="00EA5718" w:rsidRDefault="00EA5718" w:rsidP="00EC0255">
      <w:pPr>
        <w:rPr>
          <w:rFonts w:cs="Arial"/>
          <w:color w:val="000000" w:themeColor="text1"/>
          <w:lang w:val="en-US"/>
        </w:rPr>
      </w:pPr>
    </w:p>
    <w:p w14:paraId="19E83C36" w14:textId="77777777" w:rsidR="00EA5718" w:rsidRDefault="00EA5718" w:rsidP="00EC0255">
      <w:pPr>
        <w:rPr>
          <w:rFonts w:cs="Arial"/>
          <w:color w:val="000000" w:themeColor="text1"/>
          <w:lang w:val="en-US"/>
        </w:rPr>
      </w:pPr>
    </w:p>
    <w:p w14:paraId="16F32A70" w14:textId="77777777" w:rsidR="00EA5718" w:rsidRDefault="00EA5718" w:rsidP="00EC0255">
      <w:pPr>
        <w:rPr>
          <w:rFonts w:cs="Arial"/>
          <w:color w:val="000000" w:themeColor="text1"/>
          <w:lang w:val="en-US"/>
        </w:rPr>
      </w:pPr>
    </w:p>
    <w:p w14:paraId="37279708" w14:textId="77777777" w:rsidR="00EA5718" w:rsidRDefault="00EA5718" w:rsidP="00EC0255">
      <w:pPr>
        <w:rPr>
          <w:rFonts w:cs="Arial"/>
          <w:color w:val="000000" w:themeColor="text1"/>
          <w:lang w:val="en-US"/>
        </w:rPr>
      </w:pPr>
    </w:p>
    <w:p w14:paraId="37379513" w14:textId="77777777" w:rsidR="00EA5718" w:rsidRDefault="00EA5718" w:rsidP="00EC0255">
      <w:pPr>
        <w:rPr>
          <w:rFonts w:cs="Arial"/>
          <w:color w:val="000000" w:themeColor="text1"/>
          <w:lang w:val="en-US"/>
        </w:rPr>
      </w:pPr>
    </w:p>
    <w:p w14:paraId="5401E547" w14:textId="77777777" w:rsidR="00EA5718" w:rsidRDefault="00EA5718" w:rsidP="00EC0255">
      <w:pPr>
        <w:rPr>
          <w:rFonts w:cs="Arial"/>
          <w:color w:val="000000" w:themeColor="text1"/>
          <w:lang w:val="en-US"/>
        </w:rPr>
      </w:pPr>
    </w:p>
    <w:p w14:paraId="29ABE1C7" w14:textId="77777777" w:rsidR="00EA5718" w:rsidRDefault="00EA5718" w:rsidP="00EC0255">
      <w:pPr>
        <w:rPr>
          <w:rFonts w:cs="Arial"/>
          <w:color w:val="000000" w:themeColor="text1"/>
          <w:lang w:val="en-US"/>
        </w:rPr>
      </w:pPr>
    </w:p>
    <w:p w14:paraId="4A229AEC" w14:textId="77777777" w:rsidR="00EA5718" w:rsidRDefault="00EA5718" w:rsidP="00EC0255">
      <w:pPr>
        <w:rPr>
          <w:rFonts w:cs="Arial"/>
          <w:color w:val="000000" w:themeColor="text1"/>
          <w:lang w:val="en-US"/>
        </w:rPr>
      </w:pPr>
    </w:p>
    <w:p w14:paraId="49F0069C" w14:textId="77777777" w:rsidR="00EA5718" w:rsidRDefault="00EA5718" w:rsidP="00EC0255">
      <w:pPr>
        <w:rPr>
          <w:rFonts w:cs="Arial"/>
          <w:color w:val="000000" w:themeColor="text1"/>
          <w:lang w:val="en-US"/>
        </w:rPr>
      </w:pPr>
    </w:p>
    <w:p w14:paraId="35280BFA" w14:textId="77777777" w:rsidR="000A756A" w:rsidRDefault="000A756A" w:rsidP="000A756A">
      <w:pPr>
        <w:rPr>
          <w:rFonts w:cs="Arial"/>
          <w:color w:val="000000" w:themeColor="text1"/>
          <w:lang w:val="en-US"/>
        </w:rPr>
        <w:sectPr w:rsidR="000A756A" w:rsidSect="004200E4">
          <w:pgSz w:w="16838" w:h="11906" w:orient="landscape"/>
          <w:pgMar w:top="1440" w:right="1440" w:bottom="1440" w:left="1440" w:header="709" w:footer="709" w:gutter="0"/>
          <w:cols w:space="708"/>
          <w:titlePg/>
          <w:docGrid w:linePitch="360"/>
        </w:sectPr>
      </w:pPr>
    </w:p>
    <w:p w14:paraId="45E4FE64"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Grades of Recommendation, Assessment, Development and Evaluation (GRADE)</w:t>
      </w:r>
    </w:p>
    <w:p w14:paraId="7D002036" w14:textId="77777777" w:rsidR="000A756A" w:rsidRPr="000A756A" w:rsidRDefault="000A756A" w:rsidP="000A756A">
      <w:pPr>
        <w:rPr>
          <w:rFonts w:cs="Arial"/>
          <w:color w:val="000000" w:themeColor="text1"/>
          <w:lang w:val="en-US"/>
        </w:rPr>
      </w:pPr>
      <w:r w:rsidRPr="000A756A">
        <w:rPr>
          <w:rFonts w:cs="Arial"/>
          <w:color w:val="000000" w:themeColor="text1"/>
          <w:lang w:val="en-US"/>
        </w:rPr>
        <w:t>We did not create a GRADE profile for any specific ECI practice or set of practices relevant to our question. In making this decision we considered the following characteristics of our dataset:</w:t>
      </w:r>
    </w:p>
    <w:p w14:paraId="08E0A850" w14:textId="19BC7B0F" w:rsidR="000A756A" w:rsidRPr="00CE164C" w:rsidRDefault="000A756A" w:rsidP="003B0B17">
      <w:pPr>
        <w:pStyle w:val="ListParagraph"/>
        <w:numPr>
          <w:ilvl w:val="0"/>
          <w:numId w:val="259"/>
        </w:numPr>
        <w:ind w:left="714" w:hanging="357"/>
        <w:contextualSpacing w:val="0"/>
        <w:rPr>
          <w:rFonts w:cs="Arial"/>
          <w:color w:val="000000" w:themeColor="text1"/>
          <w:lang w:val="en-US"/>
        </w:rPr>
      </w:pPr>
      <w:r w:rsidRPr="00CE164C">
        <w:rPr>
          <w:rFonts w:cs="Arial"/>
          <w:color w:val="000000" w:themeColor="text1"/>
          <w:lang w:val="en-US"/>
        </w:rPr>
        <w:t>The included intervention approaches were typically complex and multifaceted, addressing more than one of the ECI practices</w:t>
      </w:r>
    </w:p>
    <w:p w14:paraId="2DA5BFBC" w14:textId="6EC9B33B" w:rsidR="000A756A" w:rsidRPr="00CE164C" w:rsidRDefault="000A756A" w:rsidP="003B0B17">
      <w:pPr>
        <w:pStyle w:val="ListParagraph"/>
        <w:numPr>
          <w:ilvl w:val="0"/>
          <w:numId w:val="259"/>
        </w:numPr>
        <w:ind w:left="714" w:hanging="357"/>
        <w:contextualSpacing w:val="0"/>
        <w:rPr>
          <w:rFonts w:cs="Arial"/>
          <w:color w:val="000000" w:themeColor="text1"/>
          <w:lang w:val="en-US"/>
        </w:rPr>
      </w:pPr>
      <w:r w:rsidRPr="00CE164C">
        <w:rPr>
          <w:rFonts w:cs="Arial"/>
          <w:color w:val="000000" w:themeColor="text1"/>
          <w:lang w:val="en-US"/>
        </w:rPr>
        <w:t>Only three studies included measures of participation of children (an ECI aim), and the included interventions in those studies were diverse in focus, delivered if different settings, and applied activity-specific measures of participation, making summarising the evidence potentially misleading</w:t>
      </w:r>
    </w:p>
    <w:p w14:paraId="4AB94B64" w14:textId="210D35C7" w:rsidR="000A756A" w:rsidRPr="00CE164C" w:rsidRDefault="000A756A" w:rsidP="003B0B17">
      <w:pPr>
        <w:pStyle w:val="ListParagraph"/>
        <w:numPr>
          <w:ilvl w:val="0"/>
          <w:numId w:val="259"/>
        </w:numPr>
        <w:ind w:left="714" w:hanging="357"/>
        <w:contextualSpacing w:val="0"/>
        <w:rPr>
          <w:rFonts w:cs="Arial"/>
          <w:color w:val="000000" w:themeColor="text1"/>
          <w:lang w:val="en-US"/>
        </w:rPr>
      </w:pPr>
      <w:r w:rsidRPr="00CE164C">
        <w:rPr>
          <w:rFonts w:cs="Arial"/>
          <w:color w:val="000000" w:themeColor="text1"/>
          <w:lang w:val="en-US"/>
        </w:rPr>
        <w:t xml:space="preserve">Of the multiple included RCTs that evaluated interventions that aimed to build parent/caregiver capacity, only eight measured changes that could be linked to caregiver capacity to provide children with the opportunities to practice functional skills (an ECI aim). Measures chosen included those tapping parenting sense of competence, parenting efficacy, family empowerment and ability to implement taught strategies specific to a child-outcome (e.g., language). While it may be technically possible to conduct a GRADE profile using evidence related to these outcomes, it is difficult to have confidence in the elements of practice that support the outcome given the diversity of interventions implemented and outcomes measured. </w:t>
      </w:r>
    </w:p>
    <w:p w14:paraId="00F1B9C4" w14:textId="77777777" w:rsidR="000A756A" w:rsidRPr="000A756A" w:rsidRDefault="000A756A" w:rsidP="000A756A">
      <w:pPr>
        <w:rPr>
          <w:rFonts w:cs="Arial"/>
          <w:color w:val="000000" w:themeColor="text1"/>
          <w:lang w:val="en-US"/>
        </w:rPr>
      </w:pPr>
    </w:p>
    <w:p w14:paraId="547040C9" w14:textId="56DC273E" w:rsidR="000A756A" w:rsidRPr="000A756A" w:rsidRDefault="000A756A" w:rsidP="00CE164C">
      <w:pPr>
        <w:pStyle w:val="Heading2"/>
        <w:rPr>
          <w:lang w:val="en-US"/>
        </w:rPr>
      </w:pPr>
      <w:bookmarkStart w:id="127" w:name="_Toc177730859"/>
      <w:r w:rsidRPr="000A756A">
        <w:rPr>
          <w:lang w:val="en-US"/>
        </w:rPr>
        <w:t>Discussion</w:t>
      </w:r>
      <w:bookmarkEnd w:id="127"/>
    </w:p>
    <w:p w14:paraId="71723BC7" w14:textId="77777777" w:rsidR="000A756A" w:rsidRPr="000A756A" w:rsidRDefault="000A756A" w:rsidP="000A756A">
      <w:pPr>
        <w:rPr>
          <w:rFonts w:cs="Arial"/>
          <w:color w:val="000000" w:themeColor="text1"/>
          <w:lang w:val="en-US"/>
        </w:rPr>
      </w:pPr>
      <w:r w:rsidRPr="000A756A">
        <w:rPr>
          <w:rFonts w:cs="Arial"/>
          <w:color w:val="000000" w:themeColor="text1"/>
          <w:lang w:val="en-US"/>
        </w:rPr>
        <w:t>This systematic review sought to identify and synthesise research evidence about the application of practices (as observed in interventions/programs) pertinent to ECI. The review did not seek to understand targeted interventions applied for discrete outcomes in children with specific diagnoses or conditions, but rather sought evidence that would inform which ECI practices are effective for children, families and services. In the context of this review, ECI practices we sought evidence about were associated with the eight principles identified across ECI best practice frameworks. These included practices associated with being:</w:t>
      </w:r>
    </w:p>
    <w:p w14:paraId="466C4804" w14:textId="45D411A3" w:rsidR="000A756A" w:rsidRPr="00CE164C" w:rsidRDefault="000A756A" w:rsidP="003B0B17">
      <w:pPr>
        <w:pStyle w:val="ListParagraph"/>
        <w:numPr>
          <w:ilvl w:val="0"/>
          <w:numId w:val="260"/>
        </w:numPr>
        <w:ind w:left="714" w:hanging="357"/>
        <w:contextualSpacing w:val="0"/>
        <w:rPr>
          <w:rFonts w:cs="Arial"/>
          <w:color w:val="000000" w:themeColor="text1"/>
          <w:lang w:val="en-US"/>
        </w:rPr>
      </w:pPr>
      <w:r w:rsidRPr="00CE164C">
        <w:rPr>
          <w:rFonts w:cs="Arial"/>
          <w:color w:val="000000" w:themeColor="text1"/>
          <w:lang w:val="en-US"/>
        </w:rPr>
        <w:t>Family centred</w:t>
      </w:r>
    </w:p>
    <w:p w14:paraId="43138B8F" w14:textId="73B568E3" w:rsidR="000A756A" w:rsidRPr="00CE164C" w:rsidRDefault="000A756A" w:rsidP="003B0B17">
      <w:pPr>
        <w:pStyle w:val="ListParagraph"/>
        <w:numPr>
          <w:ilvl w:val="0"/>
          <w:numId w:val="260"/>
        </w:numPr>
        <w:ind w:left="714" w:hanging="357"/>
        <w:contextualSpacing w:val="0"/>
        <w:rPr>
          <w:rFonts w:cs="Arial"/>
          <w:color w:val="000000" w:themeColor="text1"/>
          <w:lang w:val="en-US"/>
        </w:rPr>
      </w:pPr>
      <w:r w:rsidRPr="00CE164C">
        <w:rPr>
          <w:rFonts w:cs="Arial"/>
          <w:color w:val="000000" w:themeColor="text1"/>
          <w:lang w:val="en-US"/>
        </w:rPr>
        <w:t>Capacity-building focused and strengths-based</w:t>
      </w:r>
    </w:p>
    <w:p w14:paraId="5FDDB913" w14:textId="1185C208" w:rsidR="000A756A" w:rsidRPr="00CE164C" w:rsidRDefault="000A756A" w:rsidP="003B0B17">
      <w:pPr>
        <w:pStyle w:val="ListParagraph"/>
        <w:numPr>
          <w:ilvl w:val="0"/>
          <w:numId w:val="260"/>
        </w:numPr>
        <w:ind w:left="714" w:hanging="357"/>
        <w:contextualSpacing w:val="0"/>
        <w:rPr>
          <w:rFonts w:cs="Arial"/>
          <w:color w:val="000000" w:themeColor="text1"/>
          <w:lang w:val="en-US"/>
        </w:rPr>
      </w:pPr>
      <w:r w:rsidRPr="00CE164C">
        <w:rPr>
          <w:rFonts w:cs="Arial"/>
          <w:color w:val="000000" w:themeColor="text1"/>
          <w:lang w:val="en-US"/>
        </w:rPr>
        <w:t xml:space="preserve">Culturally responsive and culturally safe </w:t>
      </w:r>
    </w:p>
    <w:p w14:paraId="5811FCB8" w14:textId="5371603B" w:rsidR="000A756A" w:rsidRPr="00CE164C" w:rsidRDefault="000A756A" w:rsidP="003B0B17">
      <w:pPr>
        <w:pStyle w:val="ListParagraph"/>
        <w:numPr>
          <w:ilvl w:val="0"/>
          <w:numId w:val="260"/>
        </w:numPr>
        <w:ind w:left="714" w:hanging="357"/>
        <w:contextualSpacing w:val="0"/>
        <w:rPr>
          <w:rFonts w:cs="Arial"/>
          <w:color w:val="000000" w:themeColor="text1"/>
          <w:lang w:val="en-US"/>
        </w:rPr>
      </w:pPr>
      <w:r w:rsidRPr="00CE164C">
        <w:rPr>
          <w:rFonts w:cs="Arial"/>
          <w:color w:val="000000" w:themeColor="text1"/>
          <w:lang w:val="en-US"/>
        </w:rPr>
        <w:t>Inclusive and participatory</w:t>
      </w:r>
    </w:p>
    <w:p w14:paraId="4519117C" w14:textId="3F85A188" w:rsidR="000A756A" w:rsidRPr="00CE164C" w:rsidRDefault="000A756A" w:rsidP="003B0B17">
      <w:pPr>
        <w:pStyle w:val="ListParagraph"/>
        <w:numPr>
          <w:ilvl w:val="0"/>
          <w:numId w:val="260"/>
        </w:numPr>
        <w:ind w:left="714" w:hanging="357"/>
        <w:contextualSpacing w:val="0"/>
        <w:rPr>
          <w:rFonts w:cs="Arial"/>
          <w:color w:val="000000" w:themeColor="text1"/>
          <w:lang w:val="en-US"/>
        </w:rPr>
      </w:pPr>
      <w:r w:rsidRPr="00CE164C">
        <w:rPr>
          <w:rFonts w:cs="Arial"/>
          <w:color w:val="000000" w:themeColor="text1"/>
          <w:lang w:val="en-US"/>
        </w:rPr>
        <w:t>Engaged with children in natural environments</w:t>
      </w:r>
    </w:p>
    <w:p w14:paraId="6DC09870" w14:textId="0492C00B" w:rsidR="000A756A" w:rsidRPr="00CE164C" w:rsidRDefault="000A756A" w:rsidP="003B0B17">
      <w:pPr>
        <w:pStyle w:val="ListParagraph"/>
        <w:numPr>
          <w:ilvl w:val="0"/>
          <w:numId w:val="260"/>
        </w:numPr>
        <w:ind w:left="714" w:hanging="357"/>
        <w:contextualSpacing w:val="0"/>
        <w:rPr>
          <w:rFonts w:cs="Arial"/>
          <w:color w:val="000000" w:themeColor="text1"/>
          <w:lang w:val="en-US"/>
        </w:rPr>
      </w:pPr>
      <w:r w:rsidRPr="00CE164C">
        <w:rPr>
          <w:rFonts w:cs="Arial"/>
          <w:color w:val="000000" w:themeColor="text1"/>
          <w:lang w:val="en-US"/>
        </w:rPr>
        <w:t>Collaborative, within and across teams</w:t>
      </w:r>
    </w:p>
    <w:p w14:paraId="10A4EB17" w14:textId="0CDE0D1D" w:rsidR="000A756A" w:rsidRPr="00CE164C" w:rsidRDefault="000A756A" w:rsidP="003B0B17">
      <w:pPr>
        <w:pStyle w:val="ListParagraph"/>
        <w:numPr>
          <w:ilvl w:val="0"/>
          <w:numId w:val="260"/>
        </w:numPr>
        <w:ind w:left="714" w:hanging="357"/>
        <w:contextualSpacing w:val="0"/>
        <w:rPr>
          <w:rFonts w:cs="Arial"/>
          <w:color w:val="000000" w:themeColor="text1"/>
          <w:lang w:val="en-US"/>
        </w:rPr>
      </w:pPr>
      <w:r w:rsidRPr="00CE164C">
        <w:rPr>
          <w:rFonts w:cs="Arial"/>
          <w:color w:val="000000" w:themeColor="text1"/>
          <w:lang w:val="en-US"/>
        </w:rPr>
        <w:t>Evidence-informed</w:t>
      </w:r>
    </w:p>
    <w:p w14:paraId="7D1C35B4" w14:textId="4B24F3B0" w:rsidR="000A756A" w:rsidRPr="00CE164C" w:rsidRDefault="000A756A" w:rsidP="003B0B17">
      <w:pPr>
        <w:pStyle w:val="ListParagraph"/>
        <w:numPr>
          <w:ilvl w:val="0"/>
          <w:numId w:val="260"/>
        </w:numPr>
        <w:ind w:left="714" w:hanging="357"/>
        <w:contextualSpacing w:val="0"/>
        <w:rPr>
          <w:rFonts w:cs="Arial"/>
          <w:color w:val="000000" w:themeColor="text1"/>
          <w:lang w:val="en-US"/>
        </w:rPr>
      </w:pPr>
      <w:r w:rsidRPr="00CE164C">
        <w:rPr>
          <w:rFonts w:cs="Arial"/>
          <w:color w:val="000000" w:themeColor="text1"/>
          <w:lang w:val="en-US"/>
        </w:rPr>
        <w:t xml:space="preserve">Outcomes based </w:t>
      </w:r>
    </w:p>
    <w:p w14:paraId="3E45350C"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 xml:space="preserve">The nature of research undertaken </w:t>
      </w:r>
    </w:p>
    <w:p w14:paraId="0010F48A"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Our broad-based search strategy identified 5876 studies, of which 185 were identified as having relevance to our research question. Of the 185 relevant studies, data were extracted from two systematic reviews, 36 RCTs, 24 qualitative studies, and 17 publications providing evidence for Aboriginal and Torres Strait Islander children and families. While the remaining 106 studies likely include relevant information, they were not examined further given the constraints of time and the increasing risk of bias associated with the designs of the remaining studies. Of note, there has been an increased rate of publication of studies over the past 10 years, with 70% of papers being published in the past 5 years. Of the 185 relevant publications, approximately 55% involved studies using experimental designs (RCTs or SCEDs). </w:t>
      </w:r>
    </w:p>
    <w:p w14:paraId="25820A2E"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Despite not seeking condition-specific interventions, most included studies investigated the effect of approaches or strategies within diagnostic groups, with over 50% of included studies pertaining to children with, or showing early signs of, autism. The populations in focus in the outcomes were predominantly children, or children and caregivers. </w:t>
      </w:r>
    </w:p>
    <w:p w14:paraId="08CD5B76"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What do the included studies tell us about ECI approaches</w:t>
      </w:r>
    </w:p>
    <w:p w14:paraId="493A6953"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Family centred</w:t>
      </w:r>
    </w:p>
    <w:p w14:paraId="60E77C7A"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Most of the included research could be identified as having underlying principles associated with family-centredness. What is more complex to understand from the evidence reviewed is how family-centred principles are enacted as practices. Many practices that are deemed family-centred can also be described within the other ECI principles. In this review, we focused on identifying descriptions of interventions that reported being driven by family- or caregiver-focused/identified goals, that purposefully partnered with caregivers in delivery, supported peer connections and tailored approaches based on family circumstances. The most common, clearly articulated practice evident in the data was the individualisation of approaches to child and family circumstance, and this approach was most commonly seen in capacity-building practices that adjust the demands of the activity/approach based on child and family responses. While it might be that family and child goals were at the core of most home-based programs examined within RCTs, how these were elicited was not described, nor evaluated. Supporting and evaluating the effects of parent- or family-peer connections was not very evident in the body of RCT evidence; group-based SCERTS programs being one exception. The value of peer-to-peer support has been explored, and supported, within qualitative/mixed methods approaches to date. Given the espoused importance of peer-to-peer support, this is a gap that requires thoughtful additional investigation to build the evidence about what form of peer-to-peer support provides benefit at what timepoints in a family’s experiences. </w:t>
      </w:r>
    </w:p>
    <w:p w14:paraId="2B9F40AB"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Capacity-building and strengths-based</w:t>
      </w:r>
    </w:p>
    <w:p w14:paraId="1780ACA0" w14:textId="77777777" w:rsidR="000A756A" w:rsidRPr="000A756A" w:rsidRDefault="000A756A" w:rsidP="000A756A">
      <w:pPr>
        <w:rPr>
          <w:rFonts w:cs="Arial"/>
          <w:color w:val="000000" w:themeColor="text1"/>
          <w:lang w:val="en-US"/>
        </w:rPr>
      </w:pPr>
      <w:r w:rsidRPr="000A756A">
        <w:rPr>
          <w:rFonts w:cs="Arial"/>
          <w:color w:val="000000" w:themeColor="text1"/>
          <w:lang w:val="en-US"/>
        </w:rPr>
        <w:t>Most of the evidence available has been focused on building the capacities of children (defined as developmental progression or increasing skills and abilities). While there is evidence that the included approaches can build capacities in children, the evidence is not strong, with most studies demonstrating no difference between groups (both conditions are equally effective) on at least one of their identified targets. Because of the dominance of research involving children with autism, the predominant focus of interventions was to build children’s social and communication skills – skills that are pertinent to all children.  A number of studies investigated outcomes related to reduction in autism symptom severity. The focus of this outcome may not reflect a strength-based approach to intervention and assessment. A neuro affirming approach to supporting children with developmental differences is underpinned by an understanding of neurodiversity, the social model of disability, and a strengths-based approach to intervention and assessment.</w:t>
      </w:r>
    </w:p>
    <w:p w14:paraId="3E6B3B0F"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Parent/caregiver capacity building was also a focus in the interventions delivered within the included research, with many approaches involving coaching of parents/caregivers in relation to implementing strategies, being responsive to their child’s cues and actions. These approaches are typically described as parent-mediated child-focused interventions, and not all might have a strength-based approach that embeds strategies within daily routines. Only 14 studies included parent/caregiver or family level outcomes and of these, seven evaluated strategy use, or competence (with variable outcomes), suggesting a greater need to understand the impact of approaches on parent/caregiver and family capacity building. It was more common (although not frequent) that studies included measures of psychological wellbeing of parents and caregivers, an outcome of benefit in of itself, but that may not also be associated with increased capacity to support their child, family and selves overall. </w:t>
      </w:r>
    </w:p>
    <w:p w14:paraId="32C58C7C"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 xml:space="preserve">Culturally responsive and culturally safe </w:t>
      </w:r>
    </w:p>
    <w:p w14:paraId="5FAB4950" w14:textId="7A6197A2" w:rsidR="000A756A" w:rsidRPr="000A756A" w:rsidRDefault="000A756A" w:rsidP="000A756A">
      <w:pPr>
        <w:rPr>
          <w:rFonts w:cs="Arial"/>
          <w:color w:val="000000" w:themeColor="text1"/>
          <w:lang w:val="en-US"/>
        </w:rPr>
      </w:pPr>
      <w:r w:rsidRPr="000A756A">
        <w:rPr>
          <w:rFonts w:cs="Arial"/>
          <w:color w:val="000000" w:themeColor="text1"/>
          <w:lang w:val="en-US"/>
        </w:rPr>
        <w:t xml:space="preserve">Many of the included intervention approaches can be considered naturalistic behavioural developmental approaches (NDBI), described as aiming to be child directed (rather than adult), set in natural contexts and tailored to individual child/family circumstances. In the literature, NDBIs are described as culturally responsive because of these features (Song et al., 2024), and one qualitative paper (Rollins et al., 2023) provided evidence that Pathways (an NDBI) could be delivered in ways that were sensitive to Hispanic families in the US. While the potential for cultural responsivity appears present across the range of NDBIs, there was no evidence within the SR or RCTs presented that the approaches directly address issues of cultural </w:t>
      </w:r>
      <w:r w:rsidR="00795824">
        <w:rPr>
          <w:rFonts w:cs="Arial"/>
          <w:color w:val="000000" w:themeColor="text1"/>
          <w:lang w:val="en-US"/>
        </w:rPr>
        <w:t xml:space="preserve">responsiveness or </w:t>
      </w:r>
      <w:r w:rsidR="002342BC">
        <w:rPr>
          <w:rFonts w:cs="Arial"/>
          <w:color w:val="000000" w:themeColor="text1"/>
          <w:lang w:val="en-US"/>
        </w:rPr>
        <w:t xml:space="preserve">experiences of </w:t>
      </w:r>
      <w:r w:rsidRPr="000A756A">
        <w:rPr>
          <w:rFonts w:cs="Arial"/>
          <w:color w:val="000000" w:themeColor="text1"/>
          <w:lang w:val="en-US"/>
        </w:rPr>
        <w:t>cultural safety</w:t>
      </w:r>
      <w:r w:rsidR="00795824">
        <w:rPr>
          <w:rFonts w:cs="Arial"/>
          <w:color w:val="000000" w:themeColor="text1"/>
          <w:lang w:val="en-US"/>
        </w:rPr>
        <w:t>.</w:t>
      </w:r>
    </w:p>
    <w:p w14:paraId="49285ADA"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Eighteen papers, of which 17 concerned Aboriginal and Torres Strait Islander people stressed the importance of approaches to those with diverse cultural backgrounds. Practices – to apply the principle – that can be enacted include authentic engagement with the cultural community (not just the family), using trauma-informed knowledge and skills in engagement, building staff cultural competency (which has training and employment practice implications); engaging actively with families in context; providing support early; shared decision making; shared resources; connecting children and families to their culture, Country and language; and using strength-based assessments and practices. Some of these practices are consistent with other ECI practices (being family centred and strength-based), but explicit exploration of culturally sensitive and safe practices is not evident in the Western research included in this review. </w:t>
      </w:r>
    </w:p>
    <w:p w14:paraId="2C324067"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Inclusive and participatory</w:t>
      </w:r>
    </w:p>
    <w:p w14:paraId="1EDD75C7" w14:textId="77777777" w:rsidR="000A756A" w:rsidRPr="000A756A" w:rsidRDefault="000A756A" w:rsidP="000A756A">
      <w:pPr>
        <w:rPr>
          <w:rFonts w:cs="Arial"/>
          <w:color w:val="000000" w:themeColor="text1"/>
          <w:lang w:val="en-US"/>
        </w:rPr>
      </w:pPr>
      <w:r w:rsidRPr="000A756A">
        <w:rPr>
          <w:rFonts w:cs="Arial"/>
          <w:color w:val="000000" w:themeColor="text1"/>
          <w:lang w:val="en-US"/>
        </w:rPr>
        <w:t>The CHAMPPS (Children in Action: Motor Program for Preschoolers), with a focus on universal design principles (for motor skills development), Early Achievements programs (focused on book sharing) and SCERTS (Social, Communication, Emotional Regulation and Transactional Support) when embedded in inclusive classrooms, provided evidence of interventions developed to be inclusive. While many interventions were delivered in the environments where children spend their time (i.e., not in clinical settings), it is important to understand that this does not in itself make the approach inclusive.  One included study investigated a multi-tiered systems of support in an ECEC setting: the TELL program, that is a tier one whole of class curriculum to develop language and literacy. Genuine inclusion extends beyond environmental settings and requires that children and families are accepted and belong, have access to the same opportunities and experiences as other children and are able to participate in a meaningful way.</w:t>
      </w:r>
    </w:p>
    <w:p w14:paraId="63A1052B" w14:textId="09709798" w:rsidR="000A756A" w:rsidRPr="000A756A" w:rsidRDefault="000A756A" w:rsidP="000A756A">
      <w:pPr>
        <w:rPr>
          <w:rFonts w:cs="Arial"/>
          <w:color w:val="000000" w:themeColor="text1"/>
          <w:lang w:val="en-US"/>
        </w:rPr>
      </w:pPr>
      <w:r w:rsidRPr="000A756A">
        <w:rPr>
          <w:rFonts w:cs="Arial"/>
          <w:color w:val="000000" w:themeColor="text1"/>
          <w:lang w:val="en-US"/>
        </w:rPr>
        <w:t>There was little explicit focus on optimising participation of children or families in the included SR and RCTs – the interventions primarily targeted skills development, presumably with the expectation that children will be able to participate more once the requisite skills are developed. This assumption has not been demonstrated in other research related to participation outcomes (Adair et al., 2015). The exception to this was PLAY – a parent-child relationship-based approach embedded in child-directed play. Otherwise, participation-focused approaches were not evident in this body of research. To assess the design and implementation of inclusive interventions and services, there is also a need for specific outcome tools that focus on the key elements of inclusion.</w:t>
      </w:r>
    </w:p>
    <w:p w14:paraId="33502FA5"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Engage with children in natural environments</w:t>
      </w:r>
    </w:p>
    <w:p w14:paraId="26408B6F"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The natural environments of children under 9 years (our inclusion criteria) include their homes, ECEC settings, school and community. The evidence from Aboriginal and Torres Strait Islander communities placed strong emphasis on the need for whole of community engagement in early childhood services, regardless of child and family need for specialist support. Community provides the place and space for sharing resources, knowledge and support. The remaining evidence tended to focus on approaches delivered within children’s homes or in school or early childhood settings, with one RCT examining therapeutic playgroups. Five studies investigated centre-based approaches, either in combination with home visiting, or as a comparison setting in an RCT. </w:t>
      </w:r>
    </w:p>
    <w:p w14:paraId="1531E789" w14:textId="77777777" w:rsidR="000A756A" w:rsidRPr="000A756A" w:rsidRDefault="000A756A" w:rsidP="000A756A">
      <w:pPr>
        <w:rPr>
          <w:rFonts w:cs="Arial"/>
          <w:color w:val="000000" w:themeColor="text1"/>
          <w:lang w:val="en-US"/>
        </w:rPr>
      </w:pPr>
      <w:r w:rsidRPr="000A756A">
        <w:rPr>
          <w:rFonts w:cs="Arial"/>
          <w:color w:val="000000" w:themeColor="text1"/>
          <w:lang w:val="en-US"/>
        </w:rPr>
        <w:t>While this body of evidence suggests there is an increasing focus on delivering services in natural settings, the outcomes in focus in the SR and most of the RCTs do not provide evidence of the rationale behind delivering interventions within natural settings – that is to build capacity within the settings to be inclusive and participatory, and for the children to build a sense of belonging and develop skills and abilities in context. One study providing qualitative evidence from Sweden used the Autism Program Environment Rating Scale (Odom et al. 2018) in the mixed-methods element of the study, to measure the quality of the early learning program for children with autism. This assessment comprises a range of domains, including those related to the learning environment and climate, curriculum and instruction, family involvement and teamwork. It was not used in any RCT. Intervention approaches and outcome measures designed to take into consideration the appropriateness of the setting and context of the environment are important to achieving meaningful inclusion and participation, within the settings where children spend their time.</w:t>
      </w:r>
    </w:p>
    <w:p w14:paraId="368C2DD0"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Collaborative, within and across teams</w:t>
      </w:r>
    </w:p>
    <w:p w14:paraId="3AC6637F"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There are two aspects to consider in relation to collaborative teamwork practices. The first relates to collaborating with families as members of the team, and the second to building high-functioning teams that collaborate to deliver effective programs. The Aboriginal and Torres Strait Islander evidence builds a strong case for community-focused and embedded approaches to supporting all children and families. To implement community-based approaches will require interdisciplinary teamwork that bridges knowledge from across sectors – health, education, culture. Partnering with families can be seen in many of the family-centred individualisation and capacity-building coaching approaches included in the evidence. Parent/caregiver experiences of programs and ECI supports was also explored qualitatively, highlighting the value parents/caregivers place on relational practices that support effective communication and information sharing, shared decision making, and provide emotional support. Also explored qualitatively were practitioner experiences of professional development to build their capacity to provide effective relational-based practices. </w:t>
      </w:r>
    </w:p>
    <w:p w14:paraId="67E3DE4B" w14:textId="77777777" w:rsidR="000A756A" w:rsidRPr="000A756A" w:rsidRDefault="000A756A" w:rsidP="000A756A">
      <w:pPr>
        <w:rPr>
          <w:rFonts w:cs="Arial"/>
          <w:color w:val="000000" w:themeColor="text1"/>
          <w:lang w:val="en-US"/>
        </w:rPr>
      </w:pPr>
      <w:r w:rsidRPr="000A756A">
        <w:rPr>
          <w:rFonts w:cs="Arial"/>
          <w:color w:val="000000" w:themeColor="text1"/>
          <w:lang w:val="en-US"/>
        </w:rPr>
        <w:t>None of the included RCTs examined outcomes of collaborative teamwork, or specific team-based approaches (e.g., interdisciplinary, key worker, team-around-the-child models), and this remains a gap in the evidence. There were, however, several studies that provided professional development to practitioners, and explored quantitatively or qualitatively the impacts on practitioner skills and confidence. The Pursuit of Wellbeing approach (Young et al., 2023) aimed to build the capacity of key workers to support caregiver wellbeing, providing training and resources. Impacts on both key workers and caregivers were examined in an RCT, but the only differences between groups was in keyworker perceptions of supervisor support. While collaboration and team-based approaches to supporting children and families are understood to be an element of best practice, the success of implementation and outcomes of specific models of collaboration did not appear to be a key focus of the included studies and could be an area which requires further examination.</w:t>
      </w:r>
    </w:p>
    <w:p w14:paraId="2BD3D750"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Evidence-informed</w:t>
      </w:r>
    </w:p>
    <w:p w14:paraId="78F7D966"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For the purpose of this review, we defined evidence-informed approaches as those that explicitly brought together research, practitioner and family knowledge and values in the processes of decision making. While many studies indicated that the interventions involved collaborative goal setting, evidence-informed decision making was not examined in the included studies. Evidence-informed approaches may help to ensure that children and families receive high quality interventions, not only supported by research evidence, but also likely to lead to positive outcomes for the child and family in their unique context. </w:t>
      </w:r>
    </w:p>
    <w:p w14:paraId="575C06E1"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 xml:space="preserve">Outcomes based </w:t>
      </w:r>
    </w:p>
    <w:p w14:paraId="0080C414"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In this review we defined outcomes of ECI in relation to defined ECI aims. ECI aims to ensure that children experience optimal participation in important life situations (that occur in the natural settings in which children spend time – home, community, ECEC, school), and they are growing up in families in which the environment supports the whole family to thrive.  We operationalised these aims as when studies examined the impact of interventions on children’s participation outcomes and/or whole of family outcomes. We classified only three outcome measures as participation focused: one examining engagement and enjoyment of book reading; one a measure of structured play (mostly based on play skills); and the third a measure of classroom engagement. None of these three studies demonstrated benefits in favour of the intervention in focus, and each study arguably put a greater focus on skills development, than participation, based on number of measures included that addressed activity level outcomes.  </w:t>
      </w:r>
    </w:p>
    <w:p w14:paraId="66EEDAAD"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Family level measures were few. Four studies included one family-level measure, examining family empowerment or family quality of life (two studies each), family impact, or availability of resources in one study each.  The impact of approaches on family outcomes has been captured in several of the included qualitative findings, suggesting further research to test the effectiveness of (in addition to experiences of) programs aiming to support family level outcomes is warranted.  It is possible that a shift in ways of thinking about disability (e.g., the social model of disability) to design interventions that also aim to optimise supports around a child (rather than a sole focus on child capacity building) will flow on to the development of outcome measures that are aligned with new ways of thinking about disability. </w:t>
      </w:r>
    </w:p>
    <w:p w14:paraId="74480D84"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What outcomes have been identified and measured</w:t>
      </w:r>
    </w:p>
    <w:p w14:paraId="0B3B7120"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Across the included research, a broad range of outcomes have been identified. For children, the predominant focus has been on measures of activity performance (see Table 15), with skills, ability and developmental progress captured within five of nine ICF chapters: Chapter 1, Learning and applying knowledge; Chapter 2, General tasks and demands; Chapter 3, Communication; Chapter 4, Mobility; Chapter 5, Self-care; and Chapter 7, Interpersonal interactions and relationships. A few studies aimed to address outcomes at the level of body functions, only three sought participation outcomes – measuring aspects of participation in book reading, play, and engagement in the classroom, and one measured infant/toddler quality of life. For children with, or showing early signs of autism, diagnostic instruments were also included as outcome measures in several studies. </w:t>
      </w:r>
    </w:p>
    <w:p w14:paraId="026F88F5"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For caregivers, outcomes were also commonly captured at the ICF Activity level, with a focus on Chapter 1, Learning and acquiring knowledge, Chapter 2, General tasks and demands, Chapter 7, Interpersonal interactions and relationships. Most commonly measured outcomes were related to parent/caregiver stress or psychological wellbeing. Although a high proportion of included interventions/approaches aimed to build parent/caregiver capacity to be responsive to their child/ren and implement approaches, not all studies measured these outcomes. </w:t>
      </w:r>
    </w:p>
    <w:p w14:paraId="0BE5D88D"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For practitioners, measures focused on outcomes related to knowledge, skills, attitudes and confidence. Although not measured in the included studies, evidence from the Aboriginal and Torres Strait Islander documents raises the importance of employing Aboriginal and Torres Strait Islander staff and providing training in culturally sensitive and safe practices. Very few studies examined or measured the organisational context for delivering ECI. Those that did consider organisational outcomes focused on service use, staff absenteeism and costs. None of these outcomes address aspects of service structure that influence how practitioners can deliver family centred approaches. Again, recommendations about from the Aboriginal and Torres Strait Islander literature focuses on the role of community-controlled organisations providing leadership in the design and delivery of services. These recommendations have relevance beyond Aboriginal and Torres Strait Islander communities. </w:t>
      </w:r>
    </w:p>
    <w:p w14:paraId="0BB15FE3"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Which children are included</w:t>
      </w:r>
    </w:p>
    <w:p w14:paraId="2EB83696"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The included children were all aged &lt;9 years as per criteria. In addition, we sought evidence from the key jurisdictions included in the overall project: Australia, Europe, New Zealand, the UK and the US. No studies from New Zealand met our inclusion criteria for data extraction. In the RCT evidence, there was a preponderance of homogenous Western samples of children, with only one US-based study clearly including and considering the outcomes in relation to children from diverse cultural backgrounds (Bagner et al. 2023). Of the 24 included studies that provided qualitative evidence, only four specifically considered families from diverse cultural backgrounds. </w:t>
      </w:r>
    </w:p>
    <w:p w14:paraId="6C12ECBD"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Overwhelmingly, the included evidence applies to the dominant cultures of the country of the study. </w:t>
      </w:r>
    </w:p>
    <w:p w14:paraId="2D10F636" w14:textId="77777777" w:rsidR="000A756A" w:rsidRPr="000A756A" w:rsidRDefault="000A756A" w:rsidP="000A756A">
      <w:pPr>
        <w:rPr>
          <w:rFonts w:cs="Arial"/>
          <w:color w:val="000000" w:themeColor="text1"/>
          <w:lang w:val="en-US"/>
        </w:rPr>
      </w:pPr>
      <w:r w:rsidRPr="000A756A">
        <w:rPr>
          <w:rFonts w:cs="Arial"/>
          <w:color w:val="000000" w:themeColor="text1"/>
          <w:lang w:val="en-US"/>
        </w:rPr>
        <w:t>In regard to evidence about Australian children, only three Australian RCTs were included and five studies reporting qualitative findings, in addition to the 17 reports pertinent to Aboriginal and Torres Strait Islander families. It is important to note that this is not a reflection on the overall body of evidence generated about and for Australian children with developmental concerns, delay or disability. There are many studies, not in focus in this review, that have investigated the effects of specific interventions and approaches for children across a variety of conditions that should be used to guide diagnostic-specific approaches. In particular, it is important to note that there are guidelines for children with autism (Autism CRC, 2022), cerebral palsy (Jackman et al., 2022) and those who are born prematurely (Centre for Research Excellence in Newborn Medicine, 2024) that are highly pertinent to the early childhood field. One challenge for the field is to distinguish – where needed – the differences between clinical guidelines and practice guidelines.</w:t>
      </w:r>
    </w:p>
    <w:p w14:paraId="7EC25080"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 xml:space="preserve">To what extent does the evidence apply to specific groups of children </w:t>
      </w:r>
    </w:p>
    <w:p w14:paraId="7F974B5D"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We specifically sought research about cultural minorities and about Australian Aboriginal and Torres Strait Islander communities. Only one of the included RCTs provides evidence in support of approaches for culturally diverse populations, none for Indigenous groups relevant to the jurisdictions in focus in this review.  As reported by Emerson et al. (2015) interventions that are designed for Aboriginal and Torres Strait Islander families have limited evidence to date, those that have been adapted for Aboriginal and Torres Strait Islander families show some promise, and those approaches that have evidence of effectiveness for other populations have not been evaluated with Aboriginal and Torres Strait Islander families – and indeed often not with other families living in Australia. </w:t>
      </w:r>
    </w:p>
    <w:p w14:paraId="6A331B34"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To what extent do ECI approaches deliver positive outcomes</w:t>
      </w:r>
    </w:p>
    <w:p w14:paraId="45A793CD"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Overall, one must conclude that the evidence derived from intervention-focused research designs is equivocal. Although many of the included RCTs show some positive findings in favour of the interventions/programs they explored, none were without risk of bias, no one intervention / program stands out as superior and few studies explicitly addressed the suite of practices identified as key to ECI.   This represents a problem of research design and intent. ECI is a complex set of practices, not perhaps well-suited to traditional methods of evaluation. In addition, the focus of outcomes in the included trials was not on the key aims of ECI, thus it is possible that important effects are present that were not measured. </w:t>
      </w:r>
    </w:p>
    <w:p w14:paraId="48DDE741"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There is emergent evidence in the body of qualitative findings that bears further consideration. This set of studies provides indicators of benefit for the whole family from a range of approaches including supported playgroups, interventions embedded with child-care settings, parent empowerment programs, and community delivered multi-disciplinary supports to name a few. Evidence from Aboriginal and Torres Strait Islander reports also provide preliminary evidence in support of tailoring child and family focused approaches to the local communities in which the children and families live. Further robust research, undertaken under the leadership of ACCO and elders of local communities is required to build the evidence base for Aboriginal and Torres Strait Islander children and families. </w:t>
      </w:r>
    </w:p>
    <w:p w14:paraId="03FD82E8"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 xml:space="preserve">What are the barriers and facilitators to implementing </w:t>
      </w:r>
    </w:p>
    <w:p w14:paraId="2F93AD0A" w14:textId="77777777" w:rsidR="000A756A" w:rsidRPr="000A756A" w:rsidRDefault="000A756A" w:rsidP="000A756A">
      <w:pPr>
        <w:rPr>
          <w:rFonts w:cs="Arial"/>
          <w:color w:val="000000" w:themeColor="text1"/>
          <w:lang w:val="en-US"/>
        </w:rPr>
      </w:pPr>
      <w:r w:rsidRPr="000A756A">
        <w:rPr>
          <w:rFonts w:cs="Arial"/>
          <w:color w:val="000000" w:themeColor="text1"/>
          <w:lang w:val="en-US"/>
        </w:rPr>
        <w:t>None of the included SR or RCTs aimed to explore the facilitators and barriers to implementing the ECI strategies under investigation, although authors occasionally provided some relevant commentary. For example, Klein et al (2021) reported on the time required to prepare for video-feedback sessions in their study of parent coaching to deliver naturalistic developmental behavioural interventions was a barrier to practitioners. It was more common that the included qualitative research provided evidence related to barriers and facilitators to implementing practices, with six studies explicitly seeking this information, and a further three presenting findings in relation to barriers and facilitators (see Table 18). Qualitative research studies commonly aim to identify barriers and facilitators to implementation of services. One of benefits of this methodological approach is that barriers and facilitators not anticipated by researchers may be identified.</w:t>
      </w:r>
    </w:p>
    <w:p w14:paraId="4F62194C"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Facilitators reported by caregivers included have strong professional-caregiver relationships (being listened to, consistent practitioners who got to know them), being provided with coaching and support to learn and implement new strategies and approaches, access to multi-disciplinary expertise and individualised supports, being connected to other families and working on goals that were shared across EC settings. These facilitators reinforce the importance of the practices related to the principle of being family centred. </w:t>
      </w:r>
    </w:p>
    <w:p w14:paraId="01714916" w14:textId="77777777" w:rsidR="000A756A" w:rsidRPr="000A756A" w:rsidRDefault="000A756A" w:rsidP="000A756A">
      <w:pPr>
        <w:rPr>
          <w:rFonts w:cs="Arial"/>
          <w:color w:val="000000" w:themeColor="text1"/>
          <w:lang w:val="en-US"/>
        </w:rPr>
      </w:pPr>
      <w:r w:rsidRPr="000A756A">
        <w:rPr>
          <w:rFonts w:cs="Arial"/>
          <w:color w:val="000000" w:themeColor="text1"/>
          <w:lang w:val="en-US"/>
        </w:rPr>
        <w:t>Barriers identified by caregivers related to time pressures, resulting in difficulties implementing planned strategies or scheduling, and difficulties being able to implement planned strategies within day-to-day life. Practitioners also identified time as a barrier, with workloads and insufficient staffing contributing to difficulties in implementing planned ECI approaches. Having materials and resources that support implementing particular ways of working, and professional supports when changing practices, were identified by practitioners as supports.</w:t>
      </w:r>
    </w:p>
    <w:p w14:paraId="720D879D"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The Aboriginal and Torres Strait Islander evidence also provided information related to barriers and facilitators to implementing ECI practices. Two of the reports focus on system level barriers related to lack of community control over program design and implementation, and issues related to funding processes – including funding stability and reporting burdens (SNAICC 2023, 2012). Importantly in Aboriginal and Torres Strait Islander communities, the absence of a skilled workforce, high turnover of staff when workforce does exist (Kral et al. 2021; Elek et al. 2022), and a limited relevant evidence base (Kral et al. 2022) also contribute significant barriers to children and families accessing and using quality ECI supports. </w:t>
      </w:r>
    </w:p>
    <w:p w14:paraId="0C187BD7" w14:textId="77777777" w:rsidR="000A756A" w:rsidRPr="00CE164C" w:rsidRDefault="000A756A" w:rsidP="000A756A">
      <w:pPr>
        <w:rPr>
          <w:rFonts w:cs="Arial"/>
          <w:b/>
          <w:bCs/>
          <w:color w:val="000000" w:themeColor="text1"/>
          <w:lang w:val="en-US"/>
        </w:rPr>
      </w:pPr>
      <w:r w:rsidRPr="00CE164C">
        <w:rPr>
          <w:rFonts w:cs="Arial"/>
          <w:b/>
          <w:bCs/>
          <w:color w:val="000000" w:themeColor="text1"/>
          <w:lang w:val="en-US"/>
        </w:rPr>
        <w:t xml:space="preserve">Limitations of the review </w:t>
      </w:r>
    </w:p>
    <w:p w14:paraId="2253920B"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There are several limitations to this review. Some relate to the complexity of the overall research question that focused on the practices linked to principles for delivery of early childhood interventions, the focus on specific jurisdictions, the exclusion of highly specific interventions for diagnostic groups and the limitations on year of publication. These approaches mean that (i) selection of relevant articles was complicated by the broad range of potential approaches and whether authors of research explicated their research in relation to ECI principles and practices; (ii) important research from jurisdictions outside our criteria were excluded; (iii) that potentially relevant evidence from diagnostic specific approaches is not included; and research older than 2014 that may be seminal was not included. The first limitation was managed by the use of independent reviewers and consensus-based approaches through each phase of the study selection, extraction and reporting of the findings. This enabled robust discussions as needed and supported a consistent approach. </w:t>
      </w:r>
    </w:p>
    <w:p w14:paraId="7B16668A"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The second limitation might increase the likelihood of evidence being relevant to Australia and to ECI frameworks, however, there are important limitations in relation to understanding the impact of context on implementation and outcomes. One important exclusion related to research based in Canada – a similar jurisdiction that was not included due to the focus on jurisdictions with exiting ECI frameworks. </w:t>
      </w:r>
    </w:p>
    <w:p w14:paraId="2568C554" w14:textId="77777777" w:rsidR="000A756A" w:rsidRPr="000A756A" w:rsidRDefault="000A756A" w:rsidP="000A756A">
      <w:pPr>
        <w:rPr>
          <w:rFonts w:cs="Arial"/>
          <w:color w:val="000000" w:themeColor="text1"/>
          <w:lang w:val="en-US"/>
        </w:rPr>
      </w:pPr>
      <w:r w:rsidRPr="000A756A">
        <w:rPr>
          <w:rFonts w:cs="Arial"/>
          <w:color w:val="000000" w:themeColor="text1"/>
          <w:lang w:val="en-US"/>
        </w:rPr>
        <w:t xml:space="preserve">In addition, there is a strong body of research about family-centred practice that explores what it is, relationships amongst practitioners and caregivers, challenges with implementation (e.g., McCarthy &amp; Guerin, 2022; Mas et al. 2022; Garcia-Ventura et al. 2021; Rueda et al. 2023), that did not meet our definition of interventional research and so was excluded. This research provides highly relevant evidence. </w:t>
      </w:r>
    </w:p>
    <w:p w14:paraId="3F66F178" w14:textId="77777777" w:rsidR="000A756A" w:rsidRPr="000A756A" w:rsidRDefault="000A756A" w:rsidP="000A756A">
      <w:pPr>
        <w:rPr>
          <w:rFonts w:cs="Arial"/>
          <w:color w:val="000000" w:themeColor="text1"/>
          <w:lang w:val="en-US"/>
        </w:rPr>
      </w:pPr>
      <w:r w:rsidRPr="000A756A">
        <w:rPr>
          <w:rFonts w:cs="Arial"/>
          <w:color w:val="000000" w:themeColor="text1"/>
          <w:lang w:val="en-US"/>
        </w:rPr>
        <w:t>The third limitation means that bridging knowledge across diagnostic groups may have been hampered, although it is important to note that there are existing high-quality, contemporary guidelines for practice for children with autism, cerebral palsy and who were born prematurely for practitioners to draw on.  As a consequence of our review approaches, it was likely that appropriate data for meta-analysis and for determining GRADE levels were missing. Therefore, neither of these planned approaches were implemented to avoid presenting erroneous messaging.</w:t>
      </w:r>
    </w:p>
    <w:p w14:paraId="214A1B81" w14:textId="56154FF8" w:rsidR="000A756A" w:rsidRPr="000A756A" w:rsidRDefault="000A756A" w:rsidP="000A756A">
      <w:pPr>
        <w:rPr>
          <w:rFonts w:cs="Arial"/>
          <w:color w:val="000000" w:themeColor="text1"/>
          <w:lang w:val="en-US"/>
        </w:rPr>
      </w:pPr>
      <w:r w:rsidRPr="000A756A">
        <w:rPr>
          <w:rFonts w:cs="Arial"/>
          <w:color w:val="000000" w:themeColor="text1"/>
          <w:lang w:val="en-US"/>
        </w:rPr>
        <w:t xml:space="preserve">An additional limitation is that the volume of relevant research not extracted and examined within this review based on study design means that we are likely missing some important emerging evidence and evidence that could inform practice development. This is particularly important for aspects of practice where RCT methods are less helpful or more complex to implement. </w:t>
      </w:r>
    </w:p>
    <w:p w14:paraId="330DEF78" w14:textId="0AA9B271" w:rsidR="000A756A" w:rsidRPr="000A756A" w:rsidRDefault="000A756A" w:rsidP="00CE164C">
      <w:pPr>
        <w:pStyle w:val="Heading2"/>
        <w:rPr>
          <w:lang w:val="en-US"/>
        </w:rPr>
      </w:pPr>
      <w:bookmarkStart w:id="128" w:name="_Toc177730860"/>
      <w:r w:rsidRPr="000A756A">
        <w:rPr>
          <w:lang w:val="en-US"/>
        </w:rPr>
        <w:t>Implications for Australian ECI practice framework</w:t>
      </w:r>
      <w:bookmarkEnd w:id="128"/>
    </w:p>
    <w:p w14:paraId="38A88CA3" w14:textId="77777777" w:rsidR="000A756A" w:rsidRPr="000A756A" w:rsidRDefault="000A756A" w:rsidP="000A756A">
      <w:pPr>
        <w:rPr>
          <w:rFonts w:cs="Arial"/>
          <w:color w:val="000000" w:themeColor="text1"/>
          <w:lang w:val="en-US"/>
        </w:rPr>
      </w:pPr>
      <w:r w:rsidRPr="000A756A">
        <w:rPr>
          <w:rFonts w:cs="Arial"/>
          <w:color w:val="000000" w:themeColor="text1"/>
          <w:lang w:val="en-US"/>
        </w:rPr>
        <w:t>The data collated and summarised in this systematic review provides evidence from programs delivered to young children about some of the key elements of working with them, their families and communities and highlights where there is evidence to support ECI practices as well as where further research is needed to build the requisite knowledge. Some of the required evidence is relevant to the broader early childhood sector, as well as being required to inform ECI practices and strategies to meet the aims, principles and desired outcomes of an ECI Framework.</w:t>
      </w:r>
    </w:p>
    <w:p w14:paraId="3CDD2645" w14:textId="77777777" w:rsidR="00EA5718" w:rsidRPr="0000335F" w:rsidRDefault="00EA5718" w:rsidP="00EC0255">
      <w:pPr>
        <w:rPr>
          <w:rFonts w:cs="Arial"/>
          <w:color w:val="000000" w:themeColor="text1"/>
          <w:lang w:val="en-US"/>
        </w:rPr>
      </w:pPr>
    </w:p>
    <w:p w14:paraId="32B7DFFC" w14:textId="77777777" w:rsidR="00D37C27" w:rsidRDefault="00D37C27" w:rsidP="009E4BED">
      <w:pPr>
        <w:rPr>
          <w:rFonts w:cs="Arial"/>
          <w:color w:val="000000" w:themeColor="text1"/>
          <w:lang w:val="en-US"/>
        </w:rPr>
      </w:pPr>
    </w:p>
    <w:p w14:paraId="32B2A44D" w14:textId="77777777" w:rsidR="009576CE" w:rsidRDefault="009576CE" w:rsidP="009E4BED">
      <w:pPr>
        <w:rPr>
          <w:rFonts w:cs="Arial"/>
          <w:color w:val="000000" w:themeColor="text1"/>
          <w:lang w:val="en-US"/>
        </w:rPr>
      </w:pPr>
    </w:p>
    <w:p w14:paraId="1D338DB4" w14:textId="77777777" w:rsidR="009576CE" w:rsidRDefault="009576CE" w:rsidP="009E4BED">
      <w:pPr>
        <w:rPr>
          <w:rFonts w:cs="Arial"/>
          <w:color w:val="000000" w:themeColor="text1"/>
          <w:lang w:val="en-US"/>
        </w:rPr>
      </w:pPr>
    </w:p>
    <w:p w14:paraId="10699102" w14:textId="77777777" w:rsidR="009576CE" w:rsidRDefault="009576CE" w:rsidP="009E4BED">
      <w:pPr>
        <w:rPr>
          <w:rFonts w:cs="Arial"/>
          <w:color w:val="000000" w:themeColor="text1"/>
          <w:lang w:val="en-US"/>
        </w:rPr>
      </w:pPr>
    </w:p>
    <w:p w14:paraId="68E5253D" w14:textId="77777777" w:rsidR="00A00EB0" w:rsidRPr="00B73EDB" w:rsidRDefault="00A00EB0" w:rsidP="00A00EB0">
      <w:pPr>
        <w:rPr>
          <w:rFonts w:cs="Arial"/>
          <w:b/>
          <w:bCs/>
          <w:color w:val="0C2C74"/>
          <w:lang w:val="en-US"/>
        </w:rPr>
      </w:pPr>
      <w:r w:rsidRPr="00B73EDB">
        <w:rPr>
          <w:rFonts w:cs="Arial"/>
          <w:b/>
          <w:bCs/>
          <w:color w:val="0C2C74"/>
          <w:lang w:val="en-US"/>
        </w:rPr>
        <w:t xml:space="preserve">Implications for ECI services </w:t>
      </w:r>
    </w:p>
    <w:p w14:paraId="39D28687" w14:textId="244B3951" w:rsidR="00A00EB0" w:rsidRPr="00B73EDB" w:rsidRDefault="00A00EB0" w:rsidP="003B0B17">
      <w:pPr>
        <w:pStyle w:val="ListParagraph"/>
        <w:numPr>
          <w:ilvl w:val="0"/>
          <w:numId w:val="261"/>
        </w:numPr>
        <w:ind w:left="714" w:hanging="357"/>
        <w:contextualSpacing w:val="0"/>
        <w:rPr>
          <w:rFonts w:cs="Arial"/>
          <w:color w:val="000000" w:themeColor="text1"/>
          <w:lang w:val="en-US"/>
        </w:rPr>
      </w:pPr>
      <w:r w:rsidRPr="00B73EDB">
        <w:rPr>
          <w:rFonts w:cs="Arial"/>
          <w:color w:val="000000" w:themeColor="text1"/>
          <w:lang w:val="en-US"/>
        </w:rPr>
        <w:t>Inclusion of ECI services within a broader system of services for children and families is strongly recommended by the Aboriginal and Torres Strait Islander evidence. This recommendation is highly relevant to all communities</w:t>
      </w:r>
    </w:p>
    <w:p w14:paraId="5C7FBC10" w14:textId="06D3110F" w:rsidR="00A00EB0" w:rsidRPr="00B73EDB" w:rsidRDefault="00A00EB0" w:rsidP="003B0B17">
      <w:pPr>
        <w:pStyle w:val="ListParagraph"/>
        <w:numPr>
          <w:ilvl w:val="0"/>
          <w:numId w:val="261"/>
        </w:numPr>
        <w:ind w:left="714" w:hanging="357"/>
        <w:contextualSpacing w:val="0"/>
        <w:rPr>
          <w:rFonts w:cs="Arial"/>
          <w:color w:val="000000" w:themeColor="text1"/>
          <w:lang w:val="en-US"/>
        </w:rPr>
      </w:pPr>
      <w:r w:rsidRPr="00B73EDB">
        <w:rPr>
          <w:rFonts w:cs="Arial"/>
          <w:color w:val="000000" w:themeColor="text1"/>
          <w:lang w:val="en-US"/>
        </w:rPr>
        <w:t>Qualitative evidence from many communities, and in particular, Aboriginal and Torres Strait Islan</w:t>
      </w:r>
      <w:r w:rsidR="00AB1951">
        <w:rPr>
          <w:noProof/>
        </w:rPr>
        <mc:AlternateContent>
          <mc:Choice Requires="wps">
            <w:drawing>
              <wp:anchor distT="0" distB="0" distL="114300" distR="114300" simplePos="0" relativeHeight="251672576" behindDoc="1" locked="1" layoutInCell="1" allowOverlap="1" wp14:anchorId="6A422E62" wp14:editId="4C8F236D">
                <wp:simplePos x="0" y="0"/>
                <wp:positionH relativeFrom="column">
                  <wp:posOffset>-473075</wp:posOffset>
                </wp:positionH>
                <wp:positionV relativeFrom="page">
                  <wp:posOffset>693420</wp:posOffset>
                </wp:positionV>
                <wp:extent cx="6695440" cy="2616835"/>
                <wp:effectExtent l="0" t="0" r="0" b="0"/>
                <wp:wrapNone/>
                <wp:docPr id="12449772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616835"/>
                        </a:xfrm>
                        <a:prstGeom prst="rect">
                          <a:avLst/>
                        </a:prstGeom>
                        <a:solidFill>
                          <a:srgbClr val="8087A3">
                            <a:alpha val="2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F889" id="Rectangle 2" o:spid="_x0000_s1026" alt="&quot;&quot;" style="position:absolute;margin-left:-37.25pt;margin-top:54.6pt;width:527.2pt;height:206.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" fillcolor="#8087a3" stroked="f" strokeweight="1pt">
                <v:fill opacity="16448f"/>
                <w10:wrap anchory="page"/>
                <w10:anchorlock/>
              </v:rect>
            </w:pict>
          </mc:Fallback>
        </mc:AlternateContent>
      </w:r>
      <w:r w:rsidR="00AB1951">
        <w:rPr>
          <w:noProof/>
        </w:rPr>
        <mc:AlternateContent>
          <mc:Choice Requires="wps">
            <w:drawing>
              <wp:anchor distT="0" distB="0" distL="114300" distR="114300" simplePos="0" relativeHeight="251673600" behindDoc="1" locked="1" layoutInCell="1" allowOverlap="1" wp14:anchorId="2B3A6BDB" wp14:editId="5E11D613">
                <wp:simplePos x="0" y="0"/>
                <wp:positionH relativeFrom="column">
                  <wp:posOffset>-481965</wp:posOffset>
                </wp:positionH>
                <wp:positionV relativeFrom="page">
                  <wp:posOffset>3733165</wp:posOffset>
                </wp:positionV>
                <wp:extent cx="6695440" cy="6056630"/>
                <wp:effectExtent l="12700" t="12700" r="10160" b="13970"/>
                <wp:wrapNone/>
                <wp:docPr id="23482589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605663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93B8B" id="Rectangle 2" o:spid="_x0000_s1026" alt="&quot;&quot;" style="position:absolute;margin-left:-37.95pt;margin-top:293.95pt;width:527.2pt;height:47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" fillcolor="#f2f2f2 [3052]" strokecolor="#8087a3" strokeweight="2.25pt">
                <w10:wrap anchory="page"/>
                <w10:anchorlock/>
              </v:rect>
            </w:pict>
          </mc:Fallback>
        </mc:AlternateContent>
      </w:r>
      <w:r w:rsidRPr="00B73EDB">
        <w:rPr>
          <w:rFonts w:cs="Arial"/>
          <w:color w:val="000000" w:themeColor="text1"/>
          <w:lang w:val="en-US"/>
        </w:rPr>
        <w:t>der evidence, provide strong endorsement of the role of community leadership and co-design of services with parents/caregivers and communities who are intended to use and benefit from services</w:t>
      </w:r>
    </w:p>
    <w:p w14:paraId="5DFFBE19" w14:textId="35E982E1" w:rsidR="009576CE" w:rsidRPr="00B73EDB" w:rsidRDefault="00A00EB0" w:rsidP="003B0B17">
      <w:pPr>
        <w:pStyle w:val="ListParagraph"/>
        <w:numPr>
          <w:ilvl w:val="0"/>
          <w:numId w:val="261"/>
        </w:numPr>
        <w:ind w:left="714" w:hanging="357"/>
        <w:contextualSpacing w:val="0"/>
        <w:rPr>
          <w:rFonts w:cs="Arial"/>
          <w:color w:val="000000" w:themeColor="text1"/>
          <w:lang w:val="en-US"/>
        </w:rPr>
      </w:pPr>
      <w:r w:rsidRPr="00B73EDB">
        <w:rPr>
          <w:rFonts w:cs="Arial"/>
          <w:color w:val="000000" w:themeColor="text1"/>
          <w:lang w:val="en-US"/>
        </w:rPr>
        <w:t>Future evaluation of the implementation of ECI programs within an ECI framework requires an overarching infrastructure that supports quality data collection at local, state and national levels</w:t>
      </w:r>
    </w:p>
    <w:p w14:paraId="0EB659F4" w14:textId="77777777" w:rsidR="00A644D3" w:rsidRDefault="00A644D3" w:rsidP="00A00EB0">
      <w:pPr>
        <w:rPr>
          <w:rFonts w:cs="Arial"/>
          <w:color w:val="000000" w:themeColor="text1"/>
          <w:lang w:val="en-US"/>
        </w:rPr>
      </w:pPr>
    </w:p>
    <w:p w14:paraId="2F0AF273" w14:textId="77777777" w:rsidR="00AB1951" w:rsidRDefault="00AB1951" w:rsidP="00A644D3">
      <w:pPr>
        <w:rPr>
          <w:rFonts w:cs="Arial"/>
          <w:b/>
          <w:bCs/>
          <w:color w:val="0C2C74"/>
          <w:lang w:val="en-US"/>
        </w:rPr>
      </w:pPr>
    </w:p>
    <w:p w14:paraId="7ACECBF8" w14:textId="77777777" w:rsidR="00AB1951" w:rsidRDefault="00AB1951" w:rsidP="00A644D3">
      <w:pPr>
        <w:rPr>
          <w:rFonts w:cs="Arial"/>
          <w:b/>
          <w:bCs/>
          <w:color w:val="0C2C74"/>
          <w:lang w:val="en-US"/>
        </w:rPr>
      </w:pPr>
    </w:p>
    <w:p w14:paraId="0CA5D3CF" w14:textId="5203E757" w:rsidR="00A644D3" w:rsidRPr="00B73EDB" w:rsidRDefault="00A644D3" w:rsidP="00A644D3">
      <w:pPr>
        <w:rPr>
          <w:rFonts w:cs="Arial"/>
          <w:b/>
          <w:bCs/>
          <w:color w:val="0C2C74"/>
          <w:lang w:val="en-US"/>
        </w:rPr>
      </w:pPr>
      <w:r w:rsidRPr="00B73EDB">
        <w:rPr>
          <w:rFonts w:cs="Arial"/>
          <w:b/>
          <w:bCs/>
          <w:color w:val="0C2C74"/>
          <w:lang w:val="en-US"/>
        </w:rPr>
        <w:t>Implications for ECI practice framework</w:t>
      </w:r>
    </w:p>
    <w:p w14:paraId="50BB6957" w14:textId="7A0F5F38" w:rsidR="00A644D3" w:rsidRPr="00B73EDB" w:rsidRDefault="00A644D3"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Articulating and defining the aims of ECI is needed to drive innovation in research and implementation and to build the evidence for ECI practices</w:t>
      </w:r>
    </w:p>
    <w:p w14:paraId="40C510D6" w14:textId="3AC4CE98" w:rsidR="00A644D3" w:rsidRPr="00B73EDB" w:rsidRDefault="00A644D3"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ECI principles appear to be well accepted (and perhaps assumed to be in place) but are not always clearly operationalised in the current body of evidence</w:t>
      </w:r>
    </w:p>
    <w:p w14:paraId="6323C099" w14:textId="2B368299" w:rsidR="00A644D3" w:rsidRPr="00B73EDB" w:rsidRDefault="00A644D3"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All ECI practices that are linked to the principles need to be clearly identified, defined and operationalised to support robust research and the capacity to build a body of evidence that is translatable to practice about how to deliver effective supports for families and children</w:t>
      </w:r>
    </w:p>
    <w:p w14:paraId="6DA0AC22" w14:textId="653CF834" w:rsidR="00A644D3" w:rsidRPr="00B73EDB" w:rsidRDefault="00A644D3"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Research methods designed to evaluate effects and impacts of ECI practices must consider the matrix of inter-related practices both in the design of approaches for testing, and in the measurement of outcomes</w:t>
      </w:r>
    </w:p>
    <w:p w14:paraId="47F88C89" w14:textId="6F0ACDD0" w:rsidR="00A644D3" w:rsidRPr="00B73EDB" w:rsidRDefault="00A644D3"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Implementation science methods for examining the suitability, requirement for tailoring, and approaches to support uptake of effective methods, should be a focus in ECI research</w:t>
      </w:r>
    </w:p>
    <w:p w14:paraId="25344B19" w14:textId="0C86861F" w:rsidR="00A644D3" w:rsidRPr="00B73EDB" w:rsidRDefault="00A644D3"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 xml:space="preserve">The following practices appear to have limited evidence in relation to ECI and require greater investment </w:t>
      </w:r>
    </w:p>
    <w:p w14:paraId="6231C410" w14:textId="1FD419C6" w:rsidR="00A644D3" w:rsidRPr="00B73EDB" w:rsidRDefault="00A644D3" w:rsidP="003B0B17">
      <w:pPr>
        <w:pStyle w:val="ListParagraph"/>
        <w:numPr>
          <w:ilvl w:val="1"/>
          <w:numId w:val="262"/>
        </w:numPr>
        <w:contextualSpacing w:val="0"/>
        <w:rPr>
          <w:rFonts w:cs="Arial"/>
          <w:color w:val="000000" w:themeColor="text1"/>
          <w:lang w:val="en-US"/>
        </w:rPr>
      </w:pPr>
      <w:r w:rsidRPr="00B73EDB">
        <w:rPr>
          <w:rFonts w:cs="Arial"/>
          <w:color w:val="000000" w:themeColor="text1"/>
          <w:lang w:val="en-US"/>
        </w:rPr>
        <w:t>Collaborative evidence-informed decision making. This is a crucial practice to understand as it is the application of both the principle of being family-centred and of being evidence-based</w:t>
      </w:r>
    </w:p>
    <w:p w14:paraId="2A3B8CAE" w14:textId="26ED717C" w:rsidR="00A644D3" w:rsidRPr="00B73EDB" w:rsidRDefault="00A644D3" w:rsidP="003B0B17">
      <w:pPr>
        <w:pStyle w:val="ListParagraph"/>
        <w:numPr>
          <w:ilvl w:val="1"/>
          <w:numId w:val="262"/>
        </w:numPr>
        <w:contextualSpacing w:val="0"/>
        <w:rPr>
          <w:rFonts w:cs="Arial"/>
          <w:color w:val="000000" w:themeColor="text1"/>
          <w:lang w:val="en-US"/>
        </w:rPr>
      </w:pPr>
      <w:r w:rsidRPr="00B73EDB">
        <w:rPr>
          <w:rFonts w:cs="Arial"/>
          <w:color w:val="000000" w:themeColor="text1"/>
          <w:lang w:val="en-US"/>
        </w:rPr>
        <w:t xml:space="preserve">Capacity-building of parents/caregivers is a common focus of interventions; research needs to now focus on measuring whether practices actually change caregiver capacity to provide children with the opportunities to practice functional skills </w:t>
      </w:r>
    </w:p>
    <w:p w14:paraId="566FF2D6" w14:textId="7E27707E" w:rsidR="00B73EDB" w:rsidRPr="00B73EDB" w:rsidRDefault="00B73EDB" w:rsidP="003B0B17">
      <w:pPr>
        <w:pStyle w:val="ListParagraph"/>
        <w:numPr>
          <w:ilvl w:val="1"/>
          <w:numId w:val="262"/>
        </w:numPr>
        <w:contextualSpacing w:val="0"/>
        <w:rPr>
          <w:rFonts w:cs="Arial"/>
          <w:color w:val="000000" w:themeColor="text1"/>
          <w:lang w:val="en-US"/>
        </w:rPr>
      </w:pPr>
      <w:r w:rsidRPr="00B73EDB">
        <w:rPr>
          <w:rFonts w:cs="Arial"/>
          <w:color w:val="000000" w:themeColor="text1"/>
          <w:lang w:val="en-US"/>
        </w:rPr>
        <w:t>Culturally responsive and safe practices – are espoused but now need to be fully operationalised and studied so as to optimise our approaches to achieving the desired outcomes</w:t>
      </w:r>
    </w:p>
    <w:p w14:paraId="1FC3E52B" w14:textId="4A1398CB" w:rsidR="00B73EDB" w:rsidRPr="00B73EDB" w:rsidRDefault="00B73EDB" w:rsidP="003B0B17">
      <w:pPr>
        <w:pStyle w:val="ListParagraph"/>
        <w:numPr>
          <w:ilvl w:val="1"/>
          <w:numId w:val="262"/>
        </w:numPr>
        <w:contextualSpacing w:val="0"/>
        <w:rPr>
          <w:rFonts w:cs="Arial"/>
          <w:color w:val="000000" w:themeColor="text1"/>
          <w:lang w:val="en-US"/>
        </w:rPr>
      </w:pPr>
      <w:r w:rsidRPr="00B73EDB">
        <w:rPr>
          <w:rFonts w:cs="Arial"/>
          <w:color w:val="000000" w:themeColor="text1"/>
          <w:lang w:val="en-US"/>
        </w:rPr>
        <w:t xml:space="preserve">Inclusion and participation appear to be commonly assumed outcomes of capacity-building (of caregivers and children), but the assumption must be tested as it may be unfounded </w:t>
      </w:r>
    </w:p>
    <w:p w14:paraId="393B6BE7" w14:textId="6CD989B9" w:rsidR="00B73EDB" w:rsidRPr="00B73EDB" w:rsidRDefault="00B73EDB" w:rsidP="003B0B17">
      <w:pPr>
        <w:pStyle w:val="ListParagraph"/>
        <w:numPr>
          <w:ilvl w:val="1"/>
          <w:numId w:val="262"/>
        </w:numPr>
        <w:contextualSpacing w:val="0"/>
        <w:rPr>
          <w:rFonts w:cs="Arial"/>
          <w:color w:val="000000" w:themeColor="text1"/>
          <w:lang w:val="en-US"/>
        </w:rPr>
      </w:pPr>
      <w:r w:rsidRPr="00B73EDB">
        <w:rPr>
          <w:rFonts w:cs="Arial"/>
          <w:color w:val="000000" w:themeColor="text1"/>
          <w:lang w:val="en-US"/>
        </w:rPr>
        <w:t>Development, selection and use of measures of meaningful participation are needed for research as well as to guide practice</w:t>
      </w:r>
    </w:p>
    <w:p w14:paraId="37A7491F" w14:textId="3B68DD57" w:rsidR="00B73EDB" w:rsidRPr="00B73EDB" w:rsidRDefault="00B73EDB" w:rsidP="003B0B17">
      <w:pPr>
        <w:pStyle w:val="ListParagraph"/>
        <w:numPr>
          <w:ilvl w:val="1"/>
          <w:numId w:val="262"/>
        </w:numPr>
        <w:contextualSpacing w:val="0"/>
        <w:rPr>
          <w:rFonts w:cs="Arial"/>
          <w:color w:val="000000" w:themeColor="text1"/>
          <w:lang w:val="en-US"/>
        </w:rPr>
      </w:pPr>
      <w:r w:rsidRPr="00B73EDB">
        <w:rPr>
          <w:rFonts w:cs="Arial"/>
          <w:color w:val="000000" w:themeColor="text1"/>
          <w:lang w:val="en-US"/>
        </w:rPr>
        <w:t>While there appears to have been a shift to delivering ECI in the settings where childr</w:t>
      </w:r>
      <w:r w:rsidR="00AB1951">
        <w:rPr>
          <w:noProof/>
        </w:rPr>
        <mc:AlternateContent>
          <mc:Choice Requires="wps">
            <w:drawing>
              <wp:anchor distT="0" distB="0" distL="114300" distR="114300" simplePos="0" relativeHeight="251674624" behindDoc="1" locked="1" layoutInCell="1" allowOverlap="1" wp14:anchorId="4100179D" wp14:editId="1E3578FE">
                <wp:simplePos x="0" y="0"/>
                <wp:positionH relativeFrom="column">
                  <wp:posOffset>-476250</wp:posOffset>
                </wp:positionH>
                <wp:positionV relativeFrom="page">
                  <wp:posOffset>737870</wp:posOffset>
                </wp:positionV>
                <wp:extent cx="6695440" cy="5473700"/>
                <wp:effectExtent l="12700" t="12700" r="10160" b="12700"/>
                <wp:wrapNone/>
                <wp:docPr id="14587444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5473700"/>
                        </a:xfrm>
                        <a:prstGeom prst="rect">
                          <a:avLst/>
                        </a:prstGeom>
                        <a:solidFill>
                          <a:schemeClr val="bg1">
                            <a:lumMod val="95000"/>
                          </a:schemeClr>
                        </a:solidFill>
                        <a:ln w="28575">
                          <a:solidFill>
                            <a:srgbClr val="8087A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35D19" id="Rectangle 2" o:spid="_x0000_s1026" alt="&quot;&quot;" style="position:absolute;margin-left:-37.5pt;margin-top:58.1pt;width:527.2pt;height:43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" fillcolor="#f2f2f2 [3052]" strokecolor="#8087a3" strokeweight="2.25pt">
                <w10:wrap anchory="page"/>
                <w10:anchorlock/>
              </v:rect>
            </w:pict>
          </mc:Fallback>
        </mc:AlternateContent>
      </w:r>
      <w:r w:rsidRPr="00B73EDB">
        <w:rPr>
          <w:rFonts w:cs="Arial"/>
          <w:color w:val="000000" w:themeColor="text1"/>
          <w:lang w:val="en-US"/>
        </w:rPr>
        <w:t xml:space="preserve">en live and learn, we require much more evidence about the quality of those settings to support inclusion and participation of children </w:t>
      </w:r>
    </w:p>
    <w:p w14:paraId="27ACF9B0" w14:textId="47C8E7EF" w:rsidR="00B73EDB" w:rsidRPr="00B73EDB" w:rsidRDefault="00B73EDB" w:rsidP="003B0B17">
      <w:pPr>
        <w:pStyle w:val="ListParagraph"/>
        <w:numPr>
          <w:ilvl w:val="1"/>
          <w:numId w:val="262"/>
        </w:numPr>
        <w:contextualSpacing w:val="0"/>
        <w:rPr>
          <w:rFonts w:cs="Arial"/>
          <w:color w:val="000000" w:themeColor="text1"/>
          <w:lang w:val="en-US"/>
        </w:rPr>
      </w:pPr>
      <w:r w:rsidRPr="00B73EDB">
        <w:rPr>
          <w:rFonts w:cs="Arial"/>
          <w:color w:val="000000" w:themeColor="text1"/>
          <w:lang w:val="en-US"/>
        </w:rPr>
        <w:t>Development, selection and use of measures of the environments/contexts of early childhood is required to evaluate the impacts of approaches that aim to make them inclusive and participatory</w:t>
      </w:r>
    </w:p>
    <w:p w14:paraId="31F39D18" w14:textId="0176A075" w:rsidR="00B73EDB" w:rsidRPr="00B73EDB" w:rsidRDefault="00B73EDB" w:rsidP="003B0B17">
      <w:pPr>
        <w:pStyle w:val="ListParagraph"/>
        <w:numPr>
          <w:ilvl w:val="1"/>
          <w:numId w:val="262"/>
        </w:numPr>
        <w:contextualSpacing w:val="0"/>
        <w:rPr>
          <w:rFonts w:cs="Arial"/>
          <w:color w:val="000000" w:themeColor="text1"/>
          <w:lang w:val="en-US"/>
        </w:rPr>
      </w:pPr>
      <w:r w:rsidRPr="00B73EDB">
        <w:rPr>
          <w:rFonts w:cs="Arial"/>
          <w:color w:val="000000" w:themeColor="text1"/>
          <w:lang w:val="en-US"/>
        </w:rPr>
        <w:t>Implementation of effective teamwork approaches in the ECI setting requires more robust evaluation than is currently available</w:t>
      </w:r>
    </w:p>
    <w:p w14:paraId="69DE787C" w14:textId="3EF659CF" w:rsidR="00B73EDB" w:rsidRPr="00B73EDB" w:rsidRDefault="00B73EDB"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There are approaches and programs that hold promise and that should be supported in their implementation under an evaluation framework so that evidence of effects and impacts continues to inform practice</w:t>
      </w:r>
    </w:p>
    <w:p w14:paraId="16C113ED" w14:textId="0BE0219C" w:rsidR="00B73EDB" w:rsidRPr="00B73EDB" w:rsidRDefault="00B73EDB"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Research that aims to evaluate the outcomes of ECI practices must be clearly linked to the defined aims of ECI</w:t>
      </w:r>
    </w:p>
    <w:p w14:paraId="08262DA3" w14:textId="30762096" w:rsidR="00B73EDB" w:rsidRPr="00B73EDB" w:rsidRDefault="00B73EDB"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For practitioners delivering ECI, evidence about the skills, knowledge and actions they need to be able to apply in practice is needed, as is the most effective methods of delivering professional development and entry-level skill requirements</w:t>
      </w:r>
    </w:p>
    <w:p w14:paraId="767E765C" w14:textId="3ECCD5D6" w:rsidR="00B73EDB" w:rsidRPr="00B73EDB" w:rsidRDefault="00B73EDB" w:rsidP="003B0B17">
      <w:pPr>
        <w:pStyle w:val="ListParagraph"/>
        <w:numPr>
          <w:ilvl w:val="0"/>
          <w:numId w:val="262"/>
        </w:numPr>
        <w:ind w:left="714" w:hanging="357"/>
        <w:contextualSpacing w:val="0"/>
        <w:rPr>
          <w:rFonts w:cs="Arial"/>
          <w:color w:val="000000" w:themeColor="text1"/>
          <w:lang w:val="en-US"/>
        </w:rPr>
      </w:pPr>
      <w:r w:rsidRPr="00B73EDB">
        <w:rPr>
          <w:rFonts w:cs="Arial"/>
          <w:color w:val="000000" w:themeColor="text1"/>
          <w:lang w:val="en-US"/>
        </w:rPr>
        <w:t>For organisations, more robust evidence about the organisational barriers and facilitators to practitioners working in ways that deliver ECI practices is needed</w:t>
      </w:r>
    </w:p>
    <w:p w14:paraId="5F8B4A18" w14:textId="77777777" w:rsidR="00A644D3" w:rsidRDefault="00A644D3" w:rsidP="00A00EB0">
      <w:pPr>
        <w:rPr>
          <w:rFonts w:cs="Arial"/>
          <w:color w:val="000000" w:themeColor="text1"/>
          <w:lang w:val="en-US"/>
        </w:rPr>
      </w:pPr>
    </w:p>
    <w:p w14:paraId="414D4D55" w14:textId="77777777" w:rsidR="00AB1951" w:rsidRDefault="00AB1951" w:rsidP="00A00EB0">
      <w:pPr>
        <w:rPr>
          <w:rFonts w:cs="Arial"/>
          <w:color w:val="000000" w:themeColor="text1"/>
          <w:lang w:val="en-US"/>
        </w:rPr>
      </w:pPr>
    </w:p>
    <w:p w14:paraId="0B1CCDB1" w14:textId="77777777" w:rsidR="00AB1951" w:rsidRDefault="00AB1951" w:rsidP="00A00EB0">
      <w:pPr>
        <w:rPr>
          <w:rFonts w:cs="Arial"/>
          <w:color w:val="000000" w:themeColor="text1"/>
          <w:lang w:val="en-US"/>
        </w:rPr>
      </w:pPr>
    </w:p>
    <w:p w14:paraId="0F245D98" w14:textId="77777777" w:rsidR="00CA2032" w:rsidRDefault="00CA2032" w:rsidP="00A00EB0">
      <w:pPr>
        <w:rPr>
          <w:rFonts w:cs="Arial"/>
          <w:color w:val="000000" w:themeColor="text1"/>
          <w:lang w:val="en-US"/>
        </w:rPr>
      </w:pPr>
    </w:p>
    <w:p w14:paraId="5D3F9419" w14:textId="77777777" w:rsidR="00CA2032" w:rsidRDefault="00CA2032" w:rsidP="00A00EB0">
      <w:pPr>
        <w:rPr>
          <w:rFonts w:cs="Arial"/>
          <w:color w:val="000000" w:themeColor="text1"/>
          <w:lang w:val="en-US"/>
        </w:rPr>
      </w:pPr>
    </w:p>
    <w:p w14:paraId="7C272DA6" w14:textId="77777777" w:rsidR="00CA2032" w:rsidRDefault="00CA2032" w:rsidP="00A00EB0">
      <w:pPr>
        <w:rPr>
          <w:rFonts w:cs="Arial"/>
          <w:color w:val="000000" w:themeColor="text1"/>
          <w:lang w:val="en-US"/>
        </w:rPr>
      </w:pPr>
    </w:p>
    <w:p w14:paraId="1026CD19" w14:textId="77777777" w:rsidR="00CA2032" w:rsidRDefault="00CA2032" w:rsidP="00A00EB0">
      <w:pPr>
        <w:rPr>
          <w:rFonts w:cs="Arial"/>
          <w:color w:val="000000" w:themeColor="text1"/>
          <w:lang w:val="en-US"/>
        </w:rPr>
      </w:pPr>
    </w:p>
    <w:p w14:paraId="2A306398" w14:textId="77777777" w:rsidR="00CA2032" w:rsidRDefault="00CA2032" w:rsidP="00A00EB0">
      <w:pPr>
        <w:rPr>
          <w:rFonts w:cs="Arial"/>
          <w:color w:val="000000" w:themeColor="text1"/>
          <w:lang w:val="en-US"/>
        </w:rPr>
      </w:pPr>
    </w:p>
    <w:p w14:paraId="745207C5" w14:textId="77777777" w:rsidR="00CA2032" w:rsidRDefault="00CA2032" w:rsidP="00A00EB0">
      <w:pPr>
        <w:rPr>
          <w:rFonts w:cs="Arial"/>
          <w:color w:val="000000" w:themeColor="text1"/>
          <w:lang w:val="en-US"/>
        </w:rPr>
      </w:pPr>
    </w:p>
    <w:p w14:paraId="62BFABD6" w14:textId="77777777" w:rsidR="00CA2032" w:rsidRDefault="00CA2032" w:rsidP="00A00EB0">
      <w:pPr>
        <w:rPr>
          <w:rFonts w:cs="Arial"/>
          <w:color w:val="000000" w:themeColor="text1"/>
          <w:lang w:val="en-US"/>
        </w:rPr>
      </w:pPr>
    </w:p>
    <w:p w14:paraId="464ECE11" w14:textId="77777777" w:rsidR="00CA2032" w:rsidRDefault="00CA2032" w:rsidP="00A00EB0">
      <w:pPr>
        <w:rPr>
          <w:rFonts w:cs="Arial"/>
          <w:color w:val="000000" w:themeColor="text1"/>
          <w:lang w:val="en-US"/>
        </w:rPr>
      </w:pPr>
    </w:p>
    <w:p w14:paraId="4A8610BB" w14:textId="77777777" w:rsidR="00CA2032" w:rsidRDefault="00CA2032" w:rsidP="00A00EB0">
      <w:pPr>
        <w:rPr>
          <w:rFonts w:cs="Arial"/>
          <w:color w:val="000000" w:themeColor="text1"/>
          <w:lang w:val="en-US"/>
        </w:rPr>
      </w:pPr>
    </w:p>
    <w:p w14:paraId="78AB7F87" w14:textId="77777777" w:rsidR="00CA2032" w:rsidRDefault="00CA2032" w:rsidP="00A00EB0">
      <w:pPr>
        <w:rPr>
          <w:rFonts w:cs="Arial"/>
          <w:color w:val="000000" w:themeColor="text1"/>
          <w:lang w:val="en-US"/>
        </w:rPr>
      </w:pPr>
    </w:p>
    <w:p w14:paraId="003AB550" w14:textId="77777777" w:rsidR="00CA2032" w:rsidRDefault="00CA2032" w:rsidP="00A00EB0">
      <w:pPr>
        <w:rPr>
          <w:rFonts w:cs="Arial"/>
          <w:color w:val="000000" w:themeColor="text1"/>
          <w:lang w:val="en-US"/>
        </w:rPr>
      </w:pPr>
    </w:p>
    <w:p w14:paraId="2C3500DA" w14:textId="77777777" w:rsidR="00CA2032" w:rsidRDefault="00CA2032" w:rsidP="00A00EB0">
      <w:pPr>
        <w:rPr>
          <w:rFonts w:cs="Arial"/>
          <w:color w:val="000000" w:themeColor="text1"/>
          <w:lang w:val="en-US"/>
        </w:rPr>
      </w:pPr>
    </w:p>
    <w:p w14:paraId="36680D5E" w14:textId="69F972FE" w:rsidR="00CA2032" w:rsidRPr="00CA2032" w:rsidRDefault="00CA2032" w:rsidP="00CA2032">
      <w:pPr>
        <w:pStyle w:val="Heading1"/>
      </w:pPr>
      <w:bookmarkStart w:id="129" w:name="_Toc177730861"/>
      <w:r w:rsidRPr="00CA2032">
        <w:t>Recommendations</w:t>
      </w:r>
      <w:bookmarkEnd w:id="129"/>
      <w:r w:rsidRPr="00CA2032">
        <w:t xml:space="preserve"> </w:t>
      </w:r>
    </w:p>
    <w:p w14:paraId="50D599ED" w14:textId="79258C40" w:rsidR="00CA2032" w:rsidRPr="00CA2032" w:rsidRDefault="00CA2032" w:rsidP="00CA2032">
      <w:pPr>
        <w:pStyle w:val="Heading2"/>
      </w:pPr>
      <w:bookmarkStart w:id="130" w:name="_Toc177730862"/>
      <w:r w:rsidRPr="00CA2032">
        <w:t>Approaches/interventions with strongest evidence</w:t>
      </w:r>
      <w:bookmarkEnd w:id="130"/>
    </w:p>
    <w:p w14:paraId="7BD2E07E"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The ECI approaches included in this review that have been studied the most are those that </w:t>
      </w:r>
    </w:p>
    <w:p w14:paraId="63FB37C9" w14:textId="180AB564" w:rsidR="00CA2032" w:rsidRPr="00CA2032" w:rsidRDefault="00CA2032" w:rsidP="003B0B17">
      <w:pPr>
        <w:pStyle w:val="ListParagraph"/>
        <w:numPr>
          <w:ilvl w:val="0"/>
          <w:numId w:val="263"/>
        </w:numPr>
        <w:ind w:left="714" w:hanging="357"/>
        <w:contextualSpacing w:val="0"/>
        <w:rPr>
          <w:rFonts w:cs="Arial"/>
          <w:color w:val="000000" w:themeColor="text1"/>
          <w:lang w:val="en-US"/>
        </w:rPr>
      </w:pPr>
      <w:r w:rsidRPr="00CA2032">
        <w:rPr>
          <w:rFonts w:cs="Arial"/>
          <w:color w:val="000000" w:themeColor="text1"/>
          <w:lang w:val="en-US"/>
        </w:rPr>
        <w:t>tailor their approaches to individual family or child goals or circumstances, and</w:t>
      </w:r>
    </w:p>
    <w:p w14:paraId="3797F728" w14:textId="6DDD6F01" w:rsidR="00CA2032" w:rsidRPr="00CA2032" w:rsidRDefault="00CA2032" w:rsidP="003B0B17">
      <w:pPr>
        <w:pStyle w:val="ListParagraph"/>
        <w:numPr>
          <w:ilvl w:val="0"/>
          <w:numId w:val="263"/>
        </w:numPr>
        <w:ind w:left="714" w:hanging="357"/>
        <w:contextualSpacing w:val="0"/>
        <w:rPr>
          <w:rFonts w:cs="Arial"/>
          <w:color w:val="000000" w:themeColor="text1"/>
          <w:lang w:val="en-US"/>
        </w:rPr>
      </w:pPr>
      <w:r w:rsidRPr="00CA2032">
        <w:rPr>
          <w:rFonts w:cs="Arial"/>
          <w:color w:val="000000" w:themeColor="text1"/>
          <w:lang w:val="en-US"/>
        </w:rPr>
        <w:t xml:space="preserve">aim to build capacity in parents to build capacity in children. </w:t>
      </w:r>
    </w:p>
    <w:p w14:paraId="5BF18AE7"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While these approaches arguably provide the strongest evidence, the evidence of effects remains equivocal. In part this may be because in RCTs the comparison interventions are equally effective (or equally ineffective). </w:t>
      </w:r>
    </w:p>
    <w:p w14:paraId="5C6AA3CC"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There is emerging evidence that </w:t>
      </w:r>
    </w:p>
    <w:p w14:paraId="021AA7D3" w14:textId="62F8639C" w:rsidR="00CA2032" w:rsidRPr="00CA2032" w:rsidRDefault="00CA2032" w:rsidP="003B0B17">
      <w:pPr>
        <w:pStyle w:val="ListParagraph"/>
        <w:numPr>
          <w:ilvl w:val="0"/>
          <w:numId w:val="264"/>
        </w:numPr>
        <w:rPr>
          <w:rFonts w:cs="Arial"/>
          <w:color w:val="000000" w:themeColor="text1"/>
          <w:lang w:val="en-US"/>
        </w:rPr>
      </w:pPr>
      <w:r w:rsidRPr="00CA2032">
        <w:rPr>
          <w:rFonts w:cs="Arial"/>
          <w:color w:val="000000" w:themeColor="text1"/>
          <w:lang w:val="en-US"/>
        </w:rPr>
        <w:t xml:space="preserve">delivering ECI within the natural contexts of the child delivers benefit, but there is a significant gap in our knowledge about how the context is changed or enhanced to achieve those benefits. </w:t>
      </w:r>
    </w:p>
    <w:p w14:paraId="53A4ED8B" w14:textId="77777777" w:rsidR="00CA2032" w:rsidRPr="00CA2032" w:rsidRDefault="00CA2032" w:rsidP="00CA2032">
      <w:pPr>
        <w:rPr>
          <w:rFonts w:cs="Arial"/>
          <w:color w:val="000000" w:themeColor="text1"/>
          <w:lang w:val="en-US"/>
        </w:rPr>
      </w:pPr>
      <w:r w:rsidRPr="00CA2032">
        <w:rPr>
          <w:rFonts w:cs="Arial"/>
          <w:color w:val="000000" w:themeColor="text1"/>
          <w:lang w:val="en-US"/>
        </w:rPr>
        <w:t>We found little current evidence about ECI practices that aim to be inclusive or participatory, mostly as these aspects were not measured in the included studies. The strongest evidence in relation to these practices comes from ECEC and school settings where efforts to create inclusive learning environments are beginning to demonstrate benefit. Outside the jurisdiction and year of publication range of our included evidence are two RCTs of high relevance (Hwang et al, 2013; Law et al. 2011) to inclusive and participatory practices. Hwang et al (2013) RCT, conducted in Taiwan, compared routines based early intervention (guided by the Routines Based interview; McWilliam et al, 2009) to standard home visiting (focused on developmental domains). Hwang et al found faster attainment of function and greater parent-goal attainment in the routines-based early intervention group. Law et al. (2011) RCT, conducted in Canada, compared interventions focused on changing the activity or environment with interventions focused on changing the child with results showing no differences in outcomes between groups, demonstrating equal effectiveness.</w:t>
      </w:r>
    </w:p>
    <w:p w14:paraId="7939C78F" w14:textId="6741520F" w:rsidR="00CA2032" w:rsidRPr="00CA2032" w:rsidRDefault="00296AA1" w:rsidP="00CA2032">
      <w:pPr>
        <w:rPr>
          <w:rFonts w:cs="Arial"/>
          <w:color w:val="000000" w:themeColor="text1"/>
          <w:lang w:val="en-US"/>
        </w:rPr>
      </w:pPr>
      <w:r>
        <w:rPr>
          <w:rFonts w:cs="Arial"/>
          <w:color w:val="000000" w:themeColor="text1"/>
          <w:lang w:val="en-US"/>
        </w:rPr>
        <w:t xml:space="preserve">There is </w:t>
      </w:r>
      <w:r w:rsidR="00CA2032" w:rsidRPr="00CA2032">
        <w:rPr>
          <w:rFonts w:cs="Arial"/>
          <w:color w:val="000000" w:themeColor="text1"/>
          <w:lang w:val="en-US"/>
        </w:rPr>
        <w:t xml:space="preserve">earlier RCT evidence, and growing evidence </w:t>
      </w:r>
      <w:r>
        <w:rPr>
          <w:rFonts w:cs="Arial"/>
          <w:color w:val="000000" w:themeColor="text1"/>
          <w:lang w:val="en-US"/>
        </w:rPr>
        <w:t>for older children</w:t>
      </w:r>
      <w:r w:rsidR="00CA2032" w:rsidRPr="00CA2032">
        <w:rPr>
          <w:rFonts w:cs="Arial"/>
          <w:color w:val="000000" w:themeColor="text1"/>
          <w:lang w:val="en-US"/>
        </w:rPr>
        <w:t xml:space="preserve">, that addressing the contextual and environmental barriers to participation, and scaffolding the child/young person’s involvement in context supports participation </w:t>
      </w:r>
      <w:r>
        <w:rPr>
          <w:rFonts w:cs="Arial"/>
          <w:color w:val="000000" w:themeColor="text1"/>
          <w:lang w:val="en-US"/>
        </w:rPr>
        <w:t>and</w:t>
      </w:r>
      <w:r w:rsidR="00CA2032" w:rsidRPr="00CA2032">
        <w:rPr>
          <w:rFonts w:cs="Arial"/>
          <w:color w:val="000000" w:themeColor="text1"/>
          <w:lang w:val="en-US"/>
        </w:rPr>
        <w:t xml:space="preserve"> provides the conditions for developing capacities and skills in context (Hseih et al. 2023)</w:t>
      </w:r>
      <w:r>
        <w:rPr>
          <w:rFonts w:cs="Arial"/>
          <w:color w:val="000000" w:themeColor="text1"/>
          <w:lang w:val="en-US"/>
        </w:rPr>
        <w:t>. Despite this evidence</w:t>
      </w:r>
      <w:r w:rsidR="00CA2032" w:rsidRPr="00CA2032">
        <w:rPr>
          <w:rFonts w:cs="Arial"/>
          <w:color w:val="000000" w:themeColor="text1"/>
          <w:lang w:val="en-US"/>
        </w:rPr>
        <w:t xml:space="preserve">, there was a lack of participation-focused intervention in the included studies. Optimising the meaningful participation (attendance and involvement) in the settings of early childhood was rarely examined in the included studies. </w:t>
      </w:r>
    </w:p>
    <w:p w14:paraId="61CC435D" w14:textId="72907F34" w:rsidR="00CA2032" w:rsidRPr="00CA2032" w:rsidRDefault="00CA2032" w:rsidP="00CA2032">
      <w:pPr>
        <w:rPr>
          <w:rFonts w:cs="Arial"/>
          <w:color w:val="000000" w:themeColor="text1"/>
          <w:lang w:val="en-US"/>
        </w:rPr>
      </w:pPr>
      <w:r w:rsidRPr="00CA2032">
        <w:rPr>
          <w:rFonts w:cs="Arial"/>
          <w:color w:val="000000" w:themeColor="text1"/>
          <w:lang w:val="en-US"/>
        </w:rPr>
        <w:t>We sought evidence about the impact of professional development on practitioners’ knowledge, skills and behaviours in relation to delivering ECI practices, however, few RCTs were included. It is likely that other research designs may provide emerging evidence (for example those in the pool of relevant but not extracted studies in this review). In addition, we are aware of a scoping review explicitly examining the outcome of professional development aimed at enhancing the ability of practitioners to be family centred in practice (Britt et al. under review). The findings of that review are pertinent to this project. For any ECI framework to be useful and effective it is crucial that we have knowledge of the practitioner knowledge, skills and actions that are both required and being delivered in practice.</w:t>
      </w:r>
    </w:p>
    <w:p w14:paraId="74413D52" w14:textId="2C6CE481" w:rsidR="00CA2032" w:rsidRPr="00CA2032" w:rsidRDefault="00CA2032" w:rsidP="00CA2032">
      <w:pPr>
        <w:pStyle w:val="Heading2"/>
      </w:pPr>
      <w:bookmarkStart w:id="131" w:name="_Toc177730863"/>
      <w:r w:rsidRPr="00CA2032">
        <w:t>Instruments to measure key outcomes</w:t>
      </w:r>
      <w:bookmarkEnd w:id="131"/>
      <w:r w:rsidRPr="00CA2032">
        <w:t xml:space="preserve"> </w:t>
      </w:r>
    </w:p>
    <w:p w14:paraId="05DA5A45" w14:textId="77777777" w:rsidR="00CA2032" w:rsidRPr="00CA2032" w:rsidRDefault="00CA2032" w:rsidP="00CA2032">
      <w:pPr>
        <w:rPr>
          <w:rFonts w:cs="Arial"/>
          <w:b/>
          <w:bCs/>
          <w:color w:val="000000" w:themeColor="text1"/>
          <w:lang w:val="en-US"/>
        </w:rPr>
      </w:pPr>
      <w:r w:rsidRPr="00CA2032">
        <w:rPr>
          <w:rFonts w:cs="Arial"/>
          <w:b/>
          <w:bCs/>
          <w:color w:val="000000" w:themeColor="text1"/>
          <w:lang w:val="en-US"/>
        </w:rPr>
        <w:t>For children</w:t>
      </w:r>
    </w:p>
    <w:p w14:paraId="24C5B6B3"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This review identified a broad range of child-focused outcome measures capturing changes in activity performance. Which of these measures provides the most valid reliable evidence for inclusion in research depends on the specific study aims and the available evidence for reliability and responsiveness. Identifying these properties will require a review of available evidence about the measures and is beyond the scope of this review. </w:t>
      </w:r>
    </w:p>
    <w:p w14:paraId="4FFEBC41"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Amongst the instruments chosen to measure outcomes were several that were developmental scales and several that were designed to be diagnostic instruments. Both types of measures were used by some authors as outcome measures over relatively short periods of time. There are several limitations to this approach to outcome measurement, including that important changes over time in functional skills development and participation are unlikely to be captured. </w:t>
      </w:r>
    </w:p>
    <w:p w14:paraId="7A88F189"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Most importantly, if ECI practices are designed to be strength-based, then that must also apply to the selection of measures of outcomes. Evidence of the impact on caregivers and children of deficit focused assessment is clear (O’Connor et al. 2019), and the availability of tools that actively reinforce what children can-do in the processes of evaluating their skills, abilities and strengths are available. These measures were not particularly evident in the included RCTs, with a few exceptions. </w:t>
      </w:r>
    </w:p>
    <w:p w14:paraId="72A7127F"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In this review there were almost no instruments to measure a core aim of ECI – meaningful participation in important life situations and settings. Mobbs et al. (2021) provide a recent systematic review of participation measures for infants and toddlers, demonstrating that there are a small number of valid and reliable measures available. </w:t>
      </w:r>
    </w:p>
    <w:p w14:paraId="0E7D8A66"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An additional important gap in this evidence was the dearth of measures of the environment/context.  There is a crucial need to address this gap, given the importance of inclusive and participatory practices, and the identified need to deliver ECI in natural contexts. Participation-focused interventions predominantly target aspects of the environment to support children’s opportunities to attend and be involved in the activities and life situations important to early childhood.  </w:t>
      </w:r>
    </w:p>
    <w:p w14:paraId="01333311" w14:textId="77777777" w:rsidR="00CA2032" w:rsidRPr="00CA2032" w:rsidRDefault="00CA2032" w:rsidP="00CA2032">
      <w:pPr>
        <w:rPr>
          <w:rFonts w:cs="Arial"/>
          <w:b/>
          <w:bCs/>
          <w:color w:val="000000" w:themeColor="text1"/>
          <w:lang w:val="en-US"/>
        </w:rPr>
      </w:pPr>
      <w:r w:rsidRPr="00CA2032">
        <w:rPr>
          <w:rFonts w:cs="Arial"/>
          <w:b/>
          <w:bCs/>
          <w:color w:val="000000" w:themeColor="text1"/>
          <w:lang w:val="en-US"/>
        </w:rPr>
        <w:t xml:space="preserve">For caregivers </w:t>
      </w:r>
    </w:p>
    <w:p w14:paraId="243AB5A5" w14:textId="77777777" w:rsidR="00CA2032" w:rsidRPr="00CA2032" w:rsidRDefault="00CA2032" w:rsidP="00CA2032">
      <w:pPr>
        <w:rPr>
          <w:rFonts w:cs="Arial"/>
          <w:color w:val="000000" w:themeColor="text1"/>
          <w:lang w:val="en-US"/>
        </w:rPr>
      </w:pPr>
      <w:r w:rsidRPr="00CA2032">
        <w:rPr>
          <w:rFonts w:cs="Arial"/>
          <w:color w:val="000000" w:themeColor="text1"/>
          <w:lang w:val="en-US"/>
        </w:rPr>
        <w:t>Strength-based measures appropriate to capturing changes in caregiver and family outcomes are available and were used in several studies. These include:</w:t>
      </w:r>
    </w:p>
    <w:p w14:paraId="7B5743B2" w14:textId="5828B505" w:rsidR="00CA2032" w:rsidRPr="00CA2032" w:rsidRDefault="00CA2032" w:rsidP="003B0B17">
      <w:pPr>
        <w:pStyle w:val="ListParagraph"/>
        <w:numPr>
          <w:ilvl w:val="0"/>
          <w:numId w:val="264"/>
        </w:numPr>
        <w:ind w:left="714" w:hanging="357"/>
        <w:contextualSpacing w:val="0"/>
        <w:rPr>
          <w:rFonts w:cs="Arial"/>
          <w:color w:val="000000" w:themeColor="text1"/>
          <w:lang w:val="en-US"/>
        </w:rPr>
      </w:pPr>
      <w:r w:rsidRPr="00CA2032">
        <w:rPr>
          <w:rFonts w:cs="Arial"/>
          <w:color w:val="000000" w:themeColor="text1"/>
          <w:lang w:val="en-US"/>
        </w:rPr>
        <w:t>Early Intervention Parenting Self-Efficacy Scale</w:t>
      </w:r>
    </w:p>
    <w:p w14:paraId="5DCCF750" w14:textId="2CB563A6" w:rsidR="00CA2032" w:rsidRPr="00CA2032" w:rsidRDefault="00CA2032" w:rsidP="003B0B17">
      <w:pPr>
        <w:pStyle w:val="ListParagraph"/>
        <w:numPr>
          <w:ilvl w:val="0"/>
          <w:numId w:val="264"/>
        </w:numPr>
        <w:ind w:left="714" w:hanging="357"/>
        <w:contextualSpacing w:val="0"/>
        <w:rPr>
          <w:rFonts w:cs="Arial"/>
          <w:color w:val="000000" w:themeColor="text1"/>
          <w:lang w:val="en-US"/>
        </w:rPr>
      </w:pPr>
      <w:r w:rsidRPr="00CA2032">
        <w:rPr>
          <w:rFonts w:cs="Arial"/>
          <w:color w:val="000000" w:themeColor="text1"/>
          <w:lang w:val="en-US"/>
        </w:rPr>
        <w:t>Parent Sense of Competence Scale</w:t>
      </w:r>
    </w:p>
    <w:p w14:paraId="1B38B306" w14:textId="45BCA12F" w:rsidR="00CA2032" w:rsidRPr="00CA2032" w:rsidRDefault="00CA2032" w:rsidP="003B0B17">
      <w:pPr>
        <w:pStyle w:val="ListParagraph"/>
        <w:numPr>
          <w:ilvl w:val="0"/>
          <w:numId w:val="264"/>
        </w:numPr>
        <w:ind w:left="714" w:hanging="357"/>
        <w:contextualSpacing w:val="0"/>
        <w:rPr>
          <w:rFonts w:cs="Arial"/>
          <w:color w:val="000000" w:themeColor="text1"/>
          <w:lang w:val="en-US"/>
        </w:rPr>
      </w:pPr>
      <w:r w:rsidRPr="00CA2032">
        <w:rPr>
          <w:rFonts w:cs="Arial"/>
          <w:color w:val="000000" w:themeColor="text1"/>
          <w:lang w:val="en-US"/>
        </w:rPr>
        <w:t>Family Empowerment Scale</w:t>
      </w:r>
    </w:p>
    <w:p w14:paraId="3CE279EB" w14:textId="1C155E99" w:rsidR="00CA2032" w:rsidRPr="00CA2032" w:rsidRDefault="00CA2032" w:rsidP="003B0B17">
      <w:pPr>
        <w:pStyle w:val="ListParagraph"/>
        <w:numPr>
          <w:ilvl w:val="0"/>
          <w:numId w:val="264"/>
        </w:numPr>
        <w:ind w:left="714" w:hanging="357"/>
        <w:contextualSpacing w:val="0"/>
        <w:rPr>
          <w:rFonts w:cs="Arial"/>
          <w:color w:val="000000" w:themeColor="text1"/>
          <w:lang w:val="en-US"/>
        </w:rPr>
      </w:pPr>
      <w:r w:rsidRPr="00CA2032">
        <w:rPr>
          <w:rFonts w:cs="Arial"/>
          <w:color w:val="000000" w:themeColor="text1"/>
          <w:lang w:val="en-US"/>
        </w:rPr>
        <w:t>Family Outcomes Survey</w:t>
      </w:r>
    </w:p>
    <w:p w14:paraId="576C06BC" w14:textId="77777777" w:rsidR="00CA2032" w:rsidRPr="00CA2032" w:rsidRDefault="00CA2032" w:rsidP="00CA2032">
      <w:pPr>
        <w:rPr>
          <w:rFonts w:cs="Arial"/>
          <w:b/>
          <w:bCs/>
          <w:color w:val="000000" w:themeColor="text1"/>
          <w:lang w:val="en-US"/>
        </w:rPr>
      </w:pPr>
      <w:r w:rsidRPr="00CA2032">
        <w:rPr>
          <w:rFonts w:cs="Arial"/>
          <w:b/>
          <w:bCs/>
          <w:color w:val="000000" w:themeColor="text1"/>
          <w:lang w:val="en-US"/>
        </w:rPr>
        <w:t xml:space="preserve">For professionals </w:t>
      </w:r>
    </w:p>
    <w:p w14:paraId="6E723081" w14:textId="77CCA639" w:rsidR="00CA2032" w:rsidRPr="00CA2032" w:rsidRDefault="00CA2032" w:rsidP="00CA2032">
      <w:pPr>
        <w:rPr>
          <w:rFonts w:cs="Arial"/>
          <w:color w:val="000000" w:themeColor="text1"/>
          <w:lang w:val="en-US"/>
        </w:rPr>
      </w:pPr>
      <w:r w:rsidRPr="00CA2032">
        <w:rPr>
          <w:rFonts w:cs="Arial"/>
          <w:color w:val="000000" w:themeColor="text1"/>
          <w:lang w:val="en-US"/>
        </w:rPr>
        <w:t>Although no included RCT or SR used the Measures of Processes of Care (King et al., 1996), it was an important early measure of the family-centredness of professional behaviours. This instrument is currently being re-examined and revised by the authorship team at CanChild, using a co-design approach with parents, practitioners and researchers</w:t>
      </w:r>
      <w:r w:rsidR="006F0406">
        <w:rPr>
          <w:rFonts w:cs="Arial"/>
          <w:color w:val="000000" w:themeColor="text1"/>
          <w:lang w:val="en-US"/>
        </w:rPr>
        <w:t>.</w:t>
      </w:r>
      <w:r w:rsidR="006F0406">
        <w:rPr>
          <w:rStyle w:val="FootnoteReference"/>
          <w:rFonts w:cs="Arial"/>
          <w:color w:val="000000" w:themeColor="text1"/>
          <w:lang w:val="en-US"/>
        </w:rPr>
        <w:footnoteReference w:id="42"/>
      </w:r>
      <w:r w:rsidRPr="00CA2032">
        <w:rPr>
          <w:rFonts w:cs="Arial"/>
          <w:color w:val="000000" w:themeColor="text1"/>
          <w:lang w:val="en-US"/>
        </w:rPr>
        <w:t xml:space="preserve"> </w:t>
      </w:r>
      <w:r w:rsidR="0038276C">
        <w:rPr>
          <w:rFonts w:cs="Arial"/>
          <w:color w:val="000000" w:themeColor="text1"/>
          <w:lang w:val="en-US"/>
        </w:rPr>
        <w:t>T</w:t>
      </w:r>
      <w:r w:rsidRPr="00CA2032">
        <w:rPr>
          <w:rFonts w:cs="Arial"/>
          <w:color w:val="000000" w:themeColor="text1"/>
          <w:lang w:val="en-US"/>
        </w:rPr>
        <w:t xml:space="preserve">he revised measure </w:t>
      </w:r>
      <w:r w:rsidR="0038276C">
        <w:rPr>
          <w:rFonts w:cs="Arial"/>
          <w:color w:val="000000" w:themeColor="text1"/>
          <w:lang w:val="en-US"/>
        </w:rPr>
        <w:t>may</w:t>
      </w:r>
      <w:r w:rsidRPr="00CA2032">
        <w:rPr>
          <w:rFonts w:cs="Arial"/>
          <w:color w:val="000000" w:themeColor="text1"/>
          <w:lang w:val="en-US"/>
        </w:rPr>
        <w:t xml:space="preserve"> be of value to the field.  </w:t>
      </w:r>
    </w:p>
    <w:p w14:paraId="2DBBBC13" w14:textId="3082EFE3" w:rsidR="00CA2032" w:rsidRPr="00CA2032" w:rsidRDefault="00CA2032" w:rsidP="00CA2032">
      <w:pPr>
        <w:pStyle w:val="Heading2"/>
      </w:pPr>
      <w:bookmarkStart w:id="132" w:name="_Toc177730864"/>
      <w:r w:rsidRPr="00CA2032">
        <w:t>Focus of future research to address gaps</w:t>
      </w:r>
      <w:bookmarkEnd w:id="132"/>
    </w:p>
    <w:p w14:paraId="162AFE72" w14:textId="77777777" w:rsidR="00CA2032" w:rsidRPr="00CA2032" w:rsidRDefault="00CA2032" w:rsidP="00CA2032">
      <w:pPr>
        <w:rPr>
          <w:rFonts w:cs="Arial"/>
          <w:color w:val="000000" w:themeColor="text1"/>
          <w:lang w:val="en-US"/>
        </w:rPr>
      </w:pPr>
      <w:r w:rsidRPr="00CA2032">
        <w:rPr>
          <w:rFonts w:cs="Arial"/>
          <w:color w:val="000000" w:themeColor="text1"/>
          <w:lang w:val="en-US"/>
        </w:rPr>
        <w:t>ECI research to support a best practice framework must meet the principles of all contemporary research. This includes using</w:t>
      </w:r>
    </w:p>
    <w:p w14:paraId="0A701137" w14:textId="52D406D3" w:rsidR="00CA2032" w:rsidRPr="00CA2032" w:rsidRDefault="00CA2032" w:rsidP="003B0B17">
      <w:pPr>
        <w:pStyle w:val="ListParagraph"/>
        <w:numPr>
          <w:ilvl w:val="0"/>
          <w:numId w:val="265"/>
        </w:numPr>
        <w:ind w:left="714" w:hanging="357"/>
        <w:contextualSpacing w:val="0"/>
        <w:rPr>
          <w:rFonts w:cs="Arial"/>
          <w:color w:val="000000" w:themeColor="text1"/>
          <w:lang w:val="en-US"/>
        </w:rPr>
      </w:pPr>
      <w:r w:rsidRPr="00CA2032">
        <w:rPr>
          <w:rFonts w:cs="Arial"/>
          <w:color w:val="000000" w:themeColor="text1"/>
          <w:lang w:val="en-US"/>
        </w:rPr>
        <w:t>The most appropriate research design for the questions posed</w:t>
      </w:r>
    </w:p>
    <w:p w14:paraId="08512E7F" w14:textId="2B16A080" w:rsidR="00CA2032" w:rsidRPr="00CA2032" w:rsidRDefault="00CA2032" w:rsidP="003B0B17">
      <w:pPr>
        <w:pStyle w:val="ListParagraph"/>
        <w:numPr>
          <w:ilvl w:val="0"/>
          <w:numId w:val="265"/>
        </w:numPr>
        <w:ind w:left="714" w:hanging="357"/>
        <w:contextualSpacing w:val="0"/>
        <w:rPr>
          <w:rFonts w:cs="Arial"/>
          <w:color w:val="000000" w:themeColor="text1"/>
          <w:lang w:val="en-US"/>
        </w:rPr>
      </w:pPr>
      <w:r w:rsidRPr="00CA2032">
        <w:rPr>
          <w:rFonts w:cs="Arial"/>
          <w:color w:val="000000" w:themeColor="text1"/>
          <w:lang w:val="en-US"/>
        </w:rPr>
        <w:t>Co-design/co-production of research throughout the cycle</w:t>
      </w:r>
    </w:p>
    <w:p w14:paraId="2D716480" w14:textId="1E180BCB" w:rsidR="00CA2032" w:rsidRPr="00CA2032" w:rsidRDefault="00CA2032" w:rsidP="003B0B17">
      <w:pPr>
        <w:pStyle w:val="ListParagraph"/>
        <w:numPr>
          <w:ilvl w:val="0"/>
          <w:numId w:val="265"/>
        </w:numPr>
        <w:ind w:left="714" w:hanging="357"/>
        <w:contextualSpacing w:val="0"/>
        <w:rPr>
          <w:rFonts w:cs="Arial"/>
          <w:color w:val="000000" w:themeColor="text1"/>
          <w:lang w:val="en-US"/>
        </w:rPr>
      </w:pPr>
      <w:r w:rsidRPr="00CA2032">
        <w:rPr>
          <w:rFonts w:cs="Arial"/>
          <w:color w:val="000000" w:themeColor="text1"/>
          <w:lang w:val="en-US"/>
        </w:rPr>
        <w:t>Integrated knowledge translation approaches that support embedding implementation of effective approaches</w:t>
      </w:r>
    </w:p>
    <w:p w14:paraId="72295C56" w14:textId="1B89348E" w:rsidR="00CA2032" w:rsidRPr="00CA2032" w:rsidRDefault="00CA2032" w:rsidP="003B0B17">
      <w:pPr>
        <w:pStyle w:val="ListParagraph"/>
        <w:numPr>
          <w:ilvl w:val="0"/>
          <w:numId w:val="265"/>
        </w:numPr>
        <w:ind w:left="714" w:hanging="357"/>
        <w:contextualSpacing w:val="0"/>
        <w:rPr>
          <w:rFonts w:cs="Arial"/>
          <w:color w:val="000000" w:themeColor="text1"/>
          <w:lang w:val="en-US"/>
        </w:rPr>
      </w:pPr>
      <w:r w:rsidRPr="00CA2032">
        <w:rPr>
          <w:rFonts w:cs="Arial"/>
          <w:color w:val="000000" w:themeColor="text1"/>
          <w:lang w:val="en-US"/>
        </w:rPr>
        <w:t>Selecting relevant outcomes for the field and applying strength-based, valid and reliable measures</w:t>
      </w:r>
    </w:p>
    <w:p w14:paraId="1963482F" w14:textId="7D97CA1E" w:rsidR="00CA2032" w:rsidRPr="00CA2032" w:rsidRDefault="00CA2032" w:rsidP="003B0B17">
      <w:pPr>
        <w:pStyle w:val="ListParagraph"/>
        <w:numPr>
          <w:ilvl w:val="0"/>
          <w:numId w:val="265"/>
        </w:numPr>
        <w:ind w:left="714" w:hanging="357"/>
        <w:contextualSpacing w:val="0"/>
        <w:rPr>
          <w:rFonts w:cs="Arial"/>
          <w:color w:val="000000" w:themeColor="text1"/>
          <w:lang w:val="en-US"/>
        </w:rPr>
      </w:pPr>
      <w:r w:rsidRPr="00CA2032">
        <w:rPr>
          <w:rFonts w:cs="Arial"/>
          <w:color w:val="000000" w:themeColor="text1"/>
          <w:lang w:val="en-US"/>
        </w:rPr>
        <w:t>Methods of dissemination t</w:t>
      </w:r>
      <w:r w:rsidR="0038276C">
        <w:rPr>
          <w:rFonts w:cs="Arial"/>
          <w:color w:val="000000" w:themeColor="text1"/>
          <w:lang w:val="en-US"/>
        </w:rPr>
        <w:t>o</w:t>
      </w:r>
      <w:r w:rsidRPr="00CA2032">
        <w:rPr>
          <w:rFonts w:cs="Arial"/>
          <w:color w:val="000000" w:themeColor="text1"/>
          <w:lang w:val="en-US"/>
        </w:rPr>
        <w:t xml:space="preserve"> ensure findings are findable, understandable and useable</w:t>
      </w:r>
    </w:p>
    <w:p w14:paraId="10D5014D" w14:textId="0B242227" w:rsidR="00CA2032" w:rsidRPr="00CA2032" w:rsidRDefault="00CA2032" w:rsidP="00CA2032">
      <w:pPr>
        <w:rPr>
          <w:rFonts w:cs="Arial"/>
          <w:color w:val="000000" w:themeColor="text1"/>
          <w:lang w:val="en-US"/>
        </w:rPr>
      </w:pPr>
      <w:r w:rsidRPr="00CA2032">
        <w:rPr>
          <w:rFonts w:cs="Arial"/>
          <w:color w:val="000000" w:themeColor="text1"/>
          <w:lang w:val="en-US"/>
        </w:rPr>
        <w:t>Research that informs the effects and impacts of ECI practices needs to consider</w:t>
      </w:r>
    </w:p>
    <w:p w14:paraId="569FB2B9" w14:textId="6E49E40C" w:rsidR="00CA2032" w:rsidRPr="00CA2032" w:rsidRDefault="00CA2032" w:rsidP="003B0B17">
      <w:pPr>
        <w:pStyle w:val="ListParagraph"/>
        <w:numPr>
          <w:ilvl w:val="0"/>
          <w:numId w:val="266"/>
        </w:numPr>
        <w:ind w:left="714" w:hanging="357"/>
        <w:contextualSpacing w:val="0"/>
        <w:rPr>
          <w:rFonts w:cs="Arial"/>
          <w:color w:val="000000" w:themeColor="text1"/>
          <w:lang w:val="en-US"/>
        </w:rPr>
      </w:pPr>
      <w:r w:rsidRPr="00CA2032">
        <w:rPr>
          <w:rFonts w:cs="Arial"/>
          <w:color w:val="000000" w:themeColor="text1"/>
          <w:lang w:val="en-US"/>
        </w:rPr>
        <w:t>The role of diagnostically categorical vs non-categorical research. ECI practices/strategies and interventions should in many if not most instances apply to all children, regardless of diagnosis</w:t>
      </w:r>
    </w:p>
    <w:p w14:paraId="3A16BCBE" w14:textId="2B0E8790" w:rsidR="00CA2032" w:rsidRPr="00CA2032" w:rsidRDefault="00CA2032" w:rsidP="003B0B17">
      <w:pPr>
        <w:pStyle w:val="ListParagraph"/>
        <w:numPr>
          <w:ilvl w:val="0"/>
          <w:numId w:val="266"/>
        </w:numPr>
        <w:ind w:left="714" w:hanging="357"/>
        <w:contextualSpacing w:val="0"/>
        <w:rPr>
          <w:rFonts w:cs="Arial"/>
          <w:color w:val="000000" w:themeColor="text1"/>
          <w:lang w:val="en-US"/>
        </w:rPr>
      </w:pPr>
      <w:r w:rsidRPr="00CA2032">
        <w:rPr>
          <w:rFonts w:cs="Arial"/>
          <w:color w:val="000000" w:themeColor="text1"/>
          <w:lang w:val="en-US"/>
        </w:rPr>
        <w:t>Time frames for understanding outcomes, and the impact of time required for change, on research design choices as well as on knowledge generation. How long is it necessary to follow children and families in research to understand important outcomes?</w:t>
      </w:r>
    </w:p>
    <w:p w14:paraId="1553998C"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Research is urgently needed </w:t>
      </w:r>
    </w:p>
    <w:p w14:paraId="43363F24" w14:textId="67736D76" w:rsidR="00CA2032" w:rsidRPr="00CA2032" w:rsidRDefault="00CA2032" w:rsidP="003B0B17">
      <w:pPr>
        <w:pStyle w:val="ListParagraph"/>
        <w:numPr>
          <w:ilvl w:val="0"/>
          <w:numId w:val="267"/>
        </w:numPr>
        <w:ind w:left="714" w:hanging="357"/>
        <w:contextualSpacing w:val="0"/>
        <w:rPr>
          <w:rFonts w:cs="Arial"/>
          <w:color w:val="000000" w:themeColor="text1"/>
          <w:lang w:val="en-US"/>
        </w:rPr>
      </w:pPr>
      <w:r w:rsidRPr="00CA2032">
        <w:rPr>
          <w:rFonts w:cs="Arial"/>
          <w:color w:val="000000" w:themeColor="text1"/>
          <w:lang w:val="en-US"/>
        </w:rPr>
        <w:t>To co-design and test the outcomes for Aboriginal and Torres Strait Islander children with developmental concerns, delay or disability and their families, of ECI practices in their communities</w:t>
      </w:r>
    </w:p>
    <w:p w14:paraId="13211329" w14:textId="523B3304" w:rsidR="00CA2032" w:rsidRPr="00CA2032" w:rsidRDefault="00CA2032" w:rsidP="003B0B17">
      <w:pPr>
        <w:pStyle w:val="ListParagraph"/>
        <w:numPr>
          <w:ilvl w:val="0"/>
          <w:numId w:val="267"/>
        </w:numPr>
        <w:ind w:left="714" w:hanging="357"/>
        <w:contextualSpacing w:val="0"/>
        <w:rPr>
          <w:rFonts w:cs="Arial"/>
          <w:color w:val="000000" w:themeColor="text1"/>
          <w:lang w:val="en-US"/>
        </w:rPr>
      </w:pPr>
      <w:r w:rsidRPr="00CA2032">
        <w:rPr>
          <w:rFonts w:cs="Arial"/>
          <w:color w:val="000000" w:themeColor="text1"/>
          <w:lang w:val="en-US"/>
        </w:rPr>
        <w:t>To co-design and test the outcomes of ECI approaches for other culturally and linguistically diverse families, who were typically absent in the body of evidence in this review</w:t>
      </w:r>
    </w:p>
    <w:p w14:paraId="76E8BF84" w14:textId="4420F08D" w:rsidR="00CA2032" w:rsidRPr="00CA2032" w:rsidRDefault="00CA2032" w:rsidP="003B0B17">
      <w:pPr>
        <w:pStyle w:val="ListParagraph"/>
        <w:numPr>
          <w:ilvl w:val="0"/>
          <w:numId w:val="267"/>
        </w:numPr>
        <w:ind w:left="714" w:hanging="357"/>
        <w:contextualSpacing w:val="0"/>
        <w:rPr>
          <w:rFonts w:cs="Arial"/>
          <w:color w:val="000000" w:themeColor="text1"/>
          <w:lang w:val="en-US"/>
        </w:rPr>
      </w:pPr>
      <w:r w:rsidRPr="00CA2032">
        <w:rPr>
          <w:rFonts w:cs="Arial"/>
          <w:color w:val="000000" w:themeColor="text1"/>
          <w:lang w:val="en-US"/>
        </w:rPr>
        <w:t>To implement and test participatory and inclusive approaches in early childhood settings (home, school and community) to clarify the focus and targets for change – the context/environment rather than the child</w:t>
      </w:r>
    </w:p>
    <w:p w14:paraId="0749C540" w14:textId="77099657" w:rsidR="00CA2032" w:rsidRPr="00CA2032" w:rsidRDefault="00CA2032" w:rsidP="003B0B17">
      <w:pPr>
        <w:pStyle w:val="ListParagraph"/>
        <w:numPr>
          <w:ilvl w:val="0"/>
          <w:numId w:val="267"/>
        </w:numPr>
        <w:ind w:left="714" w:hanging="357"/>
        <w:contextualSpacing w:val="0"/>
        <w:rPr>
          <w:rFonts w:cs="Arial"/>
          <w:color w:val="000000" w:themeColor="text1"/>
          <w:lang w:val="en-US"/>
        </w:rPr>
      </w:pPr>
      <w:r w:rsidRPr="00CA2032">
        <w:rPr>
          <w:rFonts w:cs="Arial"/>
          <w:color w:val="000000" w:themeColor="text1"/>
          <w:lang w:val="en-US"/>
        </w:rPr>
        <w:t>To understand the suite of available strength-based measures that are valid, reliable and tap the aims and outcomes of ECI, and to develop and validate additional measures if needed.</w:t>
      </w:r>
    </w:p>
    <w:p w14:paraId="3420D0DD" w14:textId="77777777" w:rsidR="00CA2032" w:rsidRPr="00CA2032" w:rsidRDefault="00CA2032" w:rsidP="00CA2032">
      <w:pPr>
        <w:rPr>
          <w:rFonts w:cs="Arial"/>
          <w:color w:val="000000" w:themeColor="text1"/>
          <w:lang w:val="en-US"/>
        </w:rPr>
      </w:pPr>
      <w:r w:rsidRPr="00CA2032">
        <w:rPr>
          <w:rFonts w:cs="Arial"/>
          <w:color w:val="000000" w:themeColor="text1"/>
          <w:lang w:val="en-US"/>
        </w:rPr>
        <w:t xml:space="preserve">In addition, development of a living repository of research, with appropriate resourcing to enable updating as new evidence emerges is essential. Reviewing the evidence is an ongoing process, as is disseminating new ways of thinking and practicing. </w:t>
      </w:r>
    </w:p>
    <w:p w14:paraId="4FB821A5" w14:textId="305B116B" w:rsidR="00921660" w:rsidRPr="00921660" w:rsidRDefault="00921660" w:rsidP="00921660">
      <w:pPr>
        <w:pStyle w:val="SectionHeader"/>
      </w:pPr>
      <w:bookmarkStart w:id="133" w:name="_Toc177730865"/>
      <w:r w:rsidRPr="00921660">
        <w:t>Part Three: Synthesis and Implications</w:t>
      </w:r>
      <w:bookmarkEnd w:id="133"/>
    </w:p>
    <w:p w14:paraId="65EF86F6" w14:textId="54C28520" w:rsidR="00921660" w:rsidRPr="00921660" w:rsidRDefault="00921660" w:rsidP="00921660">
      <w:pPr>
        <w:pStyle w:val="Heading1"/>
      </w:pPr>
      <w:bookmarkStart w:id="134" w:name="_Toc177730866"/>
      <w:r w:rsidRPr="00921660">
        <w:t>Synthesis and discussion</w:t>
      </w:r>
      <w:bookmarkEnd w:id="134"/>
    </w:p>
    <w:p w14:paraId="31198B45" w14:textId="4BD9EBEB" w:rsidR="00921660" w:rsidRPr="00921660" w:rsidRDefault="00921660" w:rsidP="00921660">
      <w:pPr>
        <w:pStyle w:val="Heading2"/>
        <w:rPr>
          <w:lang w:val="en-US"/>
        </w:rPr>
      </w:pPr>
      <w:bookmarkStart w:id="135" w:name="_Toc177730867"/>
      <w:r w:rsidRPr="00921660">
        <w:rPr>
          <w:lang w:val="en-US"/>
        </w:rPr>
        <w:t>Implications for ECI services and service systems</w:t>
      </w:r>
      <w:bookmarkEnd w:id="135"/>
    </w:p>
    <w:p w14:paraId="3C00B23B" w14:textId="77777777" w:rsidR="00921660" w:rsidRPr="00921660" w:rsidRDefault="00921660" w:rsidP="00921660">
      <w:pPr>
        <w:rPr>
          <w:rFonts w:cs="Arial"/>
          <w:color w:val="000000" w:themeColor="text1"/>
          <w:lang w:val="en-US"/>
        </w:rPr>
      </w:pPr>
      <w:r w:rsidRPr="00921660">
        <w:rPr>
          <w:rFonts w:cs="Arial"/>
          <w:color w:val="000000" w:themeColor="text1"/>
          <w:lang w:val="en-US"/>
        </w:rPr>
        <w:t xml:space="preserve">A key question is what conditions are needed to ensure that a best practice framework is implemented consistently by ECI practitioners and services. A practice framework on its own will not be sufficient to ensure that ECI services use it as a guide to practice. There are several conditions that are needed to ensure that framework is adopted. These include conditions within ECI services, such as how supportive management is, and what hands-on training is provided. It also includes conditions that relate to the overall ECI service system, such as what information is provided to parents about the framework, what quality controls are in place, and how services are funded.   </w:t>
      </w:r>
    </w:p>
    <w:p w14:paraId="01C244F3" w14:textId="77777777" w:rsidR="00921660" w:rsidRPr="00921660" w:rsidRDefault="00921660" w:rsidP="00921660">
      <w:pPr>
        <w:rPr>
          <w:rFonts w:cs="Arial"/>
          <w:color w:val="000000" w:themeColor="text1"/>
          <w:lang w:val="en-US"/>
        </w:rPr>
      </w:pPr>
      <w:r w:rsidRPr="00921660">
        <w:rPr>
          <w:rFonts w:cs="Arial"/>
          <w:color w:val="000000" w:themeColor="text1"/>
          <w:lang w:val="en-US"/>
        </w:rPr>
        <w:t>The funding question is particularly important since what is funded shapes what services are provided. The NDIS is the classic example of how getting this wrong can completely undermine best practice. The introduction of the NDIS was hugely disruptive of the ECI service system and led to significant changes in practice, with service providers moving away from home-based family-focussed services to clinic-based child-focussed services (Arefadib &amp; Moore, 2019). To ensure that the new practice framework is used by ECI providers, the NDIS funding and planning mechanisms will need to be modified substantially (Gavidia-Payne, 2020).</w:t>
      </w:r>
    </w:p>
    <w:p w14:paraId="14DBC4A5" w14:textId="77777777" w:rsidR="00921660" w:rsidRPr="00921660" w:rsidRDefault="00921660" w:rsidP="00921660">
      <w:pPr>
        <w:rPr>
          <w:rFonts w:cs="Arial"/>
          <w:color w:val="000000" w:themeColor="text1"/>
          <w:lang w:val="en-US"/>
        </w:rPr>
      </w:pPr>
      <w:r w:rsidRPr="00921660">
        <w:rPr>
          <w:rFonts w:cs="Arial"/>
          <w:color w:val="000000" w:themeColor="text1"/>
          <w:lang w:val="en-US"/>
        </w:rPr>
        <w:t>Improvements in other services are also needed. This includes increasing the ability of ECEC services to be fully inclusive. It also includes improvements in the wider service system (e.g. the degree of coordination between the various services that families might need) as well as the extent to which the core care conditions that children and families need are met.</w:t>
      </w:r>
    </w:p>
    <w:p w14:paraId="4E13A16B" w14:textId="77777777" w:rsidR="00921660" w:rsidRDefault="00921660" w:rsidP="00921660">
      <w:pPr>
        <w:rPr>
          <w:rFonts w:cs="Arial"/>
          <w:color w:val="000000" w:themeColor="text1"/>
          <w:lang w:val="en-US"/>
        </w:rPr>
      </w:pPr>
      <w:r w:rsidRPr="00921660">
        <w:rPr>
          <w:rFonts w:cs="Arial"/>
          <w:color w:val="000000" w:themeColor="text1"/>
          <w:lang w:val="en-US"/>
        </w:rPr>
        <w:t xml:space="preserve">ECI services need to be embedded in a comprehensive and inclusive early childhood development service system that provides all families with the conditions they need to raise their children as they (and we) would wish, and that provides with ready access to the services they and their children need. Stand-alone ECI services will always struggle to meet all the multiple needs of diverse families. Specialist services for children with developmental disabilities are important but should not be set up as separate service systems. This conveys a message to mainstream services that they cannot meet the needs of children and that children with developmental disabilities need specialist support in segregated settings. This is misleading and not consistent with the evidence. Moreover, once you set up separate disability sector (e.g. special schools), it is very hard to disband it. </w:t>
      </w:r>
    </w:p>
    <w:p w14:paraId="74D40642" w14:textId="77777777" w:rsidR="003D1DEE" w:rsidRDefault="003D1DEE" w:rsidP="00921660">
      <w:pPr>
        <w:rPr>
          <w:rFonts w:cs="Arial"/>
          <w:color w:val="000000" w:themeColor="text1"/>
          <w:lang w:val="en-US"/>
        </w:rPr>
      </w:pPr>
    </w:p>
    <w:p w14:paraId="12C4BBAC" w14:textId="77777777" w:rsidR="003D1DEE" w:rsidRDefault="003D1DEE" w:rsidP="00921660">
      <w:pPr>
        <w:rPr>
          <w:rFonts w:cs="Arial"/>
          <w:color w:val="000000" w:themeColor="text1"/>
          <w:lang w:val="en-US"/>
        </w:rPr>
      </w:pPr>
    </w:p>
    <w:p w14:paraId="316A6BB7" w14:textId="77777777" w:rsidR="003D1DEE" w:rsidRDefault="003D1DEE" w:rsidP="00921660">
      <w:pPr>
        <w:rPr>
          <w:rFonts w:cs="Arial"/>
          <w:color w:val="000000" w:themeColor="text1"/>
          <w:lang w:val="en-US"/>
        </w:rPr>
      </w:pPr>
    </w:p>
    <w:p w14:paraId="25AE6C55" w14:textId="77777777" w:rsidR="003D1DEE" w:rsidRPr="00921660" w:rsidRDefault="003D1DEE" w:rsidP="00921660">
      <w:pPr>
        <w:rPr>
          <w:rFonts w:cs="Arial"/>
          <w:color w:val="000000" w:themeColor="text1"/>
          <w:lang w:val="en-US"/>
        </w:rPr>
      </w:pPr>
    </w:p>
    <w:bookmarkStart w:id="136" w:name="_Toc177730868"/>
    <w:p w14:paraId="23B1524E" w14:textId="2EB75668" w:rsidR="00921660" w:rsidRPr="00921660" w:rsidRDefault="003D1DEE" w:rsidP="00921660">
      <w:pPr>
        <w:pStyle w:val="Heading2"/>
      </w:pPr>
      <w:r>
        <w:rPr>
          <w:noProof/>
        </w:rPr>
        <mc:AlternateContent>
          <mc:Choice Requires="wps">
            <w:drawing>
              <wp:anchor distT="0" distB="0" distL="114300" distR="114300" simplePos="0" relativeHeight="251675648" behindDoc="1" locked="1" layoutInCell="1" allowOverlap="1" wp14:anchorId="4A7A9C03" wp14:editId="73B35EB4">
                <wp:simplePos x="0" y="0"/>
                <wp:positionH relativeFrom="column">
                  <wp:posOffset>-899160</wp:posOffset>
                </wp:positionH>
                <wp:positionV relativeFrom="page">
                  <wp:posOffset>0</wp:posOffset>
                </wp:positionV>
                <wp:extent cx="362585" cy="10688320"/>
                <wp:effectExtent l="0" t="0" r="5715" b="5080"/>
                <wp:wrapNone/>
                <wp:docPr id="1805846966" name="Rectangle 5"/>
                <wp:cNvGraphicFramePr/>
                <a:graphic xmlns:a="http://schemas.openxmlformats.org/drawingml/2006/main">
                  <a:graphicData uri="http://schemas.microsoft.com/office/word/2010/wordprocessingShape">
                    <wps:wsp>
                      <wps:cNvSpPr/>
                      <wps:spPr>
                        <a:xfrm>
                          <a:off x="0" y="0"/>
                          <a:ext cx="362585" cy="10688320"/>
                        </a:xfrm>
                        <a:prstGeom prst="rect">
                          <a:avLst/>
                        </a:prstGeom>
                        <a:solidFill>
                          <a:srgbClr val="8087A3">
                            <a:alpha val="4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CF6EB" id="Rectangle 5" o:spid="_x0000_s1026" style="position:absolute;margin-left:-70.8pt;margin-top:0;width:28.55pt;height:84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" fillcolor="#8087a3" stroked="f" strokeweight="1pt">
                <v:fill opacity="29555f"/>
                <w10:wrap anchory="page"/>
                <w10:anchorlock/>
              </v:rect>
            </w:pict>
          </mc:Fallback>
        </mc:AlternateContent>
      </w:r>
      <w:r w:rsidR="00921660" w:rsidRPr="00921660">
        <w:t>Implications for an ECI Practice Framework</w:t>
      </w:r>
      <w:bookmarkEnd w:id="136"/>
    </w:p>
    <w:p w14:paraId="13930B08" w14:textId="77777777" w:rsidR="001474D8" w:rsidRDefault="001474D8" w:rsidP="00921660">
      <w:r>
        <w:t>This section groups all the implications identified throughout the Full Report under the following headings: consistency with national strategies and frameworks; meeting children’s needs; meeting family’s needs; inclusion and participation; early childhood intervention services; and features of a best practice framework. The implications are drawn from one or more sections of the whole report.</w:t>
      </w:r>
    </w:p>
    <w:p w14:paraId="44E6C6C5" w14:textId="4393AE50" w:rsidR="00921660" w:rsidRPr="00F11045" w:rsidRDefault="00921660" w:rsidP="00921660">
      <w:pPr>
        <w:rPr>
          <w:rFonts w:cs="Arial"/>
          <w:b/>
          <w:bCs/>
          <w:i/>
          <w:iCs/>
          <w:color w:val="000000" w:themeColor="text1"/>
          <w:lang w:val="en-US"/>
        </w:rPr>
      </w:pPr>
      <w:r w:rsidRPr="00F11045">
        <w:rPr>
          <w:rFonts w:cs="Arial"/>
          <w:b/>
          <w:bCs/>
          <w:i/>
          <w:iCs/>
          <w:color w:val="000000" w:themeColor="text1"/>
          <w:lang w:val="en-US"/>
        </w:rPr>
        <w:t>Consistency with national strategies and frameworks</w:t>
      </w:r>
    </w:p>
    <w:p w14:paraId="64645B1E" w14:textId="77777777" w:rsidR="00921660" w:rsidRPr="00921660" w:rsidRDefault="00921660" w:rsidP="00921660">
      <w:pPr>
        <w:rPr>
          <w:rFonts w:cs="Arial"/>
          <w:color w:val="000000" w:themeColor="text1"/>
          <w:lang w:val="en-US"/>
        </w:rPr>
      </w:pPr>
      <w:r w:rsidRPr="00921660">
        <w:rPr>
          <w:rFonts w:cs="Arial"/>
          <w:color w:val="000000" w:themeColor="text1"/>
          <w:lang w:val="en-US"/>
        </w:rPr>
        <w:t>It is recommended that the ECI Practice Framework:</w:t>
      </w:r>
    </w:p>
    <w:p w14:paraId="790868C9" w14:textId="62D4DE44" w:rsidR="00921660" w:rsidRPr="00F11045" w:rsidRDefault="00921660" w:rsidP="003B0B17">
      <w:pPr>
        <w:pStyle w:val="ListParagraph"/>
        <w:numPr>
          <w:ilvl w:val="0"/>
          <w:numId w:val="268"/>
        </w:numPr>
        <w:ind w:left="714" w:hanging="357"/>
        <w:contextualSpacing w:val="0"/>
        <w:rPr>
          <w:rFonts w:cs="Arial"/>
          <w:color w:val="000000" w:themeColor="text1"/>
          <w:lang w:val="en-US"/>
        </w:rPr>
      </w:pPr>
      <w:r w:rsidRPr="00F11045">
        <w:rPr>
          <w:rFonts w:cs="Arial"/>
          <w:color w:val="000000" w:themeColor="text1"/>
          <w:lang w:val="en-US"/>
        </w:rPr>
        <w:t>ensures that it is consistent with the aims of the key national early childhood strategies and frameworks</w:t>
      </w:r>
    </w:p>
    <w:p w14:paraId="52A8CD85" w14:textId="1B5FC12E" w:rsidR="00921660" w:rsidRPr="00F11045" w:rsidRDefault="00921660" w:rsidP="003B0B17">
      <w:pPr>
        <w:pStyle w:val="ListParagraph"/>
        <w:numPr>
          <w:ilvl w:val="0"/>
          <w:numId w:val="268"/>
        </w:numPr>
        <w:ind w:left="714" w:hanging="357"/>
        <w:contextualSpacing w:val="0"/>
        <w:rPr>
          <w:rFonts w:cs="Arial"/>
          <w:color w:val="000000" w:themeColor="text1"/>
          <w:lang w:val="en-US"/>
        </w:rPr>
      </w:pPr>
      <w:r w:rsidRPr="00F11045">
        <w:rPr>
          <w:rFonts w:cs="Arial"/>
          <w:color w:val="000000" w:themeColor="text1"/>
          <w:lang w:val="en-US"/>
        </w:rPr>
        <w:t>is consistent with national quality, safeguarding and accountability frameworks</w:t>
      </w:r>
    </w:p>
    <w:p w14:paraId="7D6987BA" w14:textId="77777777" w:rsidR="005916C5" w:rsidRDefault="005916C5" w:rsidP="003B0B17">
      <w:pPr>
        <w:pStyle w:val="ListParagraph"/>
        <w:numPr>
          <w:ilvl w:val="0"/>
          <w:numId w:val="268"/>
        </w:numPr>
        <w:contextualSpacing w:val="0"/>
      </w:pPr>
      <w:r>
        <w:t>ensures that it is consistent with the National Aboriginal and Torres Strait Islander Early Childhood Strategy; Safe and Supported; and the Safe and Supported Aboriginal and Torres Strait Islander First Action Plan 2023-2026.</w:t>
      </w:r>
    </w:p>
    <w:p w14:paraId="4F564D21" w14:textId="77777777" w:rsidR="00921660" w:rsidRPr="00F11045" w:rsidRDefault="00921660" w:rsidP="00921660">
      <w:pPr>
        <w:rPr>
          <w:rFonts w:cs="Arial"/>
          <w:b/>
          <w:bCs/>
          <w:i/>
          <w:iCs/>
          <w:color w:val="000000" w:themeColor="text1"/>
          <w:lang w:val="en-US"/>
        </w:rPr>
      </w:pPr>
      <w:r w:rsidRPr="00F11045">
        <w:rPr>
          <w:rFonts w:cs="Arial"/>
          <w:b/>
          <w:bCs/>
          <w:i/>
          <w:iCs/>
          <w:color w:val="000000" w:themeColor="text1"/>
          <w:lang w:val="en-US"/>
        </w:rPr>
        <w:t>Meeting children’s needs</w:t>
      </w:r>
    </w:p>
    <w:p w14:paraId="3CD9D22A" w14:textId="77777777" w:rsidR="00921660" w:rsidRPr="00921660" w:rsidRDefault="00921660" w:rsidP="00921660">
      <w:pPr>
        <w:rPr>
          <w:rFonts w:cs="Arial"/>
          <w:color w:val="000000" w:themeColor="text1"/>
          <w:lang w:val="en-US"/>
        </w:rPr>
      </w:pPr>
      <w:r w:rsidRPr="00921660">
        <w:rPr>
          <w:rFonts w:cs="Arial"/>
          <w:color w:val="000000" w:themeColor="text1"/>
          <w:lang w:val="en-US"/>
        </w:rPr>
        <w:t>It is recommended that the ECI Practice Framework:</w:t>
      </w:r>
    </w:p>
    <w:p w14:paraId="22D90036" w14:textId="77777777" w:rsidR="00094A51" w:rsidRDefault="00094A51" w:rsidP="003B0B17">
      <w:pPr>
        <w:pStyle w:val="ListParagraph"/>
        <w:numPr>
          <w:ilvl w:val="0"/>
          <w:numId w:val="269"/>
        </w:numPr>
        <w:contextualSpacing w:val="0"/>
      </w:pPr>
      <w:r>
        <w:t>is based on an understanding of the importance of the first 1000 days and how experiences during this period shape subsequent development for better or for worse</w:t>
      </w:r>
    </w:p>
    <w:p w14:paraId="79E9D85A" w14:textId="77777777" w:rsidR="00094A51" w:rsidRDefault="00094A51" w:rsidP="003B0B17">
      <w:pPr>
        <w:pStyle w:val="ListParagraph"/>
        <w:numPr>
          <w:ilvl w:val="0"/>
          <w:numId w:val="269"/>
        </w:numPr>
        <w:contextualSpacing w:val="0"/>
      </w:pPr>
      <w:r>
        <w:t>is founded on a comprehensive understanding of how young children with and without disability develop and the conditions they need to thrive</w:t>
      </w:r>
    </w:p>
    <w:p w14:paraId="1B1DF281" w14:textId="77777777" w:rsidR="00094A51" w:rsidRDefault="00094A51" w:rsidP="003B0B17">
      <w:pPr>
        <w:pStyle w:val="ListParagraph"/>
        <w:numPr>
          <w:ilvl w:val="0"/>
          <w:numId w:val="269"/>
        </w:numPr>
        <w:contextualSpacing w:val="0"/>
      </w:pPr>
      <w:r>
        <w:t>ensures that all a child’s core needs are met, not just those needs relating to their disability</w:t>
      </w:r>
    </w:p>
    <w:p w14:paraId="66ECF170" w14:textId="77777777" w:rsidR="00094A51" w:rsidRDefault="00094A51" w:rsidP="003B0B17">
      <w:pPr>
        <w:pStyle w:val="ListParagraph"/>
        <w:numPr>
          <w:ilvl w:val="0"/>
          <w:numId w:val="269"/>
        </w:numPr>
        <w:ind w:left="714" w:hanging="357"/>
        <w:contextualSpacing w:val="0"/>
      </w:pPr>
      <w:r>
        <w:t xml:space="preserve">seeks to ensure that the needs of children with developmental concerns, delays and disabilities for being, belonging and becoming are met </w:t>
      </w:r>
    </w:p>
    <w:p w14:paraId="2AF746D5" w14:textId="77777777" w:rsidR="00094A51" w:rsidRDefault="00094A51" w:rsidP="003B0B17">
      <w:pPr>
        <w:pStyle w:val="ListParagraph"/>
        <w:numPr>
          <w:ilvl w:val="0"/>
          <w:numId w:val="269"/>
        </w:numPr>
        <w:ind w:left="714" w:hanging="357"/>
        <w:contextualSpacing w:val="0"/>
      </w:pPr>
      <w:r>
        <w:t>builds on children’s interests and self-directed activities</w:t>
      </w:r>
    </w:p>
    <w:p w14:paraId="619AE2E7" w14:textId="77777777" w:rsidR="0005000E" w:rsidRDefault="00094A51" w:rsidP="003B0B17">
      <w:pPr>
        <w:pStyle w:val="ListParagraph"/>
        <w:numPr>
          <w:ilvl w:val="0"/>
          <w:numId w:val="269"/>
        </w:numPr>
        <w:ind w:left="714" w:hanging="357"/>
        <w:contextualSpacing w:val="0"/>
      </w:pPr>
      <w:r>
        <w:t>provides multiple opportunities for children to practise functional skills in everyday environments</w:t>
      </w:r>
    </w:p>
    <w:p w14:paraId="20432CDE" w14:textId="4ECB2017" w:rsidR="00921660" w:rsidRDefault="00921660" w:rsidP="003B0B17">
      <w:pPr>
        <w:pStyle w:val="ListParagraph"/>
        <w:numPr>
          <w:ilvl w:val="0"/>
          <w:numId w:val="269"/>
        </w:numPr>
        <w:ind w:left="714" w:hanging="357"/>
        <w:contextualSpacing w:val="0"/>
      </w:pPr>
      <w:r>
        <w:t>identifies building the child’s sense of agency and ‘voice’ as an important goal, and provides guidance on how agency develops at every stage of the child’s life</w:t>
      </w:r>
    </w:p>
    <w:p w14:paraId="4C1D104C" w14:textId="7CD389EB" w:rsidR="00921660" w:rsidRDefault="00921660" w:rsidP="003B0B17">
      <w:pPr>
        <w:pStyle w:val="ListParagraph"/>
        <w:numPr>
          <w:ilvl w:val="0"/>
          <w:numId w:val="269"/>
        </w:numPr>
        <w:ind w:left="714" w:hanging="357"/>
        <w:contextualSpacing w:val="0"/>
      </w:pPr>
      <w:r>
        <w:t>is based on a clear understanding of what child’s agency and voice looks like at different ages and provides guidance on how to help families and others promote the child’s growing ability to participate</w:t>
      </w:r>
    </w:p>
    <w:p w14:paraId="120710AC" w14:textId="77777777" w:rsidR="00094A51" w:rsidRDefault="00094A51" w:rsidP="003B0B17">
      <w:pPr>
        <w:pStyle w:val="ListParagraph"/>
        <w:numPr>
          <w:ilvl w:val="0"/>
          <w:numId w:val="269"/>
        </w:numPr>
        <w:ind w:left="714" w:hanging="357"/>
        <w:contextualSpacing w:val="0"/>
      </w:pPr>
      <w:r>
        <w:t>is based on an understanding of the impact that environmental factors have on development</w:t>
      </w:r>
    </w:p>
    <w:p w14:paraId="341760E4" w14:textId="77777777" w:rsidR="00094A51" w:rsidRDefault="00094A51" w:rsidP="003B0B17">
      <w:pPr>
        <w:pStyle w:val="ListParagraph"/>
        <w:numPr>
          <w:ilvl w:val="0"/>
          <w:numId w:val="269"/>
        </w:numPr>
      </w:pPr>
      <w:r>
        <w:t>is based on a clear understanding of the conditions that children need to thrive and how these can be met</w:t>
      </w:r>
    </w:p>
    <w:p w14:paraId="7FECCC76" w14:textId="77777777" w:rsidR="00094A51" w:rsidRDefault="00094A51" w:rsidP="003B0B17">
      <w:pPr>
        <w:pStyle w:val="ListParagraph"/>
        <w:numPr>
          <w:ilvl w:val="0"/>
          <w:numId w:val="269"/>
        </w:numPr>
      </w:pPr>
      <w:r>
        <w:t>highlights the importance of ensuring that children are provided with the positive conditions they need to thrive and be protected from adverse experiences</w:t>
      </w:r>
    </w:p>
    <w:p w14:paraId="3A6CCF91" w14:textId="77777777" w:rsidR="00094A51" w:rsidRDefault="00094A51" w:rsidP="003B0B17">
      <w:pPr>
        <w:pStyle w:val="ListParagraph"/>
        <w:numPr>
          <w:ilvl w:val="0"/>
          <w:numId w:val="269"/>
        </w:numPr>
      </w:pPr>
      <w:r>
        <w:t>promotes responsive caregiving and secure attachments as a major focus in ECI practice.</w:t>
      </w:r>
    </w:p>
    <w:p w14:paraId="5A027F54" w14:textId="77777777" w:rsidR="00921660" w:rsidRPr="00F11045" w:rsidRDefault="00921660" w:rsidP="00921660">
      <w:pPr>
        <w:rPr>
          <w:rFonts w:cs="Arial"/>
          <w:b/>
          <w:bCs/>
          <w:i/>
          <w:iCs/>
          <w:color w:val="000000" w:themeColor="text1"/>
          <w:lang w:val="en-US"/>
        </w:rPr>
      </w:pPr>
      <w:r w:rsidRPr="00F11045">
        <w:rPr>
          <w:rFonts w:cs="Arial"/>
          <w:b/>
          <w:bCs/>
          <w:i/>
          <w:iCs/>
          <w:color w:val="000000" w:themeColor="text1"/>
          <w:lang w:val="en-US"/>
        </w:rPr>
        <w:t>Meeting family needs</w:t>
      </w:r>
    </w:p>
    <w:p w14:paraId="2CDBB0BA" w14:textId="77777777" w:rsidR="00921660" w:rsidRPr="00921660" w:rsidRDefault="00921660" w:rsidP="00921660">
      <w:pPr>
        <w:rPr>
          <w:rFonts w:cs="Arial"/>
          <w:color w:val="000000" w:themeColor="text1"/>
          <w:lang w:val="en-US"/>
        </w:rPr>
      </w:pPr>
      <w:r w:rsidRPr="00921660">
        <w:rPr>
          <w:rFonts w:cs="Arial"/>
          <w:color w:val="000000" w:themeColor="text1"/>
          <w:lang w:val="en-US"/>
        </w:rPr>
        <w:t>It is recommended that the ECI Practice Framework:</w:t>
      </w:r>
    </w:p>
    <w:p w14:paraId="3DBC9377" w14:textId="64F92232" w:rsidR="00921660" w:rsidRPr="00F11045" w:rsidRDefault="00921660" w:rsidP="003B0B17">
      <w:pPr>
        <w:pStyle w:val="ListParagraph"/>
        <w:numPr>
          <w:ilvl w:val="0"/>
          <w:numId w:val="270"/>
        </w:numPr>
        <w:ind w:left="714" w:hanging="357"/>
        <w:contextualSpacing w:val="0"/>
        <w:rPr>
          <w:rFonts w:cs="Arial"/>
          <w:color w:val="000000" w:themeColor="text1"/>
          <w:lang w:val="en-US"/>
        </w:rPr>
      </w:pPr>
      <w:r w:rsidRPr="00F11045">
        <w:rPr>
          <w:rFonts w:cs="Arial"/>
          <w:color w:val="000000" w:themeColor="text1"/>
          <w:lang w:val="en-US"/>
        </w:rPr>
        <w:t xml:space="preserve">has a positive focus, seeking to ensure that the children with developmental disabilities </w:t>
      </w:r>
      <w:r w:rsidR="00A04237">
        <w:rPr>
          <w:noProof/>
        </w:rPr>
        <mc:AlternateContent>
          <mc:Choice Requires="wps">
            <w:drawing>
              <wp:anchor distT="0" distB="0" distL="114300" distR="114300" simplePos="0" relativeHeight="251676672" behindDoc="1" locked="1" layoutInCell="1" allowOverlap="1" wp14:anchorId="2E4A6CF7" wp14:editId="6FE92FB7">
                <wp:simplePos x="0" y="0"/>
                <wp:positionH relativeFrom="column">
                  <wp:posOffset>-914400</wp:posOffset>
                </wp:positionH>
                <wp:positionV relativeFrom="page">
                  <wp:posOffset>-635</wp:posOffset>
                </wp:positionV>
                <wp:extent cx="362585" cy="10688320"/>
                <wp:effectExtent l="0" t="0" r="5715" b="5080"/>
                <wp:wrapNone/>
                <wp:docPr id="1216198253"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2585" cy="10688320"/>
                        </a:xfrm>
                        <a:prstGeom prst="rect">
                          <a:avLst/>
                        </a:prstGeom>
                        <a:solidFill>
                          <a:srgbClr val="8087A3">
                            <a:alpha val="4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7E416" id="Rectangle 5" o:spid="_x0000_s1026" alt="&quot;&quot;" style="position:absolute;margin-left:-1in;margin-top:-.05pt;width:28.55pt;height:84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" fillcolor="#8087a3" stroked="f" strokeweight="1pt">
                <v:fill opacity="29555f"/>
                <w10:wrap anchory="page"/>
                <w10:anchorlock/>
              </v:rect>
            </w:pict>
          </mc:Fallback>
        </mc:AlternateContent>
      </w:r>
      <w:r w:rsidRPr="00F11045">
        <w:rPr>
          <w:rFonts w:cs="Arial"/>
          <w:color w:val="000000" w:themeColor="text1"/>
          <w:lang w:val="en-US"/>
        </w:rPr>
        <w:t>and their families are thriving</w:t>
      </w:r>
    </w:p>
    <w:p w14:paraId="067203DE" w14:textId="224D7834" w:rsidR="00921660" w:rsidRPr="00F11045" w:rsidRDefault="00921660" w:rsidP="003B0B17">
      <w:pPr>
        <w:pStyle w:val="ListParagraph"/>
        <w:numPr>
          <w:ilvl w:val="0"/>
          <w:numId w:val="270"/>
        </w:numPr>
        <w:ind w:left="714" w:hanging="357"/>
        <w:contextualSpacing w:val="0"/>
        <w:rPr>
          <w:rFonts w:cs="Arial"/>
          <w:color w:val="000000" w:themeColor="text1"/>
          <w:lang w:val="en-US"/>
        </w:rPr>
      </w:pPr>
      <w:r w:rsidRPr="00F11045">
        <w:rPr>
          <w:rFonts w:cs="Arial"/>
          <w:color w:val="000000" w:themeColor="text1"/>
          <w:lang w:val="en-US"/>
        </w:rPr>
        <w:t>adopts a positive approach regarding the child and family’s future, offering families realistic hope</w:t>
      </w:r>
    </w:p>
    <w:p w14:paraId="5F0B18A3" w14:textId="11092B93" w:rsidR="00921660" w:rsidRPr="00F11045" w:rsidRDefault="00921660" w:rsidP="003B0B17">
      <w:pPr>
        <w:pStyle w:val="ListParagraph"/>
        <w:numPr>
          <w:ilvl w:val="0"/>
          <w:numId w:val="270"/>
        </w:numPr>
        <w:ind w:left="714" w:hanging="357"/>
        <w:contextualSpacing w:val="0"/>
        <w:rPr>
          <w:rFonts w:cs="Arial"/>
          <w:color w:val="000000" w:themeColor="text1"/>
          <w:lang w:val="en-US"/>
        </w:rPr>
      </w:pPr>
      <w:r w:rsidRPr="00F11045">
        <w:rPr>
          <w:rFonts w:cs="Arial"/>
          <w:color w:val="000000" w:themeColor="text1"/>
          <w:lang w:val="en-US"/>
        </w:rPr>
        <w:t xml:space="preserve">focuses on promoting the capacity of parents and other caregivers to provide children with environments and opportunities to practise functionals skills and participate meaningfully </w:t>
      </w:r>
    </w:p>
    <w:p w14:paraId="47BD1FDF" w14:textId="27D96139" w:rsidR="00921660" w:rsidRPr="00F11045" w:rsidRDefault="00921660" w:rsidP="003B0B17">
      <w:pPr>
        <w:pStyle w:val="ListParagraph"/>
        <w:numPr>
          <w:ilvl w:val="0"/>
          <w:numId w:val="270"/>
        </w:numPr>
        <w:ind w:left="714" w:hanging="357"/>
        <w:contextualSpacing w:val="0"/>
        <w:rPr>
          <w:rFonts w:cs="Arial"/>
          <w:color w:val="000000" w:themeColor="text1"/>
          <w:lang w:val="en-US"/>
        </w:rPr>
      </w:pPr>
      <w:r w:rsidRPr="00F11045">
        <w:rPr>
          <w:rFonts w:cs="Arial"/>
          <w:color w:val="000000" w:themeColor="text1"/>
          <w:lang w:val="en-US"/>
        </w:rPr>
        <w:t>focuses on building parental capacity to make decisions on behalf of their child and family</w:t>
      </w:r>
    </w:p>
    <w:p w14:paraId="3D7C951D" w14:textId="597391BC" w:rsidR="00921660" w:rsidRPr="00F11045" w:rsidRDefault="00921660" w:rsidP="003B0B17">
      <w:pPr>
        <w:pStyle w:val="ListParagraph"/>
        <w:numPr>
          <w:ilvl w:val="0"/>
          <w:numId w:val="270"/>
        </w:numPr>
        <w:ind w:left="714" w:hanging="357"/>
        <w:contextualSpacing w:val="0"/>
        <w:rPr>
          <w:rFonts w:cs="Arial"/>
          <w:color w:val="000000" w:themeColor="text1"/>
          <w:lang w:val="en-US"/>
        </w:rPr>
      </w:pPr>
      <w:r w:rsidRPr="00F11045">
        <w:rPr>
          <w:rFonts w:cs="Arial"/>
          <w:color w:val="000000" w:themeColor="text1"/>
          <w:lang w:val="en-US"/>
        </w:rPr>
        <w:t>is based on a clear understanding of the conditions that families need to make informed choices regarding goals, funding and services</w:t>
      </w:r>
    </w:p>
    <w:p w14:paraId="6F7150F9" w14:textId="41AAC4D2" w:rsidR="00921660" w:rsidRPr="00F11045" w:rsidRDefault="00921660" w:rsidP="003B0B17">
      <w:pPr>
        <w:pStyle w:val="ListParagraph"/>
        <w:numPr>
          <w:ilvl w:val="0"/>
          <w:numId w:val="270"/>
        </w:numPr>
        <w:ind w:left="714" w:hanging="357"/>
        <w:contextualSpacing w:val="0"/>
        <w:rPr>
          <w:rFonts w:cs="Arial"/>
          <w:color w:val="000000" w:themeColor="text1"/>
          <w:lang w:val="en-US"/>
        </w:rPr>
      </w:pPr>
      <w:r w:rsidRPr="00F11045">
        <w:rPr>
          <w:rFonts w:cs="Arial"/>
          <w:color w:val="000000" w:themeColor="text1"/>
          <w:lang w:val="en-US"/>
        </w:rPr>
        <w:t>highlights the need to help families develop positive social networks</w:t>
      </w:r>
    </w:p>
    <w:p w14:paraId="693C5FAF" w14:textId="4F4D78DD" w:rsidR="00921660" w:rsidRPr="00F11045" w:rsidRDefault="00921660" w:rsidP="003B0B17">
      <w:pPr>
        <w:pStyle w:val="ListParagraph"/>
        <w:numPr>
          <w:ilvl w:val="0"/>
          <w:numId w:val="270"/>
        </w:numPr>
        <w:ind w:left="714" w:hanging="357"/>
        <w:contextualSpacing w:val="0"/>
        <w:rPr>
          <w:rFonts w:cs="Arial"/>
          <w:color w:val="000000" w:themeColor="text1"/>
          <w:lang w:val="en-US"/>
        </w:rPr>
      </w:pPr>
      <w:r w:rsidRPr="00F11045">
        <w:rPr>
          <w:rFonts w:cs="Arial"/>
          <w:color w:val="000000" w:themeColor="text1"/>
          <w:lang w:val="en-US"/>
        </w:rPr>
        <w:t>highlights the importance of preferencing family values and cultural beliefs</w:t>
      </w:r>
    </w:p>
    <w:p w14:paraId="4C2FA6BF" w14:textId="6A22A88C" w:rsidR="00921660" w:rsidRPr="00F11045" w:rsidRDefault="00921660" w:rsidP="003B0B17">
      <w:pPr>
        <w:pStyle w:val="ListParagraph"/>
        <w:numPr>
          <w:ilvl w:val="0"/>
          <w:numId w:val="270"/>
        </w:numPr>
        <w:ind w:left="714" w:hanging="357"/>
        <w:contextualSpacing w:val="0"/>
        <w:rPr>
          <w:rFonts w:cs="Arial"/>
          <w:color w:val="000000" w:themeColor="text1"/>
          <w:lang w:val="en-US"/>
        </w:rPr>
      </w:pPr>
      <w:r w:rsidRPr="00F11045">
        <w:rPr>
          <w:rFonts w:cs="Arial"/>
          <w:color w:val="000000" w:themeColor="text1"/>
          <w:lang w:val="en-US"/>
        </w:rPr>
        <w:t>promotes the use of trauma-informed and culturally safe practices</w:t>
      </w:r>
    </w:p>
    <w:p w14:paraId="5B1CD5FC" w14:textId="0E9F8B47" w:rsidR="00921660" w:rsidRPr="00F11045" w:rsidRDefault="00921660" w:rsidP="003B0B17">
      <w:pPr>
        <w:pStyle w:val="ListParagraph"/>
        <w:numPr>
          <w:ilvl w:val="0"/>
          <w:numId w:val="270"/>
        </w:numPr>
        <w:ind w:left="714" w:hanging="357"/>
        <w:contextualSpacing w:val="0"/>
        <w:rPr>
          <w:rFonts w:cs="Arial"/>
          <w:color w:val="000000" w:themeColor="text1"/>
          <w:lang w:val="en-US"/>
        </w:rPr>
      </w:pPr>
      <w:r w:rsidRPr="00F11045">
        <w:rPr>
          <w:rFonts w:cs="Arial"/>
          <w:color w:val="000000" w:themeColor="text1"/>
          <w:lang w:val="en-US"/>
        </w:rPr>
        <w:t>emphasises the importance of being aware of and the many ways in which families may be marginalised and have difficulties in accessing all the supports and services they need</w:t>
      </w:r>
      <w:r w:rsidR="00A73BC4">
        <w:rPr>
          <w:rFonts w:cs="Arial"/>
          <w:color w:val="000000" w:themeColor="text1"/>
          <w:lang w:val="en-US"/>
        </w:rPr>
        <w:t>.</w:t>
      </w:r>
    </w:p>
    <w:p w14:paraId="0B48B33E" w14:textId="77777777" w:rsidR="00223EA3" w:rsidRPr="00F11045" w:rsidRDefault="00223EA3" w:rsidP="00223EA3">
      <w:pPr>
        <w:rPr>
          <w:rFonts w:cs="Arial"/>
          <w:b/>
          <w:bCs/>
          <w:i/>
          <w:iCs/>
          <w:color w:val="000000" w:themeColor="text1"/>
          <w:lang w:val="en-US"/>
        </w:rPr>
      </w:pPr>
      <w:r w:rsidRPr="00F11045">
        <w:rPr>
          <w:rFonts w:cs="Arial"/>
          <w:b/>
          <w:bCs/>
          <w:i/>
          <w:iCs/>
          <w:color w:val="000000" w:themeColor="text1"/>
          <w:lang w:val="en-US"/>
        </w:rPr>
        <w:t>Inclusion and participation</w:t>
      </w:r>
    </w:p>
    <w:p w14:paraId="7F1102D3" w14:textId="77777777" w:rsidR="00223EA3" w:rsidRPr="00921660" w:rsidRDefault="00223EA3" w:rsidP="00223EA3">
      <w:pPr>
        <w:rPr>
          <w:rFonts w:cs="Arial"/>
          <w:color w:val="000000" w:themeColor="text1"/>
          <w:lang w:val="en-US"/>
        </w:rPr>
      </w:pPr>
      <w:r w:rsidRPr="00921660">
        <w:rPr>
          <w:rFonts w:cs="Arial"/>
          <w:color w:val="000000" w:themeColor="text1"/>
          <w:lang w:val="en-US"/>
        </w:rPr>
        <w:t>It is recommended that the ECI Practice Framework:</w:t>
      </w:r>
    </w:p>
    <w:p w14:paraId="4AA6466C" w14:textId="77777777" w:rsidR="00223EA3" w:rsidRPr="00F11045" w:rsidRDefault="00223EA3" w:rsidP="003B0B17">
      <w:pPr>
        <w:pStyle w:val="ListParagraph"/>
        <w:numPr>
          <w:ilvl w:val="0"/>
          <w:numId w:val="271"/>
        </w:numPr>
        <w:ind w:left="714" w:hanging="357"/>
        <w:contextualSpacing w:val="0"/>
        <w:rPr>
          <w:rFonts w:cs="Arial"/>
          <w:color w:val="000000" w:themeColor="text1"/>
          <w:lang w:val="en-US"/>
        </w:rPr>
      </w:pPr>
      <w:r w:rsidRPr="00F11045">
        <w:rPr>
          <w:rFonts w:cs="Arial"/>
          <w:color w:val="000000" w:themeColor="text1"/>
          <w:lang w:val="en-US"/>
        </w:rPr>
        <w:t>has a major focus on inclusion – ensuring that children and families have opportunities to participate in community and ECEC activities, as well as building the capacity of mainstream services to meet the needs of all children.</w:t>
      </w:r>
    </w:p>
    <w:p w14:paraId="3F600E02" w14:textId="77777777" w:rsidR="00625DCE" w:rsidRDefault="00625DCE" w:rsidP="003B0B17">
      <w:pPr>
        <w:pStyle w:val="ListParagraph"/>
        <w:numPr>
          <w:ilvl w:val="0"/>
          <w:numId w:val="271"/>
        </w:numPr>
        <w:contextualSpacing w:val="0"/>
      </w:pPr>
      <w:r>
        <w:t>promotes inclusion as a major goal for all children with developmental concerns, delays and disabilities</w:t>
      </w:r>
    </w:p>
    <w:p w14:paraId="63063DC3" w14:textId="77777777" w:rsidR="00625DCE" w:rsidRDefault="00625DCE" w:rsidP="003B0B17">
      <w:pPr>
        <w:pStyle w:val="ListParagraph"/>
        <w:numPr>
          <w:ilvl w:val="0"/>
          <w:numId w:val="271"/>
        </w:numPr>
        <w:contextualSpacing w:val="0"/>
      </w:pPr>
      <w:r>
        <w:t>focuses on ensuring children’s meaningful participation in home, community and ECEC/school settings</w:t>
      </w:r>
    </w:p>
    <w:p w14:paraId="5CC81E97" w14:textId="619EB829" w:rsidR="00223EA3" w:rsidRPr="00F11045" w:rsidRDefault="00625DCE" w:rsidP="003B0B17">
      <w:pPr>
        <w:pStyle w:val="ListParagraph"/>
        <w:numPr>
          <w:ilvl w:val="0"/>
          <w:numId w:val="271"/>
        </w:numPr>
        <w:contextualSpacing w:val="0"/>
        <w:rPr>
          <w:rFonts w:cs="Arial"/>
          <w:color w:val="000000" w:themeColor="text1"/>
          <w:lang w:val="en-US"/>
        </w:rPr>
      </w:pPr>
      <w:r>
        <w:t>honours and respects culture, identity and culturally specific ways of being, becoming and belonging.</w:t>
      </w:r>
    </w:p>
    <w:p w14:paraId="596CC601" w14:textId="575F9796" w:rsidR="00140FCC" w:rsidRDefault="00F46E9A" w:rsidP="00223EA3">
      <w:pPr>
        <w:rPr>
          <w:rFonts w:cs="Arial"/>
          <w:b/>
          <w:bCs/>
          <w:i/>
          <w:iCs/>
          <w:color w:val="000000" w:themeColor="text1"/>
          <w:lang w:val="en-US"/>
        </w:rPr>
      </w:pPr>
      <w:r>
        <w:rPr>
          <w:rFonts w:cs="Arial"/>
          <w:b/>
          <w:bCs/>
          <w:i/>
          <w:iCs/>
          <w:color w:val="000000" w:themeColor="text1"/>
          <w:lang w:val="en-US"/>
        </w:rPr>
        <w:t>For practitioners</w:t>
      </w:r>
    </w:p>
    <w:p w14:paraId="3419651D" w14:textId="77777777" w:rsidR="00223EA3" w:rsidRDefault="00223EA3" w:rsidP="00223EA3">
      <w:r>
        <w:t>It is recommended that the ECI Practice Framework:</w:t>
      </w:r>
    </w:p>
    <w:p w14:paraId="4D48E433" w14:textId="77777777" w:rsidR="00223EA3" w:rsidRDefault="00223EA3" w:rsidP="003B0B17">
      <w:pPr>
        <w:pStyle w:val="ListParagraph"/>
        <w:numPr>
          <w:ilvl w:val="0"/>
          <w:numId w:val="274"/>
        </w:numPr>
        <w:ind w:left="714" w:hanging="357"/>
        <w:contextualSpacing w:val="0"/>
      </w:pPr>
      <w:r>
        <w:t>highlights the need for ECI practitioners to have a good understanding of the core care conditions that children, parents/caregivers and families need to flourish</w:t>
      </w:r>
    </w:p>
    <w:p w14:paraId="00674A21" w14:textId="77777777" w:rsidR="00921660" w:rsidRDefault="00921660" w:rsidP="003B0B17">
      <w:pPr>
        <w:pStyle w:val="ListParagraph"/>
        <w:numPr>
          <w:ilvl w:val="0"/>
          <w:numId w:val="274"/>
        </w:numPr>
        <w:ind w:left="714" w:hanging="357"/>
        <w:contextualSpacing w:val="0"/>
      </w:pPr>
      <w:r>
        <w:t>highlights the need for ECI services to be part of a network of services seeking to ensure that all children and families have the conditions they need to flourish</w:t>
      </w:r>
    </w:p>
    <w:p w14:paraId="1593800D" w14:textId="77777777" w:rsidR="00223EA3" w:rsidRDefault="00223EA3" w:rsidP="003B0B17">
      <w:pPr>
        <w:pStyle w:val="ListParagraph"/>
        <w:numPr>
          <w:ilvl w:val="0"/>
          <w:numId w:val="274"/>
        </w:numPr>
        <w:contextualSpacing w:val="0"/>
      </w:pPr>
      <w:r>
        <w:t>specifies the need for ECI practitioners to be able to provide developmentally appropriate guidance to parents of very young children with developmental concerns, delays or disabilities</w:t>
      </w:r>
    </w:p>
    <w:p w14:paraId="56A41EB5" w14:textId="1B2DC2E5" w:rsidR="00223EA3" w:rsidRDefault="00223EA3" w:rsidP="003B0B17">
      <w:pPr>
        <w:pStyle w:val="ListParagraph"/>
        <w:numPr>
          <w:ilvl w:val="0"/>
          <w:numId w:val="274"/>
        </w:numPr>
        <w:ind w:left="714" w:hanging="357"/>
        <w:contextualSpacing w:val="0"/>
      </w:pPr>
      <w:r>
        <w:t xml:space="preserve">highlights the need for ECI practitioners to have tools for identifying family circumstances that may be compromising parental, child, and/or family </w:t>
      </w:r>
      <w:r w:rsidR="00D775A6">
        <w:rPr>
          <w:noProof/>
        </w:rPr>
        <mc:AlternateContent>
          <mc:Choice Requires="wps">
            <w:drawing>
              <wp:anchor distT="0" distB="0" distL="114300" distR="114300" simplePos="0" relativeHeight="251677696" behindDoc="1" locked="1" layoutInCell="1" allowOverlap="1" wp14:anchorId="459A9452" wp14:editId="05935362">
                <wp:simplePos x="0" y="0"/>
                <wp:positionH relativeFrom="column">
                  <wp:posOffset>-914400</wp:posOffset>
                </wp:positionH>
                <wp:positionV relativeFrom="page">
                  <wp:posOffset>-4445</wp:posOffset>
                </wp:positionV>
                <wp:extent cx="362585" cy="10688320"/>
                <wp:effectExtent l="0" t="0" r="5715" b="5080"/>
                <wp:wrapNone/>
                <wp:docPr id="1780548770"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2585" cy="10688320"/>
                        </a:xfrm>
                        <a:prstGeom prst="rect">
                          <a:avLst/>
                        </a:prstGeom>
                        <a:solidFill>
                          <a:srgbClr val="8087A3">
                            <a:alpha val="4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8968" id="Rectangle 5" o:spid="_x0000_s1026" alt="&quot;&quot;" style="position:absolute;margin-left:-1in;margin-top:-.35pt;width:28.55pt;height:84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" fillcolor="#8087a3" stroked="f" strokeweight="1pt">
                <v:fill opacity="29555f"/>
                <w10:wrap anchory="page"/>
                <w10:anchorlock/>
              </v:rect>
            </w:pict>
          </mc:Fallback>
        </mc:AlternateContent>
      </w:r>
      <w:r>
        <w:t>wellbeing</w:t>
      </w:r>
    </w:p>
    <w:p w14:paraId="713ADF7F" w14:textId="77777777" w:rsidR="00921660" w:rsidRDefault="00921660" w:rsidP="003B0B17">
      <w:pPr>
        <w:pStyle w:val="ListParagraph"/>
        <w:numPr>
          <w:ilvl w:val="0"/>
          <w:numId w:val="274"/>
        </w:numPr>
        <w:ind w:left="714" w:hanging="357"/>
        <w:contextualSpacing w:val="0"/>
      </w:pPr>
      <w:r>
        <w:t xml:space="preserve">encourages an awareness of the possible presence of multiple conditions and ensures that they are addressed in a holistic way </w:t>
      </w:r>
    </w:p>
    <w:p w14:paraId="7A9D0411" w14:textId="77777777" w:rsidR="00921660" w:rsidRDefault="00921660" w:rsidP="003B0B17">
      <w:pPr>
        <w:pStyle w:val="ListParagraph"/>
        <w:numPr>
          <w:ilvl w:val="0"/>
          <w:numId w:val="274"/>
        </w:numPr>
        <w:ind w:left="714" w:hanging="357"/>
        <w:contextualSpacing w:val="0"/>
      </w:pPr>
      <w:r>
        <w:t xml:space="preserve">recognises the parents’ needs for a diagnostic explanation for their child’s developmental challenges but encourages a focus on building the </w:t>
      </w:r>
      <w:r w:rsidR="00223EA3">
        <w:t xml:space="preserve">particular </w:t>
      </w:r>
      <w:r>
        <w:t xml:space="preserve">functional skills the child needs, regardless of the diagnosis </w:t>
      </w:r>
    </w:p>
    <w:p w14:paraId="74B206F8" w14:textId="77777777" w:rsidR="00921660" w:rsidRDefault="00921660" w:rsidP="003B0B17">
      <w:pPr>
        <w:pStyle w:val="ListParagraph"/>
        <w:numPr>
          <w:ilvl w:val="0"/>
          <w:numId w:val="274"/>
        </w:numPr>
        <w:ind w:left="714" w:hanging="357"/>
        <w:contextualSpacing w:val="0"/>
      </w:pPr>
      <w:r>
        <w:t xml:space="preserve">ensures that all parents and family core needs are met, not just those relating to the child’s </w:t>
      </w:r>
      <w:r w:rsidR="00223EA3">
        <w:t>developmental concern, delay or disability</w:t>
      </w:r>
    </w:p>
    <w:p w14:paraId="6CC24F9A" w14:textId="77777777" w:rsidR="00921660" w:rsidRDefault="00921660" w:rsidP="003B0B17">
      <w:pPr>
        <w:pStyle w:val="ListParagraph"/>
        <w:numPr>
          <w:ilvl w:val="0"/>
          <w:numId w:val="274"/>
        </w:numPr>
        <w:ind w:left="714" w:hanging="357"/>
        <w:contextualSpacing w:val="0"/>
      </w:pPr>
      <w:r>
        <w:t>includes goals for the child, the parents and the family as a whole in service plans</w:t>
      </w:r>
    </w:p>
    <w:p w14:paraId="7574BC5B" w14:textId="77777777" w:rsidR="00921660" w:rsidRDefault="00921660" w:rsidP="003B0B17">
      <w:pPr>
        <w:pStyle w:val="ListParagraph"/>
        <w:numPr>
          <w:ilvl w:val="0"/>
          <w:numId w:val="274"/>
        </w:numPr>
        <w:ind w:left="714" w:hanging="357"/>
        <w:contextualSpacing w:val="0"/>
      </w:pPr>
      <w:r>
        <w:t xml:space="preserve">emphasises the importance of basing service delivery on an understanding of what </w:t>
      </w:r>
      <w:r w:rsidR="00223EA3">
        <w:t>parents’</w:t>
      </w:r>
      <w:r>
        <w:t xml:space="preserve"> value and want from services</w:t>
      </w:r>
    </w:p>
    <w:p w14:paraId="1A6AE12D" w14:textId="77777777" w:rsidR="00223EA3" w:rsidRDefault="00223EA3" w:rsidP="003B0B17">
      <w:pPr>
        <w:pStyle w:val="ListParagraph"/>
        <w:numPr>
          <w:ilvl w:val="0"/>
          <w:numId w:val="274"/>
        </w:numPr>
        <w:ind w:left="714" w:hanging="357"/>
        <w:contextualSpacing w:val="0"/>
      </w:pPr>
      <w:r>
        <w:t>bases services on the issues that families say they most want help with</w:t>
      </w:r>
    </w:p>
    <w:p w14:paraId="5CA01819" w14:textId="77777777" w:rsidR="00223EA3" w:rsidRDefault="00223EA3" w:rsidP="003B0B17">
      <w:pPr>
        <w:pStyle w:val="ListParagraph"/>
        <w:numPr>
          <w:ilvl w:val="0"/>
          <w:numId w:val="274"/>
        </w:numPr>
        <w:contextualSpacing w:val="0"/>
      </w:pPr>
      <w:r>
        <w:t>provides guidance to practitioners regarding ethical challenges involved in decisions regarding developmental screening and early intervention.</w:t>
      </w:r>
    </w:p>
    <w:p w14:paraId="3AED1700" w14:textId="77777777" w:rsidR="00223EA3" w:rsidRDefault="00223EA3" w:rsidP="00223EA3"/>
    <w:p w14:paraId="75CD04BE" w14:textId="7A59D54D" w:rsidR="00921660" w:rsidRPr="00F11045" w:rsidRDefault="00921660" w:rsidP="00921660">
      <w:pPr>
        <w:rPr>
          <w:rFonts w:cs="Arial"/>
          <w:b/>
          <w:bCs/>
          <w:i/>
          <w:iCs/>
          <w:color w:val="000000" w:themeColor="text1"/>
          <w:lang w:val="en-US"/>
        </w:rPr>
      </w:pPr>
      <w:r w:rsidRPr="00F11045">
        <w:rPr>
          <w:rFonts w:cs="Arial"/>
          <w:b/>
          <w:bCs/>
          <w:i/>
          <w:iCs/>
          <w:color w:val="000000" w:themeColor="text1"/>
          <w:lang w:val="en-US"/>
        </w:rPr>
        <w:t>Early childhood intervention</w:t>
      </w:r>
      <w:r w:rsidR="00A73BC4">
        <w:rPr>
          <w:rFonts w:cs="Arial"/>
          <w:b/>
          <w:bCs/>
          <w:i/>
          <w:iCs/>
          <w:color w:val="000000" w:themeColor="text1"/>
          <w:lang w:val="en-US"/>
        </w:rPr>
        <w:t xml:space="preserve"> services</w:t>
      </w:r>
    </w:p>
    <w:p w14:paraId="553BDD0A" w14:textId="77777777" w:rsidR="00921660" w:rsidRPr="00921660" w:rsidRDefault="00921660" w:rsidP="00921660">
      <w:pPr>
        <w:rPr>
          <w:rFonts w:cs="Arial"/>
          <w:color w:val="000000" w:themeColor="text1"/>
          <w:lang w:val="en-US"/>
        </w:rPr>
      </w:pPr>
      <w:r w:rsidRPr="00921660">
        <w:rPr>
          <w:rFonts w:cs="Arial"/>
          <w:color w:val="000000" w:themeColor="text1"/>
          <w:lang w:val="en-US"/>
        </w:rPr>
        <w:t>It is recommended that the ECI Practice Framework:</w:t>
      </w:r>
    </w:p>
    <w:p w14:paraId="749BB7C0" w14:textId="71B3ABA2" w:rsidR="00921660" w:rsidRPr="00F11045" w:rsidRDefault="00921660" w:rsidP="003B0B17">
      <w:pPr>
        <w:pStyle w:val="ListParagraph"/>
        <w:numPr>
          <w:ilvl w:val="0"/>
          <w:numId w:val="272"/>
        </w:numPr>
        <w:ind w:left="714" w:hanging="357"/>
        <w:contextualSpacing w:val="0"/>
        <w:rPr>
          <w:rFonts w:cs="Arial"/>
          <w:color w:val="000000" w:themeColor="text1"/>
          <w:lang w:val="en-US"/>
        </w:rPr>
      </w:pPr>
      <w:r w:rsidRPr="00F11045">
        <w:rPr>
          <w:rFonts w:cs="Arial"/>
          <w:color w:val="000000" w:themeColor="text1"/>
          <w:lang w:val="en-US"/>
        </w:rPr>
        <w:t>be based on a clear understanding of the overall aims of ECI and how they relate to aims for all children</w:t>
      </w:r>
    </w:p>
    <w:p w14:paraId="14E528E7" w14:textId="14CC60F6" w:rsidR="00921660" w:rsidRPr="00F11045" w:rsidRDefault="00921660" w:rsidP="003B0B17">
      <w:pPr>
        <w:pStyle w:val="ListParagraph"/>
        <w:numPr>
          <w:ilvl w:val="0"/>
          <w:numId w:val="272"/>
        </w:numPr>
        <w:ind w:left="714" w:hanging="357"/>
        <w:contextualSpacing w:val="0"/>
        <w:rPr>
          <w:rFonts w:cs="Arial"/>
          <w:color w:val="000000" w:themeColor="text1"/>
          <w:lang w:val="en-US"/>
        </w:rPr>
      </w:pPr>
      <w:r w:rsidRPr="00F11045">
        <w:rPr>
          <w:rFonts w:cs="Arial"/>
          <w:color w:val="000000" w:themeColor="text1"/>
          <w:lang w:val="en-US"/>
        </w:rPr>
        <w:t>specifies the outcomes that are being sought for children and families</w:t>
      </w:r>
    </w:p>
    <w:p w14:paraId="365EEBD4" w14:textId="7FB081A0" w:rsidR="00921660" w:rsidRPr="00F11045" w:rsidRDefault="00921660" w:rsidP="003B0B17">
      <w:pPr>
        <w:pStyle w:val="ListParagraph"/>
        <w:numPr>
          <w:ilvl w:val="0"/>
          <w:numId w:val="272"/>
        </w:numPr>
        <w:ind w:left="714" w:hanging="357"/>
        <w:contextualSpacing w:val="0"/>
        <w:rPr>
          <w:rFonts w:cs="Arial"/>
          <w:color w:val="000000" w:themeColor="text1"/>
          <w:lang w:val="en-US"/>
        </w:rPr>
      </w:pPr>
      <w:r w:rsidRPr="00F11045">
        <w:rPr>
          <w:rFonts w:cs="Arial"/>
          <w:color w:val="000000" w:themeColor="text1"/>
          <w:lang w:val="en-US"/>
        </w:rPr>
        <w:t xml:space="preserve">provides ways of measuring child and family outcomes </w:t>
      </w:r>
    </w:p>
    <w:p w14:paraId="4F441C65" w14:textId="5A168C9F" w:rsidR="00A834F5" w:rsidRDefault="00A834F5" w:rsidP="003B0B17">
      <w:pPr>
        <w:pStyle w:val="ListParagraph"/>
        <w:numPr>
          <w:ilvl w:val="0"/>
          <w:numId w:val="275"/>
        </w:numPr>
        <w:ind w:left="714" w:hanging="357"/>
        <w:contextualSpacing w:val="0"/>
      </w:pPr>
      <w:r>
        <w:t xml:space="preserve">places authentic engagement and partnership building at the centre of ECI practice </w:t>
      </w:r>
    </w:p>
    <w:p w14:paraId="03023AD1" w14:textId="77777777" w:rsidR="00A834F5" w:rsidRDefault="00A834F5" w:rsidP="003B0B17">
      <w:pPr>
        <w:pStyle w:val="ListParagraph"/>
        <w:numPr>
          <w:ilvl w:val="0"/>
          <w:numId w:val="275"/>
        </w:numPr>
        <w:ind w:left="714" w:hanging="357"/>
        <w:contextualSpacing w:val="0"/>
      </w:pPr>
      <w:r>
        <w:t>endorses family-centred practice as a core principle of ECI service delivery</w:t>
      </w:r>
    </w:p>
    <w:p w14:paraId="07971B87" w14:textId="77777777" w:rsidR="00A834F5" w:rsidRDefault="00A834F5" w:rsidP="003B0B17">
      <w:pPr>
        <w:pStyle w:val="ListParagraph"/>
        <w:numPr>
          <w:ilvl w:val="0"/>
          <w:numId w:val="275"/>
        </w:numPr>
        <w:ind w:left="714" w:hanging="357"/>
        <w:contextualSpacing w:val="0"/>
      </w:pPr>
      <w:r>
        <w:t xml:space="preserve">recognises culturally responsive practice as a central ECI practice </w:t>
      </w:r>
    </w:p>
    <w:p w14:paraId="4B07B4FB" w14:textId="77777777" w:rsidR="00A834F5" w:rsidRDefault="00A834F5" w:rsidP="003B0B17">
      <w:pPr>
        <w:pStyle w:val="ListParagraph"/>
        <w:numPr>
          <w:ilvl w:val="0"/>
          <w:numId w:val="275"/>
        </w:numPr>
        <w:ind w:left="714" w:hanging="357"/>
        <w:contextualSpacing w:val="0"/>
      </w:pPr>
      <w:r>
        <w:t>encourages practitioners to seek and use feedback from parents to ensure that they are delivering services in a way that is respectful of family values and that builds family capabilities</w:t>
      </w:r>
    </w:p>
    <w:p w14:paraId="01B6CEBB" w14:textId="77777777" w:rsidR="00A834F5" w:rsidRDefault="00A834F5" w:rsidP="003B0B17">
      <w:pPr>
        <w:pStyle w:val="ListParagraph"/>
        <w:numPr>
          <w:ilvl w:val="0"/>
          <w:numId w:val="275"/>
        </w:numPr>
        <w:ind w:left="714" w:hanging="357"/>
        <w:contextualSpacing w:val="0"/>
      </w:pPr>
      <w:r>
        <w:t>encourages approaches that seek to change environmental experiences and opportunities rather than trying to eliminate behaviours which may have an adaptive function for the child</w:t>
      </w:r>
    </w:p>
    <w:p w14:paraId="5D25800C" w14:textId="77777777" w:rsidR="00921660" w:rsidRDefault="00921660" w:rsidP="003B0B17">
      <w:pPr>
        <w:pStyle w:val="ListParagraph"/>
        <w:numPr>
          <w:ilvl w:val="0"/>
          <w:numId w:val="275"/>
        </w:numPr>
        <w:ind w:left="714" w:hanging="357"/>
        <w:contextualSpacing w:val="0"/>
      </w:pPr>
      <w:r>
        <w:t>includes a description of a decision-making process that incorporates evidence-based programs, evidence-based processes, and client and professional values and beliefs</w:t>
      </w:r>
    </w:p>
    <w:p w14:paraId="02AE3B56" w14:textId="77777777" w:rsidR="00921660" w:rsidRDefault="00921660" w:rsidP="003B0B17">
      <w:pPr>
        <w:pStyle w:val="ListParagraph"/>
        <w:numPr>
          <w:ilvl w:val="0"/>
          <w:numId w:val="275"/>
        </w:numPr>
        <w:ind w:left="714" w:hanging="357"/>
        <w:contextualSpacing w:val="0"/>
      </w:pPr>
      <w:r>
        <w:t>highlights the importance of ECI practitioners keeping up to date with evidence-based strategies and processes</w:t>
      </w:r>
    </w:p>
    <w:p w14:paraId="7126F6BB" w14:textId="77777777" w:rsidR="00A834F5" w:rsidRDefault="00A834F5" w:rsidP="003B0B17">
      <w:pPr>
        <w:pStyle w:val="ListParagraph"/>
        <w:numPr>
          <w:ilvl w:val="0"/>
          <w:numId w:val="275"/>
        </w:numPr>
        <w:ind w:left="714" w:hanging="357"/>
        <w:contextualSpacing w:val="0"/>
      </w:pPr>
      <w:r>
        <w:t>stresses the importance of implementing evidence-based strategies and processes with fidelity</w:t>
      </w:r>
    </w:p>
    <w:p w14:paraId="7ED44F61" w14:textId="77777777" w:rsidR="00A834F5" w:rsidRDefault="00A834F5" w:rsidP="003B0B17">
      <w:pPr>
        <w:pStyle w:val="ListParagraph"/>
        <w:numPr>
          <w:ilvl w:val="0"/>
          <w:numId w:val="275"/>
        </w:numPr>
        <w:ind w:left="714" w:hanging="357"/>
        <w:contextualSpacing w:val="0"/>
      </w:pPr>
      <w:r>
        <w:t>provides ECI practitioners with guidance and tools to monitor both program and process fidelity</w:t>
      </w:r>
    </w:p>
    <w:p w14:paraId="31F63F4A" w14:textId="77777777" w:rsidR="00921660" w:rsidRDefault="00921660" w:rsidP="003B0B17">
      <w:pPr>
        <w:pStyle w:val="ListParagraph"/>
        <w:numPr>
          <w:ilvl w:val="0"/>
          <w:numId w:val="275"/>
        </w:numPr>
        <w:ind w:left="714" w:hanging="357"/>
        <w:contextualSpacing w:val="0"/>
      </w:pPr>
      <w:r>
        <w:t>ensures that the strategies that ECI providers use to address family needs are evidence-based</w:t>
      </w:r>
    </w:p>
    <w:p w14:paraId="4EE6C7E2" w14:textId="77777777" w:rsidR="00A834F5" w:rsidRDefault="00A834F5" w:rsidP="003B0B17">
      <w:pPr>
        <w:pStyle w:val="ListParagraph"/>
        <w:numPr>
          <w:ilvl w:val="0"/>
          <w:numId w:val="275"/>
        </w:numPr>
        <w:ind w:left="714" w:hanging="357"/>
        <w:contextualSpacing w:val="0"/>
      </w:pPr>
      <w:r>
        <w:t>supports the adaptation of evidence-based strategies to meet the needs and circumstances of individual children and families</w:t>
      </w:r>
    </w:p>
    <w:p w14:paraId="068F0651" w14:textId="77777777" w:rsidR="00A834F5" w:rsidRDefault="00A834F5" w:rsidP="003B0B17">
      <w:pPr>
        <w:pStyle w:val="ListParagraph"/>
        <w:numPr>
          <w:ilvl w:val="0"/>
          <w:numId w:val="275"/>
        </w:numPr>
      </w:pPr>
      <w:r>
        <w:t>encourages ECI services to monitor the extent to which services are being delivered in ways that are consistent with best practices.</w:t>
      </w:r>
    </w:p>
    <w:p w14:paraId="0E82836A" w14:textId="77777777" w:rsidR="00921660" w:rsidRPr="00AC4980" w:rsidRDefault="00921660" w:rsidP="00921660">
      <w:pPr>
        <w:rPr>
          <w:rFonts w:cs="Arial"/>
          <w:b/>
          <w:bCs/>
          <w:i/>
          <w:iCs/>
          <w:color w:val="000000" w:themeColor="text1"/>
          <w:lang w:val="en-US"/>
        </w:rPr>
      </w:pPr>
      <w:r w:rsidRPr="00AC4980">
        <w:rPr>
          <w:rFonts w:cs="Arial"/>
          <w:b/>
          <w:bCs/>
          <w:i/>
          <w:iCs/>
          <w:color w:val="000000" w:themeColor="text1"/>
          <w:lang w:val="en-US"/>
        </w:rPr>
        <w:t>Features of a best practice framework</w:t>
      </w:r>
    </w:p>
    <w:p w14:paraId="3E150C0A" w14:textId="717315A3" w:rsidR="00A834F5" w:rsidRPr="00A834F5" w:rsidRDefault="00A834F5" w:rsidP="00921660">
      <w:pPr>
        <w:rPr>
          <w:rFonts w:cs="Arial"/>
          <w:b/>
          <w:bCs/>
          <w:color w:val="000000" w:themeColor="text1"/>
          <w:lang w:val="en-US"/>
        </w:rPr>
      </w:pPr>
      <w:r w:rsidRPr="00A834F5">
        <w:rPr>
          <w:rFonts w:cs="Arial"/>
          <w:b/>
          <w:bCs/>
          <w:color w:val="000000" w:themeColor="text1"/>
          <w:lang w:val="en-US"/>
        </w:rPr>
        <w:t>Elements of a framework</w:t>
      </w:r>
    </w:p>
    <w:p w14:paraId="2E081B0D" w14:textId="526D8C45" w:rsidR="00921660" w:rsidRPr="00921660" w:rsidRDefault="00D775A6" w:rsidP="00921660">
      <w:pPr>
        <w:rPr>
          <w:rFonts w:cs="Arial"/>
          <w:color w:val="000000" w:themeColor="text1"/>
          <w:lang w:val="en-US"/>
        </w:rPr>
      </w:pPr>
      <w:r>
        <w:rPr>
          <w:noProof/>
        </w:rPr>
        <mc:AlternateContent>
          <mc:Choice Requires="wps">
            <w:drawing>
              <wp:anchor distT="0" distB="0" distL="114300" distR="114300" simplePos="0" relativeHeight="251678720" behindDoc="1" locked="1" layoutInCell="1" allowOverlap="1" wp14:anchorId="4FAB0D81" wp14:editId="7C77DDC9">
                <wp:simplePos x="0" y="0"/>
                <wp:positionH relativeFrom="column">
                  <wp:posOffset>-914400</wp:posOffset>
                </wp:positionH>
                <wp:positionV relativeFrom="page">
                  <wp:posOffset>3175</wp:posOffset>
                </wp:positionV>
                <wp:extent cx="362585" cy="10688320"/>
                <wp:effectExtent l="0" t="0" r="5715" b="5080"/>
                <wp:wrapNone/>
                <wp:docPr id="1283336150"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2585" cy="10688320"/>
                        </a:xfrm>
                        <a:prstGeom prst="rect">
                          <a:avLst/>
                        </a:prstGeom>
                        <a:solidFill>
                          <a:srgbClr val="8087A3">
                            <a:alpha val="4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351BD" id="Rectangle 5" o:spid="_x0000_s1026" alt="&quot;&quot;" style="position:absolute;margin-left:-1in;margin-top:.25pt;width:28.55pt;height:84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" fillcolor="#8087a3" stroked="f" strokeweight="1pt">
                <v:fill opacity="29555f"/>
                <w10:wrap anchory="page"/>
                <w10:anchorlock/>
              </v:rect>
            </w:pict>
          </mc:Fallback>
        </mc:AlternateContent>
      </w:r>
      <w:r w:rsidR="00921660" w:rsidRPr="00921660">
        <w:rPr>
          <w:rFonts w:cs="Arial"/>
          <w:color w:val="000000" w:themeColor="text1"/>
          <w:lang w:val="en-US"/>
        </w:rPr>
        <w:t>It is recommended that the ECI Practice framework includes the following elements:</w:t>
      </w:r>
    </w:p>
    <w:p w14:paraId="08027B0C" w14:textId="1D5DE4E4" w:rsidR="00921660" w:rsidRPr="00AC4980" w:rsidRDefault="00921660" w:rsidP="003B0B17">
      <w:pPr>
        <w:pStyle w:val="ListParagraph"/>
        <w:numPr>
          <w:ilvl w:val="0"/>
          <w:numId w:val="273"/>
        </w:numPr>
        <w:ind w:left="714" w:hanging="357"/>
        <w:contextualSpacing w:val="0"/>
        <w:rPr>
          <w:rFonts w:cs="Arial"/>
          <w:color w:val="000000" w:themeColor="text1"/>
          <w:lang w:val="en-US"/>
        </w:rPr>
      </w:pPr>
      <w:r w:rsidRPr="00AC4980">
        <w:rPr>
          <w:rFonts w:cs="Arial"/>
          <w:color w:val="000000" w:themeColor="text1"/>
          <w:lang w:val="en-US"/>
        </w:rPr>
        <w:t>statement of aims and intended outcomes</w:t>
      </w:r>
    </w:p>
    <w:p w14:paraId="62372D1C" w14:textId="3622B60D" w:rsidR="00921660" w:rsidRPr="00AC4980" w:rsidRDefault="00921660" w:rsidP="003B0B17">
      <w:pPr>
        <w:pStyle w:val="ListParagraph"/>
        <w:numPr>
          <w:ilvl w:val="0"/>
          <w:numId w:val="273"/>
        </w:numPr>
        <w:ind w:left="714" w:hanging="357"/>
        <w:contextualSpacing w:val="0"/>
        <w:rPr>
          <w:rFonts w:cs="Arial"/>
          <w:color w:val="000000" w:themeColor="text1"/>
          <w:lang w:val="en-US"/>
        </w:rPr>
      </w:pPr>
      <w:r w:rsidRPr="00AC4980">
        <w:rPr>
          <w:rFonts w:cs="Arial"/>
          <w:color w:val="000000" w:themeColor="text1"/>
          <w:lang w:val="en-US"/>
        </w:rPr>
        <w:t xml:space="preserve">statement of theory of change – how ECI achieves its intended outcomes </w:t>
      </w:r>
    </w:p>
    <w:p w14:paraId="79CA7C63" w14:textId="6CAEE58A" w:rsidR="00921660" w:rsidRPr="00AC4980" w:rsidRDefault="00921660" w:rsidP="003B0B17">
      <w:pPr>
        <w:pStyle w:val="ListParagraph"/>
        <w:numPr>
          <w:ilvl w:val="0"/>
          <w:numId w:val="273"/>
        </w:numPr>
        <w:ind w:left="714" w:hanging="357"/>
        <w:contextualSpacing w:val="0"/>
        <w:rPr>
          <w:rFonts w:cs="Arial"/>
          <w:color w:val="000000" w:themeColor="text1"/>
          <w:lang w:val="en-US"/>
        </w:rPr>
      </w:pPr>
      <w:r w:rsidRPr="00AC4980">
        <w:rPr>
          <w:rFonts w:cs="Arial"/>
          <w:color w:val="000000" w:themeColor="text1"/>
          <w:lang w:val="en-US"/>
        </w:rPr>
        <w:t>statement of key principles underpinning service delivery</w:t>
      </w:r>
    </w:p>
    <w:p w14:paraId="6812CD69" w14:textId="0CA8D0A7" w:rsidR="00921660" w:rsidRPr="00AC4980" w:rsidRDefault="00921660" w:rsidP="003B0B17">
      <w:pPr>
        <w:pStyle w:val="ListParagraph"/>
        <w:numPr>
          <w:ilvl w:val="0"/>
          <w:numId w:val="273"/>
        </w:numPr>
        <w:ind w:left="714" w:hanging="357"/>
        <w:contextualSpacing w:val="0"/>
        <w:rPr>
          <w:rFonts w:cs="Arial"/>
          <w:color w:val="000000" w:themeColor="text1"/>
          <w:lang w:val="en-US"/>
        </w:rPr>
      </w:pPr>
      <w:r w:rsidRPr="00AC4980">
        <w:rPr>
          <w:rFonts w:cs="Arial"/>
          <w:color w:val="000000" w:themeColor="text1"/>
          <w:lang w:val="en-US"/>
        </w:rPr>
        <w:t>description of key practices showing what the principles look like in practice</w:t>
      </w:r>
    </w:p>
    <w:p w14:paraId="40864BEC" w14:textId="39F7DC5A" w:rsidR="00921660" w:rsidRPr="00AC4980" w:rsidRDefault="00921660" w:rsidP="003B0B17">
      <w:pPr>
        <w:pStyle w:val="ListParagraph"/>
        <w:numPr>
          <w:ilvl w:val="0"/>
          <w:numId w:val="273"/>
        </w:numPr>
        <w:ind w:left="714" w:hanging="357"/>
        <w:contextualSpacing w:val="0"/>
        <w:rPr>
          <w:rFonts w:cs="Arial"/>
          <w:color w:val="000000" w:themeColor="text1"/>
          <w:lang w:val="en-US"/>
        </w:rPr>
      </w:pPr>
      <w:r w:rsidRPr="00AC4980">
        <w:rPr>
          <w:rFonts w:cs="Arial"/>
          <w:color w:val="000000" w:themeColor="text1"/>
          <w:lang w:val="en-US"/>
        </w:rPr>
        <w:t xml:space="preserve">description of evidence-based strategies </w:t>
      </w:r>
    </w:p>
    <w:p w14:paraId="3BBFC509" w14:textId="08ABA158" w:rsidR="00A834F5" w:rsidRDefault="00A834F5" w:rsidP="00A834F5">
      <w:pPr>
        <w:rPr>
          <w:rFonts w:cs="Arial"/>
          <w:b/>
          <w:bCs/>
          <w:color w:val="000000" w:themeColor="text1"/>
          <w:lang w:val="en-US"/>
        </w:rPr>
      </w:pPr>
      <w:r>
        <w:rPr>
          <w:rFonts w:cs="Arial"/>
          <w:b/>
          <w:bCs/>
          <w:color w:val="000000" w:themeColor="text1"/>
          <w:lang w:val="en-US"/>
        </w:rPr>
        <w:t>Definitions and conceptualisations</w:t>
      </w:r>
    </w:p>
    <w:p w14:paraId="71E3A3E8" w14:textId="0C419E02" w:rsidR="00A834F5" w:rsidRPr="00A834F5" w:rsidRDefault="00A834F5" w:rsidP="00A834F5">
      <w:pPr>
        <w:rPr>
          <w:rFonts w:cs="Arial"/>
          <w:b/>
          <w:bCs/>
          <w:color w:val="000000" w:themeColor="text1"/>
          <w:lang w:val="en-US"/>
        </w:rPr>
      </w:pPr>
      <w:r w:rsidRPr="00921660">
        <w:rPr>
          <w:rFonts w:cs="Arial"/>
          <w:color w:val="000000" w:themeColor="text1"/>
          <w:lang w:val="en-US"/>
        </w:rPr>
        <w:t>It is recommended that the ECI Practice framework</w:t>
      </w:r>
      <w:r>
        <w:rPr>
          <w:rFonts w:cs="Arial"/>
          <w:color w:val="000000" w:themeColor="text1"/>
          <w:lang w:val="en-US"/>
        </w:rPr>
        <w:t>:</w:t>
      </w:r>
    </w:p>
    <w:p w14:paraId="5B217448" w14:textId="77777777" w:rsidR="00921660" w:rsidRDefault="00921660" w:rsidP="003B0B17">
      <w:pPr>
        <w:pStyle w:val="ListParagraph"/>
        <w:numPr>
          <w:ilvl w:val="0"/>
          <w:numId w:val="273"/>
        </w:numPr>
        <w:contextualSpacing w:val="0"/>
      </w:pPr>
      <w:r>
        <w:t>provides clear definitions about, and differentiation between, principles and practices</w:t>
      </w:r>
    </w:p>
    <w:p w14:paraId="2D76D3FC" w14:textId="77777777" w:rsidR="00921660" w:rsidRDefault="00921660" w:rsidP="003B0B17">
      <w:pPr>
        <w:pStyle w:val="ListParagraph"/>
        <w:numPr>
          <w:ilvl w:val="0"/>
          <w:numId w:val="273"/>
        </w:numPr>
        <w:contextualSpacing w:val="0"/>
      </w:pPr>
      <w:r>
        <w:t>be grounded in a conceptualisation and operationalisation of an outcome-based system for all children, families, and communities in line with identified practices and guidelines</w:t>
      </w:r>
    </w:p>
    <w:p w14:paraId="42AF3E9E" w14:textId="77777777" w:rsidR="006C4A00" w:rsidRDefault="006C4A00" w:rsidP="003B0B17">
      <w:pPr>
        <w:pStyle w:val="ListParagraph"/>
        <w:numPr>
          <w:ilvl w:val="0"/>
          <w:numId w:val="273"/>
        </w:numPr>
        <w:contextualSpacing w:val="0"/>
      </w:pPr>
      <w:r>
        <w:t>specifies child outcomes (e.g., learning and participation in everyday environments); family outcomes (e.g., sustainability of everyday routines, advocacy skills; family and social supports) and community outcomes (e.g., engagement and participation in home and community)</w:t>
      </w:r>
    </w:p>
    <w:p w14:paraId="58020598" w14:textId="77777777" w:rsidR="006C4A00" w:rsidRDefault="006C4A00" w:rsidP="003B0B17">
      <w:pPr>
        <w:pStyle w:val="ListParagraph"/>
        <w:numPr>
          <w:ilvl w:val="0"/>
          <w:numId w:val="273"/>
        </w:numPr>
        <w:contextualSpacing w:val="0"/>
      </w:pPr>
      <w:r>
        <w:t xml:space="preserve">explicitly accommodates diverse cultural understandings of family, community, wellbeing, and disability and ensures all elements of the framework enable practice to be culturally responsive and appropriate </w:t>
      </w:r>
    </w:p>
    <w:p w14:paraId="609D7C06" w14:textId="77777777" w:rsidR="006C4A00" w:rsidRDefault="006C4A00" w:rsidP="003B0B17">
      <w:pPr>
        <w:pStyle w:val="ListParagraph"/>
        <w:numPr>
          <w:ilvl w:val="0"/>
          <w:numId w:val="273"/>
        </w:numPr>
        <w:contextualSpacing w:val="0"/>
      </w:pPr>
      <w:r>
        <w:t>ensures that the practice framework, and corresponding principles and practices, are informed and influenced by Aboriginal and Torres Strait Islander ways of knowing, being and doing</w:t>
      </w:r>
    </w:p>
    <w:p w14:paraId="14ABC9EC" w14:textId="77777777" w:rsidR="006C4A00" w:rsidRDefault="006C4A00" w:rsidP="003B0B17">
      <w:pPr>
        <w:pStyle w:val="ListParagraph"/>
        <w:numPr>
          <w:ilvl w:val="0"/>
          <w:numId w:val="273"/>
        </w:numPr>
        <w:contextualSpacing w:val="0"/>
      </w:pPr>
      <w:r>
        <w:t>is based on the principles most commonly identified in other frameworks: inclusion, natural environments, family-centred and strength-based practices</w:t>
      </w:r>
    </w:p>
    <w:p w14:paraId="1D6E311D" w14:textId="77777777" w:rsidR="006C4A00" w:rsidRDefault="006C4A00" w:rsidP="003B0B17">
      <w:pPr>
        <w:pStyle w:val="ListParagraph"/>
        <w:numPr>
          <w:ilvl w:val="0"/>
          <w:numId w:val="273"/>
        </w:numPr>
        <w:contextualSpacing w:val="0"/>
      </w:pPr>
      <w:r>
        <w:t>considers other principles identified in some other frameworks: child-centred, culturally affirming, teamwork and partnership, evidence-based and outcomes- focused</w:t>
      </w:r>
    </w:p>
    <w:p w14:paraId="275ED8DD" w14:textId="77777777" w:rsidR="006C4A00" w:rsidRDefault="006C4A00" w:rsidP="003B0B17">
      <w:pPr>
        <w:pStyle w:val="ListParagraph"/>
        <w:numPr>
          <w:ilvl w:val="0"/>
          <w:numId w:val="273"/>
        </w:numPr>
      </w:pPr>
      <w:r>
        <w:t>examines the suitability of terms such as ‘intervention’ that has been the cause of some debate nationally and internationally.</w:t>
      </w:r>
    </w:p>
    <w:p w14:paraId="6A58E048" w14:textId="1D8466F4" w:rsidR="006C4A00" w:rsidRDefault="006C4A00" w:rsidP="006C4A00">
      <w:pPr>
        <w:rPr>
          <w:b/>
          <w:bCs/>
        </w:rPr>
      </w:pPr>
      <w:r>
        <w:rPr>
          <w:b/>
          <w:bCs/>
        </w:rPr>
        <w:t>Resources and</w:t>
      </w:r>
      <w:r w:rsidR="00D775A6">
        <w:rPr>
          <w:noProof/>
        </w:rPr>
        <mc:AlternateContent>
          <mc:Choice Requires="wps">
            <w:drawing>
              <wp:anchor distT="0" distB="0" distL="114300" distR="114300" simplePos="0" relativeHeight="251679744" behindDoc="1" locked="1" layoutInCell="1" allowOverlap="1" wp14:anchorId="7B6E5D81" wp14:editId="766B11A9">
                <wp:simplePos x="0" y="0"/>
                <wp:positionH relativeFrom="column">
                  <wp:posOffset>-914400</wp:posOffset>
                </wp:positionH>
                <wp:positionV relativeFrom="page">
                  <wp:posOffset>3810</wp:posOffset>
                </wp:positionV>
                <wp:extent cx="362585" cy="10688320"/>
                <wp:effectExtent l="0" t="0" r="5715" b="5080"/>
                <wp:wrapNone/>
                <wp:docPr id="160491555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2585" cy="10688320"/>
                        </a:xfrm>
                        <a:prstGeom prst="rect">
                          <a:avLst/>
                        </a:prstGeom>
                        <a:solidFill>
                          <a:srgbClr val="8087A3">
                            <a:alpha val="4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9254C" id="Rectangle 5" o:spid="_x0000_s1026" alt="&quot;&quot;" style="position:absolute;margin-left:-1in;margin-top:.3pt;width:28.55pt;height:841.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" fillcolor="#8087a3" stroked="f" strokeweight="1pt">
                <v:fill opacity="29555f"/>
                <w10:wrap anchory="page"/>
                <w10:anchorlock/>
              </v:rect>
            </w:pict>
          </mc:Fallback>
        </mc:AlternateContent>
      </w:r>
      <w:r>
        <w:rPr>
          <w:b/>
          <w:bCs/>
        </w:rPr>
        <w:t xml:space="preserve"> tools</w:t>
      </w:r>
    </w:p>
    <w:p w14:paraId="33667EB6" w14:textId="77777777" w:rsidR="006C4A00" w:rsidRPr="00A834F5" w:rsidRDefault="006C4A00" w:rsidP="006C4A00">
      <w:pPr>
        <w:rPr>
          <w:rFonts w:cs="Arial"/>
          <w:b/>
          <w:bCs/>
          <w:color w:val="000000" w:themeColor="text1"/>
          <w:lang w:val="en-US"/>
        </w:rPr>
      </w:pPr>
      <w:r w:rsidRPr="00921660">
        <w:rPr>
          <w:rFonts w:cs="Arial"/>
          <w:color w:val="000000" w:themeColor="text1"/>
          <w:lang w:val="en-US"/>
        </w:rPr>
        <w:t>It is recommended that the ECI Practice framework</w:t>
      </w:r>
      <w:r>
        <w:rPr>
          <w:rFonts w:cs="Arial"/>
          <w:color w:val="000000" w:themeColor="text1"/>
          <w:lang w:val="en-US"/>
        </w:rPr>
        <w:t>:</w:t>
      </w:r>
    </w:p>
    <w:p w14:paraId="4A2676EA" w14:textId="77777777" w:rsidR="00921660" w:rsidRDefault="00921660" w:rsidP="003B0B17">
      <w:pPr>
        <w:pStyle w:val="ListParagraph"/>
        <w:numPr>
          <w:ilvl w:val="0"/>
          <w:numId w:val="276"/>
        </w:numPr>
        <w:ind w:left="714" w:hanging="357"/>
        <w:contextualSpacing w:val="0"/>
      </w:pPr>
      <w:r>
        <w:t xml:space="preserve">contains resources for professionals and families to support understanding and adoption of child, family, and community outcomes in ECI service provision </w:t>
      </w:r>
    </w:p>
    <w:p w14:paraId="40ACBBA9" w14:textId="77777777" w:rsidR="00F56C80" w:rsidRDefault="00F56C80" w:rsidP="003B0B17">
      <w:pPr>
        <w:pStyle w:val="ListParagraph"/>
        <w:numPr>
          <w:ilvl w:val="0"/>
          <w:numId w:val="276"/>
        </w:numPr>
        <w:ind w:left="714" w:hanging="357"/>
        <w:contextualSpacing w:val="0"/>
      </w:pPr>
      <w:r>
        <w:t>identifies and develops tools and resources that directly support family members and professionals in the decision-making process needed to plan and select best practices, and the implementation of evidence-informed practices</w:t>
      </w:r>
    </w:p>
    <w:p w14:paraId="3DA81544" w14:textId="77777777" w:rsidR="00921660" w:rsidRDefault="00921660" w:rsidP="003B0B17">
      <w:pPr>
        <w:pStyle w:val="ListParagraph"/>
        <w:numPr>
          <w:ilvl w:val="0"/>
          <w:numId w:val="276"/>
        </w:numPr>
        <w:ind w:left="714" w:hanging="357"/>
        <w:contextualSpacing w:val="0"/>
      </w:pPr>
      <w:r>
        <w:t>develops tools to support professionals and families in the measurement of outcomes at different levels of service provision</w:t>
      </w:r>
    </w:p>
    <w:p w14:paraId="7444A77E" w14:textId="77777777" w:rsidR="00F56C80" w:rsidRDefault="00F56C80" w:rsidP="003B0B17">
      <w:pPr>
        <w:pStyle w:val="ListParagraph"/>
        <w:numPr>
          <w:ilvl w:val="0"/>
          <w:numId w:val="276"/>
        </w:numPr>
        <w:ind w:left="714" w:hanging="357"/>
        <w:contextualSpacing w:val="0"/>
      </w:pPr>
      <w:r>
        <w:t>ensures practitioner and family input into the development of tools and resources</w:t>
      </w:r>
    </w:p>
    <w:p w14:paraId="08DA8C28" w14:textId="77777777" w:rsidR="00F56C80" w:rsidRDefault="00F56C80" w:rsidP="003B0B17">
      <w:pPr>
        <w:pStyle w:val="ListParagraph"/>
        <w:numPr>
          <w:ilvl w:val="0"/>
          <w:numId w:val="276"/>
        </w:numPr>
        <w:ind w:left="714" w:hanging="357"/>
        <w:contextualSpacing w:val="0"/>
      </w:pPr>
      <w:r>
        <w:t>describes research-based strategies and models of intervention that are consistent with the best practice principles and strategies</w:t>
      </w:r>
    </w:p>
    <w:p w14:paraId="433F85EA" w14:textId="77777777" w:rsidR="00921660" w:rsidRDefault="00921660" w:rsidP="003B0B17">
      <w:pPr>
        <w:pStyle w:val="ListParagraph"/>
        <w:numPr>
          <w:ilvl w:val="0"/>
          <w:numId w:val="276"/>
        </w:numPr>
        <w:ind w:left="714" w:hanging="357"/>
        <w:contextualSpacing w:val="0"/>
      </w:pPr>
      <w:r>
        <w:t>creates evidence-based professional development initiatives for the identification of family outcomes and their inclusion in individual planning and goal development</w:t>
      </w:r>
    </w:p>
    <w:p w14:paraId="7701425D" w14:textId="77777777" w:rsidR="00F56C80" w:rsidRDefault="00F56C80" w:rsidP="003B0B17">
      <w:pPr>
        <w:pStyle w:val="ListParagraph"/>
        <w:numPr>
          <w:ilvl w:val="0"/>
          <w:numId w:val="276"/>
        </w:numPr>
        <w:ind w:left="714" w:hanging="357"/>
        <w:contextualSpacing w:val="0"/>
      </w:pPr>
      <w:r>
        <w:t xml:space="preserve">considers job-embedded learning supports </w:t>
      </w:r>
    </w:p>
    <w:p w14:paraId="065BDA42" w14:textId="77777777" w:rsidR="00F56C80" w:rsidRDefault="00F56C80" w:rsidP="003B0B17">
      <w:pPr>
        <w:pStyle w:val="ListParagraph"/>
        <w:numPr>
          <w:ilvl w:val="0"/>
          <w:numId w:val="276"/>
        </w:numPr>
        <w:ind w:left="714" w:hanging="357"/>
        <w:contextualSpacing w:val="0"/>
      </w:pPr>
      <w:r>
        <w:t xml:space="preserve">considers the role of leadership in creating the conditions needed to support practitioners in providing high quality services </w:t>
      </w:r>
    </w:p>
    <w:p w14:paraId="0CD0BBD2" w14:textId="77777777" w:rsidR="00F56C80" w:rsidRDefault="00F56C80" w:rsidP="003B0B17">
      <w:pPr>
        <w:pStyle w:val="ListParagraph"/>
        <w:numPr>
          <w:ilvl w:val="0"/>
          <w:numId w:val="276"/>
        </w:numPr>
        <w:ind w:left="714" w:hanging="357"/>
        <w:contextualSpacing w:val="0"/>
      </w:pPr>
      <w:r>
        <w:t xml:space="preserve">develops a cycle of monitoring of outcomes at a system, individual child/family level that have a direct impact on all aspects of service provision </w:t>
      </w:r>
    </w:p>
    <w:p w14:paraId="3EC2105A" w14:textId="77777777" w:rsidR="00F56C80" w:rsidRDefault="00F56C80" w:rsidP="003B0B17">
      <w:pPr>
        <w:pStyle w:val="ListParagraph"/>
        <w:numPr>
          <w:ilvl w:val="0"/>
          <w:numId w:val="276"/>
        </w:numPr>
        <w:ind w:left="714" w:hanging="357"/>
      </w:pPr>
      <w:r>
        <w:t>updates current online professional development modules to align with the Framework.</w:t>
      </w:r>
    </w:p>
    <w:p w14:paraId="53A86D16" w14:textId="43B17E9E" w:rsidR="006C4A00" w:rsidRDefault="00F56C80" w:rsidP="006C4A00">
      <w:pPr>
        <w:rPr>
          <w:b/>
          <w:bCs/>
        </w:rPr>
      </w:pPr>
      <w:r w:rsidRPr="00F56C80">
        <w:rPr>
          <w:b/>
          <w:bCs/>
        </w:rPr>
        <w:t>Implementation considerations</w:t>
      </w:r>
    </w:p>
    <w:p w14:paraId="51A94F5D" w14:textId="77777777" w:rsidR="00367558" w:rsidRDefault="00367558" w:rsidP="00367558">
      <w:r>
        <w:t xml:space="preserve">It is recommended that the ECI Practice framework: </w:t>
      </w:r>
    </w:p>
    <w:p w14:paraId="675694C0" w14:textId="77777777" w:rsidR="00921660" w:rsidRDefault="00921660" w:rsidP="003B0B17">
      <w:pPr>
        <w:pStyle w:val="ListParagraph"/>
        <w:numPr>
          <w:ilvl w:val="0"/>
          <w:numId w:val="276"/>
        </w:numPr>
        <w:ind w:left="714" w:hanging="357"/>
        <w:contextualSpacing w:val="0"/>
      </w:pPr>
      <w:r>
        <w:t>develops a range of resources for families that are accessible and available in community languages and are culturally appropriate</w:t>
      </w:r>
    </w:p>
    <w:p w14:paraId="7F956E26" w14:textId="77777777" w:rsidR="00921660" w:rsidRDefault="00921660" w:rsidP="003B0B17">
      <w:pPr>
        <w:pStyle w:val="ListParagraph"/>
        <w:numPr>
          <w:ilvl w:val="0"/>
          <w:numId w:val="276"/>
        </w:numPr>
        <w:ind w:left="714" w:hanging="357"/>
        <w:contextualSpacing w:val="0"/>
      </w:pPr>
      <w:r>
        <w:t>develops resources for training providers to support them in aligning programs to the framework</w:t>
      </w:r>
    </w:p>
    <w:p w14:paraId="22AFB74B" w14:textId="77777777" w:rsidR="00367558" w:rsidRDefault="00921660" w:rsidP="003B0B17">
      <w:pPr>
        <w:pStyle w:val="ListParagraph"/>
        <w:numPr>
          <w:ilvl w:val="0"/>
          <w:numId w:val="276"/>
        </w:numPr>
        <w:ind w:left="714" w:hanging="357"/>
        <w:contextualSpacing w:val="0"/>
      </w:pPr>
      <w:r>
        <w:t>utilises active implementation frameworks to ensure that the framework results in desired outcomes for children, families, and ECI professionals</w:t>
      </w:r>
    </w:p>
    <w:p w14:paraId="4A178C17" w14:textId="77777777" w:rsidR="00367558" w:rsidRDefault="00367558" w:rsidP="003B0B17">
      <w:pPr>
        <w:pStyle w:val="ListParagraph"/>
        <w:numPr>
          <w:ilvl w:val="0"/>
          <w:numId w:val="276"/>
        </w:numPr>
        <w:ind w:left="714" w:hanging="357"/>
        <w:contextualSpacing w:val="0"/>
      </w:pPr>
      <w:r>
        <w:t>is supported by an actively updated evidence base to support practitioner, family and service decision making</w:t>
      </w:r>
    </w:p>
    <w:p w14:paraId="04663204" w14:textId="77777777" w:rsidR="00367558" w:rsidRPr="007870C7" w:rsidRDefault="00367558" w:rsidP="003B0B17">
      <w:pPr>
        <w:pStyle w:val="ListParagraph"/>
        <w:numPr>
          <w:ilvl w:val="0"/>
          <w:numId w:val="276"/>
        </w:numPr>
        <w:ind w:left="714" w:hanging="357"/>
      </w:pPr>
      <w:r>
        <w:t xml:space="preserve">is supported by ongoing research </w:t>
      </w:r>
      <w:r w:rsidRPr="563D220D">
        <w:rPr>
          <w:color w:val="0F0D29"/>
        </w:rPr>
        <w:t>to evaluate effects and impacts of ECI practices and that considers the matrix of inter-related practices both in the design of approaches for testing, and in the measurement of outcomes.</w:t>
      </w:r>
    </w:p>
    <w:p w14:paraId="713A7B4B" w14:textId="77777777" w:rsidR="007870C7" w:rsidRDefault="007870C7" w:rsidP="007870C7"/>
    <w:p w14:paraId="64F9B36F" w14:textId="067EE8F9" w:rsidR="00367558" w:rsidRDefault="007870C7" w:rsidP="007870C7">
      <w:pPr>
        <w:pStyle w:val="Heading2"/>
      </w:pPr>
      <w:bookmarkStart w:id="137" w:name="_Toc177730869"/>
      <w:r>
        <w:t>Concluding remarks</w:t>
      </w:r>
      <w:bookmarkEnd w:id="137"/>
    </w:p>
    <w:p w14:paraId="4D2F90AF" w14:textId="13FCAC72" w:rsidR="00616B10" w:rsidRDefault="004D6067" w:rsidP="007870C7">
      <w:r>
        <w:t>This report provides a detailed overview of the evidence considered using narrative, scoping and systematic review methods. These three reviews comprise the full Desktop Review delivered as the first step in the review of best practice in early childhood intervention. It is important to note that the evidence in the Full Report and Executive Summary is intended to be further informed by the consultations being undertaken across Australia</w:t>
      </w:r>
      <w:r w:rsidR="00A235B2">
        <w:t>, along with advice from national and international ECI experts</w:t>
      </w:r>
      <w:r>
        <w:t>. The consultations with practitioners, families, young people, Aboriginal and Torres Strait Islander communities and relevant organisations will provide crucial insights to inform the development of the Framework, and to inform issues of implementatio</w:t>
      </w:r>
      <w:r w:rsidR="00C8581F">
        <w:rPr>
          <w:noProof/>
        </w:rPr>
        <mc:AlternateContent>
          <mc:Choice Requires="wps">
            <w:drawing>
              <wp:anchor distT="0" distB="0" distL="114300" distR="114300" simplePos="0" relativeHeight="251680768" behindDoc="1" locked="1" layoutInCell="1" allowOverlap="1" wp14:anchorId="5D38BCBE" wp14:editId="3F82D410">
                <wp:simplePos x="0" y="0"/>
                <wp:positionH relativeFrom="column">
                  <wp:posOffset>-914400</wp:posOffset>
                </wp:positionH>
                <wp:positionV relativeFrom="page">
                  <wp:posOffset>0</wp:posOffset>
                </wp:positionV>
                <wp:extent cx="362585" cy="10688320"/>
                <wp:effectExtent l="0" t="0" r="5715" b="5080"/>
                <wp:wrapNone/>
                <wp:docPr id="99956000"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2585" cy="10688320"/>
                        </a:xfrm>
                        <a:prstGeom prst="rect">
                          <a:avLst/>
                        </a:prstGeom>
                        <a:solidFill>
                          <a:srgbClr val="8087A3">
                            <a:alpha val="4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4244" id="Rectangle 5" o:spid="_x0000_s1026" alt="&quot;&quot;" style="position:absolute;margin-left:-1in;margin-top:0;width:28.55pt;height:841.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" fillcolor="#8087a3" stroked="f" strokeweight="1pt">
                <v:fill opacity="29555f"/>
                <w10:wrap anchory="page"/>
                <w10:anchorlock/>
              </v:rect>
            </w:pict>
          </mc:Fallback>
        </mc:AlternateContent>
      </w:r>
      <w:r>
        <w:t>n of the resultant Framework</w:t>
      </w:r>
      <w:r w:rsidR="00921660">
        <w:t>.</w:t>
      </w:r>
    </w:p>
    <w:p w14:paraId="5F703D18" w14:textId="77777777" w:rsidR="00616B10" w:rsidRDefault="00616B10">
      <w:pPr>
        <w:spacing w:before="0" w:after="0"/>
      </w:pPr>
      <w:r>
        <w:br w:type="page"/>
      </w:r>
    </w:p>
    <w:p w14:paraId="7D7F340C" w14:textId="5405148D" w:rsidR="00921921" w:rsidRPr="00B6346C" w:rsidRDefault="00B6346C" w:rsidP="00B6346C">
      <w:pPr>
        <w:pStyle w:val="SectionHeader"/>
      </w:pPr>
      <w:bookmarkStart w:id="138" w:name="_Toc177730870"/>
      <w:r w:rsidRPr="00B6346C">
        <w:t>References</w:t>
      </w:r>
      <w:bookmarkEnd w:id="138"/>
    </w:p>
    <w:p w14:paraId="07ECB914" w14:textId="358C8587" w:rsidR="0030178D" w:rsidRDefault="00453384" w:rsidP="0030178D">
      <w:pPr>
        <w:rPr>
          <w:rFonts w:cs="Arial"/>
          <w:i/>
          <w:iCs/>
        </w:rPr>
      </w:pPr>
      <w:r w:rsidRPr="00453384">
        <w:rPr>
          <w:rFonts w:cs="Arial"/>
          <w:i/>
          <w:iCs/>
        </w:rPr>
        <w:t xml:space="preserve">Please note that the reference list is provided in two parts. The first are references to content through the body of the document. </w:t>
      </w:r>
      <w:hyperlink w:anchor="Referencelistpart2" w:history="1">
        <w:r w:rsidRPr="00463CD7">
          <w:rPr>
            <w:rStyle w:val="Hyperlink"/>
            <w:rFonts w:cs="Arial"/>
            <w:i/>
            <w:iCs/>
          </w:rPr>
          <w:t>The second is a table of references</w:t>
        </w:r>
      </w:hyperlink>
      <w:r w:rsidRPr="00453384">
        <w:rPr>
          <w:rFonts w:cs="Arial"/>
          <w:i/>
          <w:iCs/>
        </w:rPr>
        <w:t xml:space="preserve"> related to the 185 studies selected from the systematic review search as providing relevant evidence for that review.  </w:t>
      </w:r>
    </w:p>
    <w:p w14:paraId="2DAC71FA" w14:textId="304478D9" w:rsidR="00453384" w:rsidRPr="00D82034" w:rsidRDefault="00B46B67" w:rsidP="0030178D">
      <w:pPr>
        <w:rPr>
          <w:rFonts w:cs="Arial"/>
          <w:color w:val="0C2C74"/>
          <w:sz w:val="40"/>
          <w:szCs w:val="40"/>
        </w:rPr>
      </w:pPr>
      <w:r w:rsidRPr="00D82034">
        <w:rPr>
          <w:rFonts w:cs="Arial"/>
          <w:color w:val="0C2C74"/>
          <w:sz w:val="40"/>
          <w:szCs w:val="40"/>
        </w:rPr>
        <w:t xml:space="preserve">Part One: </w:t>
      </w:r>
      <w:r w:rsidR="00D82034">
        <w:rPr>
          <w:rFonts w:cs="Arial"/>
          <w:color w:val="0C2C74"/>
          <w:sz w:val="40"/>
          <w:szCs w:val="40"/>
        </w:rPr>
        <w:t>r</w:t>
      </w:r>
      <w:r w:rsidR="00D51C07" w:rsidRPr="00D82034">
        <w:rPr>
          <w:rFonts w:cs="Arial"/>
          <w:color w:val="0C2C74"/>
          <w:sz w:val="40"/>
          <w:szCs w:val="40"/>
        </w:rPr>
        <w:t>eport references</w:t>
      </w:r>
    </w:p>
    <w:p w14:paraId="771B6400" w14:textId="6AFDA982" w:rsidR="00BD5AEC" w:rsidRPr="00BD5AEC" w:rsidRDefault="00BD5AEC" w:rsidP="00BD5AEC">
      <w:pPr>
        <w:spacing w:before="0" w:after="160"/>
        <w:ind w:left="720" w:hanging="720"/>
        <w:rPr>
          <w:rFonts w:eastAsia="Aptos" w:cs="Arial"/>
          <w:noProof/>
          <w:sz w:val="22"/>
          <w:lang w:val="en-US"/>
        </w:rPr>
      </w:pPr>
      <w:r w:rsidRPr="00BD5AEC">
        <w:rPr>
          <w:rFonts w:eastAsia="Aptos" w:cs="Arial"/>
          <w:noProof/>
          <w:sz w:val="22"/>
          <w:lang w:val="en-US"/>
        </w:rPr>
        <w:t>Abraham, E., Zagoory</w:t>
      </w:r>
      <w:r w:rsidRPr="00BD5AEC">
        <w:rPr>
          <w:rFonts w:ascii="Cambria Math" w:eastAsia="Aptos" w:hAnsi="Cambria Math" w:cs="Cambria Math"/>
          <w:noProof/>
          <w:sz w:val="22"/>
          <w:lang w:val="en-US"/>
        </w:rPr>
        <w:t>‐</w:t>
      </w:r>
      <w:r w:rsidRPr="00BD5AEC">
        <w:rPr>
          <w:rFonts w:eastAsia="Aptos" w:cs="Arial"/>
          <w:noProof/>
          <w:sz w:val="22"/>
          <w:lang w:val="en-US"/>
        </w:rPr>
        <w:t>Sharon, O., &amp; Feldman, R. (2021). Early maternal and paternal caregiving moderates the links between preschoolers' reactivity and regulation and maturation of the HPA</w:t>
      </w:r>
      <w:r w:rsidRPr="00BD5AEC">
        <w:rPr>
          <w:rFonts w:ascii="Cambria Math" w:eastAsia="Aptos" w:hAnsi="Cambria Math" w:cs="Cambria Math"/>
          <w:noProof/>
          <w:sz w:val="22"/>
          <w:lang w:val="en-US"/>
        </w:rPr>
        <w:t>‐</w:t>
      </w:r>
      <w:r w:rsidRPr="00BD5AEC">
        <w:rPr>
          <w:rFonts w:eastAsia="Aptos" w:cs="Arial"/>
          <w:noProof/>
          <w:sz w:val="22"/>
          <w:lang w:val="en-US"/>
        </w:rPr>
        <w:t xml:space="preserve">immune axis. </w:t>
      </w:r>
      <w:r w:rsidRPr="00BD5AEC">
        <w:rPr>
          <w:rFonts w:eastAsia="Aptos" w:cs="Arial"/>
          <w:i/>
          <w:noProof/>
          <w:sz w:val="22"/>
          <w:lang w:val="en-US"/>
        </w:rPr>
        <w:t>Developmental Psychobiology</w:t>
      </w:r>
      <w:r w:rsidRPr="00BD5AEC">
        <w:rPr>
          <w:rFonts w:eastAsia="Aptos" w:cs="Arial"/>
          <w:noProof/>
          <w:sz w:val="22"/>
          <w:lang w:val="en-US"/>
        </w:rPr>
        <w:t>,</w:t>
      </w:r>
      <w:r w:rsidRPr="00BD5AEC">
        <w:rPr>
          <w:rFonts w:eastAsia="Aptos" w:cs="Arial"/>
          <w:i/>
          <w:noProof/>
          <w:sz w:val="22"/>
          <w:lang w:val="en-US"/>
        </w:rPr>
        <w:t xml:space="preserve"> 63</w:t>
      </w:r>
      <w:r w:rsidRPr="00BD5AEC">
        <w:rPr>
          <w:rFonts w:eastAsia="Aptos" w:cs="Arial"/>
          <w:noProof/>
          <w:sz w:val="22"/>
          <w:lang w:val="en-US"/>
        </w:rPr>
        <w:t xml:space="preserve">(5), 1482-1498. </w:t>
      </w:r>
      <w:hyperlink r:id="rId65" w:history="1">
        <w:r w:rsidR="002D28AB" w:rsidRPr="00326476">
          <w:rPr>
            <w:rStyle w:val="Hyperlink"/>
            <w:rFonts w:eastAsia="Aptos" w:cs="Arial"/>
            <w:noProof/>
            <w:sz w:val="22"/>
            <w:lang w:val="en-US"/>
          </w:rPr>
          <w:t>https://doi.org/10.1002/dev.22089</w:t>
        </w:r>
      </w:hyperlink>
      <w:r w:rsidR="002D28AB">
        <w:rPr>
          <w:rFonts w:eastAsia="Aptos" w:cs="Arial"/>
          <w:noProof/>
          <w:sz w:val="22"/>
          <w:lang w:val="en-US"/>
        </w:rPr>
        <w:t xml:space="preserve"> </w:t>
      </w:r>
      <w:r w:rsidRPr="00BD5AEC">
        <w:rPr>
          <w:rFonts w:eastAsia="Aptos" w:cs="Arial"/>
          <w:noProof/>
          <w:sz w:val="22"/>
          <w:lang w:val="en-US"/>
        </w:rPr>
        <w:t xml:space="preserve"> </w:t>
      </w:r>
    </w:p>
    <w:p w14:paraId="70D856E6" w14:textId="77777777" w:rsidR="00BD5AEC" w:rsidRPr="00BD5AEC" w:rsidRDefault="00BD5AEC" w:rsidP="00BD5AEC">
      <w:pPr>
        <w:spacing w:before="0" w:after="0"/>
        <w:ind w:left="720" w:hanging="720"/>
        <w:rPr>
          <w:rFonts w:eastAsia="Aptos" w:cs="Arial"/>
          <w:noProof/>
          <w:sz w:val="22"/>
          <w:lang w:val="en-US"/>
        </w:rPr>
      </w:pPr>
      <w:r w:rsidRPr="00BD5AEC">
        <w:rPr>
          <w:rFonts w:eastAsia="Aptos" w:cs="Arial"/>
          <w:noProof/>
          <w:sz w:val="22"/>
          <w:lang w:val="en-US"/>
        </w:rPr>
        <w:tab/>
      </w:r>
    </w:p>
    <w:p w14:paraId="368A9BFC" w14:textId="2070ED79" w:rsidR="00BD5AEC" w:rsidRPr="00BD5AEC" w:rsidRDefault="00BD5AEC" w:rsidP="00BD5AEC">
      <w:pPr>
        <w:spacing w:before="0" w:after="160"/>
        <w:ind w:left="720" w:hanging="720"/>
        <w:rPr>
          <w:rFonts w:eastAsia="Aptos" w:cs="Arial"/>
          <w:noProof/>
          <w:sz w:val="22"/>
          <w:lang w:val="en-US"/>
        </w:rPr>
      </w:pPr>
      <w:r w:rsidRPr="00BD5AEC">
        <w:rPr>
          <w:rFonts w:eastAsia="Aptos" w:cs="Arial"/>
          <w:noProof/>
          <w:sz w:val="22"/>
          <w:lang w:val="en-US"/>
        </w:rPr>
        <w:t xml:space="preserve">Adair, B., Ullenhag, A., Keen, D., Granlund, M., &amp; Imms, C. (2015). The effect of interventions aimed at improving participation outcomes for children with impairments: A systematic review. </w:t>
      </w:r>
      <w:r w:rsidRPr="00BD5AEC">
        <w:rPr>
          <w:rFonts w:eastAsia="Aptos" w:cs="Arial"/>
          <w:i/>
          <w:noProof/>
          <w:sz w:val="22"/>
          <w:lang w:val="en-US"/>
        </w:rPr>
        <w:t>Developmental Medicine and Child Neurology</w:t>
      </w:r>
      <w:r w:rsidRPr="00BD5AEC">
        <w:rPr>
          <w:rFonts w:eastAsia="Aptos" w:cs="Arial"/>
          <w:noProof/>
          <w:sz w:val="22"/>
          <w:lang w:val="en-US"/>
        </w:rPr>
        <w:t>,</w:t>
      </w:r>
      <w:r w:rsidRPr="00BD5AEC">
        <w:rPr>
          <w:rFonts w:eastAsia="Aptos" w:cs="Arial"/>
          <w:i/>
          <w:noProof/>
          <w:sz w:val="22"/>
          <w:lang w:val="en-US"/>
        </w:rPr>
        <w:t xml:space="preserve"> 57</w:t>
      </w:r>
      <w:r w:rsidRPr="00BD5AEC">
        <w:rPr>
          <w:rFonts w:eastAsia="Aptos" w:cs="Arial"/>
          <w:noProof/>
          <w:sz w:val="22"/>
          <w:lang w:val="en-US"/>
        </w:rPr>
        <w:t xml:space="preserve">(12), 1093-1104. </w:t>
      </w:r>
      <w:hyperlink r:id="rId66" w:history="1">
        <w:r w:rsidR="002D28AB" w:rsidRPr="00326476">
          <w:rPr>
            <w:rStyle w:val="Hyperlink"/>
            <w:rFonts w:eastAsia="Aptos" w:cs="Arial"/>
            <w:noProof/>
            <w:sz w:val="22"/>
            <w:lang w:val="en-US"/>
          </w:rPr>
          <w:t>https://doi.org/10.1111/dmcn.12932</w:t>
        </w:r>
      </w:hyperlink>
      <w:r w:rsidR="002D28AB">
        <w:rPr>
          <w:rFonts w:eastAsia="Aptos" w:cs="Arial"/>
          <w:noProof/>
          <w:sz w:val="22"/>
          <w:lang w:val="en-US"/>
        </w:rPr>
        <w:t xml:space="preserve"> </w:t>
      </w:r>
      <w:r w:rsidRPr="00BD5AEC">
        <w:rPr>
          <w:rFonts w:eastAsia="Aptos" w:cs="Arial"/>
          <w:noProof/>
          <w:sz w:val="22"/>
          <w:lang w:val="en-US"/>
        </w:rPr>
        <w:t xml:space="preserve"> </w:t>
      </w:r>
    </w:p>
    <w:p w14:paraId="7E8ED1B5" w14:textId="77777777" w:rsidR="00BD5AEC" w:rsidRPr="00BD5AEC" w:rsidRDefault="00BD5AEC" w:rsidP="00BD5AEC">
      <w:pPr>
        <w:spacing w:before="0" w:after="0"/>
        <w:ind w:left="720" w:hanging="720"/>
        <w:rPr>
          <w:rFonts w:eastAsia="Aptos" w:cs="Arial"/>
          <w:noProof/>
          <w:sz w:val="22"/>
          <w:lang w:val="en-US"/>
        </w:rPr>
      </w:pPr>
      <w:r w:rsidRPr="00BD5AEC">
        <w:rPr>
          <w:rFonts w:eastAsia="Aptos" w:cs="Arial"/>
          <w:noProof/>
          <w:sz w:val="22"/>
          <w:lang w:val="en-US"/>
        </w:rPr>
        <w:tab/>
      </w:r>
    </w:p>
    <w:p w14:paraId="481011AD" w14:textId="77777777" w:rsidR="00BD5AEC" w:rsidRPr="00BD5AEC" w:rsidRDefault="00BD5AEC" w:rsidP="00BD5AEC">
      <w:pPr>
        <w:spacing w:before="0" w:after="160"/>
        <w:ind w:left="720" w:hanging="720"/>
        <w:rPr>
          <w:rFonts w:eastAsia="Aptos" w:cs="Arial"/>
          <w:noProof/>
          <w:sz w:val="22"/>
          <w:lang w:val="en-US"/>
        </w:rPr>
      </w:pPr>
      <w:r w:rsidRPr="00BD5AEC">
        <w:rPr>
          <w:rFonts w:eastAsia="Aptos" w:cs="Arial"/>
          <w:noProof/>
          <w:sz w:val="22"/>
          <w:lang w:val="en-US"/>
        </w:rPr>
        <w:t xml:space="preserve">Ahmad, N., Ellins, J., Krelle, H., &amp; Lawrie, M. (2014). </w:t>
      </w:r>
      <w:r w:rsidRPr="00BD5AEC">
        <w:rPr>
          <w:rFonts w:eastAsia="Aptos" w:cs="Arial"/>
          <w:i/>
          <w:noProof/>
          <w:sz w:val="22"/>
          <w:lang w:val="en-US"/>
        </w:rPr>
        <w:t>Person-centred care: From ideas to action</w:t>
      </w:r>
      <w:r w:rsidRPr="00BD5AEC">
        <w:rPr>
          <w:rFonts w:eastAsia="Aptos" w:cs="Arial"/>
          <w:noProof/>
          <w:sz w:val="22"/>
          <w:lang w:val="en-US"/>
        </w:rPr>
        <w:t xml:space="preserve">. Health Foundation London. </w:t>
      </w:r>
    </w:p>
    <w:p w14:paraId="2B82FCAE" w14:textId="77777777" w:rsidR="00BD5AEC" w:rsidRPr="00BD5AEC" w:rsidRDefault="00BD5AEC" w:rsidP="00BD5AEC">
      <w:pPr>
        <w:spacing w:before="0" w:after="0"/>
        <w:ind w:left="720" w:hanging="720"/>
        <w:rPr>
          <w:rFonts w:eastAsia="Aptos" w:cs="Arial"/>
          <w:noProof/>
          <w:sz w:val="22"/>
          <w:lang w:val="en-US"/>
        </w:rPr>
      </w:pPr>
      <w:r w:rsidRPr="00BD5AEC">
        <w:rPr>
          <w:rFonts w:eastAsia="Aptos" w:cs="Arial"/>
          <w:noProof/>
          <w:sz w:val="22"/>
          <w:lang w:val="en-US"/>
        </w:rPr>
        <w:tab/>
      </w:r>
    </w:p>
    <w:p w14:paraId="5B246917" w14:textId="7187845B" w:rsidR="00BD5AEC" w:rsidRPr="00BD5AEC" w:rsidRDefault="00BD5AEC" w:rsidP="00BD5AEC">
      <w:pPr>
        <w:spacing w:before="0" w:after="160"/>
        <w:ind w:left="720" w:hanging="720"/>
        <w:rPr>
          <w:rFonts w:eastAsia="Aptos" w:cs="Arial"/>
          <w:noProof/>
          <w:sz w:val="22"/>
          <w:lang w:val="en-US"/>
        </w:rPr>
      </w:pPr>
      <w:r w:rsidRPr="00BD5AEC">
        <w:rPr>
          <w:rFonts w:eastAsia="Aptos" w:cs="Arial"/>
          <w:noProof/>
          <w:sz w:val="22"/>
          <w:lang w:val="en-US"/>
        </w:rPr>
        <w:t xml:space="preserve">AIHW. (2018). </w:t>
      </w:r>
      <w:r w:rsidRPr="00BD5AEC">
        <w:rPr>
          <w:rFonts w:eastAsia="Aptos" w:cs="Arial"/>
          <w:i/>
          <w:noProof/>
          <w:sz w:val="22"/>
          <w:lang w:val="en-US"/>
        </w:rPr>
        <w:t>Aboriginal and Torres Strait Islander stolen generations and descendants: numbers, demographic characteristics and selected outcomes</w:t>
      </w:r>
      <w:r w:rsidRPr="00BD5AEC">
        <w:rPr>
          <w:rFonts w:eastAsia="Aptos" w:cs="Arial"/>
          <w:noProof/>
          <w:sz w:val="22"/>
          <w:lang w:val="en-US"/>
        </w:rPr>
        <w:t xml:space="preserve">. Canberra, ACT: AIHW. Retrieved September 6, 2024,  </w:t>
      </w:r>
      <w:hyperlink r:id="rId67" w:history="1">
        <w:r w:rsidR="000E11F2" w:rsidRPr="00326476">
          <w:rPr>
            <w:rStyle w:val="Hyperlink"/>
            <w:rFonts w:eastAsia="Aptos" w:cs="Arial"/>
            <w:noProof/>
            <w:sz w:val="22"/>
            <w:lang w:val="en-US"/>
          </w:rPr>
          <w:t>https://www.aihw.gov.au/reports/indigenous-australians/stolen-generations-descendants</w:t>
        </w:r>
      </w:hyperlink>
      <w:r w:rsidR="000E11F2">
        <w:rPr>
          <w:rFonts w:eastAsia="Aptos" w:cs="Arial"/>
          <w:noProof/>
          <w:sz w:val="22"/>
          <w:lang w:val="en-US"/>
        </w:rPr>
        <w:t xml:space="preserve"> </w:t>
      </w:r>
    </w:p>
    <w:p w14:paraId="1EE074F1" w14:textId="77777777" w:rsidR="00BD5AEC" w:rsidRPr="00BD5AEC" w:rsidRDefault="00BD5AEC" w:rsidP="00BD5AEC">
      <w:pPr>
        <w:spacing w:before="0" w:after="0"/>
        <w:ind w:left="720" w:hanging="720"/>
        <w:rPr>
          <w:rFonts w:eastAsia="Aptos" w:cs="Arial"/>
          <w:noProof/>
          <w:sz w:val="22"/>
          <w:lang w:val="en-US"/>
        </w:rPr>
      </w:pPr>
      <w:r w:rsidRPr="00BD5AEC">
        <w:rPr>
          <w:rFonts w:eastAsia="Aptos" w:cs="Arial"/>
          <w:noProof/>
          <w:sz w:val="22"/>
          <w:lang w:val="en-US"/>
        </w:rPr>
        <w:tab/>
      </w:r>
    </w:p>
    <w:p w14:paraId="23F3165F" w14:textId="7720C8B0" w:rsidR="00BD5AEC" w:rsidRDefault="00BD5AEC" w:rsidP="00BD5AEC">
      <w:pPr>
        <w:spacing w:before="0" w:after="160"/>
        <w:ind w:left="720" w:hanging="720"/>
        <w:rPr>
          <w:rFonts w:eastAsia="Aptos" w:cs="Arial"/>
          <w:noProof/>
          <w:sz w:val="22"/>
          <w:lang w:val="en-US"/>
        </w:rPr>
      </w:pPr>
      <w:r w:rsidRPr="00BD5AEC">
        <w:rPr>
          <w:rFonts w:eastAsia="Aptos" w:cs="Arial"/>
          <w:noProof/>
          <w:sz w:val="22"/>
          <w:lang w:val="en-US"/>
        </w:rPr>
        <w:t xml:space="preserve">Akhbari Ziegler, S., &amp; Hadders-Algra, M. (2020). Coaching approaches in early intervention and paediatric rehabilitation. </w:t>
      </w:r>
      <w:r w:rsidRPr="00BD5AEC">
        <w:rPr>
          <w:rFonts w:eastAsia="Aptos" w:cs="Arial"/>
          <w:i/>
          <w:noProof/>
          <w:sz w:val="22"/>
          <w:lang w:val="en-US"/>
        </w:rPr>
        <w:t>Developmental Medicine &amp; Child Neurology</w:t>
      </w:r>
      <w:r w:rsidRPr="00BD5AEC">
        <w:rPr>
          <w:rFonts w:eastAsia="Aptos" w:cs="Arial"/>
          <w:noProof/>
          <w:sz w:val="22"/>
          <w:lang w:val="en-US"/>
        </w:rPr>
        <w:t>,</w:t>
      </w:r>
      <w:r w:rsidRPr="00BD5AEC">
        <w:rPr>
          <w:rFonts w:eastAsia="Aptos" w:cs="Arial"/>
          <w:i/>
          <w:noProof/>
          <w:sz w:val="22"/>
          <w:lang w:val="en-US"/>
        </w:rPr>
        <w:t xml:space="preserve"> 62</w:t>
      </w:r>
      <w:r w:rsidRPr="00BD5AEC">
        <w:rPr>
          <w:rFonts w:eastAsia="Aptos" w:cs="Arial"/>
          <w:noProof/>
          <w:sz w:val="22"/>
          <w:lang w:val="en-US"/>
        </w:rPr>
        <w:t xml:space="preserve">(5), 569-574. </w:t>
      </w:r>
      <w:hyperlink r:id="rId68" w:history="1">
        <w:r w:rsidR="00000B73" w:rsidRPr="00326476">
          <w:rPr>
            <w:rStyle w:val="Hyperlink"/>
            <w:rFonts w:eastAsia="Aptos" w:cs="Arial"/>
            <w:noProof/>
            <w:sz w:val="22"/>
            <w:lang w:val="en-US"/>
          </w:rPr>
          <w:t>https://doi.org/10.1111/dmcn.14493</w:t>
        </w:r>
      </w:hyperlink>
      <w:r w:rsidRPr="00BD5AEC">
        <w:rPr>
          <w:rFonts w:eastAsia="Aptos" w:cs="Arial"/>
          <w:noProof/>
          <w:sz w:val="22"/>
          <w:lang w:val="en-US"/>
        </w:rPr>
        <w:t xml:space="preserve"> </w:t>
      </w:r>
    </w:p>
    <w:p w14:paraId="0F40873D" w14:textId="77777777" w:rsidR="00000B73" w:rsidRPr="00BD5AEC" w:rsidRDefault="00000B73" w:rsidP="00B66875">
      <w:pPr>
        <w:spacing w:before="0" w:after="160"/>
        <w:ind w:left="1440" w:hanging="720"/>
        <w:rPr>
          <w:rFonts w:eastAsia="Aptos" w:cs="Arial"/>
          <w:noProof/>
          <w:sz w:val="22"/>
          <w:lang w:val="en-US"/>
        </w:rPr>
      </w:pPr>
    </w:p>
    <w:p w14:paraId="214494F3" w14:textId="7BEA849B" w:rsidR="009124FC" w:rsidRPr="009124FC" w:rsidRDefault="009124FC" w:rsidP="009124FC">
      <w:pPr>
        <w:spacing w:before="0" w:after="160"/>
        <w:ind w:left="720" w:hanging="720"/>
        <w:rPr>
          <w:rFonts w:eastAsia="Aptos" w:cs="Arial"/>
          <w:noProof/>
          <w:sz w:val="22"/>
          <w:lang w:val="en-US"/>
        </w:rPr>
      </w:pPr>
      <w:r w:rsidRPr="009124FC">
        <w:rPr>
          <w:rFonts w:eastAsia="Aptos" w:cs="Arial"/>
          <w:noProof/>
          <w:sz w:val="22"/>
          <w:lang w:val="en-US"/>
        </w:rPr>
        <w:t xml:space="preserve">Aldiss, S., Gibson, F., Geoghegan, S., Jewitt, A., Elliott, T. K., Williams, A., Wray, J., &amp; Oulton, K. (2021). ‘We don't know what tomorrow will bring’: Parents' experiences of caring for a child with an undiagnosed genetic condition. </w:t>
      </w:r>
      <w:r w:rsidRPr="009124FC">
        <w:rPr>
          <w:rFonts w:eastAsia="Aptos" w:cs="Arial"/>
          <w:i/>
          <w:noProof/>
          <w:sz w:val="22"/>
          <w:lang w:val="en-US"/>
        </w:rPr>
        <w:t>Child: care, health and development</w:t>
      </w:r>
      <w:r w:rsidRPr="009124FC">
        <w:rPr>
          <w:rFonts w:eastAsia="Aptos" w:cs="Arial"/>
          <w:noProof/>
          <w:sz w:val="22"/>
          <w:lang w:val="en-US"/>
        </w:rPr>
        <w:t>,</w:t>
      </w:r>
      <w:r w:rsidRPr="009124FC">
        <w:rPr>
          <w:rFonts w:eastAsia="Aptos" w:cs="Arial"/>
          <w:i/>
          <w:noProof/>
          <w:sz w:val="22"/>
          <w:lang w:val="en-US"/>
        </w:rPr>
        <w:t xml:space="preserve"> 47</w:t>
      </w:r>
      <w:r w:rsidRPr="009124FC">
        <w:rPr>
          <w:rFonts w:eastAsia="Aptos" w:cs="Arial"/>
          <w:noProof/>
          <w:sz w:val="22"/>
          <w:lang w:val="en-US"/>
        </w:rPr>
        <w:t xml:space="preserve">(5), 588-596. </w:t>
      </w:r>
      <w:hyperlink r:id="rId69" w:history="1">
        <w:r w:rsidR="002D28AB" w:rsidRPr="00326476">
          <w:rPr>
            <w:rStyle w:val="Hyperlink"/>
            <w:rFonts w:eastAsia="Aptos" w:cs="Arial"/>
            <w:noProof/>
            <w:sz w:val="22"/>
            <w:lang w:val="en-US"/>
          </w:rPr>
          <w:t>https://doi.org/10.1111/cch.12866</w:t>
        </w:r>
      </w:hyperlink>
      <w:r w:rsidR="002D28AB">
        <w:rPr>
          <w:rFonts w:eastAsia="Aptos" w:cs="Arial"/>
          <w:noProof/>
          <w:sz w:val="22"/>
          <w:lang w:val="en-US"/>
        </w:rPr>
        <w:t xml:space="preserve"> </w:t>
      </w:r>
      <w:r w:rsidRPr="009124FC">
        <w:rPr>
          <w:rFonts w:eastAsia="Aptos" w:cs="Arial"/>
          <w:noProof/>
          <w:sz w:val="22"/>
          <w:lang w:val="en-US"/>
        </w:rPr>
        <w:t xml:space="preserve"> </w:t>
      </w:r>
    </w:p>
    <w:p w14:paraId="5F12E1AD" w14:textId="77777777" w:rsidR="009124FC" w:rsidRPr="009124FC" w:rsidRDefault="009124FC" w:rsidP="009124FC">
      <w:pPr>
        <w:spacing w:before="0" w:after="0"/>
        <w:ind w:left="720" w:hanging="720"/>
        <w:rPr>
          <w:rFonts w:eastAsia="Aptos" w:cs="Arial"/>
          <w:noProof/>
          <w:sz w:val="22"/>
          <w:lang w:val="en-US"/>
        </w:rPr>
      </w:pPr>
      <w:r w:rsidRPr="009124FC">
        <w:rPr>
          <w:rFonts w:eastAsia="Aptos" w:cs="Arial"/>
          <w:noProof/>
          <w:sz w:val="22"/>
          <w:lang w:val="en-US"/>
        </w:rPr>
        <w:tab/>
      </w:r>
    </w:p>
    <w:p w14:paraId="72689AE9" w14:textId="77777777" w:rsidR="009124FC" w:rsidRPr="009124FC" w:rsidRDefault="009124FC" w:rsidP="009124FC">
      <w:pPr>
        <w:spacing w:before="0" w:after="160"/>
        <w:ind w:left="720" w:hanging="720"/>
        <w:rPr>
          <w:rFonts w:eastAsia="Aptos" w:cs="Arial"/>
          <w:noProof/>
          <w:sz w:val="22"/>
          <w:lang w:val="en-US"/>
        </w:rPr>
      </w:pPr>
      <w:r w:rsidRPr="009124FC">
        <w:rPr>
          <w:rFonts w:eastAsia="Aptos" w:cs="Arial"/>
          <w:noProof/>
          <w:sz w:val="22"/>
          <w:lang w:val="en-US"/>
        </w:rPr>
        <w:t xml:space="preserve">Alexander, S., &amp; Forster, J. A. (2012). </w:t>
      </w:r>
      <w:r w:rsidRPr="009124FC">
        <w:rPr>
          <w:rFonts w:eastAsia="Aptos" w:cs="Arial"/>
          <w:i/>
          <w:noProof/>
          <w:sz w:val="22"/>
          <w:lang w:val="en-US"/>
        </w:rPr>
        <w:t>The key worker: Resources for early childhood intervention professionals</w:t>
      </w:r>
      <w:r w:rsidRPr="009124FC">
        <w:rPr>
          <w:rFonts w:eastAsia="Aptos" w:cs="Arial"/>
          <w:noProof/>
          <w:sz w:val="22"/>
          <w:lang w:val="en-US"/>
        </w:rPr>
        <w:t xml:space="preserve">. Malvern, VIC: Noah's Ark Inc. </w:t>
      </w:r>
    </w:p>
    <w:p w14:paraId="320BE085" w14:textId="77777777" w:rsidR="009124FC" w:rsidRPr="009124FC" w:rsidRDefault="009124FC" w:rsidP="009124FC">
      <w:pPr>
        <w:spacing w:before="0" w:after="0"/>
        <w:ind w:left="720" w:hanging="720"/>
        <w:rPr>
          <w:rFonts w:eastAsia="Aptos" w:cs="Arial"/>
          <w:noProof/>
          <w:sz w:val="22"/>
          <w:lang w:val="en-US"/>
        </w:rPr>
      </w:pPr>
      <w:r w:rsidRPr="009124FC">
        <w:rPr>
          <w:rFonts w:eastAsia="Aptos" w:cs="Arial"/>
          <w:noProof/>
          <w:sz w:val="22"/>
          <w:lang w:val="en-US"/>
        </w:rPr>
        <w:tab/>
      </w:r>
    </w:p>
    <w:p w14:paraId="0CB11C2C" w14:textId="5739C543" w:rsidR="009124FC" w:rsidRPr="009124FC" w:rsidRDefault="009124FC" w:rsidP="009124FC">
      <w:pPr>
        <w:spacing w:before="0" w:after="160"/>
        <w:ind w:left="720" w:hanging="720"/>
        <w:rPr>
          <w:rFonts w:eastAsia="Aptos" w:cs="Arial"/>
          <w:noProof/>
          <w:sz w:val="22"/>
          <w:lang w:val="en-US"/>
        </w:rPr>
      </w:pPr>
      <w:r w:rsidRPr="009124FC">
        <w:rPr>
          <w:rFonts w:eastAsia="Aptos" w:cs="Arial"/>
          <w:noProof/>
          <w:sz w:val="22"/>
          <w:lang w:val="en-US"/>
        </w:rPr>
        <w:t xml:space="preserve">Alexander, S. L., Frederico, M., &amp; Long, M. (2023). Improving attachment security in early childhood intervention: A framework from constructivist grounded theory. </w:t>
      </w:r>
      <w:r w:rsidRPr="009124FC">
        <w:rPr>
          <w:rFonts w:eastAsia="Aptos" w:cs="Arial"/>
          <w:i/>
          <w:noProof/>
          <w:sz w:val="22"/>
          <w:lang w:val="en-US"/>
        </w:rPr>
        <w:t>Journal of Early Intervention</w:t>
      </w:r>
      <w:r w:rsidRPr="009124FC">
        <w:rPr>
          <w:rFonts w:eastAsia="Aptos" w:cs="Arial"/>
          <w:noProof/>
          <w:sz w:val="22"/>
          <w:lang w:val="en-US"/>
        </w:rPr>
        <w:t>,</w:t>
      </w:r>
      <w:r w:rsidRPr="009124FC">
        <w:rPr>
          <w:rFonts w:eastAsia="Aptos" w:cs="Arial"/>
          <w:i/>
          <w:noProof/>
          <w:sz w:val="22"/>
          <w:lang w:val="en-US"/>
        </w:rPr>
        <w:t xml:space="preserve"> 45</w:t>
      </w:r>
      <w:r w:rsidRPr="009124FC">
        <w:rPr>
          <w:rFonts w:eastAsia="Aptos" w:cs="Arial"/>
          <w:noProof/>
          <w:sz w:val="22"/>
          <w:lang w:val="en-US"/>
        </w:rPr>
        <w:t xml:space="preserve">(4), 408-429. </w:t>
      </w:r>
      <w:hyperlink r:id="rId70" w:history="1">
        <w:r w:rsidR="002D28AB" w:rsidRPr="00326476">
          <w:rPr>
            <w:rStyle w:val="Hyperlink"/>
            <w:rFonts w:eastAsia="Aptos" w:cs="Arial"/>
            <w:noProof/>
            <w:sz w:val="22"/>
            <w:lang w:val="en-US"/>
          </w:rPr>
          <w:t>https://doi.org/10.1177/10538151221142794</w:t>
        </w:r>
      </w:hyperlink>
      <w:r w:rsidR="002D28AB">
        <w:rPr>
          <w:rFonts w:eastAsia="Aptos" w:cs="Arial"/>
          <w:noProof/>
          <w:sz w:val="22"/>
          <w:lang w:val="en-US"/>
        </w:rPr>
        <w:t xml:space="preserve"> </w:t>
      </w:r>
      <w:r w:rsidRPr="009124FC">
        <w:rPr>
          <w:rFonts w:eastAsia="Aptos" w:cs="Arial"/>
          <w:noProof/>
          <w:sz w:val="22"/>
          <w:lang w:val="en-US"/>
        </w:rPr>
        <w:t xml:space="preserve"> </w:t>
      </w:r>
    </w:p>
    <w:p w14:paraId="01926CE6" w14:textId="77777777" w:rsidR="009124FC" w:rsidRPr="009124FC" w:rsidRDefault="009124FC" w:rsidP="009124FC">
      <w:pPr>
        <w:spacing w:before="0" w:after="0"/>
        <w:ind w:left="720" w:hanging="720"/>
        <w:rPr>
          <w:rFonts w:eastAsia="Aptos" w:cs="Arial"/>
          <w:noProof/>
          <w:sz w:val="22"/>
          <w:lang w:val="en-US"/>
        </w:rPr>
      </w:pPr>
      <w:r w:rsidRPr="009124FC">
        <w:rPr>
          <w:rFonts w:eastAsia="Aptos" w:cs="Arial"/>
          <w:noProof/>
          <w:sz w:val="22"/>
          <w:lang w:val="en-US"/>
        </w:rPr>
        <w:tab/>
      </w:r>
    </w:p>
    <w:p w14:paraId="69686DC6" w14:textId="4BC51D55" w:rsidR="009124FC" w:rsidRPr="009124FC" w:rsidRDefault="009124FC" w:rsidP="009124FC">
      <w:pPr>
        <w:spacing w:before="0" w:after="160"/>
        <w:ind w:left="720" w:hanging="720"/>
        <w:rPr>
          <w:rFonts w:eastAsia="Aptos" w:cs="Arial"/>
          <w:noProof/>
          <w:sz w:val="22"/>
          <w:lang w:val="en-US"/>
        </w:rPr>
      </w:pPr>
      <w:r w:rsidRPr="009124FC">
        <w:rPr>
          <w:rFonts w:eastAsia="Aptos" w:cs="Arial"/>
          <w:noProof/>
          <w:sz w:val="22"/>
          <w:lang w:val="en-US"/>
        </w:rPr>
        <w:t xml:space="preserve">Alexander, S. L., Frederico, M., Long, M., &amp; Vicendese, D. (2024). Attachment security in children with disability or developmental delay: Systematic review of quality and interventions. </w:t>
      </w:r>
      <w:r w:rsidRPr="009124FC">
        <w:rPr>
          <w:rFonts w:eastAsia="Aptos" w:cs="Arial"/>
          <w:i/>
          <w:noProof/>
          <w:sz w:val="22"/>
          <w:lang w:val="en-US"/>
        </w:rPr>
        <w:t>Journal of Occupational Therapy, Schools, &amp; Early Intervention</w:t>
      </w:r>
      <w:r w:rsidRPr="009124FC">
        <w:rPr>
          <w:rFonts w:eastAsia="Aptos" w:cs="Arial"/>
          <w:noProof/>
          <w:sz w:val="22"/>
          <w:lang w:val="en-US"/>
        </w:rPr>
        <w:t>,</w:t>
      </w:r>
      <w:r w:rsidRPr="009124FC">
        <w:rPr>
          <w:rFonts w:eastAsia="Aptos" w:cs="Arial"/>
          <w:i/>
          <w:noProof/>
          <w:sz w:val="22"/>
          <w:lang w:val="en-US"/>
        </w:rPr>
        <w:t xml:space="preserve"> 17</w:t>
      </w:r>
      <w:r w:rsidRPr="009124FC">
        <w:rPr>
          <w:rFonts w:eastAsia="Aptos" w:cs="Arial"/>
          <w:noProof/>
          <w:sz w:val="22"/>
          <w:lang w:val="en-US"/>
        </w:rPr>
        <w:t xml:space="preserve">(2), 228-258. </w:t>
      </w:r>
      <w:hyperlink r:id="rId71" w:history="1">
        <w:r w:rsidR="002D28AB" w:rsidRPr="00326476">
          <w:rPr>
            <w:rStyle w:val="Hyperlink"/>
            <w:rFonts w:eastAsia="Aptos" w:cs="Arial"/>
            <w:noProof/>
            <w:sz w:val="22"/>
            <w:lang w:val="en-US"/>
          </w:rPr>
          <w:t>https://doi.org/10.1080/19411243.2023.2177237</w:t>
        </w:r>
      </w:hyperlink>
      <w:r w:rsidR="002D28AB">
        <w:rPr>
          <w:rFonts w:eastAsia="Aptos" w:cs="Arial"/>
          <w:noProof/>
          <w:sz w:val="22"/>
          <w:lang w:val="en-US"/>
        </w:rPr>
        <w:t xml:space="preserve"> </w:t>
      </w:r>
      <w:r w:rsidRPr="009124FC">
        <w:rPr>
          <w:rFonts w:eastAsia="Aptos" w:cs="Arial"/>
          <w:noProof/>
          <w:sz w:val="22"/>
          <w:lang w:val="en-US"/>
        </w:rPr>
        <w:t xml:space="preserve"> </w:t>
      </w:r>
    </w:p>
    <w:p w14:paraId="664823F0" w14:textId="77777777" w:rsidR="009124FC" w:rsidRPr="009124FC" w:rsidRDefault="009124FC" w:rsidP="009124FC">
      <w:pPr>
        <w:spacing w:before="0" w:after="0"/>
        <w:ind w:left="720" w:hanging="720"/>
        <w:rPr>
          <w:rFonts w:eastAsia="Aptos" w:cs="Arial"/>
          <w:noProof/>
          <w:sz w:val="22"/>
          <w:lang w:val="en-US"/>
        </w:rPr>
      </w:pPr>
      <w:r w:rsidRPr="009124FC">
        <w:rPr>
          <w:rFonts w:eastAsia="Aptos" w:cs="Arial"/>
          <w:noProof/>
          <w:sz w:val="22"/>
          <w:lang w:val="en-US"/>
        </w:rPr>
        <w:tab/>
      </w:r>
    </w:p>
    <w:p w14:paraId="78979FC7" w14:textId="77777777" w:rsidR="009124FC" w:rsidRPr="009124FC" w:rsidRDefault="009124FC" w:rsidP="009124FC">
      <w:pPr>
        <w:spacing w:before="0" w:after="160"/>
        <w:ind w:left="720" w:hanging="720"/>
        <w:rPr>
          <w:rFonts w:eastAsia="Aptos" w:cs="Arial"/>
          <w:noProof/>
          <w:sz w:val="22"/>
          <w:lang w:val="en-US"/>
        </w:rPr>
      </w:pPr>
      <w:r w:rsidRPr="009124FC">
        <w:rPr>
          <w:rFonts w:eastAsia="Aptos" w:cs="Arial"/>
          <w:noProof/>
          <w:sz w:val="22"/>
          <w:lang w:val="en-US"/>
        </w:rPr>
        <w:t xml:space="preserve">Allen, M., &amp; Donkin, A. (2015). The impact of adverse experiences in the home on the health of children and young people, and inequalities in prevalence and effects. </w:t>
      </w:r>
      <w:r w:rsidRPr="009124FC">
        <w:rPr>
          <w:rFonts w:eastAsia="Aptos" w:cs="Arial"/>
          <w:i/>
          <w:noProof/>
          <w:sz w:val="22"/>
          <w:lang w:val="en-US"/>
        </w:rPr>
        <w:t>London: UCL Institute of Health Equity</w:t>
      </w:r>
      <w:r w:rsidRPr="009124FC">
        <w:rPr>
          <w:rFonts w:eastAsia="Aptos" w:cs="Arial"/>
          <w:noProof/>
          <w:sz w:val="22"/>
          <w:lang w:val="en-US"/>
        </w:rPr>
        <w:t xml:space="preserve">. </w:t>
      </w:r>
    </w:p>
    <w:p w14:paraId="6BD97D37" w14:textId="77777777" w:rsidR="009124FC" w:rsidRPr="009124FC" w:rsidRDefault="009124FC" w:rsidP="009124FC">
      <w:pPr>
        <w:spacing w:before="0" w:after="0"/>
        <w:ind w:left="720" w:hanging="720"/>
        <w:rPr>
          <w:rFonts w:eastAsia="Aptos" w:cs="Arial"/>
          <w:noProof/>
          <w:sz w:val="22"/>
          <w:lang w:val="en-US"/>
        </w:rPr>
      </w:pPr>
      <w:r w:rsidRPr="009124FC">
        <w:rPr>
          <w:rFonts w:eastAsia="Aptos" w:cs="Arial"/>
          <w:noProof/>
          <w:sz w:val="22"/>
          <w:lang w:val="en-US"/>
        </w:rPr>
        <w:tab/>
      </w:r>
    </w:p>
    <w:p w14:paraId="11A5A4CA" w14:textId="0D3F3059" w:rsidR="009124FC" w:rsidRPr="009124FC" w:rsidRDefault="009124FC" w:rsidP="009124FC">
      <w:pPr>
        <w:spacing w:before="0" w:after="160"/>
        <w:ind w:left="720" w:hanging="720"/>
        <w:rPr>
          <w:rFonts w:eastAsia="Aptos" w:cs="Arial"/>
          <w:noProof/>
          <w:sz w:val="22"/>
          <w:lang w:val="en-US"/>
        </w:rPr>
      </w:pPr>
      <w:r w:rsidRPr="009124FC">
        <w:rPr>
          <w:rFonts w:eastAsia="Aptos" w:cs="Arial"/>
          <w:noProof/>
          <w:sz w:val="22"/>
          <w:lang w:val="en-US"/>
        </w:rPr>
        <w:t xml:space="preserve">Althaus, C., &amp; McGregor, C. (2019). </w:t>
      </w:r>
      <w:r w:rsidRPr="009124FC">
        <w:rPr>
          <w:rFonts w:eastAsia="Aptos" w:cs="Arial"/>
          <w:i/>
          <w:noProof/>
          <w:sz w:val="22"/>
          <w:lang w:val="en-US"/>
        </w:rPr>
        <w:t>Ensuring a world-class Australian Public Service: delivering local solutions</w:t>
      </w:r>
      <w:r w:rsidRPr="009124FC">
        <w:rPr>
          <w:rFonts w:eastAsia="Aptos" w:cs="Arial"/>
          <w:noProof/>
          <w:sz w:val="22"/>
          <w:lang w:val="en-US"/>
        </w:rPr>
        <w:t xml:space="preserve">. Carlton, VIC: ANZSOG. Retrieved 6 September, 2024 from </w:t>
      </w:r>
      <w:hyperlink r:id="rId72" w:history="1">
        <w:r w:rsidR="002D28AB" w:rsidRPr="00326476">
          <w:rPr>
            <w:rStyle w:val="Hyperlink"/>
            <w:rFonts w:eastAsia="Aptos" w:cs="Arial"/>
            <w:noProof/>
            <w:sz w:val="22"/>
            <w:lang w:val="en-US"/>
          </w:rPr>
          <w:t>https://www.apsreview.gov.au/sites/default/files/resources/delivering-local-solutions.pdf</w:t>
        </w:r>
      </w:hyperlink>
      <w:r w:rsidR="002D28AB">
        <w:rPr>
          <w:rFonts w:eastAsia="Aptos" w:cs="Arial"/>
          <w:noProof/>
          <w:sz w:val="22"/>
          <w:lang w:val="en-US"/>
        </w:rPr>
        <w:t xml:space="preserve"> </w:t>
      </w:r>
    </w:p>
    <w:p w14:paraId="1AAF8BF6" w14:textId="77777777" w:rsidR="009124FC" w:rsidRPr="009124FC" w:rsidRDefault="009124FC" w:rsidP="009124FC">
      <w:pPr>
        <w:spacing w:before="0" w:after="0"/>
        <w:ind w:left="720" w:hanging="720"/>
        <w:rPr>
          <w:rFonts w:eastAsia="Aptos" w:cs="Arial"/>
          <w:noProof/>
          <w:sz w:val="22"/>
          <w:lang w:val="en-US"/>
        </w:rPr>
      </w:pPr>
      <w:r w:rsidRPr="009124FC">
        <w:rPr>
          <w:rFonts w:eastAsia="Aptos" w:cs="Arial"/>
          <w:noProof/>
          <w:sz w:val="22"/>
          <w:lang w:val="en-US"/>
        </w:rPr>
        <w:tab/>
      </w:r>
    </w:p>
    <w:p w14:paraId="5B992725" w14:textId="77777777" w:rsidR="009124FC" w:rsidRDefault="009124FC" w:rsidP="009124FC">
      <w:pPr>
        <w:spacing w:before="0" w:after="160"/>
        <w:ind w:left="720" w:hanging="720"/>
        <w:rPr>
          <w:rFonts w:eastAsia="Aptos" w:cs="Arial"/>
          <w:noProof/>
          <w:sz w:val="22"/>
          <w:lang w:val="en-US"/>
        </w:rPr>
      </w:pPr>
      <w:r w:rsidRPr="009124FC">
        <w:rPr>
          <w:rFonts w:eastAsia="Aptos" w:cs="Arial"/>
          <w:noProof/>
          <w:sz w:val="22"/>
          <w:lang w:val="en-US"/>
        </w:rPr>
        <w:t xml:space="preserve">American Psychiatric Association. (2013). </w:t>
      </w:r>
      <w:r w:rsidRPr="009124FC">
        <w:rPr>
          <w:rFonts w:eastAsia="Aptos" w:cs="Arial"/>
          <w:i/>
          <w:noProof/>
          <w:sz w:val="22"/>
          <w:lang w:val="en-US"/>
        </w:rPr>
        <w:t>Diagnostic and statistical manual of mental disorders: DSM-5</w:t>
      </w:r>
      <w:r w:rsidRPr="009124FC">
        <w:rPr>
          <w:rFonts w:eastAsia="Aptos" w:cs="Arial"/>
          <w:noProof/>
          <w:sz w:val="22"/>
          <w:lang w:val="en-US"/>
        </w:rPr>
        <w:t xml:space="preserve"> (5th ed.). Washington, DC: American Psychiatric Association. </w:t>
      </w:r>
    </w:p>
    <w:p w14:paraId="3069CD34" w14:textId="77777777" w:rsidR="00000B73" w:rsidRPr="009124FC" w:rsidRDefault="00000B73" w:rsidP="00B66875">
      <w:pPr>
        <w:spacing w:before="0" w:after="160"/>
        <w:ind w:left="1440" w:hanging="720"/>
        <w:rPr>
          <w:rFonts w:eastAsia="Aptos" w:cs="Arial"/>
          <w:noProof/>
          <w:sz w:val="22"/>
          <w:lang w:val="en-US"/>
        </w:rPr>
      </w:pPr>
    </w:p>
    <w:p w14:paraId="645CBA9D" w14:textId="38E3B6B1" w:rsidR="007A76F8" w:rsidRPr="000053CE" w:rsidRDefault="007A76F8" w:rsidP="007A76F8">
      <w:pPr>
        <w:spacing w:before="0" w:after="160"/>
        <w:ind w:left="720" w:hanging="720"/>
        <w:rPr>
          <w:rFonts w:eastAsia="Aptos" w:cs="Arial"/>
          <w:noProof/>
          <w:sz w:val="22"/>
          <w:lang w:val="it-IT"/>
        </w:rPr>
      </w:pPr>
      <w:r w:rsidRPr="000053CE">
        <w:rPr>
          <w:rFonts w:eastAsia="Aptos" w:cs="Arial"/>
          <w:noProof/>
          <w:sz w:val="22"/>
        </w:rPr>
        <w:t xml:space="preserve">An, M., &amp; Palisano, R. J. (2014). </w:t>
      </w:r>
      <w:r w:rsidRPr="007A76F8">
        <w:rPr>
          <w:rFonts w:eastAsia="Aptos" w:cs="Arial"/>
          <w:noProof/>
          <w:sz w:val="22"/>
          <w:lang w:val="en-US"/>
        </w:rPr>
        <w:t xml:space="preserve">Family–professional collaboration in pediatric rehabilitation: A practice model. </w:t>
      </w:r>
      <w:r w:rsidRPr="007A76F8">
        <w:rPr>
          <w:rFonts w:eastAsia="Aptos" w:cs="Arial"/>
          <w:i/>
          <w:noProof/>
          <w:sz w:val="22"/>
          <w:lang w:val="en-US"/>
        </w:rPr>
        <w:t>Disability and Rehabilitation</w:t>
      </w:r>
      <w:r w:rsidRPr="007A76F8">
        <w:rPr>
          <w:rFonts w:eastAsia="Aptos" w:cs="Arial"/>
          <w:noProof/>
          <w:sz w:val="22"/>
          <w:lang w:val="en-US"/>
        </w:rPr>
        <w:t>,</w:t>
      </w:r>
      <w:r w:rsidRPr="007A76F8">
        <w:rPr>
          <w:rFonts w:eastAsia="Aptos" w:cs="Arial"/>
          <w:i/>
          <w:noProof/>
          <w:sz w:val="22"/>
          <w:lang w:val="en-US"/>
        </w:rPr>
        <w:t xml:space="preserve"> 36</w:t>
      </w:r>
      <w:r w:rsidRPr="007A76F8">
        <w:rPr>
          <w:rFonts w:eastAsia="Aptos" w:cs="Arial"/>
          <w:noProof/>
          <w:sz w:val="22"/>
          <w:lang w:val="en-US"/>
        </w:rPr>
        <w:t xml:space="preserve">(5), 434-440. </w:t>
      </w:r>
      <w:hyperlink r:id="rId73" w:history="1">
        <w:r w:rsidR="00000B73" w:rsidRPr="000053CE">
          <w:rPr>
            <w:rStyle w:val="Hyperlink"/>
            <w:rFonts w:eastAsia="Aptos" w:cs="Arial"/>
            <w:noProof/>
            <w:sz w:val="22"/>
            <w:lang w:val="it-IT"/>
          </w:rPr>
          <w:t>https://doi.org/10.3109/09638288.2013.797510</w:t>
        </w:r>
      </w:hyperlink>
      <w:r w:rsidRPr="000053CE">
        <w:rPr>
          <w:rFonts w:eastAsia="Aptos" w:cs="Arial"/>
          <w:noProof/>
          <w:sz w:val="22"/>
          <w:lang w:val="it-IT"/>
        </w:rPr>
        <w:t xml:space="preserve"> </w:t>
      </w:r>
    </w:p>
    <w:p w14:paraId="15B59563" w14:textId="77777777" w:rsidR="00000B73" w:rsidRPr="000053CE" w:rsidRDefault="00000B73" w:rsidP="00B66875">
      <w:pPr>
        <w:spacing w:before="0" w:after="160"/>
        <w:ind w:left="1440" w:hanging="720"/>
        <w:rPr>
          <w:rFonts w:eastAsia="Aptos" w:cs="Arial"/>
          <w:noProof/>
          <w:sz w:val="22"/>
          <w:lang w:val="it-IT"/>
        </w:rPr>
      </w:pPr>
    </w:p>
    <w:p w14:paraId="06E57346" w14:textId="57797992" w:rsidR="009B34AE" w:rsidRPr="007E27D1" w:rsidRDefault="009B34AE" w:rsidP="009B34AE">
      <w:pPr>
        <w:pStyle w:val="EndNoteBibliography"/>
        <w:ind w:left="720" w:hanging="720"/>
      </w:pPr>
      <w:r w:rsidRPr="002706C1">
        <w:rPr>
          <w:lang w:val="it-IT"/>
        </w:rPr>
        <w:t xml:space="preserve">An, M., Palisano, R. J., Dunst, C. J., Chiarello, L. A., Yi, C.-h., &amp; Gracely, E. J. (2015). </w:t>
      </w:r>
      <w:r w:rsidRPr="007E27D1">
        <w:t xml:space="preserve">Strategies to promote family–professional collaboration: two case reports. </w:t>
      </w:r>
      <w:r w:rsidRPr="007E27D1">
        <w:rPr>
          <w:i/>
        </w:rPr>
        <w:t>Disability and Rehabilitation</w:t>
      </w:r>
      <w:r w:rsidRPr="007E27D1">
        <w:t>,</w:t>
      </w:r>
      <w:r w:rsidRPr="007E27D1">
        <w:rPr>
          <w:i/>
        </w:rPr>
        <w:t xml:space="preserve"> 38</w:t>
      </w:r>
      <w:r w:rsidRPr="007E27D1">
        <w:t xml:space="preserve">(18), 1844-1858. </w:t>
      </w:r>
      <w:hyperlink r:id="rId74" w:history="1">
        <w:r w:rsidR="002D28AB" w:rsidRPr="00326476">
          <w:rPr>
            <w:rStyle w:val="Hyperlink"/>
          </w:rPr>
          <w:t>https://doi.org/10.3109/09638288.2015.1107763</w:t>
        </w:r>
      </w:hyperlink>
      <w:r w:rsidR="002D28AB">
        <w:t xml:space="preserve"> </w:t>
      </w:r>
      <w:r w:rsidRPr="007E27D1">
        <w:t xml:space="preserve"> </w:t>
      </w:r>
      <w:r w:rsidR="002D28AB">
        <w:t xml:space="preserve"> </w:t>
      </w:r>
    </w:p>
    <w:p w14:paraId="67C96391" w14:textId="3C8BCEFD" w:rsidR="0030178D" w:rsidRPr="00075790" w:rsidRDefault="0030178D" w:rsidP="00B66875">
      <w:pPr>
        <w:pStyle w:val="EndNoteBibliography"/>
        <w:spacing w:after="0"/>
        <w:ind w:left="1440" w:hanging="720"/>
      </w:pPr>
    </w:p>
    <w:p w14:paraId="5F8B98EC" w14:textId="625DF8A3" w:rsidR="00B6395A" w:rsidRDefault="00B6395A" w:rsidP="00B6395A">
      <w:pPr>
        <w:spacing w:before="0" w:after="160"/>
        <w:ind w:left="720" w:hanging="720"/>
        <w:rPr>
          <w:rFonts w:eastAsia="Aptos" w:cs="Arial"/>
          <w:noProof/>
          <w:sz w:val="22"/>
          <w:lang w:val="en-US"/>
        </w:rPr>
      </w:pPr>
      <w:r w:rsidRPr="00B6395A">
        <w:rPr>
          <w:rFonts w:eastAsia="Aptos" w:cs="Arial"/>
          <w:noProof/>
          <w:sz w:val="22"/>
          <w:lang w:val="en-US"/>
        </w:rPr>
        <w:t xml:space="preserve">Anaby, D., Khetani, M., Piskur, B., Van der Holst, M., Bedell, G., Schakel, F., De Kloet, A., Simeonsson, R., &amp; Imms, C. (2021). Towards a paradigm shift in pediatric rehabilitation: Accelerating the uptake of evidence on participation into routine clinical practice. </w:t>
      </w:r>
      <w:r w:rsidRPr="00B6395A">
        <w:rPr>
          <w:rFonts w:eastAsia="Aptos" w:cs="Arial"/>
          <w:i/>
          <w:noProof/>
          <w:sz w:val="22"/>
          <w:lang w:val="en-US"/>
        </w:rPr>
        <w:t>Disability and Rehabilitation</w:t>
      </w:r>
      <w:r w:rsidRPr="00B6395A">
        <w:rPr>
          <w:rFonts w:eastAsia="Aptos" w:cs="Arial"/>
          <w:noProof/>
          <w:sz w:val="22"/>
          <w:lang w:val="en-US"/>
        </w:rPr>
        <w:t>,</w:t>
      </w:r>
      <w:r w:rsidRPr="00B6395A">
        <w:rPr>
          <w:rFonts w:eastAsia="Aptos" w:cs="Arial"/>
          <w:i/>
          <w:noProof/>
          <w:sz w:val="22"/>
          <w:lang w:val="en-US"/>
        </w:rPr>
        <w:t xml:space="preserve"> 44</w:t>
      </w:r>
      <w:r w:rsidRPr="00B6395A">
        <w:rPr>
          <w:rFonts w:eastAsia="Aptos" w:cs="Arial"/>
          <w:noProof/>
          <w:sz w:val="22"/>
          <w:lang w:val="en-US"/>
        </w:rPr>
        <w:t xml:space="preserve">(9), 1746-1757. </w:t>
      </w:r>
      <w:hyperlink r:id="rId75" w:history="1">
        <w:r w:rsidR="00000B73" w:rsidRPr="00326476">
          <w:rPr>
            <w:rStyle w:val="Hyperlink"/>
            <w:rFonts w:eastAsia="Aptos" w:cs="Arial"/>
            <w:noProof/>
            <w:sz w:val="22"/>
            <w:lang w:val="en-US"/>
          </w:rPr>
          <w:t>https://doi.org/10.1080/09638288.2021.1903102</w:t>
        </w:r>
      </w:hyperlink>
      <w:r w:rsidRPr="00B6395A">
        <w:rPr>
          <w:rFonts w:eastAsia="Aptos" w:cs="Arial"/>
          <w:noProof/>
          <w:sz w:val="22"/>
          <w:lang w:val="en-US"/>
        </w:rPr>
        <w:t xml:space="preserve"> </w:t>
      </w:r>
    </w:p>
    <w:p w14:paraId="438DA166" w14:textId="77777777" w:rsidR="00000B73" w:rsidRPr="00B6395A" w:rsidRDefault="00000B73" w:rsidP="00B66875">
      <w:pPr>
        <w:spacing w:before="0" w:after="160"/>
        <w:ind w:left="1440" w:hanging="720"/>
        <w:rPr>
          <w:rFonts w:eastAsia="Aptos" w:cs="Arial"/>
          <w:noProof/>
          <w:sz w:val="22"/>
          <w:lang w:val="en-US"/>
        </w:rPr>
      </w:pPr>
    </w:p>
    <w:p w14:paraId="2F8035CA" w14:textId="2A2ED20C" w:rsidR="00B21B72" w:rsidRPr="00B21B72" w:rsidRDefault="00B21B72" w:rsidP="00B21B72">
      <w:pPr>
        <w:spacing w:before="0" w:after="160"/>
        <w:ind w:left="720" w:hanging="720"/>
        <w:rPr>
          <w:rFonts w:eastAsia="Aptos" w:cs="Arial"/>
          <w:noProof/>
          <w:sz w:val="22"/>
          <w:lang w:val="en-US"/>
        </w:rPr>
      </w:pPr>
      <w:r w:rsidRPr="00B21B72">
        <w:rPr>
          <w:rFonts w:eastAsia="Aptos" w:cs="Arial"/>
          <w:noProof/>
          <w:sz w:val="22"/>
          <w:lang w:val="en-US"/>
        </w:rPr>
        <w:t xml:space="preserve">Anda, R. F., Felitti, V. J., Bremner, J. D., Walker, J. D., Whitfield, C., Perry, B. D., Dube, S. R., &amp; Giles, W. H. (2006). The enduring effects of abuse and related adverse experiences in childhood: A convergence of evidence from neurobiology and epidemiology. </w:t>
      </w:r>
      <w:r w:rsidRPr="00B21B72">
        <w:rPr>
          <w:rFonts w:eastAsia="Aptos" w:cs="Arial"/>
          <w:i/>
          <w:noProof/>
          <w:sz w:val="22"/>
          <w:lang w:val="en-US"/>
        </w:rPr>
        <w:t>European archives of psychiatry and clinical neuroscience</w:t>
      </w:r>
      <w:r w:rsidRPr="00B21B72">
        <w:rPr>
          <w:rFonts w:eastAsia="Aptos" w:cs="Arial"/>
          <w:noProof/>
          <w:sz w:val="22"/>
          <w:lang w:val="en-US"/>
        </w:rPr>
        <w:t>,</w:t>
      </w:r>
      <w:r w:rsidRPr="00B21B72">
        <w:rPr>
          <w:rFonts w:eastAsia="Aptos" w:cs="Arial"/>
          <w:i/>
          <w:noProof/>
          <w:sz w:val="22"/>
          <w:lang w:val="en-US"/>
        </w:rPr>
        <w:t xml:space="preserve"> 256</w:t>
      </w:r>
      <w:r w:rsidRPr="00B21B72">
        <w:rPr>
          <w:rFonts w:eastAsia="Aptos" w:cs="Arial"/>
          <w:noProof/>
          <w:sz w:val="22"/>
          <w:lang w:val="en-US"/>
        </w:rPr>
        <w:t xml:space="preserve">, 174-186. </w:t>
      </w:r>
      <w:hyperlink r:id="rId76" w:history="1">
        <w:r w:rsidR="002D28AB" w:rsidRPr="00326476">
          <w:rPr>
            <w:rStyle w:val="Hyperlink"/>
            <w:rFonts w:eastAsia="Aptos" w:cs="Arial"/>
            <w:noProof/>
            <w:sz w:val="22"/>
            <w:lang w:val="en-US"/>
          </w:rPr>
          <w:t>https://doi.org/10.1007/s00406-005-0624-4</w:t>
        </w:r>
      </w:hyperlink>
      <w:r w:rsidR="002D28AB">
        <w:rPr>
          <w:rFonts w:eastAsia="Aptos" w:cs="Arial"/>
          <w:noProof/>
          <w:sz w:val="22"/>
          <w:lang w:val="en-US"/>
        </w:rPr>
        <w:t xml:space="preserve"> </w:t>
      </w:r>
      <w:r w:rsidRPr="00B21B72">
        <w:rPr>
          <w:rFonts w:eastAsia="Aptos" w:cs="Arial"/>
          <w:noProof/>
          <w:sz w:val="22"/>
          <w:lang w:val="en-US"/>
        </w:rPr>
        <w:t xml:space="preserve"> </w:t>
      </w:r>
    </w:p>
    <w:p w14:paraId="770CC052" w14:textId="77777777" w:rsidR="007413C4" w:rsidRPr="00954E49" w:rsidRDefault="007413C4" w:rsidP="007413C4">
      <w:pPr>
        <w:pStyle w:val="EndNoteBibliography"/>
        <w:spacing w:after="0"/>
        <w:ind w:left="720" w:hanging="720"/>
        <w:rPr>
          <w:highlight w:val="yellow"/>
        </w:rPr>
      </w:pPr>
    </w:p>
    <w:p w14:paraId="3F3B069F" w14:textId="5CCF1AFE" w:rsidR="007413C4" w:rsidRPr="00B66875" w:rsidRDefault="007413C4" w:rsidP="007413C4">
      <w:pPr>
        <w:pStyle w:val="EndNoteBibliography"/>
        <w:ind w:left="720" w:hanging="720"/>
      </w:pPr>
      <w:r w:rsidRPr="00B66875">
        <w:t xml:space="preserve">ARACY. (2014). </w:t>
      </w:r>
      <w:r w:rsidRPr="00B66875">
        <w:rPr>
          <w:i/>
        </w:rPr>
        <w:t>The Nest action agenda: Improving the wellbeing of Australia’s children and youth while growing our GDP by over 7%.</w:t>
      </w:r>
      <w:r w:rsidRPr="00B66875">
        <w:t xml:space="preserve"> Canberra, ACT: ARACY. Retrieved September 6, 2024 from </w:t>
      </w:r>
      <w:hyperlink r:id="rId77" w:history="1">
        <w:r w:rsidR="002D28AB" w:rsidRPr="00326476">
          <w:rPr>
            <w:rStyle w:val="Hyperlink"/>
          </w:rPr>
          <w:t>http://www.aracy.org.au/documents/item/182</w:t>
        </w:r>
      </w:hyperlink>
      <w:r w:rsidR="002D28AB">
        <w:t xml:space="preserve"> </w:t>
      </w:r>
    </w:p>
    <w:p w14:paraId="03618F7A" w14:textId="77777777" w:rsidR="00055909" w:rsidRPr="00075790" w:rsidRDefault="00055909" w:rsidP="0030178D">
      <w:pPr>
        <w:pStyle w:val="EndNoteBibliography"/>
        <w:spacing w:after="0"/>
        <w:ind w:left="720" w:hanging="720"/>
      </w:pPr>
    </w:p>
    <w:p w14:paraId="7BBBEA09" w14:textId="5BCFCAD1" w:rsidR="00317BD6" w:rsidRPr="00317BD6" w:rsidRDefault="00317BD6" w:rsidP="00317BD6">
      <w:pPr>
        <w:spacing w:before="0" w:after="160"/>
        <w:ind w:left="720" w:hanging="720"/>
        <w:rPr>
          <w:rFonts w:eastAsia="Aptos" w:cs="Arial"/>
          <w:noProof/>
          <w:sz w:val="22"/>
          <w:lang w:val="en-US"/>
        </w:rPr>
      </w:pPr>
      <w:r w:rsidRPr="00317BD6">
        <w:rPr>
          <w:rFonts w:eastAsia="Aptos" w:cs="Arial"/>
          <w:noProof/>
          <w:sz w:val="22"/>
          <w:lang w:val="en-US"/>
        </w:rPr>
        <w:t xml:space="preserve">Arefadib, N., &amp; Moore, T. (2017). </w:t>
      </w:r>
      <w:r w:rsidRPr="00317BD6">
        <w:rPr>
          <w:rFonts w:eastAsia="Aptos" w:cs="Arial"/>
          <w:i/>
          <w:noProof/>
          <w:sz w:val="22"/>
          <w:lang w:val="en-US"/>
        </w:rPr>
        <w:t>Reporting the health and development of children in rural and remote Australia</w:t>
      </w:r>
      <w:r w:rsidRPr="00317BD6">
        <w:rPr>
          <w:rFonts w:eastAsia="Aptos" w:cs="Arial"/>
          <w:noProof/>
          <w:sz w:val="22"/>
          <w:lang w:val="en-US"/>
        </w:rPr>
        <w:t xml:space="preserve">. Parkville, VIC: The Centre for Community Child Health at The Royal Children’s Hospital and the Murdoch Children’s Research Institute. Retrieved 6 September, 2024 from </w:t>
      </w:r>
      <w:hyperlink r:id="rId78" w:history="1">
        <w:r w:rsidR="002D28AB" w:rsidRPr="00326476">
          <w:rPr>
            <w:rStyle w:val="Hyperlink"/>
            <w:rFonts w:eastAsia="Aptos" w:cs="Arial"/>
            <w:noProof/>
            <w:sz w:val="22"/>
            <w:lang w:val="en-US"/>
          </w:rPr>
          <w:t>https://www.royalfarwest.org.au/wp-content/uploads/2017/12/Murdoch-Report.pdf</w:t>
        </w:r>
      </w:hyperlink>
      <w:r w:rsidR="002D28AB">
        <w:rPr>
          <w:rFonts w:eastAsia="Aptos" w:cs="Arial"/>
          <w:noProof/>
          <w:sz w:val="22"/>
          <w:lang w:val="en-US"/>
        </w:rPr>
        <w:t xml:space="preserve"> </w:t>
      </w:r>
    </w:p>
    <w:p w14:paraId="730E5733" w14:textId="77777777" w:rsidR="00317BD6" w:rsidRPr="00317BD6" w:rsidRDefault="00317BD6" w:rsidP="00317BD6">
      <w:pPr>
        <w:spacing w:before="0" w:after="0"/>
        <w:ind w:left="720" w:hanging="720"/>
        <w:rPr>
          <w:rFonts w:eastAsia="Aptos" w:cs="Arial"/>
          <w:noProof/>
          <w:sz w:val="22"/>
          <w:lang w:val="en-US"/>
        </w:rPr>
      </w:pPr>
      <w:r w:rsidRPr="00317BD6">
        <w:rPr>
          <w:rFonts w:eastAsia="Aptos" w:cs="Arial"/>
          <w:noProof/>
          <w:sz w:val="22"/>
          <w:lang w:val="en-US"/>
        </w:rPr>
        <w:tab/>
      </w:r>
    </w:p>
    <w:p w14:paraId="08342A27" w14:textId="19BB2794" w:rsidR="00317BD6" w:rsidRDefault="00317BD6" w:rsidP="00317BD6">
      <w:pPr>
        <w:spacing w:before="0" w:after="160"/>
        <w:ind w:left="720" w:hanging="720"/>
        <w:rPr>
          <w:rFonts w:eastAsia="Aptos" w:cs="Arial"/>
          <w:noProof/>
          <w:sz w:val="22"/>
          <w:lang w:val="en-US"/>
        </w:rPr>
      </w:pPr>
      <w:r w:rsidRPr="00317BD6">
        <w:rPr>
          <w:rFonts w:eastAsia="Aptos" w:cs="Arial"/>
          <w:noProof/>
          <w:sz w:val="22"/>
          <w:lang w:val="en-US"/>
        </w:rPr>
        <w:t xml:space="preserve">Arefadib, N., &amp; Moore, T. G. (2019). </w:t>
      </w:r>
      <w:r w:rsidRPr="00317BD6">
        <w:rPr>
          <w:rFonts w:eastAsia="Aptos" w:cs="Arial"/>
          <w:i/>
          <w:noProof/>
          <w:sz w:val="22"/>
          <w:lang w:val="en-US"/>
        </w:rPr>
        <w:t>Realising the potential: Early childhood intervention under the NDIS</w:t>
      </w:r>
      <w:r w:rsidRPr="00317BD6">
        <w:rPr>
          <w:rFonts w:eastAsia="Aptos" w:cs="Arial"/>
          <w:noProof/>
          <w:sz w:val="22"/>
          <w:lang w:val="en-US"/>
        </w:rPr>
        <w:t xml:space="preserve">. Parkville, VIC: Murdoch Children’s Research Institute. Retrieved 6 September, 2024 from </w:t>
      </w:r>
      <w:hyperlink r:id="rId79" w:history="1">
        <w:r w:rsidR="00C55D62" w:rsidRPr="00326476">
          <w:rPr>
            <w:rStyle w:val="Hyperlink"/>
            <w:rFonts w:eastAsia="Aptos" w:cs="Arial"/>
            <w:noProof/>
            <w:sz w:val="22"/>
            <w:lang w:val="en-US"/>
          </w:rPr>
          <w:t>https://research.monash.edu/en/publications/realising-the-potential-early-childhood-intervention-under-the-nd/</w:t>
        </w:r>
      </w:hyperlink>
    </w:p>
    <w:p w14:paraId="73D417AD" w14:textId="77777777" w:rsidR="00C55D62" w:rsidRPr="00317BD6" w:rsidRDefault="00C55D62" w:rsidP="00317BD6">
      <w:pPr>
        <w:spacing w:before="0" w:after="160"/>
        <w:ind w:left="720" w:hanging="720"/>
        <w:rPr>
          <w:rFonts w:eastAsia="Aptos" w:cs="Arial"/>
          <w:noProof/>
          <w:sz w:val="22"/>
          <w:lang w:val="en-US"/>
        </w:rPr>
      </w:pPr>
    </w:p>
    <w:p w14:paraId="58371328" w14:textId="77777777" w:rsidR="00150405" w:rsidRPr="00150405" w:rsidRDefault="00150405" w:rsidP="00150405">
      <w:pPr>
        <w:spacing w:before="0" w:after="160"/>
        <w:ind w:left="720" w:hanging="720"/>
        <w:rPr>
          <w:rFonts w:eastAsia="Aptos" w:cs="Arial"/>
          <w:noProof/>
          <w:sz w:val="22"/>
          <w:lang w:val="en-US"/>
        </w:rPr>
      </w:pPr>
      <w:r w:rsidRPr="00150405">
        <w:rPr>
          <w:rFonts w:eastAsia="Aptos" w:cs="Arial"/>
          <w:noProof/>
          <w:sz w:val="22"/>
          <w:lang w:val="en-US"/>
        </w:rPr>
        <w:t xml:space="preserve">Armstrong, T. (2010). </w:t>
      </w:r>
      <w:r w:rsidRPr="00150405">
        <w:rPr>
          <w:rFonts w:eastAsia="Aptos" w:cs="Arial"/>
          <w:i/>
          <w:noProof/>
          <w:sz w:val="22"/>
          <w:lang w:val="en-US"/>
        </w:rPr>
        <w:t>Neurodiversity: Discovering the extraordinary gifts of autism, ADHD, dyslexia, and other brain differences</w:t>
      </w:r>
      <w:r w:rsidRPr="00150405">
        <w:rPr>
          <w:rFonts w:eastAsia="Aptos" w:cs="Arial"/>
          <w:noProof/>
          <w:sz w:val="22"/>
          <w:lang w:val="en-US"/>
        </w:rPr>
        <w:t xml:space="preserve">. New York, NY: Perseus Books. </w:t>
      </w:r>
    </w:p>
    <w:p w14:paraId="3F9ED68C" w14:textId="77777777" w:rsidR="00C55D62" w:rsidRPr="00075790" w:rsidRDefault="00C55D62" w:rsidP="0030178D">
      <w:pPr>
        <w:pStyle w:val="EndNoteBibliography"/>
        <w:spacing w:after="0"/>
        <w:ind w:left="720" w:hanging="720"/>
      </w:pPr>
    </w:p>
    <w:p w14:paraId="6C3EC1E7" w14:textId="5229A47B" w:rsidR="0056205A" w:rsidRPr="0056205A" w:rsidRDefault="0056205A" w:rsidP="0056205A">
      <w:pPr>
        <w:spacing w:before="0" w:after="160"/>
        <w:ind w:left="720" w:hanging="720"/>
        <w:rPr>
          <w:rFonts w:eastAsia="Aptos" w:cs="Arial"/>
          <w:noProof/>
          <w:sz w:val="22"/>
          <w:lang w:val="en-US"/>
        </w:rPr>
      </w:pPr>
      <w:r w:rsidRPr="0056205A">
        <w:rPr>
          <w:rFonts w:eastAsia="Aptos" w:cs="Arial"/>
          <w:noProof/>
          <w:sz w:val="22"/>
          <w:lang w:val="en-US"/>
        </w:rPr>
        <w:t xml:space="preserve">Artman-Meeker, K., Fettig, A., Barton, E. E., Penney, A., &amp; Zeng, S. (2015). Applying an evidence-based framework to the early childhood coaching literature. </w:t>
      </w:r>
      <w:r w:rsidRPr="0056205A">
        <w:rPr>
          <w:rFonts w:eastAsia="Aptos" w:cs="Arial"/>
          <w:i/>
          <w:noProof/>
          <w:sz w:val="22"/>
          <w:lang w:val="en-US"/>
        </w:rPr>
        <w:t>Topics in Early Childhood Special Education</w:t>
      </w:r>
      <w:r w:rsidRPr="0056205A">
        <w:rPr>
          <w:rFonts w:eastAsia="Aptos" w:cs="Arial"/>
          <w:noProof/>
          <w:sz w:val="22"/>
          <w:lang w:val="en-US"/>
        </w:rPr>
        <w:t>,</w:t>
      </w:r>
      <w:r w:rsidRPr="0056205A">
        <w:rPr>
          <w:rFonts w:eastAsia="Aptos" w:cs="Arial"/>
          <w:i/>
          <w:noProof/>
          <w:sz w:val="22"/>
          <w:lang w:val="en-US"/>
        </w:rPr>
        <w:t xml:space="preserve"> 35</w:t>
      </w:r>
      <w:r w:rsidRPr="0056205A">
        <w:rPr>
          <w:rFonts w:eastAsia="Aptos" w:cs="Arial"/>
          <w:noProof/>
          <w:sz w:val="22"/>
          <w:lang w:val="en-US"/>
        </w:rPr>
        <w:t xml:space="preserve">(3), 183-196. </w:t>
      </w:r>
      <w:hyperlink r:id="rId80" w:history="1">
        <w:r w:rsidR="002D28AB" w:rsidRPr="00326476">
          <w:rPr>
            <w:rStyle w:val="Hyperlink"/>
            <w:rFonts w:eastAsia="Aptos" w:cs="Arial"/>
            <w:noProof/>
            <w:sz w:val="22"/>
            <w:lang w:val="en-US"/>
          </w:rPr>
          <w:t>https://doi.org/10.1177/0271121415595550</w:t>
        </w:r>
      </w:hyperlink>
      <w:r w:rsidR="002D28AB">
        <w:rPr>
          <w:rFonts w:eastAsia="Aptos" w:cs="Arial"/>
          <w:noProof/>
          <w:sz w:val="22"/>
          <w:lang w:val="en-US"/>
        </w:rPr>
        <w:t xml:space="preserve"> </w:t>
      </w:r>
      <w:r w:rsidRPr="0056205A">
        <w:rPr>
          <w:rFonts w:eastAsia="Aptos" w:cs="Arial"/>
          <w:noProof/>
          <w:sz w:val="22"/>
          <w:lang w:val="en-US"/>
        </w:rPr>
        <w:t xml:space="preserve"> </w:t>
      </w:r>
    </w:p>
    <w:p w14:paraId="1D8ECD09" w14:textId="77777777" w:rsidR="00C55D62" w:rsidRPr="00075790" w:rsidRDefault="00C55D62" w:rsidP="0030178D">
      <w:pPr>
        <w:pStyle w:val="EndNoteBibliography"/>
        <w:spacing w:after="0"/>
        <w:ind w:left="720" w:hanging="720"/>
      </w:pPr>
    </w:p>
    <w:p w14:paraId="1F4F1D75" w14:textId="5606F33D" w:rsidR="0083066B" w:rsidRPr="0083066B" w:rsidRDefault="0083066B" w:rsidP="0083066B">
      <w:pPr>
        <w:spacing w:before="0" w:after="160"/>
        <w:ind w:left="720" w:hanging="720"/>
        <w:rPr>
          <w:rFonts w:eastAsia="Aptos" w:cs="Arial"/>
          <w:noProof/>
          <w:sz w:val="22"/>
          <w:lang w:val="en-US"/>
        </w:rPr>
      </w:pPr>
      <w:r w:rsidRPr="0083066B">
        <w:rPr>
          <w:rFonts w:eastAsia="Aptos" w:cs="Arial"/>
          <w:noProof/>
          <w:sz w:val="22"/>
          <w:lang w:val="en-US"/>
        </w:rPr>
        <w:t xml:space="preserve">Asmussen, K., Fischer, F., Drayton, E., &amp; McBride, T. (2020). </w:t>
      </w:r>
      <w:r w:rsidRPr="0083066B">
        <w:rPr>
          <w:rFonts w:eastAsia="Aptos" w:cs="Arial"/>
          <w:i/>
          <w:noProof/>
          <w:sz w:val="22"/>
          <w:lang w:val="en-US"/>
        </w:rPr>
        <w:t>Adverse childhood experiences: What we know, what we don’t know, and what should happen next</w:t>
      </w:r>
      <w:r w:rsidRPr="0083066B">
        <w:rPr>
          <w:rFonts w:eastAsia="Aptos" w:cs="Arial"/>
          <w:noProof/>
          <w:sz w:val="22"/>
          <w:lang w:val="en-US"/>
        </w:rPr>
        <w:t xml:space="preserve">. London, UK: Early Intervention Foundation. Retrieved 6 September, 2024 from </w:t>
      </w:r>
      <w:hyperlink r:id="rId81" w:history="1">
        <w:r w:rsidR="002D28AB" w:rsidRPr="00326476">
          <w:rPr>
            <w:rStyle w:val="Hyperlink"/>
            <w:rFonts w:eastAsia="Aptos" w:cs="Arial"/>
            <w:noProof/>
            <w:sz w:val="22"/>
            <w:lang w:val="en-US"/>
          </w:rPr>
          <w:t>https://www.eif.org.uk/report/adverse-childhood-experiences-what-we-know-what-we-dont-know-and-what-should-happen-next</w:t>
        </w:r>
      </w:hyperlink>
      <w:r w:rsidR="002D28AB">
        <w:rPr>
          <w:rFonts w:eastAsia="Aptos" w:cs="Arial"/>
          <w:noProof/>
          <w:sz w:val="22"/>
          <w:lang w:val="en-US"/>
        </w:rPr>
        <w:t xml:space="preserve"> </w:t>
      </w:r>
    </w:p>
    <w:p w14:paraId="54B64EC5" w14:textId="77777777" w:rsidR="00C55D62" w:rsidRPr="00075790" w:rsidRDefault="00C55D62" w:rsidP="0030178D">
      <w:pPr>
        <w:pStyle w:val="EndNoteBibliography"/>
        <w:spacing w:after="0"/>
        <w:ind w:left="720" w:hanging="720"/>
      </w:pPr>
    </w:p>
    <w:p w14:paraId="1CD78656" w14:textId="00BB72C3" w:rsidR="007354D9" w:rsidRPr="007354D9" w:rsidRDefault="007354D9" w:rsidP="007354D9">
      <w:pPr>
        <w:spacing w:before="0" w:after="160"/>
        <w:ind w:left="720" w:hanging="720"/>
        <w:rPr>
          <w:rFonts w:eastAsia="Aptos" w:cs="Arial"/>
          <w:noProof/>
          <w:sz w:val="22"/>
          <w:lang w:val="en-US"/>
        </w:rPr>
      </w:pPr>
      <w:r w:rsidRPr="007354D9">
        <w:rPr>
          <w:rFonts w:eastAsia="Aptos" w:cs="Arial"/>
          <w:noProof/>
          <w:sz w:val="22"/>
          <w:lang w:val="en-US"/>
        </w:rPr>
        <w:t xml:space="preserve">Astle, D. E., Holmes, J., Kievit, R., &amp; Gathercole, S. E. (2022). Annual Research Review: The transdiagnostic revolution in neurodevelopmental disorders. </w:t>
      </w:r>
      <w:r w:rsidRPr="007354D9">
        <w:rPr>
          <w:rFonts w:eastAsia="Aptos" w:cs="Arial"/>
          <w:i/>
          <w:noProof/>
          <w:sz w:val="22"/>
          <w:lang w:val="en-US"/>
        </w:rPr>
        <w:t>Journal of Child Psychology and Psychiatry</w:t>
      </w:r>
      <w:r w:rsidRPr="007354D9">
        <w:rPr>
          <w:rFonts w:eastAsia="Aptos" w:cs="Arial"/>
          <w:noProof/>
          <w:sz w:val="22"/>
          <w:lang w:val="en-US"/>
        </w:rPr>
        <w:t>,</w:t>
      </w:r>
      <w:r w:rsidRPr="007354D9">
        <w:rPr>
          <w:rFonts w:eastAsia="Aptos" w:cs="Arial"/>
          <w:i/>
          <w:noProof/>
          <w:sz w:val="22"/>
          <w:lang w:val="en-US"/>
        </w:rPr>
        <w:t xml:space="preserve"> 63</w:t>
      </w:r>
      <w:r w:rsidRPr="007354D9">
        <w:rPr>
          <w:rFonts w:eastAsia="Aptos" w:cs="Arial"/>
          <w:noProof/>
          <w:sz w:val="22"/>
          <w:lang w:val="en-US"/>
        </w:rPr>
        <w:t xml:space="preserve">(4), 397-417. </w:t>
      </w:r>
      <w:hyperlink r:id="rId82" w:history="1">
        <w:r w:rsidR="002D28AB" w:rsidRPr="00326476">
          <w:rPr>
            <w:rStyle w:val="Hyperlink"/>
            <w:rFonts w:eastAsia="Aptos" w:cs="Arial"/>
            <w:noProof/>
            <w:sz w:val="22"/>
            <w:lang w:val="en-US"/>
          </w:rPr>
          <w:t>https://doi.org/10.1111/jcpp.13481</w:t>
        </w:r>
      </w:hyperlink>
      <w:r w:rsidR="002D28AB">
        <w:rPr>
          <w:rFonts w:eastAsia="Aptos" w:cs="Arial"/>
          <w:noProof/>
          <w:sz w:val="22"/>
          <w:lang w:val="en-US"/>
        </w:rPr>
        <w:t xml:space="preserve"> </w:t>
      </w:r>
      <w:r w:rsidRPr="007354D9">
        <w:rPr>
          <w:rFonts w:eastAsia="Aptos" w:cs="Arial"/>
          <w:noProof/>
          <w:sz w:val="22"/>
          <w:lang w:val="en-US"/>
        </w:rPr>
        <w:t xml:space="preserve"> </w:t>
      </w:r>
    </w:p>
    <w:p w14:paraId="225267C8" w14:textId="77777777" w:rsidR="00C55D62" w:rsidRPr="00075790" w:rsidRDefault="00C55D62" w:rsidP="0030178D">
      <w:pPr>
        <w:pStyle w:val="EndNoteBibliography"/>
        <w:spacing w:after="0"/>
        <w:ind w:left="720" w:hanging="720"/>
      </w:pPr>
    </w:p>
    <w:p w14:paraId="62F891C1" w14:textId="423FCC44" w:rsidR="00633517" w:rsidRDefault="00633517" w:rsidP="00633517">
      <w:pPr>
        <w:spacing w:before="0" w:after="160"/>
        <w:ind w:left="720" w:hanging="720"/>
        <w:rPr>
          <w:rFonts w:eastAsia="Aptos" w:cs="Arial"/>
          <w:noProof/>
          <w:sz w:val="22"/>
          <w:lang w:val="en-US"/>
        </w:rPr>
      </w:pPr>
      <w:r w:rsidRPr="00633517">
        <w:rPr>
          <w:rFonts w:eastAsia="Aptos" w:cs="Arial"/>
          <w:noProof/>
          <w:sz w:val="22"/>
          <w:lang w:val="it-IT"/>
        </w:rPr>
        <w:t xml:space="preserve">Atzil, S., Gao, W., Fradkin, I., &amp; Barrett, L. F. (2018). </w:t>
      </w:r>
      <w:r w:rsidRPr="00633517">
        <w:rPr>
          <w:rFonts w:eastAsia="Aptos" w:cs="Arial"/>
          <w:noProof/>
          <w:sz w:val="22"/>
          <w:lang w:val="en-US"/>
        </w:rPr>
        <w:t xml:space="preserve">Growing a social brain. </w:t>
      </w:r>
      <w:r w:rsidRPr="00633517">
        <w:rPr>
          <w:rFonts w:eastAsia="Aptos" w:cs="Arial"/>
          <w:i/>
          <w:noProof/>
          <w:sz w:val="22"/>
          <w:lang w:val="en-US"/>
        </w:rPr>
        <w:t>Nature human behaviour</w:t>
      </w:r>
      <w:r w:rsidRPr="00633517">
        <w:rPr>
          <w:rFonts w:eastAsia="Aptos" w:cs="Arial"/>
          <w:noProof/>
          <w:sz w:val="22"/>
          <w:lang w:val="en-US"/>
        </w:rPr>
        <w:t>,</w:t>
      </w:r>
      <w:r w:rsidRPr="00633517">
        <w:rPr>
          <w:rFonts w:eastAsia="Aptos" w:cs="Arial"/>
          <w:i/>
          <w:noProof/>
          <w:sz w:val="22"/>
          <w:lang w:val="en-US"/>
        </w:rPr>
        <w:t xml:space="preserve"> 2</w:t>
      </w:r>
      <w:r w:rsidRPr="00633517">
        <w:rPr>
          <w:rFonts w:eastAsia="Aptos" w:cs="Arial"/>
          <w:noProof/>
          <w:sz w:val="22"/>
          <w:lang w:val="en-US"/>
        </w:rPr>
        <w:t xml:space="preserve">(9), 624-636. </w:t>
      </w:r>
      <w:hyperlink r:id="rId83" w:history="1">
        <w:r w:rsidR="002D28AB" w:rsidRPr="00326476">
          <w:rPr>
            <w:rStyle w:val="Hyperlink"/>
            <w:rFonts w:eastAsia="Aptos" w:cs="Arial"/>
            <w:noProof/>
            <w:sz w:val="22"/>
            <w:lang w:val="en-US"/>
          </w:rPr>
          <w:t>https://doi.org/10.1038/s41562-018-0384-6</w:t>
        </w:r>
      </w:hyperlink>
      <w:r w:rsidR="002D28AB">
        <w:rPr>
          <w:rFonts w:eastAsia="Aptos" w:cs="Arial"/>
          <w:noProof/>
          <w:sz w:val="22"/>
          <w:lang w:val="en-US"/>
        </w:rPr>
        <w:t xml:space="preserve"> </w:t>
      </w:r>
      <w:r w:rsidRPr="00633517">
        <w:rPr>
          <w:rFonts w:eastAsia="Aptos" w:cs="Arial"/>
          <w:noProof/>
          <w:sz w:val="22"/>
          <w:lang w:val="en-US"/>
        </w:rPr>
        <w:t xml:space="preserve"> </w:t>
      </w:r>
    </w:p>
    <w:p w14:paraId="6099299B" w14:textId="77777777" w:rsidR="00B66875" w:rsidRPr="00633517" w:rsidRDefault="00B66875" w:rsidP="00633517">
      <w:pPr>
        <w:spacing w:before="0" w:after="160"/>
        <w:ind w:left="720" w:hanging="720"/>
        <w:rPr>
          <w:rFonts w:eastAsia="Aptos" w:cs="Arial"/>
          <w:noProof/>
          <w:sz w:val="22"/>
          <w:lang w:val="en-US"/>
        </w:rPr>
      </w:pPr>
    </w:p>
    <w:p w14:paraId="439E7945" w14:textId="326DA3A5" w:rsidR="00EA1C7E" w:rsidRDefault="00EA1C7E" w:rsidP="00EA1C7E">
      <w:pPr>
        <w:spacing w:before="0" w:after="160"/>
        <w:ind w:left="720" w:hanging="720"/>
        <w:rPr>
          <w:rFonts w:eastAsia="Aptos" w:cs="Arial"/>
          <w:noProof/>
          <w:sz w:val="22"/>
          <w:lang w:val="en-US"/>
        </w:rPr>
      </w:pPr>
      <w:r w:rsidRPr="00EA1C7E">
        <w:rPr>
          <w:rFonts w:eastAsia="Aptos" w:cs="Arial"/>
          <w:noProof/>
          <w:sz w:val="22"/>
          <w:lang w:val="en-US"/>
        </w:rPr>
        <w:t xml:space="preserve">Australian Cerebral Palsy Register (ACPR) Group. (2018). </w:t>
      </w:r>
      <w:r w:rsidRPr="00EA1C7E">
        <w:rPr>
          <w:rFonts w:eastAsia="Aptos" w:cs="Arial"/>
          <w:i/>
          <w:noProof/>
          <w:sz w:val="22"/>
          <w:lang w:val="en-US"/>
        </w:rPr>
        <w:t>Australian Cerebral Palsy Register report 2018.</w:t>
      </w:r>
      <w:r w:rsidRPr="00EA1C7E">
        <w:rPr>
          <w:rFonts w:eastAsia="Aptos" w:cs="Arial"/>
          <w:noProof/>
          <w:sz w:val="22"/>
          <w:lang w:val="en-US"/>
        </w:rPr>
        <w:t xml:space="preserve"> Sydney, NSW: Cerebral Palsy Alliance Research Institute. Retrieved September 6, 2024 from </w:t>
      </w:r>
      <w:hyperlink r:id="rId84" w:history="1">
        <w:r w:rsidR="00B66875" w:rsidRPr="00326476">
          <w:rPr>
            <w:rStyle w:val="Hyperlink"/>
            <w:rFonts w:eastAsia="Aptos" w:cs="Arial"/>
            <w:noProof/>
            <w:sz w:val="22"/>
            <w:lang w:val="en-US"/>
          </w:rPr>
          <w:t>https://cpregister.com/wp-content/uploads/2019/02/Report-of-the-Australian-Cerebral-PalsyRegister-Birth-Years-1995-2012.pdf</w:t>
        </w:r>
      </w:hyperlink>
      <w:r w:rsidRPr="00EA1C7E">
        <w:rPr>
          <w:rFonts w:eastAsia="Aptos" w:cs="Arial"/>
          <w:noProof/>
          <w:sz w:val="22"/>
          <w:lang w:val="en-US"/>
        </w:rPr>
        <w:t xml:space="preserve"> </w:t>
      </w:r>
    </w:p>
    <w:p w14:paraId="07CEC78F" w14:textId="77777777" w:rsidR="00B66875" w:rsidRPr="00EA1C7E" w:rsidRDefault="00B66875" w:rsidP="00EA1C7E">
      <w:pPr>
        <w:spacing w:before="0" w:after="160"/>
        <w:ind w:left="720" w:hanging="720"/>
        <w:rPr>
          <w:rFonts w:eastAsia="Aptos" w:cs="Arial"/>
          <w:noProof/>
          <w:sz w:val="22"/>
          <w:lang w:val="en-US"/>
        </w:rPr>
      </w:pPr>
    </w:p>
    <w:p w14:paraId="61AF4221" w14:textId="38A332C5" w:rsidR="00EA7BC6" w:rsidRPr="00EA7BC6" w:rsidRDefault="00EA7BC6" w:rsidP="00EA7BC6">
      <w:pPr>
        <w:spacing w:before="0" w:after="160"/>
        <w:ind w:left="720" w:hanging="720"/>
        <w:rPr>
          <w:rFonts w:eastAsia="Aptos" w:cs="Arial"/>
          <w:noProof/>
          <w:sz w:val="22"/>
          <w:lang w:val="en-US"/>
        </w:rPr>
      </w:pPr>
      <w:r w:rsidRPr="00EA7BC6">
        <w:rPr>
          <w:rFonts w:eastAsia="Aptos" w:cs="Arial"/>
          <w:noProof/>
          <w:sz w:val="22"/>
          <w:lang w:val="en-US"/>
        </w:rPr>
        <w:t xml:space="preserve">Australian Council of Social Services. (2023). </w:t>
      </w:r>
      <w:r w:rsidRPr="00EA7BC6">
        <w:rPr>
          <w:rFonts w:eastAsia="Aptos" w:cs="Arial"/>
          <w:i/>
          <w:noProof/>
          <w:sz w:val="22"/>
          <w:lang w:val="en-US"/>
        </w:rPr>
        <w:t>Inequality in Australia 2023: Overview</w:t>
      </w:r>
      <w:r w:rsidRPr="00EA7BC6">
        <w:rPr>
          <w:rFonts w:eastAsia="Aptos" w:cs="Arial"/>
          <w:noProof/>
          <w:sz w:val="22"/>
          <w:lang w:val="en-US"/>
        </w:rPr>
        <w:t xml:space="preserve">. Strawberry Hills, NSW: Australian Council of Social Service. Retrieved September 6, 2024,  </w:t>
      </w:r>
      <w:hyperlink r:id="rId85" w:history="1">
        <w:r w:rsidR="002D28AB" w:rsidRPr="00326476">
          <w:rPr>
            <w:rStyle w:val="Hyperlink"/>
            <w:rFonts w:eastAsia="Aptos" w:cs="Arial"/>
            <w:noProof/>
            <w:sz w:val="22"/>
            <w:lang w:val="en-US"/>
          </w:rPr>
          <w:t>https://povertyandinequality.acoss.org.au/inequality_in_australia_2023_overview/</w:t>
        </w:r>
      </w:hyperlink>
      <w:r w:rsidR="002D28AB">
        <w:rPr>
          <w:rFonts w:eastAsia="Aptos" w:cs="Arial"/>
          <w:noProof/>
          <w:sz w:val="22"/>
          <w:lang w:val="en-US"/>
        </w:rPr>
        <w:t xml:space="preserve"> </w:t>
      </w:r>
    </w:p>
    <w:p w14:paraId="1B88DE55" w14:textId="77777777" w:rsidR="00EA7BC6" w:rsidRPr="00EA7BC6" w:rsidRDefault="00EA7BC6" w:rsidP="00EA7BC6">
      <w:pPr>
        <w:spacing w:before="0" w:after="0"/>
        <w:ind w:left="720" w:hanging="720"/>
        <w:rPr>
          <w:rFonts w:eastAsia="Aptos" w:cs="Arial"/>
          <w:noProof/>
          <w:sz w:val="22"/>
          <w:lang w:val="en-US"/>
        </w:rPr>
      </w:pPr>
      <w:r w:rsidRPr="00EA7BC6">
        <w:rPr>
          <w:rFonts w:eastAsia="Aptos" w:cs="Arial"/>
          <w:noProof/>
          <w:sz w:val="22"/>
          <w:lang w:val="en-US"/>
        </w:rPr>
        <w:tab/>
      </w:r>
    </w:p>
    <w:p w14:paraId="6CC61D65" w14:textId="28D7AE3D" w:rsidR="00EA7BC6" w:rsidRDefault="00EA7BC6" w:rsidP="00EA7BC6">
      <w:pPr>
        <w:spacing w:before="0" w:after="160"/>
        <w:ind w:left="720" w:hanging="720"/>
        <w:rPr>
          <w:rFonts w:eastAsia="Aptos" w:cs="Arial"/>
          <w:noProof/>
          <w:sz w:val="22"/>
          <w:lang w:val="en-US"/>
        </w:rPr>
      </w:pPr>
      <w:r w:rsidRPr="00EA7BC6">
        <w:rPr>
          <w:rFonts w:eastAsia="Aptos" w:cs="Arial"/>
          <w:noProof/>
          <w:sz w:val="22"/>
          <w:lang w:val="en-US"/>
        </w:rPr>
        <w:t xml:space="preserve">Australian Council of Social Services (ACOSS). (2015). </w:t>
      </w:r>
      <w:r w:rsidRPr="00EA7BC6">
        <w:rPr>
          <w:rFonts w:eastAsia="Aptos" w:cs="Arial"/>
          <w:i/>
          <w:noProof/>
          <w:sz w:val="22"/>
          <w:lang w:val="en-US"/>
        </w:rPr>
        <w:t>Inequality in Australia: A Nation Divided</w:t>
      </w:r>
      <w:r w:rsidRPr="00EA7BC6">
        <w:rPr>
          <w:rFonts w:eastAsia="Aptos" w:cs="Arial"/>
          <w:noProof/>
          <w:sz w:val="22"/>
          <w:lang w:val="en-US"/>
        </w:rPr>
        <w:t xml:space="preserve">. Strawberry Hills, NSW: Australian Council of Social Services. Retrieved September 6, 2024,  </w:t>
      </w:r>
      <w:hyperlink r:id="rId86" w:history="1">
        <w:r w:rsidR="009008D2" w:rsidRPr="00326476">
          <w:rPr>
            <w:rStyle w:val="Hyperlink"/>
            <w:rFonts w:eastAsia="Aptos" w:cs="Arial"/>
            <w:noProof/>
            <w:sz w:val="22"/>
            <w:lang w:val="en-US"/>
          </w:rPr>
          <w:t>https://acoss.org.au/images/uploads/Inequality_in_Australia_FINAL.pdf</w:t>
        </w:r>
      </w:hyperlink>
    </w:p>
    <w:p w14:paraId="625B7E2B" w14:textId="77777777" w:rsidR="009008D2" w:rsidRPr="00EA7BC6" w:rsidRDefault="009008D2" w:rsidP="00EA7BC6">
      <w:pPr>
        <w:spacing w:before="0" w:after="160"/>
        <w:ind w:left="720" w:hanging="720"/>
        <w:rPr>
          <w:rFonts w:eastAsia="Aptos" w:cs="Arial"/>
          <w:noProof/>
          <w:sz w:val="22"/>
          <w:lang w:val="en-US"/>
        </w:rPr>
      </w:pPr>
    </w:p>
    <w:p w14:paraId="2C08553B" w14:textId="63030E93" w:rsidR="00230126" w:rsidRPr="00230126" w:rsidRDefault="00230126" w:rsidP="00230126">
      <w:pPr>
        <w:spacing w:before="0" w:after="160"/>
        <w:ind w:left="720" w:hanging="720"/>
        <w:rPr>
          <w:rFonts w:eastAsia="Aptos" w:cs="Arial"/>
          <w:noProof/>
          <w:sz w:val="22"/>
          <w:lang w:val="en-US"/>
        </w:rPr>
      </w:pPr>
      <w:r w:rsidRPr="00230126">
        <w:rPr>
          <w:rFonts w:eastAsia="Aptos" w:cs="Arial"/>
          <w:noProof/>
          <w:sz w:val="22"/>
          <w:lang w:val="en-US"/>
        </w:rPr>
        <w:t xml:space="preserve">Australian Government. (2023). </w:t>
      </w:r>
      <w:r w:rsidRPr="00230126">
        <w:rPr>
          <w:rFonts w:eastAsia="Aptos" w:cs="Arial"/>
          <w:i/>
          <w:noProof/>
          <w:sz w:val="22"/>
          <w:lang w:val="en-US"/>
        </w:rPr>
        <w:t>Improving outcomes for all: The report of the independent expert panel’s review to inform a better and fairer education system</w:t>
      </w:r>
      <w:r w:rsidRPr="00230126">
        <w:rPr>
          <w:rFonts w:eastAsia="Aptos" w:cs="Arial"/>
          <w:noProof/>
          <w:sz w:val="22"/>
          <w:lang w:val="en-US"/>
        </w:rPr>
        <w:t xml:space="preserve">. Canberra, ACT: Department of Education. Retrieved 6 September, 2024 from </w:t>
      </w:r>
      <w:hyperlink r:id="rId87" w:history="1">
        <w:r w:rsidR="002D28AB" w:rsidRPr="00326476">
          <w:rPr>
            <w:rStyle w:val="Hyperlink"/>
            <w:rFonts w:eastAsia="Aptos" w:cs="Arial"/>
            <w:noProof/>
            <w:sz w:val="22"/>
            <w:lang w:val="en-US"/>
          </w:rPr>
          <w:t>https://www.education.gov.au/review-inform-better-and-fairer-education-system/resources/expert-panels-report</w:t>
        </w:r>
      </w:hyperlink>
      <w:r w:rsidR="002D28AB">
        <w:rPr>
          <w:rFonts w:eastAsia="Aptos" w:cs="Arial"/>
          <w:noProof/>
          <w:sz w:val="22"/>
          <w:lang w:val="en-US"/>
        </w:rPr>
        <w:t xml:space="preserve"> </w:t>
      </w:r>
    </w:p>
    <w:p w14:paraId="56BA8875" w14:textId="77777777" w:rsidR="00230126" w:rsidRPr="00230126" w:rsidRDefault="00230126" w:rsidP="00230126">
      <w:pPr>
        <w:spacing w:before="0" w:after="0"/>
        <w:ind w:left="720" w:hanging="720"/>
        <w:rPr>
          <w:rFonts w:eastAsia="Aptos" w:cs="Arial"/>
          <w:noProof/>
          <w:sz w:val="22"/>
          <w:lang w:val="en-US"/>
        </w:rPr>
      </w:pPr>
      <w:r w:rsidRPr="00230126">
        <w:rPr>
          <w:rFonts w:eastAsia="Aptos" w:cs="Arial"/>
          <w:noProof/>
          <w:sz w:val="22"/>
          <w:lang w:val="en-US"/>
        </w:rPr>
        <w:tab/>
      </w:r>
    </w:p>
    <w:p w14:paraId="4D11CA0B" w14:textId="5E1EC646" w:rsidR="00230126" w:rsidRPr="00230126" w:rsidRDefault="00230126" w:rsidP="00230126">
      <w:pPr>
        <w:spacing w:before="0" w:after="160"/>
        <w:ind w:left="720" w:hanging="720"/>
        <w:rPr>
          <w:rFonts w:eastAsia="Aptos" w:cs="Arial"/>
          <w:noProof/>
          <w:sz w:val="22"/>
          <w:lang w:val="en-US"/>
        </w:rPr>
      </w:pPr>
      <w:r w:rsidRPr="00230126">
        <w:rPr>
          <w:rFonts w:eastAsia="Aptos" w:cs="Arial"/>
          <w:noProof/>
          <w:sz w:val="22"/>
          <w:lang w:val="en-US"/>
        </w:rPr>
        <w:t xml:space="preserve">Australian Government, &amp; Coalition of Aboriginal and Torres Strait Islander Peak Organisations. (2020). </w:t>
      </w:r>
      <w:r w:rsidRPr="00230126">
        <w:rPr>
          <w:rFonts w:eastAsia="Aptos" w:cs="Arial"/>
          <w:i/>
          <w:noProof/>
          <w:sz w:val="22"/>
          <w:lang w:val="en-US"/>
        </w:rPr>
        <w:t>National agreement on closing the gap</w:t>
      </w:r>
      <w:r w:rsidRPr="00230126">
        <w:rPr>
          <w:rFonts w:eastAsia="Aptos" w:cs="Arial"/>
          <w:noProof/>
          <w:sz w:val="22"/>
          <w:lang w:val="en-US"/>
        </w:rPr>
        <w:t xml:space="preserve">. Department of the Prime Minister and Cabinet. Retrieved 6 September, 2024 from </w:t>
      </w:r>
      <w:hyperlink r:id="rId88" w:history="1">
        <w:r w:rsidR="002D28AB" w:rsidRPr="00326476">
          <w:rPr>
            <w:rStyle w:val="Hyperlink"/>
            <w:rFonts w:eastAsia="Aptos" w:cs="Arial"/>
            <w:noProof/>
            <w:sz w:val="22"/>
            <w:lang w:val="en-US"/>
          </w:rPr>
          <w:t>https://www.closingthegap.gov.au/resources</w:t>
        </w:r>
      </w:hyperlink>
      <w:r w:rsidR="002D28AB">
        <w:rPr>
          <w:rFonts w:eastAsia="Aptos" w:cs="Arial"/>
          <w:noProof/>
          <w:sz w:val="22"/>
          <w:lang w:val="en-US"/>
        </w:rPr>
        <w:t xml:space="preserve"> </w:t>
      </w:r>
    </w:p>
    <w:p w14:paraId="3E80E429" w14:textId="77777777" w:rsidR="00230126" w:rsidRPr="00230126" w:rsidRDefault="00230126" w:rsidP="00230126">
      <w:pPr>
        <w:spacing w:before="0" w:after="0"/>
        <w:ind w:left="720" w:hanging="720"/>
        <w:rPr>
          <w:rFonts w:eastAsia="Aptos" w:cs="Arial"/>
          <w:noProof/>
          <w:sz w:val="22"/>
          <w:lang w:val="en-US"/>
        </w:rPr>
      </w:pPr>
      <w:r w:rsidRPr="00230126">
        <w:rPr>
          <w:rFonts w:eastAsia="Aptos" w:cs="Arial"/>
          <w:noProof/>
          <w:sz w:val="22"/>
          <w:lang w:val="en-US"/>
        </w:rPr>
        <w:tab/>
      </w:r>
    </w:p>
    <w:p w14:paraId="71BDBC67" w14:textId="033C912A" w:rsidR="00230126" w:rsidRDefault="00230126" w:rsidP="00230126">
      <w:pPr>
        <w:spacing w:before="0" w:after="160"/>
        <w:ind w:left="720" w:hanging="720"/>
        <w:rPr>
          <w:rFonts w:eastAsia="Aptos" w:cs="Arial"/>
          <w:noProof/>
          <w:sz w:val="22"/>
          <w:lang w:val="en-US"/>
        </w:rPr>
      </w:pPr>
      <w:r w:rsidRPr="00230126">
        <w:rPr>
          <w:rFonts w:eastAsia="Aptos" w:cs="Arial"/>
          <w:noProof/>
          <w:sz w:val="22"/>
          <w:lang w:val="en-US"/>
        </w:rPr>
        <w:t xml:space="preserve">Australian Government, &amp; Department of Education. (2022). </w:t>
      </w:r>
      <w:r w:rsidRPr="00230126">
        <w:rPr>
          <w:rFonts w:eastAsia="Aptos" w:cs="Arial"/>
          <w:i/>
          <w:noProof/>
          <w:sz w:val="22"/>
          <w:lang w:val="en-US"/>
        </w:rPr>
        <w:t>Belonging, being and becoming: the early years learning framework for Australia (V2.0)</w:t>
      </w:r>
      <w:r w:rsidRPr="00230126">
        <w:rPr>
          <w:rFonts w:eastAsia="Aptos" w:cs="Arial"/>
          <w:noProof/>
          <w:sz w:val="22"/>
          <w:lang w:val="en-US"/>
        </w:rPr>
        <w:t xml:space="preserve">. Canberra, ACT: Australian Government Department of Education for the Ministerial Council. Retrieved September 6, 2024,  </w:t>
      </w:r>
      <w:hyperlink r:id="rId89" w:history="1">
        <w:r w:rsidR="009008D2" w:rsidRPr="00326476">
          <w:rPr>
            <w:rStyle w:val="Hyperlink"/>
            <w:rFonts w:eastAsia="Aptos" w:cs="Arial"/>
            <w:noProof/>
            <w:sz w:val="22"/>
            <w:lang w:val="en-US"/>
          </w:rPr>
          <w:t>https://www.acecqa.gov.au/sites/default/files/2023-01/EYLF-2022-V2.0.pdf</w:t>
        </w:r>
      </w:hyperlink>
    </w:p>
    <w:p w14:paraId="029E80EA" w14:textId="77777777" w:rsidR="009008D2" w:rsidRPr="00230126" w:rsidRDefault="009008D2" w:rsidP="00230126">
      <w:pPr>
        <w:spacing w:before="0" w:after="160"/>
        <w:ind w:left="720" w:hanging="720"/>
        <w:rPr>
          <w:rFonts w:eastAsia="Aptos" w:cs="Arial"/>
          <w:noProof/>
          <w:sz w:val="22"/>
          <w:lang w:val="en-US"/>
        </w:rPr>
      </w:pPr>
    </w:p>
    <w:p w14:paraId="65063ADD" w14:textId="513D2EEB" w:rsidR="003265DB" w:rsidRPr="003265DB" w:rsidRDefault="003265DB" w:rsidP="003265DB">
      <w:pPr>
        <w:spacing w:before="0" w:after="160"/>
        <w:ind w:left="720" w:hanging="720"/>
        <w:rPr>
          <w:rFonts w:eastAsia="Aptos" w:cs="Arial"/>
          <w:noProof/>
          <w:sz w:val="22"/>
          <w:lang w:val="en-US"/>
        </w:rPr>
      </w:pPr>
      <w:r w:rsidRPr="003265DB">
        <w:rPr>
          <w:rFonts w:eastAsia="Aptos" w:cs="Arial"/>
          <w:noProof/>
          <w:sz w:val="22"/>
          <w:lang w:val="en-US"/>
        </w:rPr>
        <w:t xml:space="preserve">Australian Government, &amp; National Indigenous Australians Agency. (2020). </w:t>
      </w:r>
      <w:r w:rsidRPr="003265DB">
        <w:rPr>
          <w:rFonts w:eastAsia="Aptos" w:cs="Arial"/>
          <w:i/>
          <w:noProof/>
          <w:sz w:val="22"/>
          <w:lang w:val="en-US"/>
        </w:rPr>
        <w:t>Framework to inform the development of a National Aboriginal and Torres Strait Islander Early Childhood Strategy</w:t>
      </w:r>
      <w:r w:rsidRPr="003265DB">
        <w:rPr>
          <w:rFonts w:eastAsia="Aptos" w:cs="Arial"/>
          <w:noProof/>
          <w:sz w:val="22"/>
          <w:lang w:val="en-US"/>
        </w:rPr>
        <w:t xml:space="preserve">. SNAICC. Retrieved 6 September, 2024 from </w:t>
      </w:r>
      <w:hyperlink r:id="rId90" w:history="1">
        <w:r w:rsidR="000E11F2" w:rsidRPr="00326476">
          <w:rPr>
            <w:rStyle w:val="Hyperlink"/>
            <w:rFonts w:eastAsia="Aptos" w:cs="Arial"/>
            <w:noProof/>
            <w:sz w:val="22"/>
            <w:lang w:val="en-US"/>
          </w:rPr>
          <w:t>https://www.snaicc.org.au/resources/framework-to-inform-the-development-of-a-national-aboriginal-and-torres-strait-islander-early-childhood-strategy/</w:t>
        </w:r>
      </w:hyperlink>
      <w:r w:rsidR="000E11F2">
        <w:rPr>
          <w:rFonts w:eastAsia="Aptos" w:cs="Arial"/>
          <w:noProof/>
          <w:sz w:val="22"/>
          <w:lang w:val="en-US"/>
        </w:rPr>
        <w:t xml:space="preserve"> </w:t>
      </w:r>
    </w:p>
    <w:p w14:paraId="3B0D2F84" w14:textId="77777777" w:rsidR="003265DB" w:rsidRPr="003265DB" w:rsidRDefault="003265DB" w:rsidP="003265DB">
      <w:pPr>
        <w:spacing w:before="0" w:after="0"/>
        <w:ind w:left="720" w:hanging="720"/>
        <w:rPr>
          <w:rFonts w:eastAsia="Aptos" w:cs="Arial"/>
          <w:noProof/>
          <w:sz w:val="22"/>
          <w:lang w:val="en-US"/>
        </w:rPr>
      </w:pPr>
      <w:r w:rsidRPr="003265DB">
        <w:rPr>
          <w:rFonts w:eastAsia="Aptos" w:cs="Arial"/>
          <w:noProof/>
          <w:sz w:val="22"/>
          <w:lang w:val="en-US"/>
        </w:rPr>
        <w:tab/>
      </w:r>
    </w:p>
    <w:p w14:paraId="03E49EC4" w14:textId="3F6A30A9" w:rsidR="003265DB" w:rsidRPr="003265DB" w:rsidRDefault="003265DB" w:rsidP="003265DB">
      <w:pPr>
        <w:spacing w:before="0" w:after="160"/>
        <w:ind w:left="720" w:hanging="720"/>
        <w:rPr>
          <w:rFonts w:eastAsia="Aptos" w:cs="Arial"/>
          <w:noProof/>
          <w:sz w:val="22"/>
          <w:lang w:val="en-US"/>
        </w:rPr>
      </w:pPr>
      <w:r w:rsidRPr="003265DB">
        <w:rPr>
          <w:rFonts w:eastAsia="Aptos" w:cs="Arial"/>
          <w:noProof/>
          <w:sz w:val="22"/>
          <w:lang w:val="en-US"/>
        </w:rPr>
        <w:t xml:space="preserve">Australian Human Rights Commission. (2019). </w:t>
      </w:r>
      <w:r w:rsidRPr="003265DB">
        <w:rPr>
          <w:rFonts w:eastAsia="Aptos" w:cs="Arial"/>
          <w:i/>
          <w:noProof/>
          <w:sz w:val="22"/>
          <w:lang w:val="en-US"/>
        </w:rPr>
        <w:t>National Principles for Child Safe Organisations.</w:t>
      </w:r>
      <w:r w:rsidRPr="003265DB">
        <w:rPr>
          <w:rFonts w:eastAsia="Aptos" w:cs="Arial"/>
          <w:noProof/>
          <w:sz w:val="22"/>
          <w:lang w:val="en-US"/>
        </w:rPr>
        <w:t xml:space="preserve"> Sydney, NSW: Australian Human Rights Commission. Retrieved September 6, 2024,  </w:t>
      </w:r>
      <w:hyperlink r:id="rId91" w:history="1">
        <w:r w:rsidR="000E11F2" w:rsidRPr="00326476">
          <w:rPr>
            <w:rStyle w:val="Hyperlink"/>
            <w:rFonts w:eastAsia="Aptos" w:cs="Arial"/>
            <w:noProof/>
            <w:sz w:val="22"/>
            <w:lang w:val="en-US"/>
          </w:rPr>
          <w:t>https://childsafe.humanrights.gov.au/sites/default/files/201902/National_Principles_for_Child_Safe_Organisations2019.pdf</w:t>
        </w:r>
      </w:hyperlink>
      <w:r w:rsidR="000E11F2">
        <w:rPr>
          <w:rFonts w:eastAsia="Aptos" w:cs="Arial"/>
          <w:noProof/>
          <w:sz w:val="22"/>
          <w:lang w:val="en-US"/>
        </w:rPr>
        <w:t xml:space="preserve"> </w:t>
      </w:r>
      <w:r w:rsidRPr="003265DB">
        <w:rPr>
          <w:rFonts w:eastAsia="Aptos" w:cs="Arial"/>
          <w:noProof/>
          <w:sz w:val="22"/>
          <w:lang w:val="en-US"/>
        </w:rPr>
        <w:t xml:space="preserve"> </w:t>
      </w:r>
    </w:p>
    <w:p w14:paraId="74AB8770" w14:textId="77777777" w:rsidR="003265DB" w:rsidRPr="003265DB" w:rsidRDefault="003265DB" w:rsidP="003265DB">
      <w:pPr>
        <w:spacing w:before="0" w:after="0"/>
        <w:ind w:left="720" w:hanging="720"/>
        <w:rPr>
          <w:rFonts w:eastAsia="Aptos" w:cs="Arial"/>
          <w:noProof/>
          <w:sz w:val="22"/>
          <w:lang w:val="en-US"/>
        </w:rPr>
      </w:pPr>
      <w:r w:rsidRPr="003265DB">
        <w:rPr>
          <w:rFonts w:eastAsia="Aptos" w:cs="Arial"/>
          <w:noProof/>
          <w:sz w:val="22"/>
          <w:lang w:val="en-US"/>
        </w:rPr>
        <w:tab/>
      </w:r>
    </w:p>
    <w:p w14:paraId="7377C367" w14:textId="25545C33" w:rsidR="003265DB" w:rsidRDefault="003265DB" w:rsidP="003265DB">
      <w:pPr>
        <w:spacing w:before="0" w:after="160"/>
        <w:ind w:left="720" w:hanging="720"/>
        <w:rPr>
          <w:rFonts w:eastAsia="Aptos" w:cs="Arial"/>
          <w:noProof/>
          <w:sz w:val="22"/>
          <w:lang w:val="en-US"/>
        </w:rPr>
      </w:pPr>
      <w:r w:rsidRPr="003265DB">
        <w:rPr>
          <w:rFonts w:eastAsia="Aptos" w:cs="Arial"/>
          <w:noProof/>
          <w:sz w:val="22"/>
          <w:lang w:val="en-US"/>
        </w:rPr>
        <w:t xml:space="preserve">Australian Prevention Partnership Centre and CERI. (2022). </w:t>
      </w:r>
      <w:r w:rsidRPr="003265DB">
        <w:rPr>
          <w:rFonts w:eastAsia="Aptos" w:cs="Arial"/>
          <w:i/>
          <w:noProof/>
          <w:sz w:val="22"/>
          <w:lang w:val="en-US"/>
        </w:rPr>
        <w:t>Why invest in prevention in the first 2000 days?</w:t>
      </w:r>
      <w:r w:rsidRPr="003265DB">
        <w:rPr>
          <w:rFonts w:eastAsia="Aptos" w:cs="Arial"/>
          <w:noProof/>
          <w:sz w:val="22"/>
          <w:lang w:val="en-US"/>
        </w:rPr>
        <w:t xml:space="preserve"> Sydney, Australia: The Australian Prevention Partnership Centre. Retrieved September 6, 2024, </w:t>
      </w:r>
      <w:hyperlink r:id="rId92" w:history="1">
        <w:r w:rsidR="00C6261C" w:rsidRPr="00326476">
          <w:rPr>
            <w:rStyle w:val="Hyperlink"/>
            <w:rFonts w:eastAsia="Aptos" w:cs="Arial"/>
            <w:noProof/>
            <w:sz w:val="22"/>
            <w:lang w:val="en-US"/>
          </w:rPr>
          <w:t>https://preventioncentre.org.au/wp-content/uploads/2022/08/First-2000-days-Policy-BriefFINAL.pdf</w:t>
        </w:r>
      </w:hyperlink>
      <w:r w:rsidR="00C6261C">
        <w:rPr>
          <w:rFonts w:eastAsia="Aptos" w:cs="Arial"/>
          <w:noProof/>
          <w:sz w:val="22"/>
          <w:lang w:val="en-US"/>
        </w:rPr>
        <w:t xml:space="preserve"> </w:t>
      </w:r>
      <w:r w:rsidRPr="003265DB">
        <w:rPr>
          <w:rFonts w:eastAsia="Aptos" w:cs="Arial"/>
          <w:noProof/>
          <w:sz w:val="22"/>
          <w:lang w:val="en-US"/>
        </w:rPr>
        <w:t xml:space="preserve"> </w:t>
      </w:r>
    </w:p>
    <w:p w14:paraId="7ACE153C" w14:textId="77777777" w:rsidR="009008D2" w:rsidRPr="003265DB" w:rsidRDefault="009008D2" w:rsidP="003265DB">
      <w:pPr>
        <w:spacing w:before="0" w:after="160"/>
        <w:ind w:left="720" w:hanging="720"/>
        <w:rPr>
          <w:rFonts w:eastAsia="Aptos" w:cs="Arial"/>
          <w:noProof/>
          <w:sz w:val="22"/>
          <w:lang w:val="en-US"/>
        </w:rPr>
      </w:pPr>
    </w:p>
    <w:p w14:paraId="686CA0EF" w14:textId="30088A70" w:rsidR="00AC25B1" w:rsidRPr="00AC25B1" w:rsidRDefault="00AC25B1" w:rsidP="00AC25B1">
      <w:pPr>
        <w:spacing w:before="0" w:after="160"/>
        <w:ind w:left="720" w:hanging="720"/>
        <w:rPr>
          <w:rFonts w:eastAsia="Aptos" w:cs="Arial"/>
          <w:noProof/>
          <w:sz w:val="22"/>
          <w:lang w:val="en-US"/>
        </w:rPr>
      </w:pPr>
      <w:r w:rsidRPr="00AC25B1">
        <w:rPr>
          <w:rFonts w:eastAsia="Aptos" w:cs="Arial"/>
          <w:noProof/>
          <w:sz w:val="22"/>
          <w:lang w:val="en-US"/>
        </w:rPr>
        <w:t xml:space="preserve">Autism CRC. (2023). </w:t>
      </w:r>
      <w:r w:rsidRPr="00AC25B1">
        <w:rPr>
          <w:rFonts w:eastAsia="Aptos" w:cs="Arial"/>
          <w:i/>
          <w:noProof/>
          <w:sz w:val="22"/>
          <w:lang w:val="en-US"/>
        </w:rPr>
        <w:t>National Guideline for the assessment and diagnosis of autism in Australia</w:t>
      </w:r>
      <w:r w:rsidRPr="00AC25B1">
        <w:rPr>
          <w:rFonts w:eastAsia="Aptos" w:cs="Arial"/>
          <w:noProof/>
          <w:sz w:val="22"/>
          <w:lang w:val="en-US"/>
        </w:rPr>
        <w:t xml:space="preserve">. Brisbane, QLD: Autism CRC. Retrieved 6 September, 2024 from </w:t>
      </w:r>
      <w:hyperlink r:id="rId93" w:history="1">
        <w:r w:rsidR="00C6261C" w:rsidRPr="00326476">
          <w:rPr>
            <w:rStyle w:val="Hyperlink"/>
            <w:rFonts w:eastAsia="Aptos" w:cs="Arial"/>
            <w:noProof/>
            <w:sz w:val="22"/>
            <w:lang w:val="en-US"/>
          </w:rPr>
          <w:t>https://www.autismcrc.com.au/best-practice/assessment-and-diagnosis</w:t>
        </w:r>
      </w:hyperlink>
      <w:r w:rsidR="00C6261C">
        <w:rPr>
          <w:rFonts w:eastAsia="Aptos" w:cs="Arial"/>
          <w:noProof/>
          <w:sz w:val="22"/>
          <w:lang w:val="en-US"/>
        </w:rPr>
        <w:t xml:space="preserve"> </w:t>
      </w:r>
    </w:p>
    <w:p w14:paraId="2A66E304" w14:textId="77777777" w:rsidR="00AC25B1" w:rsidRPr="00AC25B1" w:rsidRDefault="00AC25B1" w:rsidP="00AC25B1">
      <w:pPr>
        <w:spacing w:before="0" w:after="0"/>
        <w:ind w:left="720" w:hanging="720"/>
        <w:rPr>
          <w:rFonts w:eastAsia="Aptos" w:cs="Arial"/>
          <w:noProof/>
          <w:sz w:val="22"/>
          <w:lang w:val="en-US"/>
        </w:rPr>
      </w:pPr>
      <w:r w:rsidRPr="00AC25B1">
        <w:rPr>
          <w:rFonts w:eastAsia="Aptos" w:cs="Arial"/>
          <w:noProof/>
          <w:sz w:val="22"/>
          <w:lang w:val="en-US"/>
        </w:rPr>
        <w:tab/>
      </w:r>
    </w:p>
    <w:p w14:paraId="5108CFB6" w14:textId="611B4A09" w:rsidR="00C6261C" w:rsidRPr="00B66875" w:rsidRDefault="00C6261C" w:rsidP="00C6261C">
      <w:pPr>
        <w:spacing w:before="0" w:after="160"/>
        <w:ind w:left="720" w:hanging="720"/>
        <w:rPr>
          <w:rFonts w:eastAsia="Aptos" w:cs="Arial"/>
          <w:noProof/>
          <w:sz w:val="22"/>
          <w:lang w:val="en-US"/>
        </w:rPr>
      </w:pPr>
      <w:r w:rsidRPr="00B66875">
        <w:rPr>
          <w:rFonts w:eastAsia="Aptos" w:cs="Arial"/>
          <w:noProof/>
          <w:sz w:val="22"/>
          <w:lang w:val="en-US"/>
        </w:rPr>
        <w:t xml:space="preserve">Autism CRC. (2024). </w:t>
      </w:r>
      <w:r w:rsidRPr="00B66875">
        <w:rPr>
          <w:rFonts w:eastAsia="Aptos" w:cs="Arial"/>
          <w:i/>
          <w:noProof/>
          <w:sz w:val="22"/>
          <w:lang w:val="en-US"/>
        </w:rPr>
        <w:t>National Guideline for supporting the learning, participation, and wellbeing of autistic children and their families in Australia.</w:t>
      </w:r>
      <w:r w:rsidRPr="00B66875">
        <w:rPr>
          <w:rFonts w:eastAsia="Aptos" w:cs="Arial"/>
          <w:noProof/>
          <w:sz w:val="22"/>
          <w:lang w:val="en-US"/>
        </w:rPr>
        <w:t xml:space="preserve"> Indooroopilly, Queensland: Autism CRC, The University of Queensland. Retrieved September 6, 2024, </w:t>
      </w:r>
      <w:hyperlink r:id="rId94" w:history="1">
        <w:r w:rsidRPr="00B66875">
          <w:rPr>
            <w:rStyle w:val="Hyperlink"/>
            <w:rFonts w:eastAsia="Aptos" w:cs="Arial"/>
            <w:noProof/>
            <w:sz w:val="22"/>
            <w:lang w:val="en-US"/>
          </w:rPr>
          <w:t>https://www.autismcrc.com.au/best-practice/supporting-children/guideline</w:t>
        </w:r>
      </w:hyperlink>
      <w:r>
        <w:rPr>
          <w:rFonts w:eastAsia="Aptos" w:cs="Arial"/>
          <w:noProof/>
          <w:sz w:val="22"/>
          <w:lang w:val="en-US"/>
        </w:rPr>
        <w:t xml:space="preserve"> </w:t>
      </w:r>
      <w:r w:rsidRPr="00B66875">
        <w:rPr>
          <w:rFonts w:eastAsia="Aptos" w:cs="Arial"/>
          <w:noProof/>
          <w:sz w:val="22"/>
          <w:lang w:val="en-US"/>
        </w:rPr>
        <w:t xml:space="preserve"> </w:t>
      </w:r>
    </w:p>
    <w:p w14:paraId="57143A45" w14:textId="77777777" w:rsidR="00AC25B1" w:rsidRPr="00075790" w:rsidRDefault="00AC25B1" w:rsidP="00B66875">
      <w:pPr>
        <w:pStyle w:val="EndNoteBibliography"/>
        <w:spacing w:after="0"/>
      </w:pPr>
    </w:p>
    <w:p w14:paraId="77FA4292" w14:textId="7322CFCC" w:rsidR="00064AB5" w:rsidRDefault="093E9AF6" w:rsidP="00064AB5">
      <w:pPr>
        <w:pStyle w:val="EndNoteBibliography"/>
        <w:spacing w:after="0"/>
        <w:ind w:left="720" w:hanging="720"/>
      </w:pPr>
      <w:r w:rsidRPr="00B66875">
        <w:t>Avery, S. (2018).</w:t>
      </w:r>
      <w:r w:rsidRPr="00064AB5">
        <w:rPr>
          <w:rFonts w:eastAsia="Arial"/>
          <w:szCs w:val="22"/>
        </w:rPr>
        <w:t xml:space="preserve"> </w:t>
      </w:r>
      <w:r w:rsidRPr="00B66875">
        <w:t>Culture is Inclusion: A narrative of Aboriginal and Torres Strait Islander people with disability.</w:t>
      </w:r>
      <w:r w:rsidRPr="00064AB5">
        <w:rPr>
          <w:rFonts w:eastAsia="Arial"/>
          <w:szCs w:val="22"/>
        </w:rPr>
        <w:t xml:space="preserve"> </w:t>
      </w:r>
      <w:r w:rsidRPr="00B66875">
        <w:t>Sydney, NSW: First People’s Disability Network.</w:t>
      </w:r>
    </w:p>
    <w:p w14:paraId="42C5682D" w14:textId="77777777" w:rsidR="000F6F46" w:rsidRPr="00B66875" w:rsidRDefault="000F6F46" w:rsidP="00B66875">
      <w:pPr>
        <w:pStyle w:val="EndNoteBibliography"/>
        <w:spacing w:after="0"/>
        <w:ind w:left="720" w:hanging="720"/>
      </w:pPr>
    </w:p>
    <w:p w14:paraId="49AFC281" w14:textId="77777777" w:rsidR="00B66875" w:rsidRDefault="004419DB" w:rsidP="00B66875">
      <w:pPr>
        <w:pStyle w:val="EndNoteBibliography"/>
        <w:spacing w:after="0"/>
        <w:ind w:left="720" w:hanging="720"/>
      </w:pPr>
      <w:r w:rsidRPr="004419DB">
        <w:t xml:space="preserve">Axford, N., Albers, B., Wanner, A., Flynn, H., Rawsthorn, M., &amp; Hobbs, T. (2018). </w:t>
      </w:r>
      <w:r w:rsidRPr="004419DB">
        <w:rPr>
          <w:i/>
        </w:rPr>
        <w:t>Improving the early learning outcomes of children growing up in poverty: A rapid review of the evidence.</w:t>
      </w:r>
      <w:r w:rsidRPr="004419DB">
        <w:t xml:space="preserve"> London, UK: Save the Children UK. Retrieved September 6, 2024,  </w:t>
      </w:r>
      <w:hyperlink r:id="rId95" w:history="1">
        <w:r w:rsidR="00B66875" w:rsidRPr="00326476">
          <w:rPr>
            <w:rStyle w:val="Hyperlink"/>
          </w:rPr>
          <w:t>https://www.savethechildren.org.uk/content/dam/gb/reports/evidence-review.pdf</w:t>
        </w:r>
      </w:hyperlink>
      <w:r w:rsidR="00B66875">
        <w:t xml:space="preserve"> </w:t>
      </w:r>
    </w:p>
    <w:p w14:paraId="522955D4" w14:textId="23CB4F59" w:rsidR="004419DB" w:rsidRPr="004419DB" w:rsidRDefault="004419DB" w:rsidP="00B66875">
      <w:pPr>
        <w:pStyle w:val="EndNoteBibliography"/>
        <w:spacing w:after="0"/>
        <w:ind w:left="720" w:hanging="720"/>
      </w:pPr>
      <w:r w:rsidRPr="004419DB">
        <w:t xml:space="preserve"> </w:t>
      </w:r>
    </w:p>
    <w:p w14:paraId="65178F48" w14:textId="77777777" w:rsidR="005D2086" w:rsidRPr="005D2086" w:rsidRDefault="005D2086" w:rsidP="005D2086">
      <w:pPr>
        <w:spacing w:before="0" w:after="160"/>
        <w:ind w:left="720" w:hanging="720"/>
        <w:rPr>
          <w:rFonts w:eastAsia="Aptos" w:cs="Arial"/>
          <w:noProof/>
          <w:sz w:val="22"/>
          <w:lang w:val="en-US"/>
        </w:rPr>
      </w:pPr>
      <w:r w:rsidRPr="005D2086">
        <w:rPr>
          <w:rFonts w:eastAsia="Aptos" w:cs="Arial"/>
          <w:noProof/>
          <w:sz w:val="22"/>
          <w:lang w:val="en-US"/>
        </w:rPr>
        <w:t xml:space="preserve">Bach, M. (2017). Changing perspectives on intellectual and developmental disabilities. In M.L. Wehmeyer, I. Brown, M. Percy, W.L. Alan Fung, &amp; K.A. Shogren (Eds.), </w:t>
      </w:r>
      <w:r w:rsidRPr="005D2086">
        <w:rPr>
          <w:rFonts w:eastAsia="Aptos" w:cs="Arial"/>
          <w:i/>
          <w:noProof/>
          <w:sz w:val="22"/>
          <w:lang w:val="en-US"/>
        </w:rPr>
        <w:t>A comprehensive guide to intellectual and developmental disabilities</w:t>
      </w:r>
      <w:r w:rsidRPr="005D2086">
        <w:rPr>
          <w:rFonts w:eastAsia="Aptos" w:cs="Arial"/>
          <w:noProof/>
          <w:sz w:val="22"/>
          <w:lang w:val="en-US"/>
        </w:rPr>
        <w:t xml:space="preserve"> (2nd ed., pp. 35-45). Baltimore, MD: Paul H Brookes Publishing Co. </w:t>
      </w:r>
    </w:p>
    <w:p w14:paraId="53E0A528" w14:textId="77777777" w:rsidR="005D2086" w:rsidRPr="005D2086" w:rsidRDefault="005D2086" w:rsidP="005D2086">
      <w:pPr>
        <w:spacing w:before="0" w:after="0"/>
        <w:ind w:left="720" w:hanging="720"/>
        <w:rPr>
          <w:rFonts w:eastAsia="Aptos" w:cs="Arial"/>
          <w:noProof/>
          <w:sz w:val="22"/>
          <w:lang w:val="en-US"/>
        </w:rPr>
      </w:pPr>
      <w:r w:rsidRPr="005D2086">
        <w:rPr>
          <w:rFonts w:eastAsia="Aptos" w:cs="Arial"/>
          <w:noProof/>
          <w:sz w:val="22"/>
          <w:lang w:val="en-US"/>
        </w:rPr>
        <w:tab/>
      </w:r>
    </w:p>
    <w:p w14:paraId="6C2CCDDD" w14:textId="58ECC65B" w:rsidR="005D2086" w:rsidRPr="005D2086" w:rsidRDefault="005D2086" w:rsidP="005D2086">
      <w:pPr>
        <w:spacing w:before="0" w:after="160"/>
        <w:ind w:left="720" w:hanging="720"/>
        <w:rPr>
          <w:rFonts w:eastAsia="Aptos" w:cs="Arial"/>
          <w:noProof/>
          <w:sz w:val="22"/>
          <w:lang w:val="en-US"/>
        </w:rPr>
      </w:pPr>
      <w:r w:rsidRPr="005D2086">
        <w:rPr>
          <w:rFonts w:eastAsia="Aptos" w:cs="Arial"/>
          <w:noProof/>
          <w:sz w:val="22"/>
          <w:lang w:val="en-US"/>
        </w:rPr>
        <w:t xml:space="preserve">Bailey, D., &amp; Bruder, M. B. (2005). </w:t>
      </w:r>
      <w:r w:rsidRPr="005D2086">
        <w:rPr>
          <w:rFonts w:eastAsia="Aptos" w:cs="Arial"/>
          <w:i/>
          <w:noProof/>
          <w:sz w:val="22"/>
          <w:lang w:val="en-US"/>
        </w:rPr>
        <w:t>Family outcomes of early intervention and early childhood special education: Issues and considerations</w:t>
      </w:r>
      <w:r w:rsidRPr="005D2086">
        <w:rPr>
          <w:rFonts w:eastAsia="Aptos" w:cs="Arial"/>
          <w:noProof/>
          <w:sz w:val="22"/>
          <w:lang w:val="en-US"/>
        </w:rPr>
        <w:t xml:space="preserve">. Menlo Park, CA: Early Childhood Outcomes Center, SRI International. Retrieved 6 September, 2024 from </w:t>
      </w:r>
      <w:hyperlink r:id="rId96" w:history="1">
        <w:r w:rsidR="00B66875" w:rsidRPr="00326476">
          <w:rPr>
            <w:rStyle w:val="Hyperlink"/>
            <w:rFonts w:eastAsia="Aptos" w:cs="Arial"/>
            <w:noProof/>
            <w:sz w:val="22"/>
            <w:lang w:val="en-US"/>
          </w:rPr>
          <w:t>https://ectacenter.org/~pdfs/eco/Family_Outcomes_Issues_01-17-05.pdf</w:t>
        </w:r>
      </w:hyperlink>
      <w:r w:rsidR="00B66875">
        <w:rPr>
          <w:rFonts w:eastAsia="Aptos" w:cs="Arial"/>
          <w:noProof/>
          <w:sz w:val="22"/>
          <w:lang w:val="en-US"/>
        </w:rPr>
        <w:t xml:space="preserve"> </w:t>
      </w:r>
    </w:p>
    <w:p w14:paraId="0DE28B6D" w14:textId="77777777" w:rsidR="005D2086" w:rsidRPr="005D2086" w:rsidRDefault="005D2086" w:rsidP="005D2086">
      <w:pPr>
        <w:spacing w:before="0" w:after="0"/>
        <w:ind w:left="720" w:hanging="720"/>
        <w:rPr>
          <w:rFonts w:eastAsia="Aptos" w:cs="Arial"/>
          <w:noProof/>
          <w:sz w:val="22"/>
          <w:lang w:val="en-US"/>
        </w:rPr>
      </w:pPr>
      <w:r w:rsidRPr="005D2086">
        <w:rPr>
          <w:rFonts w:eastAsia="Aptos" w:cs="Arial"/>
          <w:noProof/>
          <w:sz w:val="22"/>
          <w:lang w:val="en-US"/>
        </w:rPr>
        <w:tab/>
      </w:r>
    </w:p>
    <w:p w14:paraId="470B9D0E" w14:textId="3FFAABA0" w:rsidR="005D2086" w:rsidRPr="005D2086" w:rsidRDefault="005D2086" w:rsidP="005D2086">
      <w:pPr>
        <w:spacing w:before="0" w:after="160"/>
        <w:ind w:left="720" w:hanging="720"/>
        <w:rPr>
          <w:rFonts w:eastAsia="Aptos" w:cs="Arial"/>
          <w:noProof/>
          <w:sz w:val="22"/>
          <w:lang w:val="en-US"/>
        </w:rPr>
      </w:pPr>
      <w:r w:rsidRPr="005D2086">
        <w:rPr>
          <w:rFonts w:eastAsia="Aptos" w:cs="Arial"/>
          <w:noProof/>
          <w:sz w:val="22"/>
          <w:lang w:val="en-US"/>
        </w:rPr>
        <w:t xml:space="preserve">Bailey, D. B., Nelson, L., Hebbeler, K., &amp; Spiker, D. (2007). Modeling the impact of formal and informal supports for young children with disabilities and their families. </w:t>
      </w:r>
      <w:r w:rsidRPr="005D2086">
        <w:rPr>
          <w:rFonts w:eastAsia="Aptos" w:cs="Arial"/>
          <w:i/>
          <w:noProof/>
          <w:sz w:val="22"/>
          <w:lang w:val="en-US"/>
        </w:rPr>
        <w:t>Pediatrics</w:t>
      </w:r>
      <w:r w:rsidRPr="005D2086">
        <w:rPr>
          <w:rFonts w:eastAsia="Aptos" w:cs="Arial"/>
          <w:noProof/>
          <w:sz w:val="22"/>
          <w:lang w:val="en-US"/>
        </w:rPr>
        <w:t>,</w:t>
      </w:r>
      <w:r w:rsidRPr="005D2086">
        <w:rPr>
          <w:rFonts w:eastAsia="Aptos" w:cs="Arial"/>
          <w:i/>
          <w:noProof/>
          <w:sz w:val="22"/>
          <w:lang w:val="en-US"/>
        </w:rPr>
        <w:t xml:space="preserve"> 120</w:t>
      </w:r>
      <w:r w:rsidRPr="005D2086">
        <w:rPr>
          <w:rFonts w:eastAsia="Aptos" w:cs="Arial"/>
          <w:noProof/>
          <w:sz w:val="22"/>
          <w:lang w:val="en-US"/>
        </w:rPr>
        <w:t xml:space="preserve">(4), e992-e1001. </w:t>
      </w:r>
      <w:hyperlink r:id="rId97" w:history="1">
        <w:r w:rsidR="00B66875" w:rsidRPr="00326476">
          <w:rPr>
            <w:rStyle w:val="Hyperlink"/>
            <w:rFonts w:eastAsia="Aptos" w:cs="Arial"/>
            <w:noProof/>
            <w:sz w:val="22"/>
            <w:lang w:val="en-US"/>
          </w:rPr>
          <w:t>https://doi.org/10.1542/peds.2006-2775</w:t>
        </w:r>
      </w:hyperlink>
      <w:r w:rsidR="00B66875">
        <w:rPr>
          <w:rFonts w:eastAsia="Aptos" w:cs="Arial"/>
          <w:noProof/>
          <w:sz w:val="22"/>
          <w:lang w:val="en-US"/>
        </w:rPr>
        <w:t xml:space="preserve"> </w:t>
      </w:r>
      <w:r w:rsidRPr="005D2086">
        <w:rPr>
          <w:rFonts w:eastAsia="Aptos" w:cs="Arial"/>
          <w:noProof/>
          <w:sz w:val="22"/>
          <w:lang w:val="en-US"/>
        </w:rPr>
        <w:t xml:space="preserve"> </w:t>
      </w:r>
    </w:p>
    <w:p w14:paraId="2394EE5D" w14:textId="77777777" w:rsidR="005D2086" w:rsidRPr="005D2086" w:rsidRDefault="005D2086" w:rsidP="005D2086">
      <w:pPr>
        <w:spacing w:before="0" w:after="0"/>
        <w:ind w:left="720" w:hanging="720"/>
        <w:rPr>
          <w:rFonts w:eastAsia="Aptos" w:cs="Arial"/>
          <w:noProof/>
          <w:sz w:val="22"/>
          <w:lang w:val="en-US"/>
        </w:rPr>
      </w:pPr>
      <w:r w:rsidRPr="005D2086">
        <w:rPr>
          <w:rFonts w:eastAsia="Aptos" w:cs="Arial"/>
          <w:noProof/>
          <w:sz w:val="22"/>
          <w:lang w:val="en-US"/>
        </w:rPr>
        <w:tab/>
      </w:r>
    </w:p>
    <w:p w14:paraId="23893C2E" w14:textId="77777777" w:rsidR="005D2086" w:rsidRPr="005D2086" w:rsidRDefault="005D2086" w:rsidP="005D2086">
      <w:pPr>
        <w:spacing w:before="0" w:after="160"/>
        <w:ind w:left="720" w:hanging="720"/>
        <w:rPr>
          <w:rFonts w:eastAsia="Aptos" w:cs="Arial"/>
          <w:noProof/>
          <w:sz w:val="22"/>
          <w:lang w:val="en-US"/>
        </w:rPr>
      </w:pPr>
      <w:r w:rsidRPr="005D2086">
        <w:rPr>
          <w:rFonts w:eastAsia="Aptos" w:cs="Arial"/>
          <w:noProof/>
          <w:sz w:val="22"/>
          <w:lang w:val="en-US"/>
        </w:rPr>
        <w:t xml:space="preserve">Bailey, D. B., Raspa, M., Humphreys, B. P., &amp; Sam, A. M. (2011). Promoting family outcomes in early intervention. In J.M. Kauffman &amp; D. P. Hallahan (Eds.), </w:t>
      </w:r>
      <w:r w:rsidRPr="005D2086">
        <w:rPr>
          <w:rFonts w:eastAsia="Aptos" w:cs="Arial"/>
          <w:i/>
          <w:noProof/>
          <w:sz w:val="22"/>
          <w:lang w:val="en-US"/>
        </w:rPr>
        <w:t>Handbook of special education</w:t>
      </w:r>
      <w:r w:rsidRPr="005D2086">
        <w:rPr>
          <w:rFonts w:eastAsia="Aptos" w:cs="Arial"/>
          <w:noProof/>
          <w:sz w:val="22"/>
          <w:lang w:val="en-US"/>
        </w:rPr>
        <w:t xml:space="preserve"> (pp. 668-684). London and New York: Routledge. </w:t>
      </w:r>
    </w:p>
    <w:p w14:paraId="62D674BE" w14:textId="77777777" w:rsidR="005D2086" w:rsidRPr="005D2086" w:rsidRDefault="005D2086" w:rsidP="005D2086">
      <w:pPr>
        <w:spacing w:before="0" w:after="0"/>
        <w:ind w:left="720" w:hanging="720"/>
        <w:rPr>
          <w:rFonts w:eastAsia="Aptos" w:cs="Arial"/>
          <w:noProof/>
          <w:sz w:val="22"/>
          <w:lang w:val="en-US"/>
        </w:rPr>
      </w:pPr>
      <w:r w:rsidRPr="005D2086">
        <w:rPr>
          <w:rFonts w:eastAsia="Aptos" w:cs="Arial"/>
          <w:noProof/>
          <w:sz w:val="22"/>
          <w:lang w:val="en-US"/>
        </w:rPr>
        <w:tab/>
      </w:r>
    </w:p>
    <w:p w14:paraId="58499A87" w14:textId="7FAAC8DF" w:rsidR="005D2086" w:rsidRPr="005D2086" w:rsidRDefault="005D2086" w:rsidP="005D2086">
      <w:pPr>
        <w:spacing w:before="0" w:after="160"/>
        <w:ind w:left="720" w:hanging="720"/>
        <w:rPr>
          <w:rFonts w:eastAsia="Aptos" w:cs="Arial"/>
          <w:noProof/>
          <w:sz w:val="22"/>
          <w:lang w:val="en-US"/>
        </w:rPr>
      </w:pPr>
      <w:r w:rsidRPr="005D2086">
        <w:rPr>
          <w:rFonts w:eastAsia="Aptos" w:cs="Arial"/>
          <w:noProof/>
          <w:sz w:val="22"/>
          <w:lang w:val="en-US"/>
        </w:rPr>
        <w:t xml:space="preserve">Bailey, Z. D., Krieger, N., Agénor, M., Graves, J., Linos, N., &amp; Bassett, M. T. (2017). Structural racism and health inequities in the USA: evidence and interventions. </w:t>
      </w:r>
      <w:r w:rsidRPr="005D2086">
        <w:rPr>
          <w:rFonts w:eastAsia="Aptos" w:cs="Arial"/>
          <w:i/>
          <w:noProof/>
          <w:sz w:val="22"/>
          <w:lang w:val="en-US"/>
        </w:rPr>
        <w:t>The Lancet</w:t>
      </w:r>
      <w:r w:rsidRPr="005D2086">
        <w:rPr>
          <w:rFonts w:eastAsia="Aptos" w:cs="Arial"/>
          <w:noProof/>
          <w:sz w:val="22"/>
          <w:lang w:val="en-US"/>
        </w:rPr>
        <w:t>,</w:t>
      </w:r>
      <w:r w:rsidRPr="005D2086">
        <w:rPr>
          <w:rFonts w:eastAsia="Aptos" w:cs="Arial"/>
          <w:i/>
          <w:noProof/>
          <w:sz w:val="22"/>
          <w:lang w:val="en-US"/>
        </w:rPr>
        <w:t xml:space="preserve"> 389</w:t>
      </w:r>
      <w:r w:rsidRPr="005D2086">
        <w:rPr>
          <w:rFonts w:eastAsia="Aptos" w:cs="Arial"/>
          <w:noProof/>
          <w:sz w:val="22"/>
          <w:lang w:val="en-US"/>
        </w:rPr>
        <w:t xml:space="preserve">(10077), 1453-1463. </w:t>
      </w:r>
      <w:hyperlink r:id="rId98" w:history="1">
        <w:r w:rsidR="00B66875" w:rsidRPr="00326476">
          <w:rPr>
            <w:rStyle w:val="Hyperlink"/>
            <w:rFonts w:eastAsia="Aptos" w:cs="Arial"/>
            <w:noProof/>
            <w:sz w:val="22"/>
            <w:lang w:val="en-US"/>
          </w:rPr>
          <w:t>https://doi.org/10.1016/S0140-6736(17)30569-X</w:t>
        </w:r>
      </w:hyperlink>
      <w:r w:rsidR="00B66875">
        <w:rPr>
          <w:rFonts w:eastAsia="Aptos" w:cs="Arial"/>
          <w:noProof/>
          <w:sz w:val="22"/>
          <w:lang w:val="en-US"/>
        </w:rPr>
        <w:t xml:space="preserve"> </w:t>
      </w:r>
      <w:r w:rsidRPr="005D2086">
        <w:rPr>
          <w:rFonts w:eastAsia="Aptos" w:cs="Arial"/>
          <w:noProof/>
          <w:sz w:val="22"/>
          <w:lang w:val="en-US"/>
        </w:rPr>
        <w:t xml:space="preserve"> </w:t>
      </w:r>
    </w:p>
    <w:p w14:paraId="1ABA1067" w14:textId="77777777" w:rsidR="005D2086" w:rsidRPr="005D2086" w:rsidRDefault="005D2086" w:rsidP="005D2086">
      <w:pPr>
        <w:spacing w:before="0" w:after="0"/>
        <w:ind w:left="720" w:hanging="720"/>
        <w:rPr>
          <w:rFonts w:eastAsia="Aptos" w:cs="Arial"/>
          <w:noProof/>
          <w:sz w:val="22"/>
          <w:lang w:val="en-US"/>
        </w:rPr>
      </w:pPr>
      <w:r w:rsidRPr="005D2086">
        <w:rPr>
          <w:rFonts w:eastAsia="Aptos" w:cs="Arial"/>
          <w:noProof/>
          <w:sz w:val="22"/>
          <w:lang w:val="en-US"/>
        </w:rPr>
        <w:tab/>
      </w:r>
    </w:p>
    <w:p w14:paraId="6F13ED59" w14:textId="67ACBE9D" w:rsidR="005D2086" w:rsidRDefault="005D2086" w:rsidP="005D2086">
      <w:pPr>
        <w:spacing w:before="0" w:after="160"/>
        <w:ind w:left="720" w:hanging="720"/>
        <w:rPr>
          <w:rFonts w:eastAsia="Aptos" w:cs="Arial"/>
          <w:noProof/>
          <w:sz w:val="22"/>
          <w:lang w:val="en-US"/>
        </w:rPr>
      </w:pPr>
      <w:r w:rsidRPr="005D2086">
        <w:rPr>
          <w:rFonts w:eastAsia="Aptos" w:cs="Arial"/>
          <w:noProof/>
          <w:sz w:val="22"/>
          <w:lang w:val="en-US"/>
        </w:rPr>
        <w:t xml:space="preserve">Baldwin, P., King, G., Evans, J., McDougall, S., Tucker, M. A., &amp; Servais, M. (2013). Solution-focused coaching in pediatric rehabilitation: an integrated model for practice. </w:t>
      </w:r>
      <w:r w:rsidRPr="005D2086">
        <w:rPr>
          <w:rFonts w:eastAsia="Aptos" w:cs="Arial"/>
          <w:i/>
          <w:noProof/>
          <w:sz w:val="22"/>
          <w:lang w:val="en-US"/>
        </w:rPr>
        <w:t>Physical &amp; Occupational Therapy in Pediatrics</w:t>
      </w:r>
      <w:r w:rsidRPr="005D2086">
        <w:rPr>
          <w:rFonts w:eastAsia="Aptos" w:cs="Arial"/>
          <w:noProof/>
          <w:sz w:val="22"/>
          <w:lang w:val="en-US"/>
        </w:rPr>
        <w:t>,</w:t>
      </w:r>
      <w:r w:rsidRPr="005D2086">
        <w:rPr>
          <w:rFonts w:eastAsia="Aptos" w:cs="Arial"/>
          <w:i/>
          <w:noProof/>
          <w:sz w:val="22"/>
          <w:lang w:val="en-US"/>
        </w:rPr>
        <w:t xml:space="preserve"> 33</w:t>
      </w:r>
      <w:r w:rsidRPr="005D2086">
        <w:rPr>
          <w:rFonts w:eastAsia="Aptos" w:cs="Arial"/>
          <w:noProof/>
          <w:sz w:val="22"/>
          <w:lang w:val="en-US"/>
        </w:rPr>
        <w:t xml:space="preserve">(4), 467-483. </w:t>
      </w:r>
      <w:hyperlink r:id="rId99" w:history="1">
        <w:r w:rsidR="00B66875" w:rsidRPr="00326476">
          <w:rPr>
            <w:rStyle w:val="Hyperlink"/>
            <w:rFonts w:eastAsia="Aptos" w:cs="Arial"/>
            <w:noProof/>
            <w:sz w:val="22"/>
            <w:lang w:val="en-US"/>
          </w:rPr>
          <w:t>https://doi.org/10.3109/01942638.2013.784718</w:t>
        </w:r>
      </w:hyperlink>
      <w:r w:rsidRPr="005D2086">
        <w:rPr>
          <w:rFonts w:eastAsia="Aptos" w:cs="Arial"/>
          <w:noProof/>
          <w:sz w:val="22"/>
          <w:lang w:val="en-US"/>
        </w:rPr>
        <w:t xml:space="preserve"> </w:t>
      </w:r>
    </w:p>
    <w:p w14:paraId="70B61B23" w14:textId="77777777" w:rsidR="00B66875" w:rsidRPr="005D2086" w:rsidRDefault="00B66875" w:rsidP="005D2086">
      <w:pPr>
        <w:spacing w:before="0" w:after="160"/>
        <w:ind w:left="720" w:hanging="720"/>
        <w:rPr>
          <w:rFonts w:eastAsia="Aptos" w:cs="Arial"/>
          <w:noProof/>
          <w:sz w:val="22"/>
          <w:lang w:val="en-US"/>
        </w:rPr>
      </w:pPr>
    </w:p>
    <w:p w14:paraId="412E16A8" w14:textId="1CADBC8B" w:rsidR="00BA6E83" w:rsidRPr="00BA6E83" w:rsidRDefault="00BA6E83" w:rsidP="00BA6E83">
      <w:pPr>
        <w:spacing w:before="0" w:after="160"/>
        <w:ind w:left="720" w:hanging="720"/>
        <w:rPr>
          <w:rFonts w:eastAsia="Aptos" w:cs="Arial"/>
          <w:noProof/>
          <w:sz w:val="22"/>
          <w:lang w:val="en-US"/>
        </w:rPr>
      </w:pPr>
      <w:r w:rsidRPr="00BA6E83">
        <w:rPr>
          <w:rFonts w:eastAsia="Aptos" w:cs="Arial"/>
          <w:noProof/>
          <w:sz w:val="22"/>
          <w:lang w:val="en-US"/>
        </w:rPr>
        <w:t xml:space="preserve">Barbaro, J., &amp; Dissanayake, C. (2010). Prospective identification of autism spectrum disorders in infancy and toddlerhood using developmental surveillance: the social attention and communication study. </w:t>
      </w:r>
      <w:r w:rsidRPr="00BA6E83">
        <w:rPr>
          <w:rFonts w:eastAsia="Aptos" w:cs="Arial"/>
          <w:i/>
          <w:noProof/>
          <w:sz w:val="22"/>
          <w:lang w:val="en-US"/>
        </w:rPr>
        <w:t>Journal of Developmental &amp; Behavioral Pediatrics</w:t>
      </w:r>
      <w:r w:rsidRPr="00BA6E83">
        <w:rPr>
          <w:rFonts w:eastAsia="Aptos" w:cs="Arial"/>
          <w:noProof/>
          <w:sz w:val="22"/>
          <w:lang w:val="en-US"/>
        </w:rPr>
        <w:t>,</w:t>
      </w:r>
      <w:r w:rsidRPr="00BA6E83">
        <w:rPr>
          <w:rFonts w:eastAsia="Aptos" w:cs="Arial"/>
          <w:i/>
          <w:noProof/>
          <w:sz w:val="22"/>
          <w:lang w:val="en-US"/>
        </w:rPr>
        <w:t xml:space="preserve"> 31</w:t>
      </w:r>
      <w:r w:rsidRPr="00BA6E83">
        <w:rPr>
          <w:rFonts w:eastAsia="Aptos" w:cs="Arial"/>
          <w:noProof/>
          <w:sz w:val="22"/>
          <w:lang w:val="en-US"/>
        </w:rPr>
        <w:t xml:space="preserve">(5), 376-385. </w:t>
      </w:r>
      <w:hyperlink r:id="rId100" w:history="1">
        <w:r w:rsidR="002D28AB" w:rsidRPr="00326476">
          <w:rPr>
            <w:rStyle w:val="Hyperlink"/>
            <w:rFonts w:eastAsia="Aptos" w:cs="Arial"/>
            <w:noProof/>
            <w:sz w:val="22"/>
            <w:lang w:val="en-US"/>
          </w:rPr>
          <w:t>https://doi.org/10.1097/DBP.0b013e3181df7f3c</w:t>
        </w:r>
      </w:hyperlink>
      <w:r w:rsidR="002D28AB">
        <w:rPr>
          <w:rFonts w:eastAsia="Aptos" w:cs="Arial"/>
          <w:noProof/>
          <w:sz w:val="22"/>
          <w:lang w:val="en-US"/>
        </w:rPr>
        <w:t xml:space="preserve"> </w:t>
      </w:r>
      <w:r w:rsidRPr="00BA6E83">
        <w:rPr>
          <w:rFonts w:eastAsia="Aptos" w:cs="Arial"/>
          <w:noProof/>
          <w:sz w:val="22"/>
          <w:lang w:val="en-US"/>
        </w:rPr>
        <w:t xml:space="preserve"> </w:t>
      </w:r>
    </w:p>
    <w:p w14:paraId="2027F177" w14:textId="77777777" w:rsidR="00BA6E83" w:rsidRPr="00BA6E83" w:rsidRDefault="00BA6E83" w:rsidP="00BA6E83">
      <w:pPr>
        <w:spacing w:before="0" w:after="0"/>
        <w:ind w:left="720" w:hanging="720"/>
        <w:rPr>
          <w:rFonts w:eastAsia="Aptos" w:cs="Arial"/>
          <w:noProof/>
          <w:sz w:val="22"/>
          <w:lang w:val="en-US"/>
        </w:rPr>
      </w:pPr>
      <w:r w:rsidRPr="00BA6E83">
        <w:rPr>
          <w:rFonts w:eastAsia="Aptos" w:cs="Arial"/>
          <w:noProof/>
          <w:sz w:val="22"/>
          <w:lang w:val="en-US"/>
        </w:rPr>
        <w:tab/>
      </w:r>
    </w:p>
    <w:p w14:paraId="3767322E" w14:textId="477C251E" w:rsidR="00BA6E83" w:rsidRPr="00BA6E83" w:rsidRDefault="00BA6E83" w:rsidP="00BA6E83">
      <w:pPr>
        <w:spacing w:before="0" w:after="160"/>
        <w:ind w:left="720" w:hanging="720"/>
        <w:rPr>
          <w:rFonts w:eastAsia="Aptos" w:cs="Arial"/>
          <w:noProof/>
          <w:sz w:val="22"/>
          <w:lang w:val="en-US"/>
        </w:rPr>
      </w:pPr>
      <w:r w:rsidRPr="00BA6E83">
        <w:rPr>
          <w:rFonts w:eastAsia="Aptos" w:cs="Arial"/>
          <w:noProof/>
          <w:sz w:val="22"/>
          <w:lang w:val="en-US"/>
        </w:rPr>
        <w:t xml:space="preserve">Barbaro, J., &amp; Dissanayake, C. (2013). Early markers of autism spectrum disorders in infants and toddlers prospectively identified in the Social Attention and Communication Study. </w:t>
      </w:r>
      <w:r w:rsidRPr="00BA6E83">
        <w:rPr>
          <w:rFonts w:eastAsia="Aptos" w:cs="Arial"/>
          <w:i/>
          <w:noProof/>
          <w:sz w:val="22"/>
          <w:lang w:val="en-US"/>
        </w:rPr>
        <w:t>Autism</w:t>
      </w:r>
      <w:r w:rsidRPr="00BA6E83">
        <w:rPr>
          <w:rFonts w:eastAsia="Aptos" w:cs="Arial"/>
          <w:noProof/>
          <w:sz w:val="22"/>
          <w:lang w:val="en-US"/>
        </w:rPr>
        <w:t>,</w:t>
      </w:r>
      <w:r w:rsidRPr="00BA6E83">
        <w:rPr>
          <w:rFonts w:eastAsia="Aptos" w:cs="Arial"/>
          <w:i/>
          <w:noProof/>
          <w:sz w:val="22"/>
          <w:lang w:val="en-US"/>
        </w:rPr>
        <w:t xml:space="preserve"> 17</w:t>
      </w:r>
      <w:r w:rsidRPr="00BA6E83">
        <w:rPr>
          <w:rFonts w:eastAsia="Aptos" w:cs="Arial"/>
          <w:noProof/>
          <w:sz w:val="22"/>
          <w:lang w:val="en-US"/>
        </w:rPr>
        <w:t xml:space="preserve">(1), 64-86. </w:t>
      </w:r>
      <w:hyperlink r:id="rId101" w:history="1">
        <w:r w:rsidR="002D28AB" w:rsidRPr="00326476">
          <w:rPr>
            <w:rStyle w:val="Hyperlink"/>
            <w:rFonts w:eastAsia="Aptos" w:cs="Arial"/>
            <w:noProof/>
            <w:sz w:val="22"/>
            <w:lang w:val="en-US"/>
          </w:rPr>
          <w:t>https://doi.org/10.1177/1362361312442597</w:t>
        </w:r>
      </w:hyperlink>
      <w:r w:rsidR="002D28AB">
        <w:rPr>
          <w:rFonts w:eastAsia="Aptos" w:cs="Arial"/>
          <w:noProof/>
          <w:sz w:val="22"/>
          <w:lang w:val="en-US"/>
        </w:rPr>
        <w:t xml:space="preserve"> </w:t>
      </w:r>
      <w:r w:rsidRPr="00BA6E83">
        <w:rPr>
          <w:rFonts w:eastAsia="Aptos" w:cs="Arial"/>
          <w:noProof/>
          <w:sz w:val="22"/>
          <w:lang w:val="en-US"/>
        </w:rPr>
        <w:t xml:space="preserve"> </w:t>
      </w:r>
    </w:p>
    <w:p w14:paraId="0CFCE149" w14:textId="77777777" w:rsidR="00BA6E83" w:rsidRPr="00BA6E83" w:rsidRDefault="00BA6E83" w:rsidP="00BA6E83">
      <w:pPr>
        <w:spacing w:before="0" w:after="0"/>
        <w:ind w:left="720" w:hanging="720"/>
        <w:rPr>
          <w:rFonts w:eastAsia="Aptos" w:cs="Arial"/>
          <w:noProof/>
          <w:sz w:val="22"/>
          <w:lang w:val="en-US"/>
        </w:rPr>
      </w:pPr>
      <w:r w:rsidRPr="00BA6E83">
        <w:rPr>
          <w:rFonts w:eastAsia="Aptos" w:cs="Arial"/>
          <w:noProof/>
          <w:sz w:val="22"/>
          <w:lang w:val="en-US"/>
        </w:rPr>
        <w:tab/>
      </w:r>
    </w:p>
    <w:p w14:paraId="5C5B6770" w14:textId="77777777" w:rsidR="00BA6E83" w:rsidRPr="00BA6E83" w:rsidRDefault="00BA6E83" w:rsidP="00BA6E83">
      <w:pPr>
        <w:spacing w:before="0" w:after="160"/>
        <w:ind w:left="720" w:hanging="720"/>
        <w:rPr>
          <w:rFonts w:eastAsia="Aptos" w:cs="Arial"/>
          <w:noProof/>
          <w:sz w:val="22"/>
          <w:lang w:val="en-US"/>
        </w:rPr>
      </w:pPr>
      <w:r w:rsidRPr="00BA6E83">
        <w:rPr>
          <w:rFonts w:eastAsia="Aptos" w:cs="Arial"/>
          <w:noProof/>
          <w:sz w:val="22"/>
          <w:lang w:val="en-US"/>
        </w:rPr>
        <w:t xml:space="preserve">Barnes, C., &amp; Mercer, G. (2010). </w:t>
      </w:r>
      <w:r w:rsidRPr="00BA6E83">
        <w:rPr>
          <w:rFonts w:eastAsia="Aptos" w:cs="Arial"/>
          <w:i/>
          <w:noProof/>
          <w:sz w:val="22"/>
          <w:lang w:val="en-US"/>
        </w:rPr>
        <w:t>Exploring disability</w:t>
      </w:r>
      <w:r w:rsidRPr="00BA6E83">
        <w:rPr>
          <w:rFonts w:eastAsia="Aptos" w:cs="Arial"/>
          <w:noProof/>
          <w:sz w:val="22"/>
          <w:lang w:val="en-US"/>
        </w:rPr>
        <w:t xml:space="preserve"> (2nd ed.). Cambridge, UK: Polity. </w:t>
      </w:r>
    </w:p>
    <w:p w14:paraId="399C1D30" w14:textId="77777777" w:rsidR="00BA6E83" w:rsidRPr="00BA6E83" w:rsidRDefault="00BA6E83" w:rsidP="00BA6E83">
      <w:pPr>
        <w:spacing w:before="0" w:after="0"/>
        <w:ind w:left="720" w:hanging="720"/>
        <w:rPr>
          <w:rFonts w:eastAsia="Aptos" w:cs="Arial"/>
          <w:noProof/>
          <w:sz w:val="22"/>
          <w:lang w:val="en-US"/>
        </w:rPr>
      </w:pPr>
      <w:r w:rsidRPr="00BA6E83">
        <w:rPr>
          <w:rFonts w:eastAsia="Aptos" w:cs="Arial"/>
          <w:noProof/>
          <w:sz w:val="22"/>
          <w:lang w:val="en-US"/>
        </w:rPr>
        <w:tab/>
      </w:r>
    </w:p>
    <w:p w14:paraId="35188AB0" w14:textId="51B01845" w:rsidR="00BA6E83" w:rsidRPr="00BA6E83" w:rsidRDefault="00BA6E83" w:rsidP="00BA6E83">
      <w:pPr>
        <w:spacing w:before="0" w:after="160"/>
        <w:ind w:left="720" w:hanging="720"/>
        <w:rPr>
          <w:rFonts w:eastAsia="Aptos" w:cs="Arial"/>
          <w:noProof/>
          <w:sz w:val="22"/>
          <w:lang w:val="en-US"/>
        </w:rPr>
      </w:pPr>
      <w:r w:rsidRPr="00BA6E83">
        <w:rPr>
          <w:rFonts w:eastAsia="Aptos" w:cs="Arial"/>
          <w:noProof/>
          <w:sz w:val="22"/>
          <w:lang w:val="en-US"/>
        </w:rPr>
        <w:t xml:space="preserve">Barnes, J., Guera, J., Leitão, C., Petrogiannis, K., Skamnakis, C., Karwowska-Struczyk, M., Daniel, S., Feyer, F., Giudici, C., Leseman, P., Meijers, C., Melhuish, E., Pastori, G., Takou, R., Rossum, E., Wyslowska, O., &amp; Zachrisson, H. (2018). </w:t>
      </w:r>
      <w:r w:rsidRPr="00BA6E83">
        <w:rPr>
          <w:rFonts w:eastAsia="Aptos" w:cs="Arial"/>
          <w:i/>
          <w:noProof/>
          <w:sz w:val="22"/>
          <w:lang w:val="en-US"/>
        </w:rPr>
        <w:t>Comprehensive review of the literature on inter-agency working with young children, incorporating findings from case studies of good practice in inter- agency working with young children and their families within Europe</w:t>
      </w:r>
      <w:r w:rsidRPr="00BA6E83">
        <w:rPr>
          <w:rFonts w:eastAsia="Aptos" w:cs="Arial"/>
          <w:noProof/>
          <w:sz w:val="22"/>
          <w:lang w:val="en-US"/>
        </w:rPr>
        <w:t xml:space="preserve">. ISOTIS (Inclusive Education and Social Support to Tackle Inequalities in Society). . </w:t>
      </w:r>
      <w:hyperlink r:id="rId102" w:history="1">
        <w:r w:rsidR="002D28AB" w:rsidRPr="00326476">
          <w:rPr>
            <w:rStyle w:val="Hyperlink"/>
            <w:rFonts w:eastAsia="Aptos" w:cs="Arial"/>
            <w:noProof/>
            <w:sz w:val="22"/>
            <w:lang w:val="en-US"/>
          </w:rPr>
          <w:t>https://doi.org/10.13140/RG.2.2.34633.72800</w:t>
        </w:r>
      </w:hyperlink>
      <w:r w:rsidR="002D28AB">
        <w:rPr>
          <w:rFonts w:eastAsia="Aptos" w:cs="Arial"/>
          <w:noProof/>
          <w:sz w:val="22"/>
          <w:lang w:val="en-US"/>
        </w:rPr>
        <w:t xml:space="preserve"> </w:t>
      </w:r>
      <w:r w:rsidRPr="00BA6E83">
        <w:rPr>
          <w:rFonts w:eastAsia="Aptos" w:cs="Arial"/>
          <w:noProof/>
          <w:sz w:val="22"/>
          <w:lang w:val="en-US"/>
        </w:rPr>
        <w:t xml:space="preserve"> </w:t>
      </w:r>
    </w:p>
    <w:p w14:paraId="098D4A06" w14:textId="77777777" w:rsidR="00BA6E83" w:rsidRPr="00BA6E83" w:rsidRDefault="00BA6E83" w:rsidP="00BA6E83">
      <w:pPr>
        <w:spacing w:before="0" w:after="0"/>
        <w:ind w:left="720" w:hanging="720"/>
        <w:rPr>
          <w:rFonts w:eastAsia="Aptos" w:cs="Arial"/>
          <w:noProof/>
          <w:sz w:val="22"/>
          <w:lang w:val="en-US"/>
        </w:rPr>
      </w:pPr>
      <w:r w:rsidRPr="00BA6E83">
        <w:rPr>
          <w:rFonts w:eastAsia="Aptos" w:cs="Arial"/>
          <w:noProof/>
          <w:sz w:val="22"/>
          <w:lang w:val="en-US"/>
        </w:rPr>
        <w:tab/>
      </w:r>
    </w:p>
    <w:p w14:paraId="0C5D719E" w14:textId="77777777" w:rsidR="00BA6E83" w:rsidRDefault="00BA6E83" w:rsidP="00BA6E83">
      <w:pPr>
        <w:spacing w:before="0" w:after="160"/>
        <w:ind w:left="720" w:hanging="720"/>
        <w:rPr>
          <w:rFonts w:eastAsia="Aptos" w:cs="Arial"/>
          <w:noProof/>
          <w:sz w:val="22"/>
          <w:lang w:val="en-US"/>
        </w:rPr>
      </w:pPr>
      <w:r w:rsidRPr="00BA6E83">
        <w:rPr>
          <w:rFonts w:eastAsia="Aptos" w:cs="Arial"/>
          <w:noProof/>
          <w:sz w:val="22"/>
          <w:lang w:val="en-US"/>
        </w:rPr>
        <w:t xml:space="preserve">Barnes, J., MacPherson, K., &amp; Senior, R. (2006). The impact on parenting and the home environment of early support to mothers with new babies. </w:t>
      </w:r>
      <w:r w:rsidRPr="00BA6E83">
        <w:rPr>
          <w:rFonts w:eastAsia="Aptos" w:cs="Arial"/>
          <w:i/>
          <w:noProof/>
          <w:sz w:val="22"/>
          <w:lang w:val="en-US"/>
        </w:rPr>
        <w:t>Journal of Children's Services</w:t>
      </w:r>
      <w:r w:rsidRPr="00BA6E83">
        <w:rPr>
          <w:rFonts w:eastAsia="Aptos" w:cs="Arial"/>
          <w:noProof/>
          <w:sz w:val="22"/>
          <w:lang w:val="en-US"/>
        </w:rPr>
        <w:t>,</w:t>
      </w:r>
      <w:r w:rsidRPr="00BA6E83">
        <w:rPr>
          <w:rFonts w:eastAsia="Aptos" w:cs="Arial"/>
          <w:i/>
          <w:noProof/>
          <w:sz w:val="22"/>
          <w:lang w:val="en-US"/>
        </w:rPr>
        <w:t xml:space="preserve"> 1</w:t>
      </w:r>
      <w:r w:rsidRPr="00BA6E83">
        <w:rPr>
          <w:rFonts w:eastAsia="Aptos" w:cs="Arial"/>
          <w:noProof/>
          <w:sz w:val="22"/>
          <w:lang w:val="en-US"/>
        </w:rPr>
        <w:t xml:space="preserve">(4), 4-20. </w:t>
      </w:r>
    </w:p>
    <w:p w14:paraId="7B75E174" w14:textId="77777777" w:rsidR="002D28AB" w:rsidRPr="00BA6E83" w:rsidRDefault="002D28AB" w:rsidP="00BA6E83">
      <w:pPr>
        <w:spacing w:before="0" w:after="160"/>
        <w:ind w:left="720" w:hanging="720"/>
        <w:rPr>
          <w:rFonts w:eastAsia="Aptos" w:cs="Arial"/>
          <w:noProof/>
          <w:sz w:val="22"/>
          <w:lang w:val="en-US"/>
        </w:rPr>
      </w:pPr>
    </w:p>
    <w:p w14:paraId="6761F65E" w14:textId="37D0C023"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Barrett, A. C., Vernon, T. W., McGarry, E. S., Holden, A. N., Bradshaw, J., Ko, J. A., Horowitz, E. J., &amp; German, T. C. (2020). Social responsiveness and language use associated with an enhanced PRT approach for young children with ASD: Results from a pilot RCT of the PRISM model. </w:t>
      </w:r>
      <w:r w:rsidRPr="0077013A">
        <w:rPr>
          <w:rFonts w:eastAsia="Aptos" w:cs="Arial"/>
          <w:i/>
          <w:noProof/>
          <w:sz w:val="22"/>
          <w:lang w:val="en-US"/>
        </w:rPr>
        <w:t>Research in Autism Spectrum Disorders Vol 71, 2020, ArtID 101497</w:t>
      </w:r>
      <w:r w:rsidRPr="0077013A">
        <w:rPr>
          <w:rFonts w:eastAsia="Aptos" w:cs="Arial"/>
          <w:noProof/>
          <w:sz w:val="22"/>
          <w:lang w:val="en-US"/>
        </w:rPr>
        <w:t>,</w:t>
      </w:r>
      <w:r w:rsidRPr="0077013A">
        <w:rPr>
          <w:rFonts w:eastAsia="Aptos" w:cs="Arial"/>
          <w:i/>
          <w:noProof/>
          <w:sz w:val="22"/>
          <w:lang w:val="en-US"/>
        </w:rPr>
        <w:t xml:space="preserve"> 71</w:t>
      </w:r>
      <w:r w:rsidRPr="0077013A">
        <w:rPr>
          <w:rFonts w:eastAsia="Aptos" w:cs="Arial"/>
          <w:noProof/>
          <w:sz w:val="22"/>
          <w:lang w:val="en-US"/>
        </w:rPr>
        <w:t xml:space="preserve">. </w:t>
      </w:r>
      <w:hyperlink r:id="rId103" w:history="1">
        <w:r w:rsidR="002D28AB" w:rsidRPr="00326476">
          <w:rPr>
            <w:rStyle w:val="Hyperlink"/>
            <w:rFonts w:eastAsia="Aptos" w:cs="Arial"/>
            <w:noProof/>
            <w:sz w:val="22"/>
            <w:lang w:val="en-US"/>
          </w:rPr>
          <w:t>https://doi.org/https://dx.doi.org/10.1016/j.rasd.2019.101497</w:t>
        </w:r>
      </w:hyperlink>
      <w:r w:rsidR="002D28AB">
        <w:rPr>
          <w:rFonts w:eastAsia="Aptos" w:cs="Arial"/>
          <w:noProof/>
          <w:sz w:val="22"/>
          <w:lang w:val="en-US"/>
        </w:rPr>
        <w:t xml:space="preserve"> </w:t>
      </w:r>
      <w:r w:rsidRPr="0077013A">
        <w:rPr>
          <w:rFonts w:eastAsia="Aptos" w:cs="Arial"/>
          <w:noProof/>
          <w:sz w:val="22"/>
          <w:lang w:val="en-US"/>
        </w:rPr>
        <w:t xml:space="preserve"> </w:t>
      </w:r>
    </w:p>
    <w:p w14:paraId="34356750"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7FC948DE" w14:textId="77777777"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Barrett, L. F., Mesquita, B., &amp; Smith, E. R. (2010). The context principle. In B. Mesquita, L. F. Barrett, &amp; E.R. Smith (Eds.), </w:t>
      </w:r>
      <w:r w:rsidRPr="0077013A">
        <w:rPr>
          <w:rFonts w:eastAsia="Aptos" w:cs="Arial"/>
          <w:i/>
          <w:noProof/>
          <w:sz w:val="22"/>
          <w:lang w:val="en-US"/>
        </w:rPr>
        <w:t>The mind in context</w:t>
      </w:r>
      <w:r w:rsidRPr="0077013A">
        <w:rPr>
          <w:rFonts w:eastAsia="Aptos" w:cs="Arial"/>
          <w:noProof/>
          <w:sz w:val="22"/>
          <w:lang w:val="en-US"/>
        </w:rPr>
        <w:t xml:space="preserve">. New York: Guilford Press. </w:t>
      </w:r>
    </w:p>
    <w:p w14:paraId="67FD608F"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7E6E4E26" w14:textId="7EBC5191"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Bartolo, P., Björck-Åkesson, E., Giné, C., &amp; Kyriazopoulou, M. (2016). </w:t>
      </w:r>
      <w:r w:rsidRPr="0077013A">
        <w:rPr>
          <w:rFonts w:eastAsia="Aptos" w:cs="Arial"/>
          <w:i/>
          <w:noProof/>
          <w:sz w:val="22"/>
          <w:lang w:val="en-US"/>
        </w:rPr>
        <w:t>Inclusive early childhood education: An analysis of 32 European examples</w:t>
      </w:r>
      <w:r w:rsidRPr="0077013A">
        <w:rPr>
          <w:rFonts w:eastAsia="Aptos" w:cs="Arial"/>
          <w:noProof/>
          <w:sz w:val="22"/>
          <w:lang w:val="en-US"/>
        </w:rPr>
        <w:t xml:space="preserve">. European Agency for Special Needs and Inclusive Education. Retrieved 6 September, 2024 from </w:t>
      </w:r>
      <w:hyperlink r:id="rId104" w:history="1">
        <w:r w:rsidR="00B66875" w:rsidRPr="00326476">
          <w:rPr>
            <w:rStyle w:val="Hyperlink"/>
            <w:rFonts w:eastAsia="Aptos" w:cs="Arial"/>
            <w:noProof/>
            <w:sz w:val="22"/>
            <w:lang w:val="en-US"/>
          </w:rPr>
          <w:t>https://www.european-agency.org/sites/default/files/IECE%20%C2%AD%20An%20Analysis%20of%2032%20European%20Examples.pdf</w:t>
        </w:r>
      </w:hyperlink>
      <w:r w:rsidR="00B66875">
        <w:rPr>
          <w:rFonts w:eastAsia="Aptos" w:cs="Arial"/>
          <w:noProof/>
          <w:sz w:val="22"/>
          <w:lang w:val="en-US"/>
        </w:rPr>
        <w:t xml:space="preserve"> </w:t>
      </w:r>
    </w:p>
    <w:p w14:paraId="68B8FFD6"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1C3BB4A6" w14:textId="5C2C6EC2"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Batz, R., &amp; Yadav, A. (2024). Parents’ experiences navigating early intervention and early childhood special education services: A qualitative metasynthesis. </w:t>
      </w:r>
      <w:r w:rsidRPr="0077013A">
        <w:rPr>
          <w:rFonts w:eastAsia="Aptos" w:cs="Arial"/>
          <w:i/>
          <w:noProof/>
          <w:sz w:val="22"/>
          <w:lang w:val="en-US"/>
        </w:rPr>
        <w:t>Journal of Early Intervention</w:t>
      </w:r>
      <w:r w:rsidRPr="0077013A">
        <w:rPr>
          <w:rFonts w:eastAsia="Aptos" w:cs="Arial"/>
          <w:noProof/>
          <w:sz w:val="22"/>
          <w:lang w:val="en-US"/>
        </w:rPr>
        <w:t>,</w:t>
      </w:r>
      <w:r w:rsidRPr="0077013A">
        <w:rPr>
          <w:rFonts w:eastAsia="Aptos" w:cs="Arial"/>
          <w:i/>
          <w:noProof/>
          <w:sz w:val="22"/>
          <w:lang w:val="en-US"/>
        </w:rPr>
        <w:t xml:space="preserve"> 46</w:t>
      </w:r>
      <w:r w:rsidRPr="0077013A">
        <w:rPr>
          <w:rFonts w:eastAsia="Aptos" w:cs="Arial"/>
          <w:noProof/>
          <w:sz w:val="22"/>
          <w:lang w:val="en-US"/>
        </w:rPr>
        <w:t xml:space="preserve">(1), 19-38. </w:t>
      </w:r>
      <w:hyperlink r:id="rId105" w:history="1">
        <w:r w:rsidR="00B66875" w:rsidRPr="00326476">
          <w:rPr>
            <w:rStyle w:val="Hyperlink"/>
            <w:rFonts w:eastAsia="Aptos" w:cs="Arial"/>
            <w:noProof/>
            <w:sz w:val="22"/>
            <w:lang w:val="en-US"/>
          </w:rPr>
          <w:t>https://doi.org/10.1177/10538151231164902</w:t>
        </w:r>
      </w:hyperlink>
      <w:r w:rsidR="00B66875">
        <w:rPr>
          <w:rFonts w:eastAsia="Aptos" w:cs="Arial"/>
          <w:noProof/>
          <w:sz w:val="22"/>
          <w:lang w:val="en-US"/>
        </w:rPr>
        <w:t xml:space="preserve">  </w:t>
      </w:r>
      <w:r w:rsidRPr="0077013A">
        <w:rPr>
          <w:rFonts w:eastAsia="Aptos" w:cs="Arial"/>
          <w:noProof/>
          <w:sz w:val="22"/>
          <w:lang w:val="en-US"/>
        </w:rPr>
        <w:t xml:space="preserve"> </w:t>
      </w:r>
    </w:p>
    <w:p w14:paraId="398DFA1B"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16C0A152" w14:textId="0FC4E711"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Bell, A., Corfield, M., Davies, J., &amp; Richardson, N. (2010). Collaborative transdisciplinary intervention in early years–putting theory into practice. </w:t>
      </w:r>
      <w:r w:rsidRPr="0077013A">
        <w:rPr>
          <w:rFonts w:eastAsia="Aptos" w:cs="Arial"/>
          <w:i/>
          <w:noProof/>
          <w:sz w:val="22"/>
          <w:lang w:val="en-US"/>
        </w:rPr>
        <w:t>Child: care, health and development</w:t>
      </w:r>
      <w:r w:rsidRPr="0077013A">
        <w:rPr>
          <w:rFonts w:eastAsia="Aptos" w:cs="Arial"/>
          <w:noProof/>
          <w:sz w:val="22"/>
          <w:lang w:val="en-US"/>
        </w:rPr>
        <w:t>,</w:t>
      </w:r>
      <w:r w:rsidRPr="0077013A">
        <w:rPr>
          <w:rFonts w:eastAsia="Aptos" w:cs="Arial"/>
          <w:i/>
          <w:noProof/>
          <w:sz w:val="22"/>
          <w:lang w:val="en-US"/>
        </w:rPr>
        <w:t xml:space="preserve"> 36</w:t>
      </w:r>
      <w:r w:rsidRPr="0077013A">
        <w:rPr>
          <w:rFonts w:eastAsia="Aptos" w:cs="Arial"/>
          <w:noProof/>
          <w:sz w:val="22"/>
          <w:lang w:val="en-US"/>
        </w:rPr>
        <w:t xml:space="preserve">(1), 142-148. </w:t>
      </w:r>
      <w:hyperlink r:id="rId106" w:history="1">
        <w:r w:rsidR="00B66875" w:rsidRPr="00326476">
          <w:rPr>
            <w:rStyle w:val="Hyperlink"/>
            <w:rFonts w:eastAsia="Aptos" w:cs="Arial"/>
            <w:noProof/>
            <w:sz w:val="22"/>
            <w:lang w:val="en-US"/>
          </w:rPr>
          <w:t>https://doi.org/10.1111/j.1365-2214.2009.01027.x</w:t>
        </w:r>
      </w:hyperlink>
      <w:r w:rsidR="00B66875">
        <w:rPr>
          <w:rFonts w:eastAsia="Aptos" w:cs="Arial"/>
          <w:noProof/>
          <w:sz w:val="22"/>
          <w:lang w:val="en-US"/>
        </w:rPr>
        <w:t xml:space="preserve"> </w:t>
      </w:r>
      <w:r w:rsidRPr="0077013A">
        <w:rPr>
          <w:rFonts w:eastAsia="Aptos" w:cs="Arial"/>
          <w:noProof/>
          <w:sz w:val="22"/>
          <w:lang w:val="en-US"/>
        </w:rPr>
        <w:t xml:space="preserve"> </w:t>
      </w:r>
    </w:p>
    <w:p w14:paraId="76F99383"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5F9D08CA" w14:textId="75DEE2F5"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Bell, K., &amp; Smerdon, M. (2011). </w:t>
      </w:r>
      <w:r w:rsidRPr="0077013A">
        <w:rPr>
          <w:rFonts w:eastAsia="Aptos" w:cs="Arial"/>
          <w:i/>
          <w:noProof/>
          <w:sz w:val="22"/>
          <w:lang w:val="en-US"/>
        </w:rPr>
        <w:t>Deep value: a literature review of the role of effective relationships in public services</w:t>
      </w:r>
      <w:r w:rsidRPr="0077013A">
        <w:rPr>
          <w:rFonts w:eastAsia="Aptos" w:cs="Arial"/>
          <w:noProof/>
          <w:sz w:val="22"/>
          <w:lang w:val="en-US"/>
        </w:rPr>
        <w:t xml:space="preserve">. London, UK: Community Links. Retrieved 6 September, 2024 from </w:t>
      </w:r>
      <w:hyperlink r:id="rId107" w:history="1">
        <w:r w:rsidR="00B66875" w:rsidRPr="00326476">
          <w:rPr>
            <w:rStyle w:val="Hyperlink"/>
            <w:rFonts w:eastAsia="Aptos" w:cs="Arial"/>
            <w:noProof/>
            <w:sz w:val="22"/>
            <w:lang w:val="en-US"/>
          </w:rPr>
          <w:t>https://s41967.pcdn.co/wp-content/uploads/Deep_Value-1.pdf</w:t>
        </w:r>
      </w:hyperlink>
      <w:r w:rsidR="00B66875">
        <w:rPr>
          <w:rFonts w:eastAsia="Aptos" w:cs="Arial"/>
          <w:noProof/>
          <w:sz w:val="22"/>
          <w:lang w:val="en-US"/>
        </w:rPr>
        <w:t xml:space="preserve"> </w:t>
      </w:r>
    </w:p>
    <w:p w14:paraId="2667257F"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5E163321" w14:textId="77777777"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Bellis, M. A., Hughes, K., Ford, K., Rodriguez, G. R., Sethi, D., &amp; Passmore, J. (2019). Life course health consequences and associated annual costs of adverse childhood experiences across Europe and North America: a systematic review and meta-analysis. </w:t>
      </w:r>
      <w:r w:rsidRPr="0077013A">
        <w:rPr>
          <w:rFonts w:eastAsia="Aptos" w:cs="Arial"/>
          <w:i/>
          <w:noProof/>
          <w:sz w:val="22"/>
          <w:lang w:val="en-US"/>
        </w:rPr>
        <w:t>The Lancet Public Health</w:t>
      </w:r>
      <w:r w:rsidRPr="0077013A">
        <w:rPr>
          <w:rFonts w:eastAsia="Aptos" w:cs="Arial"/>
          <w:noProof/>
          <w:sz w:val="22"/>
          <w:lang w:val="en-US"/>
        </w:rPr>
        <w:t>,</w:t>
      </w:r>
      <w:r w:rsidRPr="0077013A">
        <w:rPr>
          <w:rFonts w:eastAsia="Aptos" w:cs="Arial"/>
          <w:i/>
          <w:noProof/>
          <w:sz w:val="22"/>
          <w:lang w:val="en-US"/>
        </w:rPr>
        <w:t xml:space="preserve"> 4</w:t>
      </w:r>
      <w:r w:rsidRPr="0077013A">
        <w:rPr>
          <w:rFonts w:eastAsia="Aptos" w:cs="Arial"/>
          <w:noProof/>
          <w:sz w:val="22"/>
          <w:lang w:val="en-US"/>
        </w:rPr>
        <w:t xml:space="preserve">(10), e517-e528. </w:t>
      </w:r>
    </w:p>
    <w:p w14:paraId="14B46975"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683E79A1" w14:textId="69A96DF0"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Bent, C. A., Dissanayake, C., &amp; Barbaro, J. (2015). Mapping the diagnosis of autism spectrum disorders in children aged under 7 years in Australia, 2010–2012. </w:t>
      </w:r>
      <w:r w:rsidRPr="0077013A">
        <w:rPr>
          <w:rFonts w:eastAsia="Aptos" w:cs="Arial"/>
          <w:i/>
          <w:noProof/>
          <w:sz w:val="22"/>
          <w:lang w:val="en-US"/>
        </w:rPr>
        <w:t>Medical Journal of Australia</w:t>
      </w:r>
      <w:r w:rsidRPr="0077013A">
        <w:rPr>
          <w:rFonts w:eastAsia="Aptos" w:cs="Arial"/>
          <w:noProof/>
          <w:sz w:val="22"/>
          <w:lang w:val="en-US"/>
        </w:rPr>
        <w:t>,</w:t>
      </w:r>
      <w:r w:rsidRPr="0077013A">
        <w:rPr>
          <w:rFonts w:eastAsia="Aptos" w:cs="Arial"/>
          <w:i/>
          <w:noProof/>
          <w:sz w:val="22"/>
          <w:lang w:val="en-US"/>
        </w:rPr>
        <w:t xml:space="preserve"> 202</w:t>
      </w:r>
      <w:r w:rsidRPr="0077013A">
        <w:rPr>
          <w:rFonts w:eastAsia="Aptos" w:cs="Arial"/>
          <w:noProof/>
          <w:sz w:val="22"/>
          <w:lang w:val="en-US"/>
        </w:rPr>
        <w:t xml:space="preserve">(6), 317-320. </w:t>
      </w:r>
      <w:hyperlink r:id="rId108" w:history="1">
        <w:r w:rsidR="00B66875" w:rsidRPr="00326476">
          <w:rPr>
            <w:rStyle w:val="Hyperlink"/>
            <w:rFonts w:eastAsia="Aptos" w:cs="Arial"/>
            <w:noProof/>
            <w:sz w:val="22"/>
            <w:lang w:val="en-US"/>
          </w:rPr>
          <w:t>https://doi.org/10.5694/mja14.00328</w:t>
        </w:r>
      </w:hyperlink>
      <w:r w:rsidR="00B66875">
        <w:rPr>
          <w:rFonts w:eastAsia="Aptos" w:cs="Arial"/>
          <w:noProof/>
          <w:sz w:val="22"/>
          <w:lang w:val="en-US"/>
        </w:rPr>
        <w:t xml:space="preserve"> </w:t>
      </w:r>
      <w:r w:rsidRPr="0077013A">
        <w:rPr>
          <w:rFonts w:eastAsia="Aptos" w:cs="Arial"/>
          <w:noProof/>
          <w:sz w:val="22"/>
          <w:lang w:val="en-US"/>
        </w:rPr>
        <w:t xml:space="preserve"> </w:t>
      </w:r>
    </w:p>
    <w:p w14:paraId="3FCD044F"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372B16FA" w14:textId="77777777"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Beopoulos, A., Géa, M., Fasano, A., &amp; Iris, F. (2022). Autism spectrum disorders pathogenesis: Toward a comprehensive model based on neuroanatomic and neurodevelopment considerations. </w:t>
      </w:r>
      <w:r w:rsidRPr="0077013A">
        <w:rPr>
          <w:rFonts w:eastAsia="Aptos" w:cs="Arial"/>
          <w:i/>
          <w:noProof/>
          <w:sz w:val="22"/>
          <w:lang w:val="en-US"/>
        </w:rPr>
        <w:t>Frontiers in Neuroscience</w:t>
      </w:r>
      <w:r w:rsidRPr="0077013A">
        <w:rPr>
          <w:rFonts w:eastAsia="Aptos" w:cs="Arial"/>
          <w:noProof/>
          <w:sz w:val="22"/>
          <w:lang w:val="en-US"/>
        </w:rPr>
        <w:t>,</w:t>
      </w:r>
      <w:r w:rsidRPr="0077013A">
        <w:rPr>
          <w:rFonts w:eastAsia="Aptos" w:cs="Arial"/>
          <w:i/>
          <w:noProof/>
          <w:sz w:val="22"/>
          <w:lang w:val="en-US"/>
        </w:rPr>
        <w:t xml:space="preserve"> 16</w:t>
      </w:r>
      <w:r w:rsidRPr="0077013A">
        <w:rPr>
          <w:rFonts w:eastAsia="Aptos" w:cs="Arial"/>
          <w:noProof/>
          <w:sz w:val="22"/>
          <w:lang w:val="en-US"/>
        </w:rPr>
        <w:t xml:space="preserve">, 988735. </w:t>
      </w:r>
    </w:p>
    <w:p w14:paraId="0B1D4B37"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7DDB4103" w14:textId="2ACC2EAA" w:rsidR="0077013A" w:rsidRP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 xml:space="preserve">Berens, A. E., Jensen, S. K., &amp; Nelson, C. A. (2017). Biological embedding of childhood adversity: From physiological mechanisms to clinical implications. </w:t>
      </w:r>
      <w:r w:rsidRPr="0077013A">
        <w:rPr>
          <w:rFonts w:eastAsia="Aptos" w:cs="Arial"/>
          <w:i/>
          <w:noProof/>
          <w:sz w:val="22"/>
          <w:lang w:val="en-US"/>
        </w:rPr>
        <w:t>BMC Medicine</w:t>
      </w:r>
      <w:r w:rsidRPr="0077013A">
        <w:rPr>
          <w:rFonts w:eastAsia="Aptos" w:cs="Arial"/>
          <w:noProof/>
          <w:sz w:val="22"/>
          <w:lang w:val="en-US"/>
        </w:rPr>
        <w:t>,</w:t>
      </w:r>
      <w:r w:rsidRPr="0077013A">
        <w:rPr>
          <w:rFonts w:eastAsia="Aptos" w:cs="Arial"/>
          <w:i/>
          <w:noProof/>
          <w:sz w:val="22"/>
          <w:lang w:val="en-US"/>
        </w:rPr>
        <w:t xml:space="preserve"> 15</w:t>
      </w:r>
      <w:r w:rsidRPr="0077013A">
        <w:rPr>
          <w:rFonts w:eastAsia="Aptos" w:cs="Arial"/>
          <w:noProof/>
          <w:sz w:val="22"/>
          <w:lang w:val="en-US"/>
        </w:rPr>
        <w:t xml:space="preserve">, 1-12. </w:t>
      </w:r>
      <w:hyperlink r:id="rId109" w:history="1">
        <w:r w:rsidR="00B66875" w:rsidRPr="00326476">
          <w:rPr>
            <w:rStyle w:val="Hyperlink"/>
            <w:rFonts w:eastAsia="Aptos" w:cs="Arial"/>
            <w:noProof/>
            <w:sz w:val="22"/>
            <w:lang w:val="en-US"/>
          </w:rPr>
          <w:t>https://doi.org/10.1186/s12916-017-0895-4</w:t>
        </w:r>
      </w:hyperlink>
      <w:r w:rsidR="00B66875">
        <w:rPr>
          <w:rFonts w:eastAsia="Aptos" w:cs="Arial"/>
          <w:noProof/>
          <w:sz w:val="22"/>
          <w:lang w:val="en-US"/>
        </w:rPr>
        <w:t xml:space="preserve"> </w:t>
      </w:r>
      <w:r w:rsidRPr="0077013A">
        <w:rPr>
          <w:rFonts w:eastAsia="Aptos" w:cs="Arial"/>
          <w:noProof/>
          <w:sz w:val="22"/>
          <w:lang w:val="en-US"/>
        </w:rPr>
        <w:t xml:space="preserve"> </w:t>
      </w:r>
    </w:p>
    <w:p w14:paraId="5F5A0D98" w14:textId="77777777" w:rsidR="0077013A" w:rsidRPr="0077013A" w:rsidRDefault="0077013A" w:rsidP="0077013A">
      <w:pPr>
        <w:spacing w:before="0" w:after="0"/>
        <w:ind w:left="720" w:hanging="720"/>
        <w:rPr>
          <w:rFonts w:eastAsia="Aptos" w:cs="Arial"/>
          <w:noProof/>
          <w:sz w:val="22"/>
          <w:lang w:val="en-US"/>
        </w:rPr>
      </w:pPr>
      <w:r w:rsidRPr="0077013A">
        <w:rPr>
          <w:rFonts w:eastAsia="Aptos" w:cs="Arial"/>
          <w:noProof/>
          <w:sz w:val="22"/>
          <w:lang w:val="en-US"/>
        </w:rPr>
        <w:tab/>
      </w:r>
    </w:p>
    <w:p w14:paraId="1CC863A7" w14:textId="77777777" w:rsidR="0077013A" w:rsidRDefault="0077013A" w:rsidP="0077013A">
      <w:pPr>
        <w:spacing w:before="0" w:after="160"/>
        <w:ind w:left="720" w:hanging="720"/>
        <w:rPr>
          <w:rFonts w:eastAsia="Aptos" w:cs="Arial"/>
          <w:noProof/>
          <w:sz w:val="22"/>
          <w:lang w:val="en-US"/>
        </w:rPr>
      </w:pPr>
      <w:r w:rsidRPr="0077013A">
        <w:rPr>
          <w:rFonts w:eastAsia="Aptos" w:cs="Arial"/>
          <w:noProof/>
          <w:sz w:val="22"/>
          <w:lang w:val="en-US"/>
        </w:rPr>
        <w:t>Berry, D. (2017). Early childhood health disparities, biological embedding, and life</w:t>
      </w:r>
      <w:r w:rsidRPr="0077013A">
        <w:rPr>
          <w:rFonts w:ascii="Cambria Math" w:eastAsia="Aptos" w:hAnsi="Cambria Math" w:cs="Cambria Math"/>
          <w:noProof/>
          <w:sz w:val="22"/>
          <w:lang w:val="en-US"/>
        </w:rPr>
        <w:t>‐</w:t>
      </w:r>
      <w:r w:rsidRPr="0077013A">
        <w:rPr>
          <w:rFonts w:eastAsia="Aptos" w:cs="Arial"/>
          <w:noProof/>
          <w:sz w:val="22"/>
          <w:lang w:val="en-US"/>
        </w:rPr>
        <w:t xml:space="preserve">course health. In E. Votruba-Drzal &amp; E. Dearing (Eds.), </w:t>
      </w:r>
      <w:r w:rsidRPr="0077013A">
        <w:rPr>
          <w:rFonts w:eastAsia="Aptos" w:cs="Arial"/>
          <w:i/>
          <w:noProof/>
          <w:sz w:val="22"/>
          <w:lang w:val="en-US"/>
        </w:rPr>
        <w:t>The Wiley Handbook of Early Childhood Development Programs, Practices, and Policies</w:t>
      </w:r>
      <w:r w:rsidRPr="0077013A">
        <w:rPr>
          <w:rFonts w:eastAsia="Aptos" w:cs="Arial"/>
          <w:noProof/>
          <w:sz w:val="22"/>
          <w:lang w:val="en-US"/>
        </w:rPr>
        <w:t xml:space="preserve"> (pp. 35-65). Hoboken, NJ: Wiley-Blackwell. </w:t>
      </w:r>
    </w:p>
    <w:p w14:paraId="3C1CB2FE" w14:textId="77777777" w:rsidR="002D28AB" w:rsidRPr="0077013A" w:rsidRDefault="002D28AB" w:rsidP="0077013A">
      <w:pPr>
        <w:spacing w:before="0" w:after="160"/>
        <w:ind w:left="720" w:hanging="720"/>
        <w:rPr>
          <w:rFonts w:eastAsia="Aptos" w:cs="Arial"/>
          <w:noProof/>
          <w:sz w:val="22"/>
          <w:lang w:val="en-US"/>
        </w:rPr>
      </w:pPr>
    </w:p>
    <w:p w14:paraId="172A7D73" w14:textId="21107F96" w:rsidR="00BB4943" w:rsidRPr="00BB4943" w:rsidRDefault="00BB4943" w:rsidP="00BB4943">
      <w:pPr>
        <w:spacing w:before="0" w:after="160"/>
        <w:ind w:left="720" w:hanging="720"/>
        <w:rPr>
          <w:rFonts w:eastAsia="Aptos" w:cs="Arial"/>
          <w:noProof/>
          <w:sz w:val="22"/>
          <w:lang w:val="en-US"/>
        </w:rPr>
      </w:pPr>
      <w:r w:rsidRPr="00BB4943">
        <w:rPr>
          <w:rFonts w:eastAsia="Aptos" w:cs="Arial"/>
          <w:noProof/>
          <w:sz w:val="22"/>
          <w:lang w:val="en-US"/>
        </w:rPr>
        <w:t xml:space="preserve">Bhopti, A., Brown, T., &amp; Lentin, P. (2016). Family quality of life: A key outcome in early childhood intervention services—A scoping review. </w:t>
      </w:r>
      <w:r w:rsidRPr="00BB4943">
        <w:rPr>
          <w:rFonts w:eastAsia="Aptos" w:cs="Arial"/>
          <w:i/>
          <w:noProof/>
          <w:sz w:val="22"/>
          <w:lang w:val="en-US"/>
        </w:rPr>
        <w:t>Journal of Early Intervention</w:t>
      </w:r>
      <w:r w:rsidRPr="00BB4943">
        <w:rPr>
          <w:rFonts w:eastAsia="Aptos" w:cs="Arial"/>
          <w:noProof/>
          <w:sz w:val="22"/>
          <w:lang w:val="en-US"/>
        </w:rPr>
        <w:t>,</w:t>
      </w:r>
      <w:r w:rsidRPr="00BB4943">
        <w:rPr>
          <w:rFonts w:eastAsia="Aptos" w:cs="Arial"/>
          <w:i/>
          <w:noProof/>
          <w:sz w:val="22"/>
          <w:lang w:val="en-US"/>
        </w:rPr>
        <w:t xml:space="preserve"> 38</w:t>
      </w:r>
      <w:r w:rsidRPr="00BB4943">
        <w:rPr>
          <w:rFonts w:eastAsia="Aptos" w:cs="Arial"/>
          <w:noProof/>
          <w:sz w:val="22"/>
          <w:lang w:val="en-US"/>
        </w:rPr>
        <w:t xml:space="preserve">(4), 191-211. </w:t>
      </w:r>
      <w:hyperlink r:id="rId110" w:history="1">
        <w:r w:rsidR="00B66875" w:rsidRPr="00326476">
          <w:rPr>
            <w:rStyle w:val="Hyperlink"/>
            <w:rFonts w:eastAsia="Aptos" w:cs="Arial"/>
            <w:noProof/>
            <w:sz w:val="22"/>
            <w:lang w:val="en-US"/>
          </w:rPr>
          <w:t>https://doi.org/10.1177/1053815116673182</w:t>
        </w:r>
      </w:hyperlink>
      <w:r w:rsidR="00B66875">
        <w:rPr>
          <w:rFonts w:eastAsia="Aptos" w:cs="Arial"/>
          <w:noProof/>
          <w:sz w:val="22"/>
          <w:lang w:val="en-US"/>
        </w:rPr>
        <w:t xml:space="preserve"> </w:t>
      </w:r>
      <w:r w:rsidRPr="00BB4943">
        <w:rPr>
          <w:rFonts w:eastAsia="Aptos" w:cs="Arial"/>
          <w:noProof/>
          <w:sz w:val="22"/>
          <w:lang w:val="en-US"/>
        </w:rPr>
        <w:t xml:space="preserve"> </w:t>
      </w:r>
    </w:p>
    <w:p w14:paraId="541B70E7" w14:textId="77777777" w:rsidR="00BB4943" w:rsidRPr="00BB4943" w:rsidRDefault="00BB4943" w:rsidP="00BB4943">
      <w:pPr>
        <w:spacing w:before="0" w:after="0"/>
        <w:ind w:left="720" w:hanging="720"/>
        <w:rPr>
          <w:rFonts w:eastAsia="Aptos" w:cs="Arial"/>
          <w:noProof/>
          <w:sz w:val="22"/>
          <w:lang w:val="en-US"/>
        </w:rPr>
      </w:pPr>
      <w:r w:rsidRPr="00BB4943">
        <w:rPr>
          <w:rFonts w:eastAsia="Aptos" w:cs="Arial"/>
          <w:noProof/>
          <w:sz w:val="22"/>
          <w:lang w:val="en-US"/>
        </w:rPr>
        <w:tab/>
      </w:r>
    </w:p>
    <w:p w14:paraId="3BC73CBD" w14:textId="0A34834B" w:rsidR="00BB4943" w:rsidRPr="00BB4943" w:rsidRDefault="00BB4943" w:rsidP="00BB4943">
      <w:pPr>
        <w:spacing w:before="0" w:after="160"/>
        <w:ind w:left="720" w:hanging="720"/>
        <w:rPr>
          <w:rFonts w:eastAsia="Aptos" w:cs="Arial"/>
          <w:noProof/>
          <w:sz w:val="22"/>
          <w:lang w:val="en-US"/>
        </w:rPr>
      </w:pPr>
      <w:r w:rsidRPr="00BB4943">
        <w:rPr>
          <w:rFonts w:eastAsia="Aptos" w:cs="Arial"/>
          <w:noProof/>
          <w:sz w:val="22"/>
          <w:lang w:val="en-US"/>
        </w:rPr>
        <w:t>Bhopti, A., Brown, T., &amp; Lentin, P. (2022). Does family quality of life get better as the years go by? A comparative mixed</w:t>
      </w:r>
      <w:r w:rsidRPr="00BB4943">
        <w:rPr>
          <w:rFonts w:ascii="Cambria Math" w:eastAsia="Aptos" w:hAnsi="Cambria Math" w:cs="Cambria Math"/>
          <w:noProof/>
          <w:sz w:val="22"/>
          <w:lang w:val="en-US"/>
        </w:rPr>
        <w:t>‐</w:t>
      </w:r>
      <w:r w:rsidRPr="00BB4943">
        <w:rPr>
          <w:rFonts w:eastAsia="Aptos" w:cs="Arial"/>
          <w:noProof/>
          <w:sz w:val="22"/>
          <w:lang w:val="en-US"/>
        </w:rPr>
        <w:t>methods study between early years and school</w:t>
      </w:r>
      <w:r w:rsidRPr="00BB4943">
        <w:rPr>
          <w:rFonts w:ascii="Cambria Math" w:eastAsia="Aptos" w:hAnsi="Cambria Math" w:cs="Cambria Math"/>
          <w:noProof/>
          <w:sz w:val="22"/>
          <w:lang w:val="en-US"/>
        </w:rPr>
        <w:t>‐</w:t>
      </w:r>
      <w:r w:rsidRPr="00BB4943">
        <w:rPr>
          <w:rFonts w:eastAsia="Aptos" w:cs="Arial"/>
          <w:noProof/>
          <w:sz w:val="22"/>
          <w:lang w:val="en-US"/>
        </w:rPr>
        <w:t xml:space="preserve">aged children with disability in Australia. </w:t>
      </w:r>
      <w:r w:rsidRPr="00BB4943">
        <w:rPr>
          <w:rFonts w:eastAsia="Aptos" w:cs="Arial"/>
          <w:i/>
          <w:noProof/>
          <w:sz w:val="22"/>
          <w:lang w:val="en-US"/>
        </w:rPr>
        <w:t>Journal of Policy and Practice in Intellectual Disabilities</w:t>
      </w:r>
      <w:r w:rsidRPr="00BB4943">
        <w:rPr>
          <w:rFonts w:eastAsia="Aptos" w:cs="Arial"/>
          <w:noProof/>
          <w:sz w:val="22"/>
          <w:lang w:val="en-US"/>
        </w:rPr>
        <w:t>,</w:t>
      </w:r>
      <w:r w:rsidRPr="00BB4943">
        <w:rPr>
          <w:rFonts w:eastAsia="Aptos" w:cs="Arial"/>
          <w:i/>
          <w:noProof/>
          <w:sz w:val="22"/>
          <w:lang w:val="en-US"/>
        </w:rPr>
        <w:t xml:space="preserve"> 19</w:t>
      </w:r>
      <w:r w:rsidRPr="00BB4943">
        <w:rPr>
          <w:rFonts w:eastAsia="Aptos" w:cs="Arial"/>
          <w:noProof/>
          <w:sz w:val="22"/>
          <w:lang w:val="en-US"/>
        </w:rPr>
        <w:t xml:space="preserve">(4), 379-395. </w:t>
      </w:r>
      <w:hyperlink r:id="rId111" w:history="1">
        <w:r w:rsidR="00B66875" w:rsidRPr="00326476">
          <w:rPr>
            <w:rStyle w:val="Hyperlink"/>
            <w:rFonts w:eastAsia="Aptos" w:cs="Arial"/>
            <w:noProof/>
            <w:sz w:val="22"/>
            <w:lang w:val="en-US"/>
          </w:rPr>
          <w:t>https://doi.org/10.1111/jppi.12433</w:t>
        </w:r>
      </w:hyperlink>
      <w:r w:rsidR="00B66875">
        <w:rPr>
          <w:rFonts w:eastAsia="Aptos" w:cs="Arial"/>
          <w:noProof/>
          <w:sz w:val="22"/>
          <w:lang w:val="en-US"/>
        </w:rPr>
        <w:t xml:space="preserve"> </w:t>
      </w:r>
      <w:r w:rsidRPr="00BB4943">
        <w:rPr>
          <w:rFonts w:eastAsia="Aptos" w:cs="Arial"/>
          <w:noProof/>
          <w:sz w:val="22"/>
          <w:lang w:val="en-US"/>
        </w:rPr>
        <w:t xml:space="preserve"> </w:t>
      </w:r>
    </w:p>
    <w:p w14:paraId="6571EAEF" w14:textId="77777777" w:rsidR="00BB4943" w:rsidRPr="00BB4943" w:rsidRDefault="00BB4943" w:rsidP="00BB4943">
      <w:pPr>
        <w:spacing w:before="0" w:after="0"/>
        <w:ind w:left="720" w:hanging="720"/>
        <w:rPr>
          <w:rFonts w:eastAsia="Aptos" w:cs="Arial"/>
          <w:noProof/>
          <w:sz w:val="22"/>
          <w:lang w:val="en-US"/>
        </w:rPr>
      </w:pPr>
      <w:r w:rsidRPr="00BB4943">
        <w:rPr>
          <w:rFonts w:eastAsia="Aptos" w:cs="Arial"/>
          <w:noProof/>
          <w:sz w:val="22"/>
          <w:lang w:val="en-US"/>
        </w:rPr>
        <w:tab/>
      </w:r>
    </w:p>
    <w:p w14:paraId="5E4ECF94" w14:textId="77777777" w:rsidR="00BB4943" w:rsidRPr="00BB4943" w:rsidRDefault="00BB4943" w:rsidP="00BB4943">
      <w:pPr>
        <w:spacing w:before="0" w:after="160"/>
        <w:ind w:left="720" w:hanging="720"/>
        <w:rPr>
          <w:rFonts w:eastAsia="Aptos" w:cs="Arial"/>
          <w:noProof/>
          <w:sz w:val="22"/>
          <w:lang w:val="en-US"/>
        </w:rPr>
      </w:pPr>
      <w:r w:rsidRPr="00BB4943">
        <w:rPr>
          <w:rFonts w:eastAsia="Aptos" w:cs="Arial"/>
          <w:noProof/>
          <w:sz w:val="22"/>
          <w:lang w:val="en-US"/>
        </w:rPr>
        <w:t xml:space="preserve">Biringen, Z., Fidler, D. J., Barrett, K. C., &amp; Kubicek, L. (2005). Applying the emotional availability scales to children with disabilities. </w:t>
      </w:r>
      <w:r w:rsidRPr="00BB4943">
        <w:rPr>
          <w:rFonts w:eastAsia="Aptos" w:cs="Arial"/>
          <w:i/>
          <w:noProof/>
          <w:sz w:val="22"/>
          <w:lang w:val="en-US"/>
        </w:rPr>
        <w:t>Infant Mental Health Journal: Official Publication of The World Association for Infant Mental Health</w:t>
      </w:r>
      <w:r w:rsidRPr="00BB4943">
        <w:rPr>
          <w:rFonts w:eastAsia="Aptos" w:cs="Arial"/>
          <w:noProof/>
          <w:sz w:val="22"/>
          <w:lang w:val="en-US"/>
        </w:rPr>
        <w:t>,</w:t>
      </w:r>
      <w:r w:rsidRPr="00BB4943">
        <w:rPr>
          <w:rFonts w:eastAsia="Aptos" w:cs="Arial"/>
          <w:i/>
          <w:noProof/>
          <w:sz w:val="22"/>
          <w:lang w:val="en-US"/>
        </w:rPr>
        <w:t xml:space="preserve"> 26</w:t>
      </w:r>
      <w:r w:rsidRPr="00BB4943">
        <w:rPr>
          <w:rFonts w:eastAsia="Aptos" w:cs="Arial"/>
          <w:noProof/>
          <w:sz w:val="22"/>
          <w:lang w:val="en-US"/>
        </w:rPr>
        <w:t xml:space="preserve">(4), 369-391. </w:t>
      </w:r>
    </w:p>
    <w:p w14:paraId="107E4B2B" w14:textId="77777777" w:rsidR="00BB4943" w:rsidRPr="00BB4943" w:rsidRDefault="00BB4943" w:rsidP="00BB4943">
      <w:pPr>
        <w:spacing w:before="0" w:after="0"/>
        <w:ind w:left="720" w:hanging="720"/>
        <w:rPr>
          <w:rFonts w:eastAsia="Aptos" w:cs="Arial"/>
          <w:noProof/>
          <w:sz w:val="22"/>
          <w:lang w:val="en-US"/>
        </w:rPr>
      </w:pPr>
      <w:r w:rsidRPr="00BB4943">
        <w:rPr>
          <w:rFonts w:eastAsia="Aptos" w:cs="Arial"/>
          <w:noProof/>
          <w:sz w:val="22"/>
          <w:lang w:val="en-US"/>
        </w:rPr>
        <w:tab/>
      </w:r>
    </w:p>
    <w:p w14:paraId="58166166" w14:textId="612F8BDD" w:rsidR="00BB4943" w:rsidRPr="00BB4943" w:rsidRDefault="00BB4943" w:rsidP="00BB4943">
      <w:pPr>
        <w:spacing w:before="0" w:after="160"/>
        <w:ind w:left="720" w:hanging="720"/>
        <w:rPr>
          <w:rFonts w:eastAsia="Aptos" w:cs="Arial"/>
          <w:noProof/>
          <w:sz w:val="22"/>
          <w:lang w:val="en-US"/>
        </w:rPr>
      </w:pPr>
      <w:r w:rsidRPr="00BB4943">
        <w:rPr>
          <w:rFonts w:eastAsia="Aptos" w:cs="Arial"/>
          <w:noProof/>
          <w:sz w:val="22"/>
          <w:lang w:val="en-US"/>
        </w:rPr>
        <w:t xml:space="preserve">Bishop, S. J., &amp; Leadbeater, B. J. (1999). Maternal social support patterns and child maltreatment: Comparison of maltreating and nonmaltreating mothers. </w:t>
      </w:r>
      <w:r w:rsidRPr="00BB4943">
        <w:rPr>
          <w:rFonts w:eastAsia="Aptos" w:cs="Arial"/>
          <w:i/>
          <w:noProof/>
          <w:sz w:val="22"/>
          <w:lang w:val="en-US"/>
        </w:rPr>
        <w:t>American Journal of Orthopsychiatry</w:t>
      </w:r>
      <w:r w:rsidRPr="00BB4943">
        <w:rPr>
          <w:rFonts w:eastAsia="Aptos" w:cs="Arial"/>
          <w:noProof/>
          <w:sz w:val="22"/>
          <w:lang w:val="en-US"/>
        </w:rPr>
        <w:t>,</w:t>
      </w:r>
      <w:r w:rsidRPr="00BB4943">
        <w:rPr>
          <w:rFonts w:eastAsia="Aptos" w:cs="Arial"/>
          <w:i/>
          <w:noProof/>
          <w:sz w:val="22"/>
          <w:lang w:val="en-US"/>
        </w:rPr>
        <w:t xml:space="preserve"> 69</w:t>
      </w:r>
      <w:r w:rsidRPr="00BB4943">
        <w:rPr>
          <w:rFonts w:eastAsia="Aptos" w:cs="Arial"/>
          <w:noProof/>
          <w:sz w:val="22"/>
          <w:lang w:val="en-US"/>
        </w:rPr>
        <w:t xml:space="preserve">(2), 172-181. </w:t>
      </w:r>
      <w:hyperlink r:id="rId112" w:history="1">
        <w:r w:rsidR="00B66875" w:rsidRPr="00326476">
          <w:rPr>
            <w:rStyle w:val="Hyperlink"/>
            <w:rFonts w:eastAsia="Aptos" w:cs="Arial"/>
            <w:noProof/>
            <w:sz w:val="22"/>
            <w:lang w:val="en-US"/>
          </w:rPr>
          <w:t>https://doi.org/10.1037/h0080419</w:t>
        </w:r>
      </w:hyperlink>
      <w:r w:rsidR="00B66875">
        <w:rPr>
          <w:rFonts w:eastAsia="Aptos" w:cs="Arial"/>
          <w:noProof/>
          <w:sz w:val="22"/>
          <w:lang w:val="en-US"/>
        </w:rPr>
        <w:t xml:space="preserve"> </w:t>
      </w:r>
      <w:r w:rsidRPr="00BB4943">
        <w:rPr>
          <w:rFonts w:eastAsia="Aptos" w:cs="Arial"/>
          <w:noProof/>
          <w:sz w:val="22"/>
          <w:lang w:val="en-US"/>
        </w:rPr>
        <w:t xml:space="preserve"> </w:t>
      </w:r>
    </w:p>
    <w:p w14:paraId="06D020FA" w14:textId="14B56C9E" w:rsidR="00B62878" w:rsidRPr="00B62878" w:rsidRDefault="00B62878" w:rsidP="00B62878">
      <w:pPr>
        <w:spacing w:before="0" w:after="160"/>
        <w:ind w:left="720" w:hanging="720"/>
        <w:rPr>
          <w:rFonts w:eastAsia="Aptos" w:cs="Arial"/>
          <w:noProof/>
          <w:sz w:val="22"/>
          <w:lang w:val="en-US"/>
        </w:rPr>
      </w:pPr>
      <w:r w:rsidRPr="00B62878">
        <w:rPr>
          <w:rFonts w:eastAsia="Aptos" w:cs="Arial"/>
          <w:noProof/>
          <w:sz w:val="22"/>
          <w:lang w:val="en-US"/>
        </w:rPr>
        <w:t xml:space="preserve">Black, M. M., &amp; Lawn, J. E. (2018). Early childhood developmental disabilities—data still needed. </w:t>
      </w:r>
      <w:r w:rsidRPr="00B62878">
        <w:rPr>
          <w:rFonts w:eastAsia="Aptos" w:cs="Arial"/>
          <w:i/>
          <w:noProof/>
          <w:sz w:val="22"/>
          <w:lang w:val="en-US"/>
        </w:rPr>
        <w:t>The Lancet Global Health</w:t>
      </w:r>
      <w:r w:rsidRPr="00B62878">
        <w:rPr>
          <w:rFonts w:eastAsia="Aptos" w:cs="Arial"/>
          <w:noProof/>
          <w:sz w:val="22"/>
          <w:lang w:val="en-US"/>
        </w:rPr>
        <w:t>,</w:t>
      </w:r>
      <w:r w:rsidRPr="00B62878">
        <w:rPr>
          <w:rFonts w:eastAsia="Aptos" w:cs="Arial"/>
          <w:i/>
          <w:noProof/>
          <w:sz w:val="22"/>
          <w:lang w:val="en-US"/>
        </w:rPr>
        <w:t xml:space="preserve"> 6</w:t>
      </w:r>
      <w:r w:rsidRPr="00B62878">
        <w:rPr>
          <w:rFonts w:eastAsia="Aptos" w:cs="Arial"/>
          <w:noProof/>
          <w:sz w:val="22"/>
          <w:lang w:val="en-US"/>
        </w:rPr>
        <w:t xml:space="preserve">(10), e1050-e1051. </w:t>
      </w:r>
      <w:hyperlink r:id="rId113" w:history="1">
        <w:r w:rsidR="00B66875" w:rsidRPr="00326476">
          <w:rPr>
            <w:rStyle w:val="Hyperlink"/>
            <w:rFonts w:eastAsia="Aptos" w:cs="Arial"/>
            <w:noProof/>
            <w:sz w:val="22"/>
            <w:lang w:val="en-US"/>
          </w:rPr>
          <w:t>https://doi.org/10.1016/S2214-109X(18)30399-1</w:t>
        </w:r>
      </w:hyperlink>
      <w:r w:rsidR="00B66875">
        <w:rPr>
          <w:rFonts w:eastAsia="Aptos" w:cs="Arial"/>
          <w:noProof/>
          <w:sz w:val="22"/>
          <w:lang w:val="en-US"/>
        </w:rPr>
        <w:t xml:space="preserve"> </w:t>
      </w:r>
      <w:r w:rsidRPr="00B62878">
        <w:rPr>
          <w:rFonts w:eastAsia="Aptos" w:cs="Arial"/>
          <w:noProof/>
          <w:sz w:val="22"/>
          <w:lang w:val="en-US"/>
        </w:rPr>
        <w:t xml:space="preserve"> </w:t>
      </w:r>
    </w:p>
    <w:p w14:paraId="798DD755" w14:textId="77777777" w:rsidR="00B62878" w:rsidRPr="00B62878" w:rsidRDefault="00B62878" w:rsidP="00B62878">
      <w:pPr>
        <w:spacing w:before="0" w:after="0"/>
        <w:ind w:left="720" w:hanging="720"/>
        <w:rPr>
          <w:rFonts w:eastAsia="Aptos" w:cs="Arial"/>
          <w:noProof/>
          <w:sz w:val="22"/>
          <w:lang w:val="en-US"/>
        </w:rPr>
      </w:pPr>
      <w:r w:rsidRPr="00B62878">
        <w:rPr>
          <w:rFonts w:eastAsia="Aptos" w:cs="Arial"/>
          <w:noProof/>
          <w:sz w:val="22"/>
          <w:lang w:val="en-US"/>
        </w:rPr>
        <w:tab/>
      </w:r>
    </w:p>
    <w:p w14:paraId="518AC0C7" w14:textId="6FB3D576" w:rsidR="00B62878" w:rsidRDefault="00B62878" w:rsidP="00B62878">
      <w:pPr>
        <w:spacing w:before="0" w:after="160"/>
        <w:ind w:left="720" w:hanging="720"/>
        <w:rPr>
          <w:rFonts w:eastAsia="Aptos" w:cs="Arial"/>
          <w:noProof/>
          <w:sz w:val="22"/>
          <w:lang w:val="en-US"/>
        </w:rPr>
      </w:pPr>
      <w:r w:rsidRPr="00B62878">
        <w:rPr>
          <w:rFonts w:eastAsia="Aptos" w:cs="Arial"/>
          <w:noProof/>
          <w:sz w:val="22"/>
          <w:lang w:val="en-US"/>
        </w:rPr>
        <w:t xml:space="preserve">Black, M. M., Walker, S. P., Fernald, L. C., Andersen, C. T., DiGirolamo, A. M., Lu, C., McCoy, D. C., Fink, G., Shawar, Y. R., &amp; Shiffman, J. (2017). Early childhood development coming of age: science through the life course. </w:t>
      </w:r>
      <w:r w:rsidRPr="00B62878">
        <w:rPr>
          <w:rFonts w:eastAsia="Aptos" w:cs="Arial"/>
          <w:i/>
          <w:noProof/>
          <w:sz w:val="22"/>
          <w:lang w:val="en-US"/>
        </w:rPr>
        <w:t>The Lancet</w:t>
      </w:r>
      <w:r w:rsidRPr="00B62878">
        <w:rPr>
          <w:rFonts w:eastAsia="Aptos" w:cs="Arial"/>
          <w:noProof/>
          <w:sz w:val="22"/>
          <w:lang w:val="en-US"/>
        </w:rPr>
        <w:t>,</w:t>
      </w:r>
      <w:r w:rsidRPr="00B62878">
        <w:rPr>
          <w:rFonts w:eastAsia="Aptos" w:cs="Arial"/>
          <w:i/>
          <w:noProof/>
          <w:sz w:val="22"/>
          <w:lang w:val="en-US"/>
        </w:rPr>
        <w:t xml:space="preserve"> 389</w:t>
      </w:r>
      <w:r w:rsidRPr="00B62878">
        <w:rPr>
          <w:rFonts w:eastAsia="Aptos" w:cs="Arial"/>
          <w:noProof/>
          <w:sz w:val="22"/>
          <w:lang w:val="en-US"/>
        </w:rPr>
        <w:t xml:space="preserve">(10064), 77-90. </w:t>
      </w:r>
      <w:hyperlink r:id="rId114" w:history="1">
        <w:r w:rsidR="00B66875" w:rsidRPr="00326476">
          <w:rPr>
            <w:rStyle w:val="Hyperlink"/>
            <w:rFonts w:eastAsia="Aptos" w:cs="Arial"/>
            <w:noProof/>
            <w:sz w:val="22"/>
            <w:lang w:val="en-US"/>
          </w:rPr>
          <w:t>https://doi.org/10.1016/S0140-6736(16)31389-7</w:t>
        </w:r>
      </w:hyperlink>
      <w:r w:rsidR="00B66875">
        <w:rPr>
          <w:rFonts w:eastAsia="Aptos" w:cs="Arial"/>
          <w:noProof/>
          <w:sz w:val="22"/>
          <w:lang w:val="en-US"/>
        </w:rPr>
        <w:t xml:space="preserve"> </w:t>
      </w:r>
    </w:p>
    <w:p w14:paraId="65D07DCD" w14:textId="77777777" w:rsidR="0082248D" w:rsidRPr="00B62878" w:rsidRDefault="0082248D" w:rsidP="00B62878">
      <w:pPr>
        <w:spacing w:before="0" w:after="160"/>
        <w:ind w:left="720" w:hanging="720"/>
        <w:rPr>
          <w:rFonts w:eastAsia="Aptos" w:cs="Arial"/>
          <w:noProof/>
          <w:sz w:val="22"/>
          <w:lang w:val="en-US"/>
        </w:rPr>
      </w:pPr>
    </w:p>
    <w:p w14:paraId="755FABA5" w14:textId="097D8C6D" w:rsidR="00622CA7" w:rsidRPr="00622CA7" w:rsidRDefault="00622CA7" w:rsidP="00622CA7">
      <w:pPr>
        <w:spacing w:before="0" w:after="160"/>
        <w:ind w:left="720" w:hanging="720"/>
        <w:rPr>
          <w:rFonts w:eastAsia="Aptos" w:cs="Arial"/>
          <w:noProof/>
          <w:sz w:val="22"/>
          <w:lang w:val="en-US"/>
        </w:rPr>
      </w:pPr>
      <w:r w:rsidRPr="00622CA7">
        <w:rPr>
          <w:rFonts w:eastAsia="Aptos" w:cs="Arial"/>
          <w:noProof/>
          <w:sz w:val="22"/>
          <w:lang w:val="en-US"/>
        </w:rPr>
        <w:t xml:space="preserve">Blomkamp, E. (2018). The promise of co-design for public policy. </w:t>
      </w:r>
      <w:r w:rsidRPr="00622CA7">
        <w:rPr>
          <w:rFonts w:eastAsia="Aptos" w:cs="Arial"/>
          <w:i/>
          <w:noProof/>
          <w:sz w:val="22"/>
          <w:lang w:val="en-US"/>
        </w:rPr>
        <w:t>Australian Journal of Public Administration</w:t>
      </w:r>
      <w:r w:rsidRPr="00622CA7">
        <w:rPr>
          <w:rFonts w:eastAsia="Aptos" w:cs="Arial"/>
          <w:noProof/>
          <w:sz w:val="22"/>
          <w:lang w:val="en-US"/>
        </w:rPr>
        <w:t>,</w:t>
      </w:r>
      <w:r w:rsidRPr="00622CA7">
        <w:rPr>
          <w:rFonts w:eastAsia="Aptos" w:cs="Arial"/>
          <w:i/>
          <w:noProof/>
          <w:sz w:val="22"/>
          <w:lang w:val="en-US"/>
        </w:rPr>
        <w:t xml:space="preserve"> 77</w:t>
      </w:r>
      <w:r w:rsidRPr="00622CA7">
        <w:rPr>
          <w:rFonts w:eastAsia="Aptos" w:cs="Arial"/>
          <w:noProof/>
          <w:sz w:val="22"/>
          <w:lang w:val="en-US"/>
        </w:rPr>
        <w:t xml:space="preserve">(4), 729-743. </w:t>
      </w:r>
      <w:hyperlink r:id="rId115" w:history="1">
        <w:r w:rsidR="00B66875" w:rsidRPr="00326476">
          <w:rPr>
            <w:rStyle w:val="Hyperlink"/>
            <w:rFonts w:eastAsia="Aptos" w:cs="Arial"/>
            <w:noProof/>
            <w:sz w:val="22"/>
            <w:lang w:val="en-US"/>
          </w:rPr>
          <w:t>https://doi.org/10.1111/1467-8500.12310</w:t>
        </w:r>
      </w:hyperlink>
      <w:r w:rsidR="00B66875">
        <w:rPr>
          <w:rFonts w:eastAsia="Aptos" w:cs="Arial"/>
          <w:noProof/>
          <w:sz w:val="22"/>
          <w:lang w:val="en-US"/>
        </w:rPr>
        <w:t xml:space="preserve"> </w:t>
      </w:r>
      <w:r w:rsidRPr="00622CA7">
        <w:rPr>
          <w:rFonts w:eastAsia="Aptos" w:cs="Arial"/>
          <w:noProof/>
          <w:sz w:val="22"/>
          <w:lang w:val="en-US"/>
        </w:rPr>
        <w:t xml:space="preserve"> </w:t>
      </w:r>
    </w:p>
    <w:p w14:paraId="7248DF96" w14:textId="77777777" w:rsidR="00622CA7" w:rsidRPr="00622CA7" w:rsidRDefault="00622CA7" w:rsidP="00622CA7">
      <w:pPr>
        <w:spacing w:before="0" w:after="0"/>
        <w:ind w:left="720" w:hanging="720"/>
        <w:rPr>
          <w:rFonts w:eastAsia="Aptos" w:cs="Arial"/>
          <w:noProof/>
          <w:sz w:val="22"/>
          <w:lang w:val="en-US"/>
        </w:rPr>
      </w:pPr>
      <w:r w:rsidRPr="00622CA7">
        <w:rPr>
          <w:rFonts w:eastAsia="Aptos" w:cs="Arial"/>
          <w:noProof/>
          <w:sz w:val="22"/>
          <w:lang w:val="en-US"/>
        </w:rPr>
        <w:tab/>
      </w:r>
    </w:p>
    <w:p w14:paraId="19442D47" w14:textId="77777777" w:rsidR="00B66875" w:rsidRDefault="00622CA7" w:rsidP="00622CA7">
      <w:pPr>
        <w:spacing w:before="0" w:after="160"/>
        <w:ind w:left="720" w:hanging="720"/>
        <w:rPr>
          <w:rFonts w:eastAsia="Aptos" w:cs="Arial"/>
          <w:noProof/>
          <w:sz w:val="22"/>
          <w:lang w:val="en-US"/>
        </w:rPr>
      </w:pPr>
      <w:r w:rsidRPr="00622CA7">
        <w:rPr>
          <w:rFonts w:eastAsia="Aptos" w:cs="Arial"/>
          <w:noProof/>
          <w:sz w:val="22"/>
          <w:lang w:val="en-US"/>
        </w:rPr>
        <w:t xml:space="preserve">Borek, A. J., McDonald, B., Fredlund, M., Bjornstad, G., Logan, S., &amp; Morris, C. (2018). Healthy parent carers programme: development and feasibility of a novel group-based health-promotion intervention. </w:t>
      </w:r>
      <w:r w:rsidRPr="00622CA7">
        <w:rPr>
          <w:rFonts w:eastAsia="Aptos" w:cs="Arial"/>
          <w:i/>
          <w:noProof/>
          <w:sz w:val="22"/>
          <w:lang w:val="en-US"/>
        </w:rPr>
        <w:t>BMC Public Health</w:t>
      </w:r>
      <w:r w:rsidRPr="00622CA7">
        <w:rPr>
          <w:rFonts w:eastAsia="Aptos" w:cs="Arial"/>
          <w:noProof/>
          <w:sz w:val="22"/>
          <w:lang w:val="en-US"/>
        </w:rPr>
        <w:t>,</w:t>
      </w:r>
      <w:r w:rsidRPr="00622CA7">
        <w:rPr>
          <w:rFonts w:eastAsia="Aptos" w:cs="Arial"/>
          <w:i/>
          <w:noProof/>
          <w:sz w:val="22"/>
          <w:lang w:val="en-US"/>
        </w:rPr>
        <w:t xml:space="preserve"> 18</w:t>
      </w:r>
      <w:r w:rsidRPr="00622CA7">
        <w:rPr>
          <w:rFonts w:eastAsia="Aptos" w:cs="Arial"/>
          <w:noProof/>
          <w:sz w:val="22"/>
          <w:lang w:val="en-US"/>
        </w:rPr>
        <w:t xml:space="preserve">, 1-16. </w:t>
      </w:r>
      <w:hyperlink r:id="rId116" w:history="1">
        <w:r w:rsidR="00B66875" w:rsidRPr="00326476">
          <w:rPr>
            <w:rStyle w:val="Hyperlink"/>
            <w:rFonts w:eastAsia="Aptos" w:cs="Arial"/>
            <w:noProof/>
            <w:sz w:val="22"/>
            <w:lang w:val="en-US"/>
          </w:rPr>
          <w:t>https://doi.org/10.1186/s12889-018-5168-4</w:t>
        </w:r>
      </w:hyperlink>
      <w:r w:rsidR="00B66875">
        <w:rPr>
          <w:rFonts w:eastAsia="Aptos" w:cs="Arial"/>
          <w:noProof/>
          <w:sz w:val="22"/>
          <w:lang w:val="en-US"/>
        </w:rPr>
        <w:t xml:space="preserve"> </w:t>
      </w:r>
    </w:p>
    <w:p w14:paraId="70B66710" w14:textId="71CB2480" w:rsidR="00622CA7" w:rsidRPr="00622CA7" w:rsidRDefault="00622CA7" w:rsidP="00622CA7">
      <w:pPr>
        <w:spacing w:before="0" w:after="160"/>
        <w:ind w:left="720" w:hanging="720"/>
        <w:rPr>
          <w:rFonts w:eastAsia="Aptos" w:cs="Arial"/>
          <w:noProof/>
          <w:sz w:val="22"/>
          <w:lang w:val="en-US"/>
        </w:rPr>
      </w:pPr>
      <w:r w:rsidRPr="00622CA7">
        <w:rPr>
          <w:rFonts w:eastAsia="Aptos" w:cs="Arial"/>
          <w:noProof/>
          <w:sz w:val="22"/>
          <w:lang w:val="en-US"/>
        </w:rPr>
        <w:t xml:space="preserve"> </w:t>
      </w:r>
    </w:p>
    <w:p w14:paraId="02C505F5" w14:textId="49E41266" w:rsidR="00DE5CCB" w:rsidRPr="00DE5CCB" w:rsidRDefault="00DE5CCB" w:rsidP="00DE5CCB">
      <w:pPr>
        <w:spacing w:before="0" w:after="160"/>
        <w:ind w:left="720" w:hanging="720"/>
        <w:rPr>
          <w:rFonts w:eastAsia="Aptos" w:cs="Arial"/>
          <w:noProof/>
          <w:sz w:val="22"/>
          <w:lang w:val="en-US"/>
        </w:rPr>
      </w:pPr>
      <w:r w:rsidRPr="00DE5CCB">
        <w:rPr>
          <w:rFonts w:eastAsia="Aptos" w:cs="Arial"/>
          <w:noProof/>
          <w:sz w:val="22"/>
          <w:lang w:val="en-US"/>
        </w:rPr>
        <w:t>Bourke</w:t>
      </w:r>
      <w:r w:rsidRPr="00DE5CCB">
        <w:rPr>
          <w:rFonts w:ascii="Cambria Math" w:eastAsia="Aptos" w:hAnsi="Cambria Math" w:cs="Cambria Math"/>
          <w:noProof/>
          <w:sz w:val="22"/>
          <w:lang w:val="en-US"/>
        </w:rPr>
        <w:t>‐</w:t>
      </w:r>
      <w:r w:rsidRPr="00DE5CCB">
        <w:rPr>
          <w:rFonts w:eastAsia="Aptos" w:cs="Arial"/>
          <w:noProof/>
          <w:sz w:val="22"/>
          <w:lang w:val="en-US"/>
        </w:rPr>
        <w:t>Taylor, H., Cotter, C., &amp; Stephan, R. (2014). Young children with cerebral palsy: families self</w:t>
      </w:r>
      <w:r w:rsidRPr="00DE5CCB">
        <w:rPr>
          <w:rFonts w:ascii="Cambria Math" w:eastAsia="Aptos" w:hAnsi="Cambria Math" w:cs="Cambria Math"/>
          <w:noProof/>
          <w:sz w:val="22"/>
          <w:lang w:val="en-US"/>
        </w:rPr>
        <w:t>‐</w:t>
      </w:r>
      <w:r w:rsidRPr="00DE5CCB">
        <w:rPr>
          <w:rFonts w:eastAsia="Aptos" w:cs="Arial"/>
          <w:noProof/>
          <w:sz w:val="22"/>
          <w:lang w:val="en-US"/>
        </w:rPr>
        <w:t>reported equipment needs and out</w:t>
      </w:r>
      <w:r w:rsidRPr="00DE5CCB">
        <w:rPr>
          <w:rFonts w:ascii="Cambria Math" w:eastAsia="Aptos" w:hAnsi="Cambria Math" w:cs="Cambria Math"/>
          <w:noProof/>
          <w:sz w:val="22"/>
          <w:lang w:val="en-US"/>
        </w:rPr>
        <w:t>‐</w:t>
      </w:r>
      <w:r w:rsidRPr="00DE5CCB">
        <w:rPr>
          <w:rFonts w:eastAsia="Aptos" w:cs="Arial"/>
          <w:noProof/>
          <w:sz w:val="22"/>
          <w:lang w:val="en-US"/>
        </w:rPr>
        <w:t>of</w:t>
      </w:r>
      <w:r w:rsidRPr="00DE5CCB">
        <w:rPr>
          <w:rFonts w:ascii="Cambria Math" w:eastAsia="Aptos" w:hAnsi="Cambria Math" w:cs="Cambria Math"/>
          <w:noProof/>
          <w:sz w:val="22"/>
          <w:lang w:val="en-US"/>
        </w:rPr>
        <w:t>‐</w:t>
      </w:r>
      <w:r w:rsidRPr="00DE5CCB">
        <w:rPr>
          <w:rFonts w:eastAsia="Aptos" w:cs="Arial"/>
          <w:noProof/>
          <w:sz w:val="22"/>
          <w:lang w:val="en-US"/>
        </w:rPr>
        <w:t xml:space="preserve">pocket expenditure. </w:t>
      </w:r>
      <w:r w:rsidRPr="00DE5CCB">
        <w:rPr>
          <w:rFonts w:eastAsia="Aptos" w:cs="Arial"/>
          <w:i/>
          <w:noProof/>
          <w:sz w:val="22"/>
          <w:lang w:val="en-US"/>
        </w:rPr>
        <w:t>Child: care, health and development</w:t>
      </w:r>
      <w:r w:rsidRPr="00DE5CCB">
        <w:rPr>
          <w:rFonts w:eastAsia="Aptos" w:cs="Arial"/>
          <w:noProof/>
          <w:sz w:val="22"/>
          <w:lang w:val="en-US"/>
        </w:rPr>
        <w:t>,</w:t>
      </w:r>
      <w:r w:rsidRPr="00DE5CCB">
        <w:rPr>
          <w:rFonts w:eastAsia="Aptos" w:cs="Arial"/>
          <w:i/>
          <w:noProof/>
          <w:sz w:val="22"/>
          <w:lang w:val="en-US"/>
        </w:rPr>
        <w:t xml:space="preserve"> 40</w:t>
      </w:r>
      <w:r w:rsidRPr="00DE5CCB">
        <w:rPr>
          <w:rFonts w:eastAsia="Aptos" w:cs="Arial"/>
          <w:noProof/>
          <w:sz w:val="22"/>
          <w:lang w:val="en-US"/>
        </w:rPr>
        <w:t xml:space="preserve">(5), 654-662. </w:t>
      </w:r>
      <w:hyperlink r:id="rId117" w:history="1">
        <w:r w:rsidR="00B66875" w:rsidRPr="00326476">
          <w:rPr>
            <w:rStyle w:val="Hyperlink"/>
            <w:rFonts w:eastAsia="Aptos" w:cs="Arial"/>
            <w:noProof/>
            <w:sz w:val="22"/>
            <w:lang w:val="en-US"/>
          </w:rPr>
          <w:t>https://doi.org/10.1111/cch.12098</w:t>
        </w:r>
      </w:hyperlink>
      <w:r w:rsidR="00B66875">
        <w:rPr>
          <w:rFonts w:eastAsia="Aptos" w:cs="Arial"/>
          <w:noProof/>
          <w:sz w:val="22"/>
          <w:lang w:val="en-US"/>
        </w:rPr>
        <w:t xml:space="preserve"> </w:t>
      </w:r>
      <w:r w:rsidRPr="00DE5CCB">
        <w:rPr>
          <w:rFonts w:eastAsia="Aptos" w:cs="Arial"/>
          <w:noProof/>
          <w:sz w:val="22"/>
          <w:lang w:val="en-US"/>
        </w:rPr>
        <w:t xml:space="preserve"> </w:t>
      </w:r>
    </w:p>
    <w:p w14:paraId="1D87317B" w14:textId="74499518" w:rsidR="0030178D" w:rsidRPr="00075790" w:rsidRDefault="0030178D" w:rsidP="0030178D">
      <w:pPr>
        <w:pStyle w:val="EndNoteBibliography"/>
        <w:spacing w:after="0"/>
        <w:ind w:left="720" w:hanging="720"/>
      </w:pPr>
    </w:p>
    <w:p w14:paraId="53D6C3FD" w14:textId="038A49B2" w:rsidR="00D23DE4" w:rsidRPr="00D23DE4" w:rsidRDefault="00D23DE4" w:rsidP="00D23DE4">
      <w:pPr>
        <w:spacing w:before="0" w:after="160"/>
        <w:ind w:left="720" w:hanging="720"/>
        <w:rPr>
          <w:rFonts w:eastAsia="Aptos" w:cs="Arial"/>
          <w:noProof/>
          <w:sz w:val="22"/>
          <w:lang w:val="en-US"/>
        </w:rPr>
      </w:pPr>
      <w:r w:rsidRPr="00D23DE4">
        <w:rPr>
          <w:rFonts w:eastAsia="Aptos" w:cs="Arial"/>
          <w:noProof/>
          <w:sz w:val="22"/>
          <w:lang w:val="en-US"/>
        </w:rPr>
        <w:t xml:space="preserve">Boutron, I., Moher, D., Tugwell, P., Giraudeau, B., Poiraudeau, S., Nizard, R., &amp; Ravaud, P. (2005). A checklist to evaluate a report of a nonpharmacological trial (CLEAR NPT) was developed using consensus. </w:t>
      </w:r>
      <w:r w:rsidRPr="00D23DE4">
        <w:rPr>
          <w:rFonts w:eastAsia="Aptos" w:cs="Arial"/>
          <w:i/>
          <w:noProof/>
          <w:sz w:val="22"/>
          <w:lang w:val="en-US"/>
        </w:rPr>
        <w:t>Journal of clinical epidemiology</w:t>
      </w:r>
      <w:r w:rsidRPr="00D23DE4">
        <w:rPr>
          <w:rFonts w:eastAsia="Aptos" w:cs="Arial"/>
          <w:noProof/>
          <w:sz w:val="22"/>
          <w:lang w:val="en-US"/>
        </w:rPr>
        <w:t>,</w:t>
      </w:r>
      <w:r w:rsidRPr="00D23DE4">
        <w:rPr>
          <w:rFonts w:eastAsia="Aptos" w:cs="Arial"/>
          <w:i/>
          <w:noProof/>
          <w:sz w:val="22"/>
          <w:lang w:val="en-US"/>
        </w:rPr>
        <w:t xml:space="preserve"> 58</w:t>
      </w:r>
      <w:r w:rsidRPr="00D23DE4">
        <w:rPr>
          <w:rFonts w:eastAsia="Aptos" w:cs="Arial"/>
          <w:noProof/>
          <w:sz w:val="22"/>
          <w:lang w:val="en-US"/>
        </w:rPr>
        <w:t xml:space="preserve">(12), 1233-1240. </w:t>
      </w:r>
      <w:hyperlink r:id="rId118" w:history="1">
        <w:r w:rsidR="00B66875" w:rsidRPr="00326476">
          <w:rPr>
            <w:rStyle w:val="Hyperlink"/>
            <w:rFonts w:eastAsia="Aptos" w:cs="Arial"/>
            <w:noProof/>
            <w:sz w:val="22"/>
            <w:lang w:val="en-US"/>
          </w:rPr>
          <w:t>https://doi.org/10.1016/j.jclinepi.2005.05.004</w:t>
        </w:r>
      </w:hyperlink>
      <w:r w:rsidR="00B66875">
        <w:rPr>
          <w:rFonts w:eastAsia="Aptos" w:cs="Arial"/>
          <w:noProof/>
          <w:sz w:val="22"/>
          <w:lang w:val="en-US"/>
        </w:rPr>
        <w:t xml:space="preserve"> </w:t>
      </w:r>
      <w:r w:rsidRPr="00D23DE4">
        <w:rPr>
          <w:rFonts w:eastAsia="Aptos" w:cs="Arial"/>
          <w:noProof/>
          <w:sz w:val="22"/>
          <w:lang w:val="en-US"/>
        </w:rPr>
        <w:t xml:space="preserve"> </w:t>
      </w:r>
    </w:p>
    <w:p w14:paraId="5F83C22E" w14:textId="0B85593E" w:rsidR="00525077" w:rsidRPr="00525077" w:rsidRDefault="00525077" w:rsidP="00525077">
      <w:pPr>
        <w:spacing w:before="0" w:after="160"/>
        <w:ind w:left="720" w:hanging="720"/>
        <w:rPr>
          <w:rFonts w:eastAsia="Aptos" w:cs="Arial"/>
          <w:noProof/>
          <w:sz w:val="22"/>
          <w:lang w:val="en-US"/>
        </w:rPr>
      </w:pPr>
      <w:r w:rsidRPr="00525077">
        <w:rPr>
          <w:rFonts w:eastAsia="Aptos" w:cs="Arial"/>
          <w:noProof/>
          <w:sz w:val="22"/>
          <w:lang w:val="en-US"/>
        </w:rPr>
        <w:t xml:space="preserve">Boyd, B. A., McCarty, C. H., &amp; Sethi, C. (2014). Families of children with autism: A synthesis of family routines literature. </w:t>
      </w:r>
      <w:r w:rsidRPr="00525077">
        <w:rPr>
          <w:rFonts w:eastAsia="Aptos" w:cs="Arial"/>
          <w:i/>
          <w:noProof/>
          <w:sz w:val="22"/>
          <w:lang w:val="en-US"/>
        </w:rPr>
        <w:t>Journal of Occupational Science</w:t>
      </w:r>
      <w:r w:rsidRPr="00525077">
        <w:rPr>
          <w:rFonts w:eastAsia="Aptos" w:cs="Arial"/>
          <w:noProof/>
          <w:sz w:val="22"/>
          <w:lang w:val="en-US"/>
        </w:rPr>
        <w:t>,</w:t>
      </w:r>
      <w:r w:rsidRPr="00525077">
        <w:rPr>
          <w:rFonts w:eastAsia="Aptos" w:cs="Arial"/>
          <w:i/>
          <w:noProof/>
          <w:sz w:val="22"/>
          <w:lang w:val="en-US"/>
        </w:rPr>
        <w:t xml:space="preserve"> 21</w:t>
      </w:r>
      <w:r w:rsidRPr="00525077">
        <w:rPr>
          <w:rFonts w:eastAsia="Aptos" w:cs="Arial"/>
          <w:noProof/>
          <w:sz w:val="22"/>
          <w:lang w:val="en-US"/>
        </w:rPr>
        <w:t xml:space="preserve">(3), 322-333. </w:t>
      </w:r>
      <w:hyperlink r:id="rId119" w:history="1">
        <w:r w:rsidR="00B66875" w:rsidRPr="00326476">
          <w:rPr>
            <w:rStyle w:val="Hyperlink"/>
            <w:rFonts w:eastAsia="Aptos" w:cs="Arial"/>
            <w:noProof/>
            <w:sz w:val="22"/>
            <w:lang w:val="en-US"/>
          </w:rPr>
          <w:t>https://doi.org/10.1080/14427591.2014.908816</w:t>
        </w:r>
      </w:hyperlink>
      <w:r w:rsidR="00B66875">
        <w:rPr>
          <w:rFonts w:eastAsia="Aptos" w:cs="Arial"/>
          <w:noProof/>
          <w:sz w:val="22"/>
          <w:lang w:val="en-US"/>
        </w:rPr>
        <w:t xml:space="preserve"> </w:t>
      </w:r>
      <w:r w:rsidRPr="00525077">
        <w:rPr>
          <w:rFonts w:eastAsia="Aptos" w:cs="Arial"/>
          <w:noProof/>
          <w:sz w:val="22"/>
          <w:lang w:val="en-US"/>
        </w:rPr>
        <w:t xml:space="preserve"> </w:t>
      </w:r>
    </w:p>
    <w:p w14:paraId="250543EF" w14:textId="09B25BA5" w:rsidR="0030178D" w:rsidRPr="00075790" w:rsidRDefault="0030178D" w:rsidP="0030178D">
      <w:pPr>
        <w:pStyle w:val="EndNoteBibliography"/>
        <w:spacing w:after="0"/>
        <w:ind w:left="720" w:hanging="720"/>
      </w:pPr>
      <w:r w:rsidRPr="00075790">
        <w:t xml:space="preserve"> </w:t>
      </w:r>
    </w:p>
    <w:p w14:paraId="45FE24EC" w14:textId="0431A299" w:rsidR="0096548F" w:rsidRPr="0096548F" w:rsidRDefault="0096548F" w:rsidP="0096548F">
      <w:pPr>
        <w:spacing w:before="0" w:after="160"/>
        <w:ind w:left="720" w:hanging="720"/>
        <w:rPr>
          <w:rFonts w:eastAsia="Aptos" w:cs="Arial"/>
          <w:noProof/>
          <w:sz w:val="22"/>
          <w:lang w:val="en-US"/>
        </w:rPr>
      </w:pPr>
      <w:r w:rsidRPr="0096548F">
        <w:rPr>
          <w:rFonts w:eastAsia="Aptos" w:cs="Arial"/>
          <w:noProof/>
          <w:sz w:val="22"/>
          <w:lang w:val="en-US"/>
        </w:rPr>
        <w:t xml:space="preserve">Boyer, V. E., &amp; Thompson, S. D. (2014). Transdisciplinary model and early intervention: Building collaborative relationships. </w:t>
      </w:r>
      <w:r w:rsidRPr="0096548F">
        <w:rPr>
          <w:rFonts w:eastAsia="Aptos" w:cs="Arial"/>
          <w:i/>
          <w:noProof/>
          <w:sz w:val="22"/>
          <w:lang w:val="en-US"/>
        </w:rPr>
        <w:t>Young Exceptional Children</w:t>
      </w:r>
      <w:r w:rsidRPr="0096548F">
        <w:rPr>
          <w:rFonts w:eastAsia="Aptos" w:cs="Arial"/>
          <w:noProof/>
          <w:sz w:val="22"/>
          <w:lang w:val="en-US"/>
        </w:rPr>
        <w:t>,</w:t>
      </w:r>
      <w:r w:rsidRPr="0096548F">
        <w:rPr>
          <w:rFonts w:eastAsia="Aptos" w:cs="Arial"/>
          <w:i/>
          <w:noProof/>
          <w:sz w:val="22"/>
          <w:lang w:val="en-US"/>
        </w:rPr>
        <w:t xml:space="preserve"> 17</w:t>
      </w:r>
      <w:r w:rsidRPr="0096548F">
        <w:rPr>
          <w:rFonts w:eastAsia="Aptos" w:cs="Arial"/>
          <w:noProof/>
          <w:sz w:val="22"/>
          <w:lang w:val="en-US"/>
        </w:rPr>
        <w:t xml:space="preserve">(3), 19-32. </w:t>
      </w:r>
      <w:hyperlink r:id="rId120" w:history="1">
        <w:r w:rsidR="00B66875" w:rsidRPr="00326476">
          <w:rPr>
            <w:rStyle w:val="Hyperlink"/>
            <w:rFonts w:eastAsia="Aptos" w:cs="Arial"/>
            <w:noProof/>
            <w:sz w:val="22"/>
            <w:lang w:val="en-US"/>
          </w:rPr>
          <w:t>https://doi.org/10.1177/1096250613493446</w:t>
        </w:r>
      </w:hyperlink>
      <w:r w:rsidR="00B66875">
        <w:rPr>
          <w:rFonts w:eastAsia="Aptos" w:cs="Arial"/>
          <w:noProof/>
          <w:sz w:val="22"/>
          <w:lang w:val="en-US"/>
        </w:rPr>
        <w:t xml:space="preserve"> </w:t>
      </w:r>
      <w:r w:rsidRPr="0096548F">
        <w:rPr>
          <w:rFonts w:eastAsia="Aptos" w:cs="Arial"/>
          <w:noProof/>
          <w:sz w:val="22"/>
          <w:lang w:val="en-US"/>
        </w:rPr>
        <w:t xml:space="preserve"> </w:t>
      </w:r>
    </w:p>
    <w:p w14:paraId="6A2FDB9E" w14:textId="77777777" w:rsidR="0082248D" w:rsidRDefault="0082248D" w:rsidP="00135331">
      <w:pPr>
        <w:spacing w:before="0" w:after="160"/>
        <w:ind w:left="720" w:hanging="720"/>
        <w:rPr>
          <w:rFonts w:eastAsia="Aptos" w:cs="Arial"/>
          <w:noProof/>
          <w:sz w:val="22"/>
          <w:lang w:val="en-US"/>
        </w:rPr>
      </w:pPr>
    </w:p>
    <w:p w14:paraId="661ADABF" w14:textId="636D10F1" w:rsidR="00B66875" w:rsidRDefault="00135331" w:rsidP="00135331">
      <w:pPr>
        <w:spacing w:before="0" w:after="160"/>
        <w:ind w:left="720" w:hanging="720"/>
        <w:rPr>
          <w:rFonts w:eastAsia="Aptos" w:cs="Arial"/>
          <w:noProof/>
          <w:sz w:val="22"/>
          <w:lang w:val="en-US"/>
        </w:rPr>
      </w:pPr>
      <w:r w:rsidRPr="00135331">
        <w:rPr>
          <w:rFonts w:eastAsia="Aptos" w:cs="Arial"/>
          <w:noProof/>
          <w:sz w:val="22"/>
          <w:lang w:val="en-US"/>
        </w:rPr>
        <w:t xml:space="preserve">Boyle, C., &amp; Anderson, J. (2021). The justification for inclusive education in Australia. </w:t>
      </w:r>
      <w:r w:rsidRPr="00135331">
        <w:rPr>
          <w:rFonts w:eastAsia="Aptos" w:cs="Arial"/>
          <w:i/>
          <w:noProof/>
          <w:sz w:val="22"/>
          <w:lang w:val="en-US"/>
        </w:rPr>
        <w:t>Prospects</w:t>
      </w:r>
      <w:r w:rsidRPr="00135331">
        <w:rPr>
          <w:rFonts w:eastAsia="Aptos" w:cs="Arial"/>
          <w:noProof/>
          <w:sz w:val="22"/>
          <w:lang w:val="en-US"/>
        </w:rPr>
        <w:t>,</w:t>
      </w:r>
      <w:r w:rsidRPr="00135331">
        <w:rPr>
          <w:rFonts w:eastAsia="Aptos" w:cs="Arial"/>
          <w:i/>
          <w:noProof/>
          <w:sz w:val="22"/>
          <w:lang w:val="en-US"/>
        </w:rPr>
        <w:t xml:space="preserve"> 49</w:t>
      </w:r>
      <w:r w:rsidRPr="00135331">
        <w:rPr>
          <w:rFonts w:eastAsia="Aptos" w:cs="Arial"/>
          <w:noProof/>
          <w:sz w:val="22"/>
          <w:lang w:val="en-US"/>
        </w:rPr>
        <w:t xml:space="preserve">(3), 203-217. </w:t>
      </w:r>
      <w:hyperlink r:id="rId121" w:history="1">
        <w:r w:rsidR="00B66875" w:rsidRPr="00326476">
          <w:rPr>
            <w:rStyle w:val="Hyperlink"/>
            <w:rFonts w:eastAsia="Aptos" w:cs="Arial"/>
            <w:noProof/>
            <w:sz w:val="22"/>
            <w:lang w:val="en-US"/>
          </w:rPr>
          <w:t>https://doi.org/10.1007/s11125-020-09494-x</w:t>
        </w:r>
      </w:hyperlink>
      <w:r w:rsidR="00B66875">
        <w:rPr>
          <w:rFonts w:eastAsia="Aptos" w:cs="Arial"/>
          <w:noProof/>
          <w:sz w:val="22"/>
          <w:lang w:val="en-US"/>
        </w:rPr>
        <w:t xml:space="preserve"> </w:t>
      </w:r>
    </w:p>
    <w:p w14:paraId="01408277" w14:textId="49EEB822" w:rsidR="00135331" w:rsidRPr="00135331" w:rsidRDefault="00135331" w:rsidP="00135331">
      <w:pPr>
        <w:spacing w:before="0" w:after="160"/>
        <w:ind w:left="720" w:hanging="720"/>
        <w:rPr>
          <w:rFonts w:eastAsia="Aptos" w:cs="Arial"/>
          <w:noProof/>
          <w:sz w:val="22"/>
          <w:lang w:val="en-US"/>
        </w:rPr>
      </w:pPr>
      <w:r w:rsidRPr="00135331">
        <w:rPr>
          <w:rFonts w:eastAsia="Aptos" w:cs="Arial"/>
          <w:noProof/>
          <w:sz w:val="22"/>
          <w:lang w:val="en-US"/>
        </w:rPr>
        <w:t xml:space="preserve"> </w:t>
      </w:r>
    </w:p>
    <w:p w14:paraId="44338DB1" w14:textId="5174231C" w:rsidR="00EA3B83" w:rsidRDefault="00EA3B83" w:rsidP="00EA3B83">
      <w:pPr>
        <w:spacing w:before="0" w:after="160"/>
        <w:ind w:left="720" w:hanging="720"/>
        <w:rPr>
          <w:rFonts w:eastAsia="Aptos" w:cs="Arial"/>
          <w:noProof/>
          <w:sz w:val="22"/>
          <w:lang w:val="en-US"/>
        </w:rPr>
      </w:pPr>
      <w:r w:rsidRPr="00EA3B83">
        <w:rPr>
          <w:rFonts w:eastAsia="Aptos" w:cs="Arial"/>
          <w:noProof/>
          <w:sz w:val="22"/>
          <w:lang w:val="en-US"/>
        </w:rPr>
        <w:t xml:space="preserve">Boyle, D., Coote, A., Sherwood, C., &amp; Slay, J. (2010). </w:t>
      </w:r>
      <w:r w:rsidRPr="00EA3B83">
        <w:rPr>
          <w:rFonts w:eastAsia="Aptos" w:cs="Arial"/>
          <w:i/>
          <w:noProof/>
          <w:sz w:val="22"/>
          <w:lang w:val="en-US"/>
        </w:rPr>
        <w:t>Right here, right now. Demos report No. 23</w:t>
      </w:r>
      <w:r w:rsidRPr="00EA3B83">
        <w:rPr>
          <w:rFonts w:eastAsia="Aptos" w:cs="Arial"/>
          <w:noProof/>
          <w:sz w:val="22"/>
          <w:lang w:val="en-US"/>
        </w:rPr>
        <w:t xml:space="preserve">. London, UK: Demos. Retrieved 6 September, 2024 from </w:t>
      </w:r>
      <w:hyperlink r:id="rId122" w:history="1">
        <w:r w:rsidR="00B66875" w:rsidRPr="00326476">
          <w:rPr>
            <w:rStyle w:val="Hyperlink"/>
            <w:rFonts w:eastAsia="Aptos" w:cs="Arial"/>
            <w:noProof/>
            <w:sz w:val="22"/>
            <w:lang w:val="en-US"/>
          </w:rPr>
          <w:t>https://neweconomics.org/2010/07/right-right-now</w:t>
        </w:r>
      </w:hyperlink>
    </w:p>
    <w:p w14:paraId="568D46A9" w14:textId="77777777" w:rsidR="00B66875" w:rsidRPr="00EA3B83" w:rsidRDefault="00B66875" w:rsidP="00EA3B83">
      <w:pPr>
        <w:spacing w:before="0" w:after="160"/>
        <w:ind w:left="720" w:hanging="720"/>
        <w:rPr>
          <w:rFonts w:eastAsia="Aptos" w:cs="Arial"/>
          <w:noProof/>
          <w:sz w:val="22"/>
          <w:lang w:val="en-US"/>
        </w:rPr>
      </w:pPr>
    </w:p>
    <w:p w14:paraId="1EEC8A4F" w14:textId="25081212" w:rsidR="001C306E" w:rsidRPr="001C306E" w:rsidRDefault="001C306E" w:rsidP="001C306E">
      <w:pPr>
        <w:spacing w:before="0" w:after="160"/>
        <w:ind w:left="720" w:hanging="720"/>
        <w:rPr>
          <w:rFonts w:eastAsia="Aptos" w:cs="Arial"/>
          <w:noProof/>
          <w:sz w:val="22"/>
          <w:lang w:val="en-US"/>
        </w:rPr>
      </w:pPr>
      <w:r w:rsidRPr="001C306E">
        <w:rPr>
          <w:rFonts w:eastAsia="Aptos" w:cs="Arial"/>
          <w:noProof/>
          <w:sz w:val="22"/>
          <w:lang w:val="en-US"/>
        </w:rPr>
        <w:t xml:space="preserve">Bradwell, P., &amp; Marr, S. (2017). Making the most of collaboration an international survey of public service co-design. </w:t>
      </w:r>
      <w:r w:rsidRPr="001C306E">
        <w:rPr>
          <w:rFonts w:eastAsia="Aptos" w:cs="Arial"/>
          <w:i/>
          <w:noProof/>
          <w:sz w:val="22"/>
          <w:lang w:val="en-US"/>
        </w:rPr>
        <w:t>Annual Review of Policy Design</w:t>
      </w:r>
      <w:r w:rsidRPr="001C306E">
        <w:rPr>
          <w:rFonts w:eastAsia="Aptos" w:cs="Arial"/>
          <w:noProof/>
          <w:sz w:val="22"/>
          <w:lang w:val="en-US"/>
        </w:rPr>
        <w:t>,</w:t>
      </w:r>
      <w:r w:rsidRPr="001C306E">
        <w:rPr>
          <w:rFonts w:eastAsia="Aptos" w:cs="Arial"/>
          <w:i/>
          <w:noProof/>
          <w:sz w:val="22"/>
          <w:lang w:val="en-US"/>
        </w:rPr>
        <w:t xml:space="preserve"> 5</w:t>
      </w:r>
      <w:r w:rsidRPr="001C306E">
        <w:rPr>
          <w:rFonts w:eastAsia="Aptos" w:cs="Arial"/>
          <w:noProof/>
          <w:sz w:val="22"/>
          <w:lang w:val="en-US"/>
        </w:rPr>
        <w:t xml:space="preserve">(1), 1-27. </w:t>
      </w:r>
      <w:hyperlink r:id="rId123" w:history="1">
        <w:r w:rsidR="0082248D" w:rsidRPr="00326476">
          <w:rPr>
            <w:rStyle w:val="Hyperlink"/>
            <w:rFonts w:eastAsia="Aptos" w:cs="Arial"/>
            <w:noProof/>
            <w:sz w:val="22"/>
            <w:lang w:val="en-US"/>
          </w:rPr>
          <w:t>https://ojs.unbc.ca/index.php/design/article/view/1661</w:t>
        </w:r>
      </w:hyperlink>
      <w:r w:rsidR="0082248D">
        <w:rPr>
          <w:rFonts w:eastAsia="Aptos" w:cs="Arial"/>
          <w:noProof/>
          <w:sz w:val="22"/>
          <w:lang w:val="en-US"/>
        </w:rPr>
        <w:t xml:space="preserve"> </w:t>
      </w:r>
      <w:r w:rsidRPr="001C306E">
        <w:rPr>
          <w:rFonts w:eastAsia="Aptos" w:cs="Arial"/>
          <w:noProof/>
          <w:sz w:val="22"/>
          <w:lang w:val="en-US"/>
        </w:rPr>
        <w:t xml:space="preserve"> </w:t>
      </w:r>
    </w:p>
    <w:p w14:paraId="5381EA0C" w14:textId="77777777" w:rsidR="00B66875" w:rsidRPr="00075790" w:rsidRDefault="00B66875" w:rsidP="0030178D">
      <w:pPr>
        <w:pStyle w:val="EndNoteBibliography"/>
        <w:spacing w:after="0"/>
        <w:ind w:left="720" w:hanging="720"/>
      </w:pPr>
    </w:p>
    <w:p w14:paraId="5D91AA85" w14:textId="77777777" w:rsidR="008D63E2" w:rsidRPr="008D63E2" w:rsidRDefault="008D63E2" w:rsidP="008D63E2">
      <w:pPr>
        <w:spacing w:before="0" w:after="160"/>
        <w:ind w:left="720" w:hanging="720"/>
        <w:rPr>
          <w:rFonts w:eastAsia="Aptos" w:cs="Arial"/>
          <w:noProof/>
          <w:sz w:val="22"/>
          <w:lang w:val="en-US"/>
        </w:rPr>
      </w:pPr>
      <w:r w:rsidRPr="008D63E2">
        <w:rPr>
          <w:rFonts w:eastAsia="Aptos" w:cs="Arial"/>
          <w:noProof/>
          <w:sz w:val="22"/>
          <w:lang w:val="en-US"/>
        </w:rPr>
        <w:t xml:space="preserve">Bransford, J. D., Brown, A. L., &amp; Cocking, R. R. (2000). </w:t>
      </w:r>
      <w:r w:rsidRPr="008D63E2">
        <w:rPr>
          <w:rFonts w:eastAsia="Aptos" w:cs="Arial"/>
          <w:i/>
          <w:noProof/>
          <w:sz w:val="22"/>
          <w:lang w:val="en-US"/>
        </w:rPr>
        <w:t>How people learn: brain, mind, experience, and school (expanded edition)</w:t>
      </w:r>
      <w:r w:rsidRPr="008D63E2">
        <w:rPr>
          <w:rFonts w:eastAsia="Aptos" w:cs="Arial"/>
          <w:noProof/>
          <w:sz w:val="22"/>
          <w:lang w:val="en-US"/>
        </w:rPr>
        <w:t xml:space="preserve"> (Vol. 11). Washington, DC: National Academy Press. </w:t>
      </w:r>
    </w:p>
    <w:p w14:paraId="2B6C9DC3" w14:textId="77777777" w:rsidR="00B66875" w:rsidRPr="00075790" w:rsidRDefault="00B66875" w:rsidP="0030178D">
      <w:pPr>
        <w:pStyle w:val="EndNoteBibliography"/>
        <w:spacing w:after="0"/>
        <w:ind w:left="720" w:hanging="720"/>
      </w:pPr>
    </w:p>
    <w:p w14:paraId="63866907" w14:textId="0393CDFD" w:rsidR="009669C0" w:rsidRPr="009669C0" w:rsidRDefault="009669C0" w:rsidP="009669C0">
      <w:pPr>
        <w:spacing w:before="0" w:after="160"/>
        <w:ind w:left="720" w:hanging="720"/>
        <w:rPr>
          <w:rFonts w:eastAsia="Aptos" w:cs="Arial"/>
          <w:noProof/>
          <w:sz w:val="22"/>
          <w:lang w:val="en-US"/>
        </w:rPr>
      </w:pPr>
      <w:r w:rsidRPr="009669C0">
        <w:rPr>
          <w:rFonts w:eastAsia="Aptos" w:cs="Arial"/>
          <w:noProof/>
          <w:sz w:val="22"/>
          <w:lang w:val="en-US"/>
        </w:rPr>
        <w:t xml:space="preserve">Braun, D., Davis, H., &amp; Mansfield, P. (2006). </w:t>
      </w:r>
      <w:r w:rsidRPr="009669C0">
        <w:rPr>
          <w:rFonts w:eastAsia="Aptos" w:cs="Arial"/>
          <w:i/>
          <w:noProof/>
          <w:sz w:val="22"/>
          <w:lang w:val="en-US"/>
        </w:rPr>
        <w:t>How helping works: Towards a shared model of process</w:t>
      </w:r>
      <w:r w:rsidRPr="009669C0">
        <w:rPr>
          <w:rFonts w:eastAsia="Aptos" w:cs="Arial"/>
          <w:noProof/>
          <w:sz w:val="22"/>
          <w:lang w:val="en-US"/>
        </w:rPr>
        <w:t xml:space="preserve">. London, UK: Parentline Plus. Retrieved 6 September, 2024 from </w:t>
      </w:r>
      <w:hyperlink r:id="rId124" w:history="1">
        <w:r w:rsidR="0082248D" w:rsidRPr="00326476">
          <w:rPr>
            <w:rStyle w:val="Hyperlink"/>
            <w:rFonts w:eastAsia="Aptos" w:cs="Arial"/>
            <w:noProof/>
            <w:sz w:val="22"/>
            <w:lang w:val="en-US"/>
          </w:rPr>
          <w:t>https://www.careforthefamily.org.uk/wp-content/uploads/2014/06/How-helping-works.pdf</w:t>
        </w:r>
      </w:hyperlink>
      <w:r w:rsidR="0082248D">
        <w:rPr>
          <w:rFonts w:eastAsia="Aptos" w:cs="Arial"/>
          <w:noProof/>
          <w:sz w:val="22"/>
          <w:lang w:val="en-US"/>
        </w:rPr>
        <w:t xml:space="preserve"> </w:t>
      </w:r>
    </w:p>
    <w:p w14:paraId="4224F576" w14:textId="77777777" w:rsidR="00B66875" w:rsidRPr="00075790" w:rsidRDefault="00B66875" w:rsidP="0030178D">
      <w:pPr>
        <w:pStyle w:val="EndNoteBibliography"/>
        <w:spacing w:after="0"/>
        <w:ind w:left="720" w:hanging="720"/>
      </w:pPr>
    </w:p>
    <w:p w14:paraId="103197C8" w14:textId="3D59EE79" w:rsidR="006368F0" w:rsidRPr="006368F0" w:rsidRDefault="006368F0" w:rsidP="006368F0">
      <w:pPr>
        <w:spacing w:before="0" w:after="160"/>
        <w:ind w:left="720" w:hanging="720"/>
        <w:rPr>
          <w:rFonts w:eastAsia="Aptos" w:cs="Arial"/>
          <w:noProof/>
          <w:sz w:val="22"/>
          <w:lang w:val="en-US"/>
        </w:rPr>
      </w:pPr>
      <w:r w:rsidRPr="006368F0">
        <w:rPr>
          <w:rFonts w:eastAsia="Aptos" w:cs="Arial"/>
          <w:noProof/>
          <w:sz w:val="22"/>
          <w:lang w:val="en-US"/>
        </w:rPr>
        <w:t xml:space="preserve">Braveman, P., Acker, J., Arkin, E., Bussel, J., Wehr, K., &amp; Proctor, D. (2018). </w:t>
      </w:r>
      <w:r w:rsidRPr="006368F0">
        <w:rPr>
          <w:rFonts w:eastAsia="Aptos" w:cs="Arial"/>
          <w:i/>
          <w:noProof/>
          <w:sz w:val="22"/>
          <w:lang w:val="en-US"/>
        </w:rPr>
        <w:t>Early childhood is critical to health equity</w:t>
      </w:r>
      <w:r w:rsidRPr="006368F0">
        <w:rPr>
          <w:rFonts w:eastAsia="Aptos" w:cs="Arial"/>
          <w:noProof/>
          <w:sz w:val="22"/>
          <w:lang w:val="en-US"/>
        </w:rPr>
        <w:t xml:space="preserve">. Princeton, NJ: Robert Wood Johnson Foundation. Retrieved 6 September, 2024 from </w:t>
      </w:r>
      <w:hyperlink r:id="rId125" w:history="1">
        <w:r w:rsidR="0082248D" w:rsidRPr="00326476">
          <w:rPr>
            <w:rStyle w:val="Hyperlink"/>
            <w:rFonts w:eastAsia="Aptos" w:cs="Arial"/>
            <w:noProof/>
            <w:sz w:val="22"/>
            <w:lang w:val="en-US"/>
          </w:rPr>
          <w:t>https://www.rwjf.org/en/library/research/2018/05/early-childhood-is-critical-to-health-equity.html</w:t>
        </w:r>
      </w:hyperlink>
      <w:r w:rsidR="0082248D">
        <w:rPr>
          <w:rFonts w:eastAsia="Aptos" w:cs="Arial"/>
          <w:noProof/>
          <w:sz w:val="22"/>
          <w:lang w:val="en-US"/>
        </w:rPr>
        <w:t xml:space="preserve"> </w:t>
      </w:r>
    </w:p>
    <w:p w14:paraId="59988089" w14:textId="77777777" w:rsidR="006368F0" w:rsidRPr="006368F0" w:rsidRDefault="006368F0" w:rsidP="006368F0">
      <w:pPr>
        <w:spacing w:before="0" w:after="0"/>
        <w:ind w:left="720" w:hanging="720"/>
        <w:rPr>
          <w:rFonts w:eastAsia="Aptos" w:cs="Arial"/>
          <w:noProof/>
          <w:sz w:val="22"/>
          <w:lang w:val="en-US"/>
        </w:rPr>
      </w:pPr>
      <w:r w:rsidRPr="006368F0">
        <w:rPr>
          <w:rFonts w:eastAsia="Aptos" w:cs="Arial"/>
          <w:noProof/>
          <w:sz w:val="22"/>
          <w:lang w:val="en-US"/>
        </w:rPr>
        <w:tab/>
      </w:r>
    </w:p>
    <w:p w14:paraId="4A880067" w14:textId="77777777" w:rsidR="006368F0" w:rsidRPr="006368F0" w:rsidRDefault="006368F0" w:rsidP="006368F0">
      <w:pPr>
        <w:spacing w:before="0" w:after="160"/>
        <w:ind w:left="720" w:hanging="720"/>
        <w:rPr>
          <w:rFonts w:eastAsia="Aptos" w:cs="Arial"/>
          <w:noProof/>
          <w:sz w:val="22"/>
          <w:lang w:val="en-US"/>
        </w:rPr>
      </w:pPr>
      <w:r w:rsidRPr="006368F0">
        <w:rPr>
          <w:rFonts w:eastAsia="Aptos" w:cs="Arial"/>
          <w:noProof/>
          <w:sz w:val="22"/>
          <w:lang w:val="en-US"/>
        </w:rPr>
        <w:t xml:space="preserve">Braveman, P., &amp; Gottlieb, L. (2014). The social determinants of health: it's time to consider the causes of the causes. </w:t>
      </w:r>
      <w:r w:rsidRPr="006368F0">
        <w:rPr>
          <w:rFonts w:eastAsia="Aptos" w:cs="Arial"/>
          <w:i/>
          <w:noProof/>
          <w:sz w:val="22"/>
          <w:lang w:val="en-US"/>
        </w:rPr>
        <w:t>Public health reports</w:t>
      </w:r>
      <w:r w:rsidRPr="006368F0">
        <w:rPr>
          <w:rFonts w:eastAsia="Aptos" w:cs="Arial"/>
          <w:noProof/>
          <w:sz w:val="22"/>
          <w:lang w:val="en-US"/>
        </w:rPr>
        <w:t>,</w:t>
      </w:r>
      <w:r w:rsidRPr="006368F0">
        <w:rPr>
          <w:rFonts w:eastAsia="Aptos" w:cs="Arial"/>
          <w:i/>
          <w:noProof/>
          <w:sz w:val="22"/>
          <w:lang w:val="en-US"/>
        </w:rPr>
        <w:t xml:space="preserve"> 129</w:t>
      </w:r>
      <w:r w:rsidRPr="006368F0">
        <w:rPr>
          <w:rFonts w:eastAsia="Aptos" w:cs="Arial"/>
          <w:noProof/>
          <w:sz w:val="22"/>
          <w:lang w:val="en-US"/>
        </w:rPr>
        <w:t xml:space="preserve">(Suppl. 2), 19-31. </w:t>
      </w:r>
    </w:p>
    <w:p w14:paraId="2968E18A" w14:textId="77777777" w:rsidR="00B66875" w:rsidRPr="00075790" w:rsidRDefault="00B66875" w:rsidP="0030178D">
      <w:pPr>
        <w:pStyle w:val="EndNoteBibliography"/>
        <w:spacing w:after="0"/>
        <w:ind w:left="720" w:hanging="720"/>
      </w:pPr>
    </w:p>
    <w:p w14:paraId="45FD7B74" w14:textId="15BF1366" w:rsidR="005912C2" w:rsidRPr="005912C2" w:rsidRDefault="005912C2" w:rsidP="005912C2">
      <w:pPr>
        <w:spacing w:before="0" w:after="160"/>
        <w:ind w:left="720" w:hanging="720"/>
        <w:rPr>
          <w:rFonts w:eastAsia="Aptos" w:cs="Arial"/>
          <w:noProof/>
          <w:sz w:val="22"/>
          <w:lang w:val="en-US"/>
        </w:rPr>
      </w:pPr>
      <w:r w:rsidRPr="005912C2">
        <w:rPr>
          <w:rFonts w:eastAsia="Aptos" w:cs="Arial"/>
          <w:noProof/>
          <w:sz w:val="22"/>
          <w:lang w:val="en-US"/>
        </w:rPr>
        <w:t xml:space="preserve">Brinkman, S. A., Gialamas, A., Rahman, A., Mittinty, M. N., Gregory, T. A., Silburn, S., Goldfeld, S., Zubrick, S. R., Carr, V., &amp; Janus, M. (2012). Jurisdictional, socioeconomic and gender inequalities in child health and development: analysis of a national census of 5-year-olds in Australia. </w:t>
      </w:r>
      <w:r w:rsidRPr="005912C2">
        <w:rPr>
          <w:rFonts w:eastAsia="Aptos" w:cs="Arial"/>
          <w:i/>
          <w:noProof/>
          <w:sz w:val="22"/>
          <w:lang w:val="en-US"/>
        </w:rPr>
        <w:t>BMJ open</w:t>
      </w:r>
      <w:r w:rsidRPr="005912C2">
        <w:rPr>
          <w:rFonts w:eastAsia="Aptos" w:cs="Arial"/>
          <w:noProof/>
          <w:sz w:val="22"/>
          <w:lang w:val="en-US"/>
        </w:rPr>
        <w:t>,</w:t>
      </w:r>
      <w:r w:rsidRPr="005912C2">
        <w:rPr>
          <w:rFonts w:eastAsia="Aptos" w:cs="Arial"/>
          <w:i/>
          <w:noProof/>
          <w:sz w:val="22"/>
          <w:lang w:val="en-US"/>
        </w:rPr>
        <w:t xml:space="preserve"> 2</w:t>
      </w:r>
      <w:r w:rsidRPr="005912C2">
        <w:rPr>
          <w:rFonts w:eastAsia="Aptos" w:cs="Arial"/>
          <w:noProof/>
          <w:sz w:val="22"/>
          <w:lang w:val="en-US"/>
        </w:rPr>
        <w:t xml:space="preserve">(5), e001075. </w:t>
      </w:r>
      <w:hyperlink r:id="rId126" w:history="1">
        <w:r w:rsidR="0082248D" w:rsidRPr="00326476">
          <w:rPr>
            <w:rStyle w:val="Hyperlink"/>
            <w:rFonts w:eastAsia="Aptos" w:cs="Arial"/>
            <w:noProof/>
            <w:sz w:val="22"/>
            <w:lang w:val="en-US"/>
          </w:rPr>
          <w:t>https://doi.org/10.1136/bmjopen-2012-001075</w:t>
        </w:r>
      </w:hyperlink>
      <w:r w:rsidR="0082248D">
        <w:rPr>
          <w:rFonts w:eastAsia="Aptos" w:cs="Arial"/>
          <w:noProof/>
          <w:sz w:val="22"/>
          <w:lang w:val="en-US"/>
        </w:rPr>
        <w:t xml:space="preserve"> </w:t>
      </w:r>
      <w:r w:rsidRPr="005912C2">
        <w:rPr>
          <w:rFonts w:eastAsia="Aptos" w:cs="Arial"/>
          <w:noProof/>
          <w:sz w:val="22"/>
          <w:lang w:val="en-US"/>
        </w:rPr>
        <w:t xml:space="preserve"> </w:t>
      </w:r>
    </w:p>
    <w:p w14:paraId="69C4F973" w14:textId="77777777" w:rsidR="00B66875" w:rsidRPr="00075790" w:rsidRDefault="00B66875" w:rsidP="0030178D">
      <w:pPr>
        <w:pStyle w:val="EndNoteBibliography"/>
        <w:spacing w:after="0"/>
        <w:ind w:left="720" w:hanging="720"/>
      </w:pPr>
    </w:p>
    <w:p w14:paraId="58CAE59D" w14:textId="77777777" w:rsidR="007250E8" w:rsidRPr="007250E8" w:rsidRDefault="007250E8" w:rsidP="007250E8">
      <w:pPr>
        <w:spacing w:before="0" w:after="160"/>
        <w:ind w:left="720" w:hanging="720"/>
        <w:rPr>
          <w:rFonts w:eastAsia="Aptos" w:cs="Arial"/>
          <w:noProof/>
          <w:sz w:val="22"/>
          <w:lang w:val="en-US"/>
        </w:rPr>
      </w:pPr>
      <w:r w:rsidRPr="007250E8">
        <w:rPr>
          <w:rFonts w:eastAsia="Aptos" w:cs="Arial"/>
          <w:noProof/>
          <w:sz w:val="22"/>
          <w:lang w:val="en-US"/>
        </w:rPr>
        <w:t xml:space="preserve">Britt, K., O’Connor, B., Babic, R., Soper, A. K., Knight, S., &amp; Imms, C. (under review). Exploring the impact of professional development about family-centred service for health professionals working in paediatric disability: A scoping review. </w:t>
      </w:r>
      <w:r w:rsidRPr="007250E8">
        <w:rPr>
          <w:rFonts w:eastAsia="Aptos" w:cs="Arial"/>
          <w:i/>
          <w:noProof/>
          <w:sz w:val="22"/>
          <w:lang w:val="en-US"/>
        </w:rPr>
        <w:t>Disability and Rehabilitation.</w:t>
      </w:r>
      <w:r w:rsidRPr="007250E8">
        <w:rPr>
          <w:rFonts w:eastAsia="Aptos" w:cs="Arial"/>
          <w:noProof/>
          <w:sz w:val="22"/>
          <w:lang w:val="en-US"/>
        </w:rPr>
        <w:t xml:space="preserve"> </w:t>
      </w:r>
    </w:p>
    <w:p w14:paraId="03DA6BA4" w14:textId="77777777" w:rsidR="00B66875" w:rsidRPr="00075790" w:rsidRDefault="00B66875" w:rsidP="0030178D">
      <w:pPr>
        <w:pStyle w:val="EndNoteBibliography"/>
        <w:spacing w:after="0"/>
        <w:ind w:left="720" w:hanging="720"/>
      </w:pPr>
    </w:p>
    <w:p w14:paraId="4A53D1EE" w14:textId="7909F557" w:rsidR="008A7994" w:rsidRPr="008A7994" w:rsidRDefault="008A7994" w:rsidP="008A7994">
      <w:pPr>
        <w:spacing w:before="0" w:after="160"/>
        <w:ind w:left="720" w:hanging="720"/>
        <w:rPr>
          <w:rFonts w:eastAsia="Aptos" w:cs="Arial"/>
          <w:noProof/>
          <w:sz w:val="22"/>
          <w:lang w:val="en-US"/>
        </w:rPr>
      </w:pPr>
      <w:r w:rsidRPr="008A7994">
        <w:rPr>
          <w:rFonts w:eastAsia="Aptos" w:cs="Arial"/>
          <w:noProof/>
          <w:sz w:val="22"/>
          <w:lang w:val="en-US"/>
        </w:rPr>
        <w:t xml:space="preserve">Britto, P. R. (2017). </w:t>
      </w:r>
      <w:r w:rsidRPr="008A7994">
        <w:rPr>
          <w:rFonts w:eastAsia="Aptos" w:cs="Arial"/>
          <w:i/>
          <w:noProof/>
          <w:sz w:val="22"/>
          <w:lang w:val="en-US"/>
        </w:rPr>
        <w:t>Early moments matter for every child</w:t>
      </w:r>
      <w:r w:rsidRPr="008A7994">
        <w:rPr>
          <w:rFonts w:eastAsia="Aptos" w:cs="Arial"/>
          <w:noProof/>
          <w:sz w:val="22"/>
          <w:lang w:val="en-US"/>
        </w:rPr>
        <w:t xml:space="preserve">. New York: United Nations Children’s Fund (UNICEF). Retrieved 6 September, 2024 from </w:t>
      </w:r>
      <w:hyperlink r:id="rId127" w:history="1">
        <w:r w:rsidR="0082248D" w:rsidRPr="00326476">
          <w:rPr>
            <w:rStyle w:val="Hyperlink"/>
            <w:rFonts w:eastAsia="Aptos" w:cs="Arial"/>
            <w:noProof/>
            <w:sz w:val="22"/>
            <w:lang w:val="en-US"/>
          </w:rPr>
          <w:t>https://www.unicef.org/media/files/UNICEF_Early_Moments_Matter_for_Every_Child_report.pdf</w:t>
        </w:r>
      </w:hyperlink>
      <w:r w:rsidR="0082248D">
        <w:rPr>
          <w:rFonts w:eastAsia="Aptos" w:cs="Arial"/>
          <w:noProof/>
          <w:sz w:val="22"/>
          <w:lang w:val="en-US"/>
        </w:rPr>
        <w:t xml:space="preserve"> </w:t>
      </w:r>
    </w:p>
    <w:p w14:paraId="0CA97952" w14:textId="77777777" w:rsidR="008A7994" w:rsidRPr="008A7994" w:rsidRDefault="008A7994" w:rsidP="008A7994">
      <w:pPr>
        <w:spacing w:before="0" w:after="0"/>
        <w:ind w:left="720" w:hanging="720"/>
        <w:rPr>
          <w:rFonts w:eastAsia="Aptos" w:cs="Arial"/>
          <w:noProof/>
          <w:sz w:val="22"/>
          <w:lang w:val="en-US"/>
        </w:rPr>
      </w:pPr>
      <w:r w:rsidRPr="008A7994">
        <w:rPr>
          <w:rFonts w:eastAsia="Aptos" w:cs="Arial"/>
          <w:noProof/>
          <w:sz w:val="22"/>
          <w:lang w:val="en-US"/>
        </w:rPr>
        <w:tab/>
      </w:r>
    </w:p>
    <w:p w14:paraId="5C9FFACE" w14:textId="70E5D33D" w:rsidR="008A7994" w:rsidRPr="008A7994" w:rsidRDefault="008A7994" w:rsidP="008A7994">
      <w:pPr>
        <w:spacing w:before="0" w:after="160"/>
        <w:ind w:left="720" w:hanging="720"/>
        <w:rPr>
          <w:rFonts w:eastAsia="Aptos" w:cs="Arial"/>
          <w:noProof/>
          <w:sz w:val="22"/>
          <w:lang w:val="en-US"/>
        </w:rPr>
      </w:pPr>
      <w:r w:rsidRPr="008A7994">
        <w:rPr>
          <w:rFonts w:eastAsia="Aptos" w:cs="Arial"/>
          <w:noProof/>
          <w:sz w:val="22"/>
          <w:lang w:val="it-IT"/>
        </w:rPr>
        <w:t xml:space="preserve">Britto, P. R., Lye, S. J., Proulx, K., Yousafzai, A. K., Matthews, S. G., Vaivada, T., Perez-Escamilla, R., Rao, N., Ip, P., &amp; Fernald, L. C. (2017). </w:t>
      </w:r>
      <w:r w:rsidRPr="008A7994">
        <w:rPr>
          <w:rFonts w:eastAsia="Aptos" w:cs="Arial"/>
          <w:noProof/>
          <w:sz w:val="22"/>
          <w:lang w:val="en-US"/>
        </w:rPr>
        <w:t xml:space="preserve">Nurturing care: promoting early childhood development. </w:t>
      </w:r>
      <w:r w:rsidRPr="008A7994">
        <w:rPr>
          <w:rFonts w:eastAsia="Aptos" w:cs="Arial"/>
          <w:i/>
          <w:noProof/>
          <w:sz w:val="22"/>
          <w:lang w:val="en-US"/>
        </w:rPr>
        <w:t>The Lancet</w:t>
      </w:r>
      <w:r w:rsidRPr="008A7994">
        <w:rPr>
          <w:rFonts w:eastAsia="Aptos" w:cs="Arial"/>
          <w:noProof/>
          <w:sz w:val="22"/>
          <w:lang w:val="en-US"/>
        </w:rPr>
        <w:t>,</w:t>
      </w:r>
      <w:r w:rsidRPr="008A7994">
        <w:rPr>
          <w:rFonts w:eastAsia="Aptos" w:cs="Arial"/>
          <w:i/>
          <w:noProof/>
          <w:sz w:val="22"/>
          <w:lang w:val="en-US"/>
        </w:rPr>
        <w:t xml:space="preserve"> 389</w:t>
      </w:r>
      <w:r w:rsidRPr="008A7994">
        <w:rPr>
          <w:rFonts w:eastAsia="Aptos" w:cs="Arial"/>
          <w:noProof/>
          <w:sz w:val="22"/>
          <w:lang w:val="en-US"/>
        </w:rPr>
        <w:t xml:space="preserve">(10064), 91-102. </w:t>
      </w:r>
      <w:hyperlink r:id="rId128" w:history="1">
        <w:r w:rsidR="0082248D" w:rsidRPr="00326476">
          <w:rPr>
            <w:rStyle w:val="Hyperlink"/>
            <w:rFonts w:eastAsia="Aptos" w:cs="Arial"/>
            <w:noProof/>
            <w:sz w:val="22"/>
            <w:lang w:val="en-US"/>
          </w:rPr>
          <w:t>https://doi.org/10.1016/S0140-6736(16)31390-3</w:t>
        </w:r>
      </w:hyperlink>
      <w:r w:rsidR="0082248D">
        <w:rPr>
          <w:rFonts w:eastAsia="Aptos" w:cs="Arial"/>
          <w:noProof/>
          <w:sz w:val="22"/>
          <w:lang w:val="en-US"/>
        </w:rPr>
        <w:t xml:space="preserve"> </w:t>
      </w:r>
      <w:r w:rsidRPr="008A7994">
        <w:rPr>
          <w:rFonts w:eastAsia="Aptos" w:cs="Arial"/>
          <w:noProof/>
          <w:sz w:val="22"/>
          <w:lang w:val="en-US"/>
        </w:rPr>
        <w:t xml:space="preserve"> </w:t>
      </w:r>
    </w:p>
    <w:p w14:paraId="6C805797" w14:textId="77777777" w:rsidR="00B66875" w:rsidRPr="00075790" w:rsidRDefault="00B66875" w:rsidP="0030178D">
      <w:pPr>
        <w:pStyle w:val="EndNoteBibliography"/>
        <w:spacing w:after="0"/>
        <w:ind w:left="720" w:hanging="720"/>
      </w:pPr>
    </w:p>
    <w:p w14:paraId="5674330B" w14:textId="11F4FB30" w:rsidR="005F35FA" w:rsidRPr="005F35FA" w:rsidRDefault="005F35FA" w:rsidP="005F35FA">
      <w:pPr>
        <w:spacing w:before="0" w:after="160"/>
        <w:ind w:left="720" w:hanging="720"/>
        <w:rPr>
          <w:rFonts w:eastAsia="Aptos" w:cs="Arial"/>
          <w:noProof/>
          <w:sz w:val="22"/>
          <w:lang w:val="en-US"/>
        </w:rPr>
      </w:pPr>
      <w:r w:rsidRPr="005F35FA">
        <w:rPr>
          <w:rFonts w:eastAsia="Aptos" w:cs="Arial"/>
          <w:noProof/>
          <w:sz w:val="22"/>
          <w:lang w:val="en-US"/>
        </w:rPr>
        <w:t xml:space="preserve">Brolan, C. E., Hall, N., Creamer, S., Johnston, I., &amp; Dantas, J. A. (2019). Health's role in achieving Australia's Sustainable Development Goal commitments. </w:t>
      </w:r>
      <w:r w:rsidRPr="005F35FA">
        <w:rPr>
          <w:rFonts w:eastAsia="Aptos" w:cs="Arial"/>
          <w:i/>
          <w:noProof/>
          <w:sz w:val="22"/>
          <w:lang w:val="en-US"/>
        </w:rPr>
        <w:t>The Medical Journal of Australia</w:t>
      </w:r>
      <w:r w:rsidRPr="005F35FA">
        <w:rPr>
          <w:rFonts w:eastAsia="Aptos" w:cs="Arial"/>
          <w:noProof/>
          <w:sz w:val="22"/>
          <w:lang w:val="en-US"/>
        </w:rPr>
        <w:t>,</w:t>
      </w:r>
      <w:r w:rsidRPr="005F35FA">
        <w:rPr>
          <w:rFonts w:eastAsia="Aptos" w:cs="Arial"/>
          <w:i/>
          <w:noProof/>
          <w:sz w:val="22"/>
          <w:lang w:val="en-US"/>
        </w:rPr>
        <w:t xml:space="preserve"> 210</w:t>
      </w:r>
      <w:r w:rsidRPr="005F35FA">
        <w:rPr>
          <w:rFonts w:eastAsia="Aptos" w:cs="Arial"/>
          <w:noProof/>
          <w:sz w:val="22"/>
          <w:lang w:val="en-US"/>
        </w:rPr>
        <w:t xml:space="preserve">(5), 204-206.e201. </w:t>
      </w:r>
      <w:hyperlink r:id="rId129" w:history="1">
        <w:r w:rsidR="0082248D" w:rsidRPr="00326476">
          <w:rPr>
            <w:rStyle w:val="Hyperlink"/>
            <w:rFonts w:eastAsia="Aptos" w:cs="Arial"/>
            <w:noProof/>
            <w:sz w:val="22"/>
            <w:lang w:val="en-US"/>
          </w:rPr>
          <w:t>https://doi.org/10.5694/mja2.50040</w:t>
        </w:r>
      </w:hyperlink>
      <w:r w:rsidR="0082248D">
        <w:rPr>
          <w:rFonts w:eastAsia="Aptos" w:cs="Arial"/>
          <w:noProof/>
          <w:sz w:val="22"/>
          <w:lang w:val="en-US"/>
        </w:rPr>
        <w:t xml:space="preserve"> </w:t>
      </w:r>
      <w:r w:rsidRPr="005F35FA">
        <w:rPr>
          <w:rFonts w:eastAsia="Aptos" w:cs="Arial"/>
          <w:noProof/>
          <w:sz w:val="22"/>
          <w:lang w:val="en-US"/>
        </w:rPr>
        <w:t xml:space="preserve"> </w:t>
      </w:r>
    </w:p>
    <w:p w14:paraId="42D7038A" w14:textId="77777777" w:rsidR="005F35FA" w:rsidRPr="005F35FA" w:rsidRDefault="005F35FA" w:rsidP="005F35FA">
      <w:pPr>
        <w:spacing w:before="0" w:after="0"/>
        <w:ind w:left="720" w:hanging="720"/>
        <w:rPr>
          <w:rFonts w:eastAsia="Aptos" w:cs="Arial"/>
          <w:noProof/>
          <w:sz w:val="22"/>
          <w:lang w:val="en-US"/>
        </w:rPr>
      </w:pPr>
      <w:r w:rsidRPr="005F35FA">
        <w:rPr>
          <w:rFonts w:eastAsia="Aptos" w:cs="Arial"/>
          <w:noProof/>
          <w:sz w:val="22"/>
          <w:lang w:val="en-US"/>
        </w:rPr>
        <w:tab/>
      </w:r>
    </w:p>
    <w:p w14:paraId="4DAF971B" w14:textId="77777777" w:rsidR="005F35FA" w:rsidRPr="005F35FA" w:rsidRDefault="005F35FA" w:rsidP="005F35FA">
      <w:pPr>
        <w:spacing w:before="0" w:after="160"/>
        <w:ind w:left="720" w:hanging="720"/>
        <w:rPr>
          <w:rFonts w:eastAsia="Aptos" w:cs="Arial"/>
          <w:noProof/>
          <w:sz w:val="22"/>
          <w:lang w:val="en-US"/>
        </w:rPr>
      </w:pPr>
      <w:r w:rsidRPr="005F35FA">
        <w:rPr>
          <w:rFonts w:eastAsia="Aptos" w:cs="Arial"/>
          <w:noProof/>
          <w:sz w:val="22"/>
          <w:lang w:val="en-US"/>
        </w:rPr>
        <w:t xml:space="preserve">Bronfenbrenner, U. (1979). </w:t>
      </w:r>
      <w:r w:rsidRPr="005F35FA">
        <w:rPr>
          <w:rFonts w:eastAsia="Aptos" w:cs="Arial"/>
          <w:i/>
          <w:noProof/>
          <w:sz w:val="22"/>
          <w:lang w:val="en-US"/>
        </w:rPr>
        <w:t>The ecology of human development: Experiments by nature and design</w:t>
      </w:r>
      <w:r w:rsidRPr="005F35FA">
        <w:rPr>
          <w:rFonts w:eastAsia="Aptos" w:cs="Arial"/>
          <w:noProof/>
          <w:sz w:val="22"/>
          <w:lang w:val="en-US"/>
        </w:rPr>
        <w:t xml:space="preserve"> (Vol. 2). Cambridge, MA: Harvard University Press. </w:t>
      </w:r>
    </w:p>
    <w:p w14:paraId="6444B5B5" w14:textId="77777777" w:rsidR="005F35FA" w:rsidRPr="005F35FA" w:rsidRDefault="005F35FA" w:rsidP="005F35FA">
      <w:pPr>
        <w:spacing w:before="0" w:after="0"/>
        <w:ind w:left="720" w:hanging="720"/>
        <w:rPr>
          <w:rFonts w:eastAsia="Aptos" w:cs="Arial"/>
          <w:noProof/>
          <w:sz w:val="22"/>
          <w:lang w:val="en-US"/>
        </w:rPr>
      </w:pPr>
      <w:r w:rsidRPr="005F35FA">
        <w:rPr>
          <w:rFonts w:eastAsia="Aptos" w:cs="Arial"/>
          <w:noProof/>
          <w:sz w:val="22"/>
          <w:lang w:val="en-US"/>
        </w:rPr>
        <w:tab/>
      </w:r>
    </w:p>
    <w:p w14:paraId="3AFBC4DC" w14:textId="1A28FDBC" w:rsidR="005F35FA" w:rsidRPr="005F35FA" w:rsidRDefault="005F35FA" w:rsidP="005F35FA">
      <w:pPr>
        <w:spacing w:before="0" w:after="160"/>
        <w:ind w:left="720" w:hanging="720"/>
        <w:rPr>
          <w:rFonts w:eastAsia="Aptos" w:cs="Arial"/>
          <w:noProof/>
          <w:sz w:val="22"/>
          <w:lang w:val="en-US"/>
        </w:rPr>
      </w:pPr>
      <w:r w:rsidRPr="005F35FA">
        <w:rPr>
          <w:rFonts w:eastAsia="Aptos" w:cs="Arial"/>
          <w:noProof/>
          <w:sz w:val="22"/>
          <w:lang w:val="en-US"/>
        </w:rPr>
        <w:t xml:space="preserve">Bronfenbrenner, U. (1986). Ecology of the family as a context for human development: Research perspectives. </w:t>
      </w:r>
      <w:r w:rsidRPr="005F35FA">
        <w:rPr>
          <w:rFonts w:eastAsia="Aptos" w:cs="Arial"/>
          <w:i/>
          <w:noProof/>
          <w:sz w:val="22"/>
          <w:lang w:val="en-US"/>
        </w:rPr>
        <w:t>Developmental Psychology</w:t>
      </w:r>
      <w:r w:rsidRPr="005F35FA">
        <w:rPr>
          <w:rFonts w:eastAsia="Aptos" w:cs="Arial"/>
          <w:noProof/>
          <w:sz w:val="22"/>
          <w:lang w:val="en-US"/>
        </w:rPr>
        <w:t>,</w:t>
      </w:r>
      <w:r w:rsidRPr="005F35FA">
        <w:rPr>
          <w:rFonts w:eastAsia="Aptos" w:cs="Arial"/>
          <w:i/>
          <w:noProof/>
          <w:sz w:val="22"/>
          <w:lang w:val="en-US"/>
        </w:rPr>
        <w:t xml:space="preserve"> 22</w:t>
      </w:r>
      <w:r w:rsidRPr="005F35FA">
        <w:rPr>
          <w:rFonts w:eastAsia="Aptos" w:cs="Arial"/>
          <w:noProof/>
          <w:sz w:val="22"/>
          <w:lang w:val="en-US"/>
        </w:rPr>
        <w:t xml:space="preserve">(6), 723-742. </w:t>
      </w:r>
      <w:hyperlink r:id="rId130" w:history="1">
        <w:r w:rsidR="0082248D" w:rsidRPr="00326476">
          <w:rPr>
            <w:rStyle w:val="Hyperlink"/>
            <w:rFonts w:eastAsia="Aptos" w:cs="Arial"/>
            <w:noProof/>
            <w:sz w:val="22"/>
            <w:lang w:val="en-US"/>
          </w:rPr>
          <w:t>https://doi.org/https://doi.org/10.1037/0012-1649.22.6.723</w:t>
        </w:r>
      </w:hyperlink>
      <w:r w:rsidR="0082248D">
        <w:rPr>
          <w:rFonts w:eastAsia="Aptos" w:cs="Arial"/>
          <w:noProof/>
          <w:sz w:val="22"/>
          <w:lang w:val="en-US"/>
        </w:rPr>
        <w:t xml:space="preserve"> </w:t>
      </w:r>
      <w:r w:rsidRPr="005F35FA">
        <w:rPr>
          <w:rFonts w:eastAsia="Aptos" w:cs="Arial"/>
          <w:noProof/>
          <w:sz w:val="22"/>
          <w:lang w:val="en-US"/>
        </w:rPr>
        <w:t xml:space="preserve"> </w:t>
      </w:r>
    </w:p>
    <w:p w14:paraId="67BBF92C" w14:textId="77777777" w:rsidR="005F35FA" w:rsidRPr="005F35FA" w:rsidRDefault="005F35FA" w:rsidP="005F35FA">
      <w:pPr>
        <w:spacing w:before="0" w:after="0"/>
        <w:ind w:left="720" w:hanging="720"/>
        <w:rPr>
          <w:rFonts w:eastAsia="Aptos" w:cs="Arial"/>
          <w:noProof/>
          <w:sz w:val="22"/>
          <w:lang w:val="en-US"/>
        </w:rPr>
      </w:pPr>
      <w:r w:rsidRPr="005F35FA">
        <w:rPr>
          <w:rFonts w:eastAsia="Aptos" w:cs="Arial"/>
          <w:noProof/>
          <w:sz w:val="22"/>
          <w:lang w:val="en-US"/>
        </w:rPr>
        <w:tab/>
      </w:r>
    </w:p>
    <w:p w14:paraId="3152F13D" w14:textId="77777777" w:rsidR="005F35FA" w:rsidRPr="005F35FA" w:rsidRDefault="005F35FA" w:rsidP="005F35FA">
      <w:pPr>
        <w:spacing w:before="0" w:after="160"/>
        <w:ind w:left="720" w:hanging="720"/>
        <w:rPr>
          <w:rFonts w:eastAsia="Aptos" w:cs="Arial"/>
          <w:noProof/>
          <w:sz w:val="22"/>
          <w:lang w:val="en-US"/>
        </w:rPr>
      </w:pPr>
      <w:r w:rsidRPr="005F35FA">
        <w:rPr>
          <w:rFonts w:eastAsia="Aptos" w:cs="Arial"/>
          <w:noProof/>
          <w:sz w:val="22"/>
          <w:lang w:val="en-US"/>
        </w:rPr>
        <w:t xml:space="preserve">Bronfenbrenner, U. (1992). Ecological systems theory. In R. Vasta (Ed.), </w:t>
      </w:r>
      <w:r w:rsidRPr="005F35FA">
        <w:rPr>
          <w:rFonts w:eastAsia="Aptos" w:cs="Arial"/>
          <w:i/>
          <w:noProof/>
          <w:sz w:val="22"/>
          <w:lang w:val="en-US"/>
        </w:rPr>
        <w:t>Six theories of child development: Revised formulations and current issues</w:t>
      </w:r>
      <w:r w:rsidRPr="005F35FA">
        <w:rPr>
          <w:rFonts w:eastAsia="Aptos" w:cs="Arial"/>
          <w:noProof/>
          <w:sz w:val="22"/>
          <w:lang w:val="en-US"/>
        </w:rPr>
        <w:t xml:space="preserve"> (pp. 187-248). Jessica Kingsley Publishers. </w:t>
      </w:r>
    </w:p>
    <w:p w14:paraId="55FD8C59" w14:textId="77777777" w:rsidR="005F35FA" w:rsidRPr="005F35FA" w:rsidRDefault="005F35FA" w:rsidP="005F35FA">
      <w:pPr>
        <w:spacing w:before="0" w:after="0"/>
        <w:ind w:left="720" w:hanging="720"/>
        <w:rPr>
          <w:rFonts w:eastAsia="Aptos" w:cs="Arial"/>
          <w:noProof/>
          <w:sz w:val="22"/>
          <w:lang w:val="en-US"/>
        </w:rPr>
      </w:pPr>
      <w:r w:rsidRPr="005F35FA">
        <w:rPr>
          <w:rFonts w:eastAsia="Aptos" w:cs="Arial"/>
          <w:noProof/>
          <w:sz w:val="22"/>
          <w:lang w:val="en-US"/>
        </w:rPr>
        <w:tab/>
      </w:r>
    </w:p>
    <w:p w14:paraId="7AFE0E57" w14:textId="77777777" w:rsidR="005F35FA" w:rsidRPr="005F35FA" w:rsidRDefault="005F35FA" w:rsidP="005F35FA">
      <w:pPr>
        <w:spacing w:before="0" w:after="160"/>
        <w:ind w:left="720" w:hanging="720"/>
        <w:rPr>
          <w:rFonts w:eastAsia="Aptos" w:cs="Arial"/>
          <w:noProof/>
          <w:sz w:val="22"/>
          <w:lang w:val="en-US"/>
        </w:rPr>
      </w:pPr>
      <w:r w:rsidRPr="005F35FA">
        <w:rPr>
          <w:rFonts w:eastAsia="Aptos" w:cs="Arial"/>
          <w:noProof/>
          <w:sz w:val="22"/>
          <w:lang w:val="en-US"/>
        </w:rPr>
        <w:t xml:space="preserve">Bronfenbrenner, U. (1993). The ecology of cognitive development: Research models and fugitive findings. In </w:t>
      </w:r>
      <w:r w:rsidRPr="005F35FA">
        <w:rPr>
          <w:rFonts w:eastAsia="Aptos" w:cs="Arial"/>
          <w:i/>
          <w:noProof/>
          <w:sz w:val="22"/>
          <w:lang w:val="en-US"/>
        </w:rPr>
        <w:t>Development in context: Acting and thinking in specific environments.</w:t>
      </w:r>
      <w:r w:rsidRPr="005F35FA">
        <w:rPr>
          <w:rFonts w:eastAsia="Aptos" w:cs="Arial"/>
          <w:noProof/>
          <w:sz w:val="22"/>
          <w:lang w:val="en-US"/>
        </w:rPr>
        <w:t xml:space="preserve"> (pp. 3-44). Hillsdale, NJ, US: Lawrence Erlbaum Associates, Inc. </w:t>
      </w:r>
    </w:p>
    <w:p w14:paraId="7F7921E7" w14:textId="77777777" w:rsidR="005F35FA" w:rsidRPr="005F35FA" w:rsidRDefault="005F35FA" w:rsidP="005F35FA">
      <w:pPr>
        <w:spacing w:before="0" w:after="0"/>
        <w:ind w:left="720" w:hanging="720"/>
        <w:rPr>
          <w:rFonts w:eastAsia="Aptos" w:cs="Arial"/>
          <w:noProof/>
          <w:sz w:val="22"/>
          <w:lang w:val="en-US"/>
        </w:rPr>
      </w:pPr>
      <w:r w:rsidRPr="005F35FA">
        <w:rPr>
          <w:rFonts w:eastAsia="Aptos" w:cs="Arial"/>
          <w:noProof/>
          <w:sz w:val="22"/>
          <w:lang w:val="en-US"/>
        </w:rPr>
        <w:tab/>
      </w:r>
    </w:p>
    <w:p w14:paraId="65169653" w14:textId="77777777" w:rsidR="005F35FA" w:rsidRPr="005F35FA" w:rsidRDefault="005F35FA" w:rsidP="005F35FA">
      <w:pPr>
        <w:spacing w:before="0" w:after="160"/>
        <w:ind w:left="720" w:hanging="720"/>
        <w:rPr>
          <w:rFonts w:eastAsia="Aptos" w:cs="Arial"/>
          <w:noProof/>
          <w:sz w:val="22"/>
          <w:lang w:val="en-US"/>
        </w:rPr>
      </w:pPr>
      <w:r w:rsidRPr="005F35FA">
        <w:rPr>
          <w:rFonts w:eastAsia="Aptos" w:cs="Arial"/>
          <w:noProof/>
          <w:sz w:val="22"/>
          <w:lang w:val="en-US"/>
        </w:rPr>
        <w:t xml:space="preserve">Bronfenbrenner, U. (1994). Ecological models of human development. </w:t>
      </w:r>
      <w:r w:rsidRPr="005F35FA">
        <w:rPr>
          <w:rFonts w:eastAsia="Aptos" w:cs="Arial"/>
          <w:i/>
          <w:noProof/>
          <w:sz w:val="22"/>
          <w:lang w:val="en-US"/>
        </w:rPr>
        <w:t>International encyclopedia of education</w:t>
      </w:r>
      <w:r w:rsidRPr="005F35FA">
        <w:rPr>
          <w:rFonts w:eastAsia="Aptos" w:cs="Arial"/>
          <w:noProof/>
          <w:sz w:val="22"/>
          <w:lang w:val="en-US"/>
        </w:rPr>
        <w:t>,</w:t>
      </w:r>
      <w:r w:rsidRPr="005F35FA">
        <w:rPr>
          <w:rFonts w:eastAsia="Aptos" w:cs="Arial"/>
          <w:i/>
          <w:noProof/>
          <w:sz w:val="22"/>
          <w:lang w:val="en-US"/>
        </w:rPr>
        <w:t xml:space="preserve"> 3</w:t>
      </w:r>
      <w:r w:rsidRPr="005F35FA">
        <w:rPr>
          <w:rFonts w:eastAsia="Aptos" w:cs="Arial"/>
          <w:noProof/>
          <w:sz w:val="22"/>
          <w:lang w:val="en-US"/>
        </w:rPr>
        <w:t xml:space="preserve">(2), 37-43. </w:t>
      </w:r>
    </w:p>
    <w:p w14:paraId="6D872059" w14:textId="77777777" w:rsidR="00B66875" w:rsidRPr="00075790" w:rsidRDefault="00B66875" w:rsidP="0030178D">
      <w:pPr>
        <w:pStyle w:val="EndNoteBibliography"/>
        <w:spacing w:after="0"/>
        <w:ind w:left="720" w:hanging="720"/>
      </w:pPr>
    </w:p>
    <w:p w14:paraId="6C4C773D" w14:textId="77777777" w:rsidR="0066456D" w:rsidRPr="0066456D" w:rsidRDefault="0066456D" w:rsidP="0066456D">
      <w:pPr>
        <w:spacing w:before="0" w:after="160"/>
        <w:ind w:left="720" w:hanging="720"/>
        <w:rPr>
          <w:rFonts w:eastAsia="Aptos" w:cs="Arial"/>
          <w:noProof/>
          <w:sz w:val="22"/>
          <w:lang w:val="en-US"/>
        </w:rPr>
      </w:pPr>
      <w:r w:rsidRPr="0066456D">
        <w:rPr>
          <w:rFonts w:eastAsia="Aptos" w:cs="Arial"/>
          <w:noProof/>
          <w:sz w:val="22"/>
          <w:lang w:val="en-US"/>
        </w:rPr>
        <w:t xml:space="preserve">Bronfenbrenner, U., &amp; Morris, P. A. (2006). The bioecological model of human development. In W. Damon &amp; R. M. Lerner (Eds.), </w:t>
      </w:r>
      <w:r w:rsidRPr="0066456D">
        <w:rPr>
          <w:rFonts w:eastAsia="Aptos" w:cs="Arial"/>
          <w:i/>
          <w:noProof/>
          <w:sz w:val="22"/>
          <w:lang w:val="en-US"/>
        </w:rPr>
        <w:t>Handbook of child psychology</w:t>
      </w:r>
      <w:r w:rsidRPr="0066456D">
        <w:rPr>
          <w:rFonts w:eastAsia="Aptos" w:cs="Arial"/>
          <w:noProof/>
          <w:sz w:val="22"/>
          <w:lang w:val="en-US"/>
        </w:rPr>
        <w:t xml:space="preserve"> (6th ed., Vol. 1, pp. 793-828). Hoboken, NJ: John Wiley and Sons. </w:t>
      </w:r>
    </w:p>
    <w:p w14:paraId="1BDC6A06" w14:textId="77777777" w:rsidR="00B66875" w:rsidRPr="00075790" w:rsidRDefault="00B66875" w:rsidP="0030178D">
      <w:pPr>
        <w:pStyle w:val="EndNoteBibliography"/>
        <w:spacing w:after="0"/>
        <w:ind w:left="720" w:hanging="720"/>
      </w:pPr>
    </w:p>
    <w:p w14:paraId="796A6546" w14:textId="7246B9A8" w:rsidR="00CE650F" w:rsidRPr="00CE650F" w:rsidRDefault="00CE650F" w:rsidP="00CE650F">
      <w:pPr>
        <w:spacing w:before="0" w:after="160"/>
        <w:ind w:left="720" w:hanging="720"/>
        <w:rPr>
          <w:rFonts w:eastAsia="Aptos" w:cs="Arial"/>
          <w:noProof/>
          <w:sz w:val="22"/>
          <w:lang w:val="en-US"/>
        </w:rPr>
      </w:pPr>
      <w:r w:rsidRPr="00CE650F">
        <w:rPr>
          <w:rFonts w:eastAsia="Aptos" w:cs="Arial"/>
          <w:noProof/>
          <w:sz w:val="22"/>
          <w:lang w:val="en-US"/>
        </w:rPr>
        <w:t>Brown, M., Harry, M., &amp; Mahoney, K. (2018). “It's like two roles we're playing”: Parent perspectives on navigating self</w:t>
      </w:r>
      <w:r w:rsidRPr="00CE650F">
        <w:rPr>
          <w:rFonts w:ascii="Cambria Math" w:eastAsia="Aptos" w:hAnsi="Cambria Math" w:cs="Cambria Math"/>
          <w:noProof/>
          <w:sz w:val="22"/>
          <w:lang w:val="en-US"/>
        </w:rPr>
        <w:t>‐</w:t>
      </w:r>
      <w:r w:rsidRPr="00CE650F">
        <w:rPr>
          <w:rFonts w:eastAsia="Aptos" w:cs="Arial"/>
          <w:noProof/>
          <w:sz w:val="22"/>
          <w:lang w:val="en-US"/>
        </w:rPr>
        <w:t xml:space="preserve">directed service programs with adult children with intellectual and/or developmental disabilities. </w:t>
      </w:r>
      <w:r w:rsidRPr="00CE650F">
        <w:rPr>
          <w:rFonts w:eastAsia="Aptos" w:cs="Arial"/>
          <w:i/>
          <w:noProof/>
          <w:sz w:val="22"/>
          <w:lang w:val="en-US"/>
        </w:rPr>
        <w:t>Journal of Policy and Practice in Intellectual Disabilities</w:t>
      </w:r>
      <w:r w:rsidRPr="00CE650F">
        <w:rPr>
          <w:rFonts w:eastAsia="Aptos" w:cs="Arial"/>
          <w:noProof/>
          <w:sz w:val="22"/>
          <w:lang w:val="en-US"/>
        </w:rPr>
        <w:t>,</w:t>
      </w:r>
      <w:r w:rsidRPr="00CE650F">
        <w:rPr>
          <w:rFonts w:eastAsia="Aptos" w:cs="Arial"/>
          <w:i/>
          <w:noProof/>
          <w:sz w:val="22"/>
          <w:lang w:val="en-US"/>
        </w:rPr>
        <w:t xml:space="preserve"> 15</w:t>
      </w:r>
      <w:r w:rsidRPr="00CE650F">
        <w:rPr>
          <w:rFonts w:eastAsia="Aptos" w:cs="Arial"/>
          <w:noProof/>
          <w:sz w:val="22"/>
          <w:lang w:val="en-US"/>
        </w:rPr>
        <w:t xml:space="preserve">(4), 350-358. </w:t>
      </w:r>
      <w:hyperlink r:id="rId131" w:history="1">
        <w:r w:rsidR="0082248D" w:rsidRPr="00326476">
          <w:rPr>
            <w:rStyle w:val="Hyperlink"/>
            <w:rFonts w:eastAsia="Aptos" w:cs="Arial"/>
            <w:noProof/>
            <w:sz w:val="22"/>
            <w:lang w:val="en-US"/>
          </w:rPr>
          <w:t>https://doi.org/10.1111/jppi.12270</w:t>
        </w:r>
      </w:hyperlink>
      <w:r w:rsidR="0082248D">
        <w:rPr>
          <w:rFonts w:eastAsia="Aptos" w:cs="Arial"/>
          <w:noProof/>
          <w:sz w:val="22"/>
          <w:lang w:val="en-US"/>
        </w:rPr>
        <w:t xml:space="preserve"> </w:t>
      </w:r>
      <w:r w:rsidRPr="00CE650F">
        <w:rPr>
          <w:rFonts w:eastAsia="Aptos" w:cs="Arial"/>
          <w:noProof/>
          <w:sz w:val="22"/>
          <w:lang w:val="en-US"/>
        </w:rPr>
        <w:t xml:space="preserve"> </w:t>
      </w:r>
    </w:p>
    <w:p w14:paraId="01BC2545" w14:textId="77777777" w:rsidR="00CE650F" w:rsidRPr="00CE650F" w:rsidRDefault="00CE650F" w:rsidP="00CE650F">
      <w:pPr>
        <w:spacing w:before="0" w:after="0"/>
        <w:ind w:left="720" w:hanging="720"/>
        <w:rPr>
          <w:rFonts w:eastAsia="Aptos" w:cs="Arial"/>
          <w:noProof/>
          <w:sz w:val="22"/>
          <w:lang w:val="en-US"/>
        </w:rPr>
      </w:pPr>
      <w:r w:rsidRPr="00CE650F">
        <w:rPr>
          <w:rFonts w:eastAsia="Aptos" w:cs="Arial"/>
          <w:noProof/>
          <w:sz w:val="22"/>
          <w:lang w:val="en-US"/>
        </w:rPr>
        <w:tab/>
      </w:r>
    </w:p>
    <w:p w14:paraId="29EE7ED7" w14:textId="40C354C1" w:rsidR="00CE650F" w:rsidRPr="00CE650F" w:rsidRDefault="00CE650F" w:rsidP="00CE650F">
      <w:pPr>
        <w:spacing w:before="0" w:after="160"/>
        <w:ind w:left="720" w:hanging="720"/>
        <w:rPr>
          <w:rFonts w:eastAsia="Aptos" w:cs="Arial"/>
          <w:noProof/>
          <w:sz w:val="22"/>
          <w:lang w:val="en-US"/>
        </w:rPr>
      </w:pPr>
      <w:r w:rsidRPr="00CE650F">
        <w:rPr>
          <w:rFonts w:eastAsia="Aptos" w:cs="Arial"/>
          <w:noProof/>
          <w:sz w:val="22"/>
          <w:lang w:val="en-US"/>
        </w:rPr>
        <w:t xml:space="preserve">Brown, S. E., &amp; Guralnick, M. J. (2012). International human rights to early intervention for infants and young children with disabilities: Tools for global advocacy. </w:t>
      </w:r>
      <w:r w:rsidRPr="00CE650F">
        <w:rPr>
          <w:rFonts w:eastAsia="Aptos" w:cs="Arial"/>
          <w:i/>
          <w:noProof/>
          <w:sz w:val="22"/>
          <w:lang w:val="en-US"/>
        </w:rPr>
        <w:t>Infants &amp; Young Children</w:t>
      </w:r>
      <w:r w:rsidRPr="00CE650F">
        <w:rPr>
          <w:rFonts w:eastAsia="Aptos" w:cs="Arial"/>
          <w:noProof/>
          <w:sz w:val="22"/>
          <w:lang w:val="en-US"/>
        </w:rPr>
        <w:t>,</w:t>
      </w:r>
      <w:r w:rsidRPr="00CE650F">
        <w:rPr>
          <w:rFonts w:eastAsia="Aptos" w:cs="Arial"/>
          <w:i/>
          <w:noProof/>
          <w:sz w:val="22"/>
          <w:lang w:val="en-US"/>
        </w:rPr>
        <w:t xml:space="preserve"> 25</w:t>
      </w:r>
      <w:r w:rsidRPr="00CE650F">
        <w:rPr>
          <w:rFonts w:eastAsia="Aptos" w:cs="Arial"/>
          <w:noProof/>
          <w:sz w:val="22"/>
          <w:lang w:val="en-US"/>
        </w:rPr>
        <w:t xml:space="preserve">(4), 270-285. </w:t>
      </w:r>
      <w:hyperlink r:id="rId132" w:history="1">
        <w:r w:rsidR="0082248D" w:rsidRPr="00326476">
          <w:rPr>
            <w:rStyle w:val="Hyperlink"/>
            <w:rFonts w:eastAsia="Aptos" w:cs="Arial"/>
            <w:noProof/>
            <w:sz w:val="22"/>
            <w:lang w:val="en-US"/>
          </w:rPr>
          <w:t>https://doi.org/10.1097/IYC.0b013e318268fa49</w:t>
        </w:r>
      </w:hyperlink>
      <w:r w:rsidR="0082248D">
        <w:rPr>
          <w:rFonts w:eastAsia="Aptos" w:cs="Arial"/>
          <w:noProof/>
          <w:sz w:val="22"/>
          <w:lang w:val="en-US"/>
        </w:rPr>
        <w:t xml:space="preserve"> </w:t>
      </w:r>
      <w:r w:rsidRPr="00CE650F">
        <w:rPr>
          <w:rFonts w:eastAsia="Aptos" w:cs="Arial"/>
          <w:noProof/>
          <w:sz w:val="22"/>
          <w:lang w:val="en-US"/>
        </w:rPr>
        <w:t xml:space="preserve"> </w:t>
      </w:r>
    </w:p>
    <w:p w14:paraId="49091A90" w14:textId="77777777" w:rsidR="00B66875" w:rsidRPr="00075790" w:rsidRDefault="00B66875" w:rsidP="0030178D">
      <w:pPr>
        <w:pStyle w:val="EndNoteBibliography"/>
        <w:spacing w:after="0"/>
        <w:ind w:left="720" w:hanging="720"/>
      </w:pPr>
    </w:p>
    <w:p w14:paraId="28288767" w14:textId="77777777" w:rsidR="00CC71CC" w:rsidRPr="00CC71CC" w:rsidRDefault="00CC71CC" w:rsidP="00CC71CC">
      <w:pPr>
        <w:spacing w:before="0" w:after="160"/>
        <w:ind w:left="720" w:hanging="720"/>
        <w:rPr>
          <w:rFonts w:eastAsia="Aptos" w:cs="Arial"/>
          <w:noProof/>
          <w:sz w:val="22"/>
          <w:lang w:val="en-US"/>
        </w:rPr>
      </w:pPr>
      <w:r w:rsidRPr="00CC71CC">
        <w:rPr>
          <w:rFonts w:eastAsia="Aptos" w:cs="Arial"/>
          <w:noProof/>
          <w:sz w:val="22"/>
          <w:lang w:val="en-US"/>
        </w:rPr>
        <w:t xml:space="preserve">Bruder, M. B. (2000). Family-centered early intervention: Clarifying our values for the new millennium. </w:t>
      </w:r>
      <w:r w:rsidRPr="00CC71CC">
        <w:rPr>
          <w:rFonts w:eastAsia="Aptos" w:cs="Arial"/>
          <w:i/>
          <w:noProof/>
          <w:sz w:val="22"/>
          <w:lang w:val="en-US"/>
        </w:rPr>
        <w:t>Topics in Early Childhood Special Education</w:t>
      </w:r>
      <w:r w:rsidRPr="00CC71CC">
        <w:rPr>
          <w:rFonts w:eastAsia="Aptos" w:cs="Arial"/>
          <w:noProof/>
          <w:sz w:val="22"/>
          <w:lang w:val="en-US"/>
        </w:rPr>
        <w:t>,</w:t>
      </w:r>
      <w:r w:rsidRPr="00CC71CC">
        <w:rPr>
          <w:rFonts w:eastAsia="Aptos" w:cs="Arial"/>
          <w:i/>
          <w:noProof/>
          <w:sz w:val="22"/>
          <w:lang w:val="en-US"/>
        </w:rPr>
        <w:t xml:space="preserve"> 20</w:t>
      </w:r>
      <w:r w:rsidRPr="00CC71CC">
        <w:rPr>
          <w:rFonts w:eastAsia="Aptos" w:cs="Arial"/>
          <w:noProof/>
          <w:sz w:val="22"/>
          <w:lang w:val="en-US"/>
        </w:rPr>
        <w:t xml:space="preserve">(2), 105-115. </w:t>
      </w:r>
    </w:p>
    <w:p w14:paraId="35DF30AB" w14:textId="77777777" w:rsidR="00CC71CC" w:rsidRPr="00CC71CC" w:rsidRDefault="00CC71CC" w:rsidP="00CC71CC">
      <w:pPr>
        <w:spacing w:before="0" w:after="0"/>
        <w:ind w:left="720" w:hanging="720"/>
        <w:rPr>
          <w:rFonts w:eastAsia="Aptos" w:cs="Arial"/>
          <w:noProof/>
          <w:sz w:val="22"/>
          <w:lang w:val="en-US"/>
        </w:rPr>
      </w:pPr>
      <w:r w:rsidRPr="00CC71CC">
        <w:rPr>
          <w:rFonts w:eastAsia="Aptos" w:cs="Arial"/>
          <w:noProof/>
          <w:sz w:val="22"/>
          <w:lang w:val="en-US"/>
        </w:rPr>
        <w:tab/>
      </w:r>
    </w:p>
    <w:p w14:paraId="4E5AD714" w14:textId="77777777" w:rsidR="00CC71CC" w:rsidRPr="00CC71CC" w:rsidRDefault="00CC71CC" w:rsidP="00CC71CC">
      <w:pPr>
        <w:spacing w:before="0" w:after="160"/>
        <w:ind w:left="720" w:hanging="720"/>
        <w:rPr>
          <w:rFonts w:eastAsia="Aptos" w:cs="Arial"/>
          <w:noProof/>
          <w:sz w:val="22"/>
          <w:lang w:val="en-US"/>
        </w:rPr>
      </w:pPr>
      <w:r w:rsidRPr="00CC71CC">
        <w:rPr>
          <w:rFonts w:eastAsia="Aptos" w:cs="Arial"/>
          <w:noProof/>
          <w:sz w:val="22"/>
          <w:lang w:val="en-US"/>
        </w:rPr>
        <w:t xml:space="preserve">Bruder, M. B. (2010). Early childhood intervention: A promise to children and families for their future. </w:t>
      </w:r>
      <w:r w:rsidRPr="00CC71CC">
        <w:rPr>
          <w:rFonts w:eastAsia="Aptos" w:cs="Arial"/>
          <w:i/>
          <w:noProof/>
          <w:sz w:val="22"/>
          <w:lang w:val="en-US"/>
        </w:rPr>
        <w:t>Exceptional Children</w:t>
      </w:r>
      <w:r w:rsidRPr="00CC71CC">
        <w:rPr>
          <w:rFonts w:eastAsia="Aptos" w:cs="Arial"/>
          <w:noProof/>
          <w:sz w:val="22"/>
          <w:lang w:val="en-US"/>
        </w:rPr>
        <w:t>,</w:t>
      </w:r>
      <w:r w:rsidRPr="00CC71CC">
        <w:rPr>
          <w:rFonts w:eastAsia="Aptos" w:cs="Arial"/>
          <w:i/>
          <w:noProof/>
          <w:sz w:val="22"/>
          <w:lang w:val="en-US"/>
        </w:rPr>
        <w:t xml:space="preserve"> 76</w:t>
      </w:r>
      <w:r w:rsidRPr="00CC71CC">
        <w:rPr>
          <w:rFonts w:eastAsia="Aptos" w:cs="Arial"/>
          <w:noProof/>
          <w:sz w:val="22"/>
          <w:lang w:val="en-US"/>
        </w:rPr>
        <w:t xml:space="preserve">(3), 339-355. </w:t>
      </w:r>
    </w:p>
    <w:p w14:paraId="48C06BAD" w14:textId="77777777" w:rsidR="00B66875" w:rsidRPr="00075790" w:rsidRDefault="00B66875" w:rsidP="0030178D">
      <w:pPr>
        <w:pStyle w:val="EndNoteBibliography"/>
        <w:spacing w:after="0"/>
        <w:ind w:left="720" w:hanging="720"/>
      </w:pPr>
    </w:p>
    <w:p w14:paraId="6B053F4E" w14:textId="77777777" w:rsidR="005124EE" w:rsidRPr="005124EE" w:rsidRDefault="005124EE" w:rsidP="005124EE">
      <w:pPr>
        <w:spacing w:before="0" w:after="160"/>
        <w:ind w:left="720" w:hanging="720"/>
        <w:rPr>
          <w:rFonts w:eastAsia="Aptos" w:cs="Arial"/>
          <w:noProof/>
          <w:sz w:val="22"/>
          <w:lang w:val="en-US"/>
        </w:rPr>
      </w:pPr>
      <w:r w:rsidRPr="005124EE">
        <w:rPr>
          <w:rFonts w:eastAsia="Aptos" w:cs="Arial"/>
          <w:noProof/>
          <w:sz w:val="22"/>
          <w:lang w:val="en-US"/>
        </w:rPr>
        <w:t xml:space="preserve">Buysse, V. (2011). Access, participation, and supports: The defining features of high-quality inclusion. </w:t>
      </w:r>
      <w:r w:rsidRPr="005124EE">
        <w:rPr>
          <w:rFonts w:eastAsia="Aptos" w:cs="Arial"/>
          <w:i/>
          <w:noProof/>
          <w:sz w:val="22"/>
          <w:lang w:val="en-US"/>
        </w:rPr>
        <w:t>ZERO TO THREE</w:t>
      </w:r>
      <w:r w:rsidRPr="005124EE">
        <w:rPr>
          <w:rFonts w:eastAsia="Aptos" w:cs="Arial"/>
          <w:noProof/>
          <w:sz w:val="22"/>
          <w:lang w:val="en-US"/>
        </w:rPr>
        <w:t>,</w:t>
      </w:r>
      <w:r w:rsidRPr="005124EE">
        <w:rPr>
          <w:rFonts w:eastAsia="Aptos" w:cs="Arial"/>
          <w:i/>
          <w:noProof/>
          <w:sz w:val="22"/>
          <w:lang w:val="en-US"/>
        </w:rPr>
        <w:t xml:space="preserve"> 31</w:t>
      </w:r>
      <w:r w:rsidRPr="005124EE">
        <w:rPr>
          <w:rFonts w:eastAsia="Aptos" w:cs="Arial"/>
          <w:noProof/>
          <w:sz w:val="22"/>
          <w:lang w:val="en-US"/>
        </w:rPr>
        <w:t xml:space="preserve">(4), 24-31. </w:t>
      </w:r>
    </w:p>
    <w:p w14:paraId="435A871A" w14:textId="77777777" w:rsidR="005124EE" w:rsidRPr="005124EE" w:rsidRDefault="005124EE" w:rsidP="005124EE">
      <w:pPr>
        <w:spacing w:before="0" w:after="0"/>
        <w:ind w:left="720" w:hanging="720"/>
        <w:rPr>
          <w:rFonts w:eastAsia="Aptos" w:cs="Arial"/>
          <w:noProof/>
          <w:sz w:val="22"/>
          <w:lang w:val="en-US"/>
        </w:rPr>
      </w:pPr>
      <w:r w:rsidRPr="005124EE">
        <w:rPr>
          <w:rFonts w:eastAsia="Aptos" w:cs="Arial"/>
          <w:noProof/>
          <w:sz w:val="22"/>
          <w:lang w:val="en-US"/>
        </w:rPr>
        <w:tab/>
      </w:r>
    </w:p>
    <w:p w14:paraId="02FDBC5A" w14:textId="77777777" w:rsidR="005124EE" w:rsidRPr="005124EE" w:rsidRDefault="005124EE" w:rsidP="005124EE">
      <w:pPr>
        <w:spacing w:before="0" w:after="160"/>
        <w:ind w:left="720" w:hanging="720"/>
        <w:rPr>
          <w:rFonts w:eastAsia="Aptos" w:cs="Arial"/>
          <w:noProof/>
          <w:sz w:val="22"/>
          <w:lang w:val="en-US"/>
        </w:rPr>
      </w:pPr>
      <w:r w:rsidRPr="005124EE">
        <w:rPr>
          <w:rFonts w:eastAsia="Aptos" w:cs="Arial"/>
          <w:noProof/>
          <w:sz w:val="22"/>
          <w:lang w:val="en-US"/>
        </w:rPr>
        <w:t xml:space="preserve">Buysse, V., &amp; Peisner-Feinberg, E. S. (2013). Response to intervention: Conceptual foundations for the early childhood field. In V. Buysse &amp; E. Peisner-Feinberg (Eds.), </w:t>
      </w:r>
      <w:r w:rsidRPr="005124EE">
        <w:rPr>
          <w:rFonts w:eastAsia="Aptos" w:cs="Arial"/>
          <w:i/>
          <w:noProof/>
          <w:sz w:val="22"/>
          <w:lang w:val="en-US"/>
        </w:rPr>
        <w:t xml:space="preserve">Handbook of response to intervention in early childhood </w:t>
      </w:r>
      <w:r w:rsidRPr="005124EE">
        <w:rPr>
          <w:rFonts w:eastAsia="Aptos" w:cs="Arial"/>
          <w:noProof/>
          <w:sz w:val="22"/>
          <w:lang w:val="en-US"/>
        </w:rPr>
        <w:t xml:space="preserve">Baltimore, MD: Paul H. Brookes Publishing Co. </w:t>
      </w:r>
    </w:p>
    <w:p w14:paraId="5B2F7C3F" w14:textId="77777777" w:rsidR="005124EE" w:rsidRPr="005124EE" w:rsidRDefault="005124EE" w:rsidP="005124EE">
      <w:pPr>
        <w:spacing w:before="0" w:after="0"/>
        <w:ind w:left="720" w:hanging="720"/>
        <w:rPr>
          <w:rFonts w:eastAsia="Aptos" w:cs="Arial"/>
          <w:noProof/>
          <w:sz w:val="22"/>
          <w:lang w:val="en-US"/>
        </w:rPr>
      </w:pPr>
      <w:r w:rsidRPr="005124EE">
        <w:rPr>
          <w:rFonts w:eastAsia="Aptos" w:cs="Arial"/>
          <w:noProof/>
          <w:sz w:val="22"/>
          <w:lang w:val="en-US"/>
        </w:rPr>
        <w:tab/>
      </w:r>
    </w:p>
    <w:p w14:paraId="39EA98F5" w14:textId="6111EDE4" w:rsidR="0030178D" w:rsidRDefault="005124EE" w:rsidP="0030178D">
      <w:pPr>
        <w:pStyle w:val="EndNoteBibliography"/>
        <w:spacing w:after="0"/>
        <w:ind w:left="720" w:hanging="720"/>
        <w:rPr>
          <w:rFonts w:ascii="Aptos" w:eastAsia="Aptos" w:hAnsi="Aptos" w:cs="Times New Roman"/>
          <w:noProof w:val="0"/>
          <w:sz w:val="24"/>
          <w:lang w:val="en-AU"/>
        </w:rPr>
      </w:pPr>
      <w:r w:rsidRPr="005124EE">
        <w:rPr>
          <w:rFonts w:ascii="Aptos" w:eastAsia="Aptos" w:hAnsi="Aptos" w:cs="Times New Roman"/>
          <w:noProof w:val="0"/>
          <w:sz w:val="24"/>
          <w:lang w:val="en-AU"/>
        </w:rPr>
        <w:t xml:space="preserve">Buysse, V., &amp; Wesley, P. W. (2006). </w:t>
      </w:r>
      <w:r w:rsidRPr="005124EE">
        <w:rPr>
          <w:rFonts w:ascii="Aptos" w:eastAsia="Aptos" w:hAnsi="Aptos" w:cs="Times New Roman"/>
          <w:i/>
          <w:noProof w:val="0"/>
          <w:sz w:val="24"/>
          <w:lang w:val="en-AU"/>
        </w:rPr>
        <w:t>Evidence-based practice in the early childhood field</w:t>
      </w:r>
      <w:r w:rsidRPr="005124EE">
        <w:rPr>
          <w:rFonts w:ascii="Aptos" w:eastAsia="Aptos" w:hAnsi="Aptos" w:cs="Times New Roman"/>
          <w:noProof w:val="0"/>
          <w:sz w:val="24"/>
          <w:lang w:val="en-AU"/>
        </w:rPr>
        <w:t>. Washington, DC: Zero to Three Press.</w:t>
      </w:r>
    </w:p>
    <w:p w14:paraId="72EB6306" w14:textId="77777777" w:rsidR="00B66875" w:rsidRPr="00075790" w:rsidRDefault="00B66875" w:rsidP="0030178D">
      <w:pPr>
        <w:pStyle w:val="EndNoteBibliography"/>
        <w:spacing w:after="0"/>
        <w:ind w:left="720" w:hanging="720"/>
      </w:pPr>
    </w:p>
    <w:p w14:paraId="22247ACA" w14:textId="25A980E9" w:rsidR="00125FA7" w:rsidRPr="00125FA7" w:rsidRDefault="00125FA7" w:rsidP="00125FA7">
      <w:pPr>
        <w:spacing w:before="0" w:after="160"/>
        <w:ind w:left="720" w:hanging="720"/>
        <w:rPr>
          <w:rFonts w:eastAsia="Aptos" w:cs="Arial"/>
          <w:noProof/>
          <w:sz w:val="22"/>
          <w:lang w:val="en-US"/>
        </w:rPr>
      </w:pPr>
      <w:r w:rsidRPr="00125FA7">
        <w:rPr>
          <w:rFonts w:eastAsia="Aptos" w:cs="Arial"/>
          <w:noProof/>
          <w:sz w:val="22"/>
          <w:lang w:val="en-US"/>
        </w:rPr>
        <w:t xml:space="preserve">Calder, S., Ward, R., Jones, M., Johnston, J., &amp; Claessen, M. (2018). The uses of outcome measures within multidisciplinary early childhood intervention services: A systematic review. </w:t>
      </w:r>
      <w:r w:rsidRPr="00125FA7">
        <w:rPr>
          <w:rFonts w:eastAsia="Aptos" w:cs="Arial"/>
          <w:i/>
          <w:noProof/>
          <w:sz w:val="22"/>
          <w:lang w:val="en-US"/>
        </w:rPr>
        <w:t>Disability and Rehabilitation</w:t>
      </w:r>
      <w:r w:rsidRPr="00125FA7">
        <w:rPr>
          <w:rFonts w:eastAsia="Aptos" w:cs="Arial"/>
          <w:noProof/>
          <w:sz w:val="22"/>
          <w:lang w:val="en-US"/>
        </w:rPr>
        <w:t>,</w:t>
      </w:r>
      <w:r w:rsidRPr="00125FA7">
        <w:rPr>
          <w:rFonts w:eastAsia="Aptos" w:cs="Arial"/>
          <w:i/>
          <w:noProof/>
          <w:sz w:val="22"/>
          <w:lang w:val="en-US"/>
        </w:rPr>
        <w:t xml:space="preserve"> 40</w:t>
      </w:r>
      <w:r w:rsidRPr="00125FA7">
        <w:rPr>
          <w:rFonts w:eastAsia="Aptos" w:cs="Arial"/>
          <w:noProof/>
          <w:sz w:val="22"/>
          <w:lang w:val="en-US"/>
        </w:rPr>
        <w:t xml:space="preserve">(22), 2599-2622. </w:t>
      </w:r>
      <w:hyperlink r:id="rId133" w:history="1">
        <w:r w:rsidR="00E95F6C" w:rsidRPr="00326476">
          <w:rPr>
            <w:rStyle w:val="Hyperlink"/>
            <w:rFonts w:eastAsia="Aptos" w:cs="Arial"/>
            <w:noProof/>
            <w:sz w:val="22"/>
            <w:lang w:val="en-US"/>
          </w:rPr>
          <w:t>https://doi.org/10.1080/09638288.2017.1353144</w:t>
        </w:r>
      </w:hyperlink>
      <w:r w:rsidR="00E95F6C">
        <w:rPr>
          <w:rFonts w:eastAsia="Aptos" w:cs="Arial"/>
          <w:noProof/>
          <w:sz w:val="22"/>
          <w:lang w:val="en-US"/>
        </w:rPr>
        <w:t xml:space="preserve"> </w:t>
      </w:r>
      <w:r w:rsidRPr="00125FA7">
        <w:rPr>
          <w:rFonts w:eastAsia="Aptos" w:cs="Arial"/>
          <w:noProof/>
          <w:sz w:val="22"/>
          <w:lang w:val="en-US"/>
        </w:rPr>
        <w:t xml:space="preserve"> </w:t>
      </w:r>
    </w:p>
    <w:p w14:paraId="6C876A53" w14:textId="77777777" w:rsidR="00125FA7" w:rsidRPr="00125FA7" w:rsidRDefault="00125FA7" w:rsidP="00125FA7">
      <w:pPr>
        <w:spacing w:before="0" w:after="0"/>
        <w:ind w:left="720" w:hanging="720"/>
        <w:rPr>
          <w:rFonts w:eastAsia="Aptos" w:cs="Arial"/>
          <w:noProof/>
          <w:sz w:val="22"/>
          <w:lang w:val="en-US"/>
        </w:rPr>
      </w:pPr>
      <w:r w:rsidRPr="00125FA7">
        <w:rPr>
          <w:rFonts w:eastAsia="Aptos" w:cs="Arial"/>
          <w:noProof/>
          <w:sz w:val="22"/>
          <w:lang w:val="en-US"/>
        </w:rPr>
        <w:tab/>
      </w:r>
    </w:p>
    <w:p w14:paraId="2206F547" w14:textId="411ED60B" w:rsidR="00125FA7" w:rsidRPr="00125FA7" w:rsidRDefault="00125FA7" w:rsidP="00125FA7">
      <w:pPr>
        <w:spacing w:before="0" w:after="160"/>
        <w:ind w:left="720" w:hanging="720"/>
        <w:rPr>
          <w:rFonts w:eastAsia="Aptos" w:cs="Arial"/>
          <w:noProof/>
          <w:sz w:val="22"/>
          <w:lang w:val="en-US"/>
        </w:rPr>
      </w:pPr>
      <w:r w:rsidRPr="00125FA7">
        <w:rPr>
          <w:rFonts w:eastAsia="Aptos" w:cs="Arial"/>
          <w:noProof/>
          <w:sz w:val="22"/>
          <w:lang w:val="en-US"/>
        </w:rPr>
        <w:t xml:space="preserve">Callinan, E. (2019). </w:t>
      </w:r>
      <w:r w:rsidRPr="00125FA7">
        <w:rPr>
          <w:rFonts w:eastAsia="Aptos" w:cs="Arial"/>
          <w:i/>
          <w:noProof/>
          <w:sz w:val="22"/>
          <w:lang w:val="en-US"/>
        </w:rPr>
        <w:t>Risk and reward: DNA tests alone shouldn't make our biggest decision.</w:t>
      </w:r>
      <w:r w:rsidRPr="00125FA7">
        <w:rPr>
          <w:rFonts w:eastAsia="Aptos" w:cs="Arial"/>
          <w:noProof/>
          <w:sz w:val="22"/>
          <w:lang w:val="en-US"/>
        </w:rPr>
        <w:t xml:space="preserve"> The Age. Retrieved March 16, 2024 from </w:t>
      </w:r>
      <w:hyperlink r:id="rId134" w:history="1">
        <w:r w:rsidR="002D28AB" w:rsidRPr="00326476">
          <w:rPr>
            <w:rStyle w:val="Hyperlink"/>
            <w:rFonts w:eastAsia="Aptos" w:cs="Arial"/>
            <w:noProof/>
            <w:sz w:val="22"/>
            <w:lang w:val="en-US"/>
          </w:rPr>
          <w:t>https://www.smh.com.au/lifestyle/health-and-wellness/risk-and-reward-dna-tests-alone-shouldn-t-make-our-biggest-decision-20190213-p50xii.html</w:t>
        </w:r>
      </w:hyperlink>
      <w:r w:rsidR="002D28AB">
        <w:rPr>
          <w:rFonts w:eastAsia="Aptos" w:cs="Arial"/>
          <w:noProof/>
          <w:sz w:val="22"/>
          <w:lang w:val="en-US"/>
        </w:rPr>
        <w:t xml:space="preserve"> </w:t>
      </w:r>
    </w:p>
    <w:p w14:paraId="7FFC79D5" w14:textId="77777777" w:rsidR="00125FA7" w:rsidRPr="00125FA7" w:rsidRDefault="00125FA7" w:rsidP="00125FA7">
      <w:pPr>
        <w:spacing w:before="0" w:after="0"/>
        <w:ind w:left="720" w:hanging="720"/>
        <w:rPr>
          <w:rFonts w:eastAsia="Aptos" w:cs="Arial"/>
          <w:noProof/>
          <w:sz w:val="22"/>
          <w:lang w:val="en-US"/>
        </w:rPr>
      </w:pPr>
      <w:r w:rsidRPr="00125FA7">
        <w:rPr>
          <w:rFonts w:eastAsia="Aptos" w:cs="Arial"/>
          <w:noProof/>
          <w:sz w:val="22"/>
          <w:lang w:val="en-US"/>
        </w:rPr>
        <w:tab/>
      </w:r>
    </w:p>
    <w:p w14:paraId="4C5464C9" w14:textId="77777777" w:rsidR="00B66875" w:rsidRDefault="00125FA7" w:rsidP="00125FA7">
      <w:pPr>
        <w:spacing w:before="0" w:after="160"/>
        <w:ind w:left="720" w:hanging="720"/>
        <w:rPr>
          <w:rFonts w:eastAsia="Aptos" w:cs="Arial"/>
          <w:noProof/>
          <w:sz w:val="22"/>
          <w:lang w:val="en-US"/>
        </w:rPr>
      </w:pPr>
      <w:r w:rsidRPr="00125FA7">
        <w:rPr>
          <w:rFonts w:eastAsia="Aptos" w:cs="Arial"/>
          <w:noProof/>
          <w:sz w:val="22"/>
          <w:lang w:val="en-US"/>
        </w:rPr>
        <w:t xml:space="preserve">Cameron, D. L. (2018). Barriers to parental empowerment in the context of multidisciplinary collaboration on behalf of preschool children with disabilities. </w:t>
      </w:r>
      <w:r w:rsidRPr="00125FA7">
        <w:rPr>
          <w:rFonts w:eastAsia="Aptos" w:cs="Arial"/>
          <w:i/>
          <w:noProof/>
          <w:sz w:val="22"/>
          <w:lang w:val="en-US"/>
        </w:rPr>
        <w:t>Scandinavian Journal of Disability Research</w:t>
      </w:r>
      <w:r w:rsidRPr="00125FA7">
        <w:rPr>
          <w:rFonts w:eastAsia="Aptos" w:cs="Arial"/>
          <w:noProof/>
          <w:sz w:val="22"/>
          <w:lang w:val="en-US"/>
        </w:rPr>
        <w:t>,</w:t>
      </w:r>
      <w:r w:rsidRPr="00125FA7">
        <w:rPr>
          <w:rFonts w:eastAsia="Aptos" w:cs="Arial"/>
          <w:i/>
          <w:noProof/>
          <w:sz w:val="22"/>
          <w:lang w:val="en-US"/>
        </w:rPr>
        <w:t xml:space="preserve"> 20</w:t>
      </w:r>
      <w:r w:rsidRPr="00125FA7">
        <w:rPr>
          <w:rFonts w:eastAsia="Aptos" w:cs="Arial"/>
          <w:noProof/>
          <w:sz w:val="22"/>
          <w:lang w:val="en-US"/>
        </w:rPr>
        <w:t xml:space="preserve">(1), 277–285. </w:t>
      </w:r>
      <w:hyperlink r:id="rId135" w:history="1">
        <w:r w:rsidR="00B66875" w:rsidRPr="00326476">
          <w:rPr>
            <w:rStyle w:val="Hyperlink"/>
            <w:rFonts w:eastAsia="Aptos" w:cs="Arial"/>
            <w:noProof/>
            <w:sz w:val="22"/>
            <w:lang w:val="en-US"/>
          </w:rPr>
          <w:t>https://doi.org/10.16993/sjdr.6</w:t>
        </w:r>
      </w:hyperlink>
      <w:r w:rsidR="00B66875">
        <w:rPr>
          <w:rFonts w:eastAsia="Aptos" w:cs="Arial"/>
          <w:noProof/>
          <w:sz w:val="22"/>
          <w:lang w:val="en-US"/>
        </w:rPr>
        <w:t xml:space="preserve"> </w:t>
      </w:r>
    </w:p>
    <w:p w14:paraId="13DAE6CE" w14:textId="42EAFF64" w:rsidR="00125FA7" w:rsidRPr="00125FA7" w:rsidRDefault="00125FA7" w:rsidP="00125FA7">
      <w:pPr>
        <w:spacing w:before="0" w:after="160"/>
        <w:ind w:left="720" w:hanging="720"/>
        <w:rPr>
          <w:rFonts w:eastAsia="Aptos" w:cs="Arial"/>
          <w:noProof/>
          <w:sz w:val="22"/>
          <w:lang w:val="en-US"/>
        </w:rPr>
      </w:pPr>
      <w:r w:rsidRPr="00125FA7">
        <w:rPr>
          <w:rFonts w:eastAsia="Aptos" w:cs="Arial"/>
          <w:noProof/>
          <w:sz w:val="22"/>
          <w:lang w:val="en-US"/>
        </w:rPr>
        <w:t xml:space="preserve"> </w:t>
      </w:r>
    </w:p>
    <w:p w14:paraId="35E7FF64" w14:textId="13A37F85" w:rsidR="00640909" w:rsidRPr="00640909" w:rsidRDefault="00640909" w:rsidP="00640909">
      <w:pPr>
        <w:spacing w:before="0" w:after="160"/>
        <w:ind w:left="720" w:hanging="720"/>
        <w:rPr>
          <w:rFonts w:eastAsia="Aptos" w:cs="Arial"/>
          <w:noProof/>
          <w:sz w:val="22"/>
          <w:lang w:val="en-US"/>
        </w:rPr>
      </w:pPr>
      <w:r w:rsidRPr="00640909">
        <w:rPr>
          <w:rFonts w:eastAsia="Aptos" w:cs="Arial"/>
          <w:noProof/>
          <w:sz w:val="22"/>
          <w:lang w:val="en-US"/>
        </w:rPr>
        <w:t xml:space="preserve">Cantor, P., Osher, D., Berg, J., Steyer, L., &amp; Rose, T. (2019). Malleability, plasticity, and individuality: How children learn and develop in context. </w:t>
      </w:r>
      <w:r w:rsidRPr="00640909">
        <w:rPr>
          <w:rFonts w:eastAsia="Aptos" w:cs="Arial"/>
          <w:i/>
          <w:noProof/>
          <w:sz w:val="22"/>
          <w:lang w:val="en-US"/>
        </w:rPr>
        <w:t>Applied Developmental Science</w:t>
      </w:r>
      <w:r w:rsidRPr="00640909">
        <w:rPr>
          <w:rFonts w:eastAsia="Aptos" w:cs="Arial"/>
          <w:noProof/>
          <w:sz w:val="22"/>
          <w:lang w:val="en-US"/>
        </w:rPr>
        <w:t>,</w:t>
      </w:r>
      <w:r w:rsidRPr="00640909">
        <w:rPr>
          <w:rFonts w:eastAsia="Aptos" w:cs="Arial"/>
          <w:i/>
          <w:noProof/>
          <w:sz w:val="22"/>
          <w:lang w:val="en-US"/>
        </w:rPr>
        <w:t xml:space="preserve"> 23</w:t>
      </w:r>
      <w:r w:rsidRPr="00640909">
        <w:rPr>
          <w:rFonts w:eastAsia="Aptos" w:cs="Arial"/>
          <w:noProof/>
          <w:sz w:val="22"/>
          <w:lang w:val="en-US"/>
        </w:rPr>
        <w:t xml:space="preserve">(4), 3-54. </w:t>
      </w:r>
      <w:hyperlink r:id="rId136" w:history="1">
        <w:r w:rsidR="002D28AB" w:rsidRPr="00326476">
          <w:rPr>
            <w:rStyle w:val="Hyperlink"/>
            <w:rFonts w:eastAsia="Aptos" w:cs="Arial"/>
            <w:noProof/>
            <w:sz w:val="22"/>
            <w:lang w:val="en-US"/>
          </w:rPr>
          <w:t>https://doi.org/10.1080/10888691.2017.1398649</w:t>
        </w:r>
      </w:hyperlink>
      <w:r w:rsidR="002D28AB">
        <w:rPr>
          <w:rFonts w:eastAsia="Aptos" w:cs="Arial"/>
          <w:noProof/>
          <w:sz w:val="22"/>
          <w:lang w:val="en-US"/>
        </w:rPr>
        <w:t xml:space="preserve"> </w:t>
      </w:r>
      <w:r w:rsidRPr="00640909">
        <w:rPr>
          <w:rFonts w:eastAsia="Aptos" w:cs="Arial"/>
          <w:noProof/>
          <w:sz w:val="22"/>
          <w:lang w:val="en-US"/>
        </w:rPr>
        <w:t xml:space="preserve"> </w:t>
      </w:r>
    </w:p>
    <w:p w14:paraId="203D63E4" w14:textId="77777777" w:rsidR="00640909" w:rsidRPr="00640909" w:rsidRDefault="00640909" w:rsidP="00640909">
      <w:pPr>
        <w:spacing w:before="0" w:after="0"/>
        <w:ind w:left="720" w:hanging="720"/>
        <w:rPr>
          <w:rFonts w:eastAsia="Aptos" w:cs="Arial"/>
          <w:noProof/>
          <w:sz w:val="22"/>
          <w:lang w:val="en-US"/>
        </w:rPr>
      </w:pPr>
      <w:r w:rsidRPr="00640909">
        <w:rPr>
          <w:rFonts w:eastAsia="Aptos" w:cs="Arial"/>
          <w:noProof/>
          <w:sz w:val="22"/>
          <w:lang w:val="en-US"/>
        </w:rPr>
        <w:tab/>
      </w:r>
    </w:p>
    <w:p w14:paraId="6E2DDD05" w14:textId="5F005A42" w:rsidR="00640909" w:rsidRPr="00640909" w:rsidRDefault="00640909" w:rsidP="00640909">
      <w:pPr>
        <w:spacing w:before="0" w:after="160"/>
        <w:ind w:left="720" w:hanging="720"/>
        <w:rPr>
          <w:rFonts w:eastAsia="Aptos" w:cs="Arial"/>
          <w:noProof/>
          <w:sz w:val="22"/>
          <w:lang w:val="en-US"/>
        </w:rPr>
      </w:pPr>
      <w:r w:rsidRPr="00640909">
        <w:rPr>
          <w:rFonts w:eastAsia="Aptos" w:cs="Arial"/>
          <w:noProof/>
          <w:sz w:val="22"/>
          <w:lang w:val="en-US"/>
        </w:rPr>
        <w:t xml:space="preserve">Carlon, S., Carter, M., &amp; Stephenson, J. (2013). A review of declared factors identified by parents of children with autism spectrum disorders (ASD) in making intervention decisions. </w:t>
      </w:r>
      <w:r w:rsidRPr="00640909">
        <w:rPr>
          <w:rFonts w:eastAsia="Aptos" w:cs="Arial"/>
          <w:i/>
          <w:noProof/>
          <w:sz w:val="22"/>
          <w:lang w:val="en-US"/>
        </w:rPr>
        <w:t>Research in Autism Spectrum Disorders</w:t>
      </w:r>
      <w:r w:rsidRPr="00640909">
        <w:rPr>
          <w:rFonts w:eastAsia="Aptos" w:cs="Arial"/>
          <w:noProof/>
          <w:sz w:val="22"/>
          <w:lang w:val="en-US"/>
        </w:rPr>
        <w:t>,</w:t>
      </w:r>
      <w:r w:rsidRPr="00640909">
        <w:rPr>
          <w:rFonts w:eastAsia="Aptos" w:cs="Arial"/>
          <w:i/>
          <w:noProof/>
          <w:sz w:val="22"/>
          <w:lang w:val="en-US"/>
        </w:rPr>
        <w:t xml:space="preserve"> 7</w:t>
      </w:r>
      <w:r w:rsidRPr="00640909">
        <w:rPr>
          <w:rFonts w:eastAsia="Aptos" w:cs="Arial"/>
          <w:noProof/>
          <w:sz w:val="22"/>
          <w:lang w:val="en-US"/>
        </w:rPr>
        <w:t xml:space="preserve">(2), 369-381. </w:t>
      </w:r>
      <w:hyperlink r:id="rId137" w:history="1">
        <w:r w:rsidR="002D28AB" w:rsidRPr="00326476">
          <w:rPr>
            <w:rStyle w:val="Hyperlink"/>
            <w:rFonts w:eastAsia="Aptos" w:cs="Arial"/>
            <w:noProof/>
            <w:sz w:val="22"/>
            <w:lang w:val="en-US"/>
          </w:rPr>
          <w:t>https://doi.org/10.1016/j.rasd.2012.10.009</w:t>
        </w:r>
      </w:hyperlink>
      <w:r w:rsidR="002D28AB">
        <w:rPr>
          <w:rFonts w:eastAsia="Aptos" w:cs="Arial"/>
          <w:noProof/>
          <w:sz w:val="22"/>
          <w:lang w:val="en-US"/>
        </w:rPr>
        <w:t xml:space="preserve"> </w:t>
      </w:r>
      <w:r w:rsidRPr="00640909">
        <w:rPr>
          <w:rFonts w:eastAsia="Aptos" w:cs="Arial"/>
          <w:noProof/>
          <w:sz w:val="22"/>
          <w:lang w:val="en-US"/>
        </w:rPr>
        <w:t xml:space="preserve"> </w:t>
      </w:r>
    </w:p>
    <w:p w14:paraId="7084F5AF" w14:textId="77777777" w:rsidR="00640909" w:rsidRPr="00640909" w:rsidRDefault="00640909" w:rsidP="00640909">
      <w:pPr>
        <w:spacing w:before="0" w:after="0"/>
        <w:ind w:left="720" w:hanging="720"/>
        <w:rPr>
          <w:rFonts w:eastAsia="Aptos" w:cs="Arial"/>
          <w:noProof/>
          <w:sz w:val="22"/>
          <w:lang w:val="en-US"/>
        </w:rPr>
      </w:pPr>
      <w:r w:rsidRPr="00640909">
        <w:rPr>
          <w:rFonts w:eastAsia="Aptos" w:cs="Arial"/>
          <w:noProof/>
          <w:sz w:val="22"/>
          <w:lang w:val="en-US"/>
        </w:rPr>
        <w:tab/>
      </w:r>
    </w:p>
    <w:p w14:paraId="37D237EE" w14:textId="4D2A7DAB" w:rsidR="00640909" w:rsidRDefault="00640909" w:rsidP="00640909">
      <w:pPr>
        <w:spacing w:before="0" w:after="160"/>
        <w:ind w:left="720" w:hanging="720"/>
        <w:rPr>
          <w:rFonts w:eastAsia="Aptos" w:cs="Arial"/>
          <w:noProof/>
          <w:sz w:val="22"/>
          <w:lang w:val="en-US"/>
        </w:rPr>
      </w:pPr>
      <w:r w:rsidRPr="00640909">
        <w:rPr>
          <w:rFonts w:eastAsia="Aptos" w:cs="Arial"/>
          <w:noProof/>
          <w:sz w:val="22"/>
          <w:lang w:val="en-US"/>
        </w:rPr>
        <w:t xml:space="preserve">Carlon, S., Carter, M., &amp; Stephenson, J. (2015). Decision-making regarding early intervention by parents of children with autism spectrum disorder. </w:t>
      </w:r>
      <w:r w:rsidRPr="00640909">
        <w:rPr>
          <w:rFonts w:eastAsia="Aptos" w:cs="Arial"/>
          <w:i/>
          <w:noProof/>
          <w:sz w:val="22"/>
          <w:lang w:val="en-US"/>
        </w:rPr>
        <w:t>Journal of Developmental and Physical Disabilities</w:t>
      </w:r>
      <w:r w:rsidRPr="00640909">
        <w:rPr>
          <w:rFonts w:eastAsia="Aptos" w:cs="Arial"/>
          <w:noProof/>
          <w:sz w:val="22"/>
          <w:lang w:val="en-US"/>
        </w:rPr>
        <w:t>,</w:t>
      </w:r>
      <w:r w:rsidRPr="00640909">
        <w:rPr>
          <w:rFonts w:eastAsia="Aptos" w:cs="Arial"/>
          <w:i/>
          <w:noProof/>
          <w:sz w:val="22"/>
          <w:lang w:val="en-US"/>
        </w:rPr>
        <w:t xml:space="preserve"> 27</w:t>
      </w:r>
      <w:r w:rsidRPr="00640909">
        <w:rPr>
          <w:rFonts w:eastAsia="Aptos" w:cs="Arial"/>
          <w:noProof/>
          <w:sz w:val="22"/>
          <w:lang w:val="en-US"/>
        </w:rPr>
        <w:t xml:space="preserve">, 285-305. </w:t>
      </w:r>
      <w:hyperlink r:id="rId138" w:history="1">
        <w:r w:rsidR="00B66875" w:rsidRPr="00326476">
          <w:rPr>
            <w:rStyle w:val="Hyperlink"/>
            <w:rFonts w:eastAsia="Aptos" w:cs="Arial"/>
            <w:noProof/>
            <w:sz w:val="22"/>
            <w:lang w:val="en-US"/>
          </w:rPr>
          <w:t>https://doi.org/10.1007/s10882-014-9415-z</w:t>
        </w:r>
      </w:hyperlink>
      <w:r w:rsidRPr="00640909">
        <w:rPr>
          <w:rFonts w:eastAsia="Aptos" w:cs="Arial"/>
          <w:noProof/>
          <w:sz w:val="22"/>
          <w:lang w:val="en-US"/>
        </w:rPr>
        <w:t xml:space="preserve"> </w:t>
      </w:r>
    </w:p>
    <w:p w14:paraId="76EC2112" w14:textId="77777777" w:rsidR="00B66875" w:rsidRPr="00640909" w:rsidRDefault="00B66875" w:rsidP="00640909">
      <w:pPr>
        <w:spacing w:before="0" w:after="160"/>
        <w:ind w:left="720" w:hanging="720"/>
        <w:rPr>
          <w:rFonts w:eastAsia="Aptos" w:cs="Arial"/>
          <w:noProof/>
          <w:sz w:val="22"/>
          <w:lang w:val="en-US"/>
        </w:rPr>
      </w:pPr>
    </w:p>
    <w:p w14:paraId="664B24D7" w14:textId="77ADED11" w:rsidR="00AD0DEC" w:rsidRPr="00AD0DEC" w:rsidRDefault="00AD0DEC" w:rsidP="00AD0DEC">
      <w:pPr>
        <w:spacing w:before="0" w:after="160"/>
        <w:ind w:left="720" w:hanging="720"/>
        <w:rPr>
          <w:rFonts w:eastAsia="Aptos" w:cs="Arial"/>
          <w:noProof/>
          <w:sz w:val="22"/>
          <w:lang w:val="en-US"/>
        </w:rPr>
      </w:pPr>
      <w:r w:rsidRPr="00AD0DEC">
        <w:rPr>
          <w:rFonts w:eastAsia="Aptos" w:cs="Arial"/>
          <w:noProof/>
          <w:sz w:val="22"/>
          <w:lang w:val="it-IT"/>
        </w:rPr>
        <w:t xml:space="preserve">Carlon, S., Stephenson, J., &amp; Carter, M. (2014). </w:t>
      </w:r>
      <w:r w:rsidRPr="00AD0DEC">
        <w:rPr>
          <w:rFonts w:eastAsia="Aptos" w:cs="Arial"/>
          <w:noProof/>
          <w:sz w:val="22"/>
          <w:lang w:val="en-US"/>
        </w:rPr>
        <w:t xml:space="preserve">Parent reports of treatments and interventions used with children with autism spectrum disorders (ASD): A review of the literature. </w:t>
      </w:r>
      <w:r w:rsidRPr="00AD0DEC">
        <w:rPr>
          <w:rFonts w:eastAsia="Aptos" w:cs="Arial"/>
          <w:i/>
          <w:noProof/>
          <w:sz w:val="22"/>
          <w:lang w:val="en-US"/>
        </w:rPr>
        <w:t>Australasian Journal of Special Education</w:t>
      </w:r>
      <w:r w:rsidRPr="00AD0DEC">
        <w:rPr>
          <w:rFonts w:eastAsia="Aptos" w:cs="Arial"/>
          <w:noProof/>
          <w:sz w:val="22"/>
          <w:lang w:val="en-US"/>
        </w:rPr>
        <w:t>,</w:t>
      </w:r>
      <w:r w:rsidRPr="00AD0DEC">
        <w:rPr>
          <w:rFonts w:eastAsia="Aptos" w:cs="Arial"/>
          <w:i/>
          <w:noProof/>
          <w:sz w:val="22"/>
          <w:lang w:val="en-US"/>
        </w:rPr>
        <w:t xml:space="preserve"> 38</w:t>
      </w:r>
      <w:r w:rsidRPr="00AD0DEC">
        <w:rPr>
          <w:rFonts w:eastAsia="Aptos" w:cs="Arial"/>
          <w:noProof/>
          <w:sz w:val="22"/>
          <w:lang w:val="en-US"/>
        </w:rPr>
        <w:t xml:space="preserve">(1), 63-90. </w:t>
      </w:r>
      <w:hyperlink r:id="rId139" w:history="1">
        <w:r w:rsidR="00E95F6C" w:rsidRPr="00326476">
          <w:rPr>
            <w:rStyle w:val="Hyperlink"/>
            <w:rFonts w:eastAsia="Aptos" w:cs="Arial"/>
            <w:noProof/>
            <w:sz w:val="22"/>
            <w:lang w:val="en-US"/>
          </w:rPr>
          <w:t>https://doi.org/10.1017/jse.2014.4</w:t>
        </w:r>
      </w:hyperlink>
      <w:r w:rsidR="00E95F6C">
        <w:rPr>
          <w:rFonts w:eastAsia="Aptos" w:cs="Arial"/>
          <w:noProof/>
          <w:sz w:val="22"/>
          <w:lang w:val="en-US"/>
        </w:rPr>
        <w:t xml:space="preserve"> </w:t>
      </w:r>
    </w:p>
    <w:p w14:paraId="6BD127E4" w14:textId="77777777" w:rsidR="00AD0DEC" w:rsidRPr="00AD0DEC" w:rsidRDefault="00AD0DEC" w:rsidP="00AD0DEC">
      <w:pPr>
        <w:spacing w:before="0" w:after="0"/>
        <w:ind w:left="720" w:hanging="720"/>
        <w:rPr>
          <w:rFonts w:eastAsia="Aptos" w:cs="Arial"/>
          <w:noProof/>
          <w:sz w:val="22"/>
          <w:lang w:val="en-US"/>
        </w:rPr>
      </w:pPr>
      <w:r w:rsidRPr="00AD0DEC">
        <w:rPr>
          <w:rFonts w:eastAsia="Aptos" w:cs="Arial"/>
          <w:noProof/>
          <w:sz w:val="22"/>
          <w:lang w:val="en-US"/>
        </w:rPr>
        <w:tab/>
      </w:r>
    </w:p>
    <w:p w14:paraId="7F58EECF" w14:textId="6F691130" w:rsidR="00902EB6" w:rsidRPr="00902EB6" w:rsidRDefault="00902EB6" w:rsidP="00902EB6">
      <w:pPr>
        <w:spacing w:before="0" w:after="160"/>
        <w:ind w:left="720" w:hanging="720"/>
        <w:rPr>
          <w:rFonts w:eastAsia="Aptos" w:cs="Arial"/>
          <w:noProof/>
          <w:sz w:val="22"/>
          <w:lang w:val="en-US"/>
        </w:rPr>
      </w:pPr>
      <w:r w:rsidRPr="002D28AB">
        <w:rPr>
          <w:rFonts w:eastAsia="Aptos" w:cs="Arial"/>
          <w:noProof/>
          <w:sz w:val="22"/>
        </w:rPr>
        <w:t xml:space="preserve">Carlsson, E., Miniscalco, C., Kadesjö, B., &amp; Laakso, K. (2016). </w:t>
      </w:r>
      <w:r w:rsidRPr="00902EB6">
        <w:rPr>
          <w:rFonts w:eastAsia="Aptos" w:cs="Arial"/>
          <w:noProof/>
          <w:sz w:val="22"/>
          <w:lang w:val="en-US"/>
        </w:rPr>
        <w:t xml:space="preserve">Negotiating knowledge: Parents’ experience of the neuropsychiatric diagnostic process for children with autism. </w:t>
      </w:r>
      <w:r w:rsidRPr="00902EB6">
        <w:rPr>
          <w:rFonts w:eastAsia="Aptos" w:cs="Arial"/>
          <w:i/>
          <w:noProof/>
          <w:sz w:val="22"/>
          <w:lang w:val="en-US"/>
        </w:rPr>
        <w:t>International Journal of Language &amp; Communication Disorders</w:t>
      </w:r>
      <w:r w:rsidRPr="00902EB6">
        <w:rPr>
          <w:rFonts w:eastAsia="Aptos" w:cs="Arial"/>
          <w:noProof/>
          <w:sz w:val="22"/>
          <w:lang w:val="en-US"/>
        </w:rPr>
        <w:t>,</w:t>
      </w:r>
      <w:r w:rsidRPr="00902EB6">
        <w:rPr>
          <w:rFonts w:eastAsia="Aptos" w:cs="Arial"/>
          <w:i/>
          <w:noProof/>
          <w:sz w:val="22"/>
          <w:lang w:val="en-US"/>
        </w:rPr>
        <w:t xml:space="preserve"> 51</w:t>
      </w:r>
      <w:r w:rsidRPr="00902EB6">
        <w:rPr>
          <w:rFonts w:eastAsia="Aptos" w:cs="Arial"/>
          <w:noProof/>
          <w:sz w:val="22"/>
          <w:lang w:val="en-US"/>
        </w:rPr>
        <w:t xml:space="preserve">(3), 328-338. </w:t>
      </w:r>
      <w:hyperlink r:id="rId140" w:history="1">
        <w:r w:rsidR="00E95F6C" w:rsidRPr="00326476">
          <w:rPr>
            <w:rStyle w:val="Hyperlink"/>
            <w:rFonts w:eastAsia="Aptos" w:cs="Arial"/>
            <w:noProof/>
            <w:sz w:val="22"/>
            <w:lang w:val="en-US"/>
          </w:rPr>
          <w:t>https://doi.org/10.1111/1460-6984.12210</w:t>
        </w:r>
      </w:hyperlink>
      <w:r w:rsidR="00E95F6C">
        <w:rPr>
          <w:rFonts w:eastAsia="Aptos" w:cs="Arial"/>
          <w:noProof/>
          <w:sz w:val="22"/>
          <w:lang w:val="en-US"/>
        </w:rPr>
        <w:t xml:space="preserve"> </w:t>
      </w:r>
      <w:r w:rsidRPr="00902EB6">
        <w:rPr>
          <w:rFonts w:eastAsia="Aptos" w:cs="Arial"/>
          <w:noProof/>
          <w:sz w:val="22"/>
          <w:lang w:val="en-US"/>
        </w:rPr>
        <w:t xml:space="preserve"> </w:t>
      </w:r>
    </w:p>
    <w:p w14:paraId="11CE690C" w14:textId="77777777" w:rsidR="00902EB6" w:rsidRPr="00902EB6" w:rsidRDefault="00902EB6" w:rsidP="00902EB6">
      <w:pPr>
        <w:spacing w:before="0" w:after="0"/>
        <w:ind w:left="720" w:hanging="720"/>
        <w:rPr>
          <w:rFonts w:eastAsia="Aptos" w:cs="Arial"/>
          <w:noProof/>
          <w:sz w:val="22"/>
          <w:lang w:val="en-US"/>
        </w:rPr>
      </w:pPr>
      <w:r w:rsidRPr="00902EB6">
        <w:rPr>
          <w:rFonts w:eastAsia="Aptos" w:cs="Arial"/>
          <w:noProof/>
          <w:sz w:val="22"/>
          <w:lang w:val="en-US"/>
        </w:rPr>
        <w:tab/>
      </w:r>
    </w:p>
    <w:p w14:paraId="36A0AFED" w14:textId="03CAE826" w:rsidR="00902EB6" w:rsidRPr="00902EB6" w:rsidRDefault="00902EB6" w:rsidP="00902EB6">
      <w:pPr>
        <w:spacing w:before="0" w:after="160"/>
        <w:ind w:left="720" w:hanging="720"/>
        <w:rPr>
          <w:rFonts w:eastAsia="Aptos" w:cs="Arial"/>
          <w:noProof/>
          <w:sz w:val="22"/>
          <w:lang w:val="en-US"/>
        </w:rPr>
      </w:pPr>
      <w:r w:rsidRPr="00902EB6">
        <w:rPr>
          <w:rFonts w:eastAsia="Aptos" w:cs="Arial"/>
          <w:noProof/>
          <w:sz w:val="22"/>
          <w:lang w:val="en-US"/>
        </w:rPr>
        <w:t xml:space="preserve">Carpenter, B., Schloesser, J., &amp; Egerton, J. (2009). </w:t>
      </w:r>
      <w:r w:rsidRPr="00902EB6">
        <w:rPr>
          <w:rFonts w:eastAsia="Aptos" w:cs="Arial"/>
          <w:i/>
          <w:noProof/>
          <w:sz w:val="22"/>
          <w:lang w:val="en-US"/>
        </w:rPr>
        <w:t>European developments in early childhood intervention</w:t>
      </w:r>
      <w:r w:rsidRPr="00902EB6">
        <w:rPr>
          <w:rFonts w:eastAsia="Aptos" w:cs="Arial"/>
          <w:noProof/>
          <w:sz w:val="22"/>
          <w:lang w:val="en-US"/>
        </w:rPr>
        <w:t xml:space="preserve">.  Retrieved 6 September, 2024 from </w:t>
      </w:r>
      <w:hyperlink r:id="rId141" w:history="1">
        <w:r w:rsidR="00E95F6C" w:rsidRPr="00326476">
          <w:rPr>
            <w:rStyle w:val="Hyperlink"/>
            <w:rFonts w:eastAsia="Aptos" w:cs="Arial"/>
            <w:noProof/>
            <w:sz w:val="22"/>
            <w:lang w:val="en-US"/>
          </w:rPr>
          <w:t>https://www.eurlyaid.eu/wp-content/uploads/2016/05/eaei_eci_development_eng.pdf</w:t>
        </w:r>
      </w:hyperlink>
      <w:r w:rsidR="00E95F6C">
        <w:rPr>
          <w:rFonts w:eastAsia="Aptos" w:cs="Arial"/>
          <w:noProof/>
          <w:sz w:val="22"/>
          <w:lang w:val="en-US"/>
        </w:rPr>
        <w:t xml:space="preserve"> </w:t>
      </w:r>
    </w:p>
    <w:p w14:paraId="4D89E446" w14:textId="77777777" w:rsidR="00902EB6" w:rsidRPr="00902EB6" w:rsidRDefault="00902EB6" w:rsidP="00902EB6">
      <w:pPr>
        <w:spacing w:before="0" w:after="0"/>
        <w:ind w:left="720" w:hanging="720"/>
        <w:rPr>
          <w:rFonts w:eastAsia="Aptos" w:cs="Arial"/>
          <w:noProof/>
          <w:sz w:val="22"/>
          <w:lang w:val="en-US"/>
        </w:rPr>
      </w:pPr>
      <w:r w:rsidRPr="00902EB6">
        <w:rPr>
          <w:rFonts w:eastAsia="Aptos" w:cs="Arial"/>
          <w:noProof/>
          <w:sz w:val="22"/>
          <w:lang w:val="en-US"/>
        </w:rPr>
        <w:tab/>
      </w:r>
    </w:p>
    <w:p w14:paraId="3E072EB7" w14:textId="77777777" w:rsidR="00902EB6" w:rsidRPr="00902EB6" w:rsidRDefault="00902EB6" w:rsidP="00902EB6">
      <w:pPr>
        <w:spacing w:before="0" w:after="160"/>
        <w:ind w:left="720" w:hanging="720"/>
        <w:rPr>
          <w:rFonts w:eastAsia="Aptos" w:cs="Arial"/>
          <w:noProof/>
          <w:sz w:val="22"/>
          <w:lang w:val="en-US"/>
        </w:rPr>
      </w:pPr>
      <w:r w:rsidRPr="00902EB6">
        <w:rPr>
          <w:rFonts w:eastAsia="Aptos" w:cs="Arial"/>
          <w:noProof/>
          <w:sz w:val="22"/>
          <w:lang w:val="en-US"/>
        </w:rPr>
        <w:t xml:space="preserve">Carta, J. (2019). Introduction to multi-tiered systems of support in early education. In J.J. Carta &amp; R.M. Young (Eds.), </w:t>
      </w:r>
      <w:r w:rsidRPr="00902EB6">
        <w:rPr>
          <w:rFonts w:eastAsia="Aptos" w:cs="Arial"/>
          <w:i/>
          <w:noProof/>
          <w:sz w:val="22"/>
          <w:lang w:val="en-US"/>
        </w:rPr>
        <w:t>Multi-tiered systems of support for young children: Driving change in early education</w:t>
      </w:r>
      <w:r w:rsidRPr="00902EB6">
        <w:rPr>
          <w:rFonts w:eastAsia="Aptos" w:cs="Arial"/>
          <w:noProof/>
          <w:sz w:val="22"/>
          <w:lang w:val="en-US"/>
        </w:rPr>
        <w:t xml:space="preserve"> (pp. 1-14). Baltimore, MD: Paul H. Brookes Publishing Co. </w:t>
      </w:r>
    </w:p>
    <w:p w14:paraId="6ED65D69" w14:textId="1576770D" w:rsidR="0030178D" w:rsidRPr="00075790" w:rsidRDefault="0030178D" w:rsidP="002D28AB">
      <w:pPr>
        <w:pStyle w:val="EndNoteBibliography"/>
        <w:spacing w:after="0"/>
      </w:pPr>
    </w:p>
    <w:p w14:paraId="4CB9A472" w14:textId="77777777" w:rsidR="006D08A4" w:rsidRDefault="006D08A4" w:rsidP="006D08A4">
      <w:pPr>
        <w:spacing w:before="0" w:after="160"/>
        <w:ind w:left="720" w:hanging="720"/>
        <w:rPr>
          <w:rFonts w:eastAsia="Aptos" w:cs="Arial"/>
          <w:noProof/>
          <w:sz w:val="22"/>
          <w:lang w:val="en-US"/>
        </w:rPr>
      </w:pPr>
      <w:r w:rsidRPr="006D08A4">
        <w:rPr>
          <w:rFonts w:eastAsia="Aptos" w:cs="Arial"/>
          <w:noProof/>
          <w:sz w:val="22"/>
          <w:lang w:val="en-US"/>
        </w:rPr>
        <w:t xml:space="preserve">Carta, J. J. (2019). </w:t>
      </w:r>
      <w:r w:rsidRPr="006D08A4">
        <w:rPr>
          <w:rFonts w:eastAsia="Aptos" w:cs="Arial"/>
          <w:i/>
          <w:noProof/>
          <w:sz w:val="22"/>
          <w:lang w:val="en-US"/>
        </w:rPr>
        <w:t>Multi-tiered systems of support for young children: Driving change in early education</w:t>
      </w:r>
      <w:r w:rsidRPr="006D08A4">
        <w:rPr>
          <w:rFonts w:eastAsia="Aptos" w:cs="Arial"/>
          <w:noProof/>
          <w:sz w:val="22"/>
          <w:lang w:val="en-US"/>
        </w:rPr>
        <w:t xml:space="preserve">. Baltimore, MD: Paul H. Brookes Publishing Co. </w:t>
      </w:r>
    </w:p>
    <w:p w14:paraId="0551BCD5" w14:textId="77777777" w:rsidR="00B66875" w:rsidRPr="006D08A4" w:rsidRDefault="00B66875" w:rsidP="006D08A4">
      <w:pPr>
        <w:spacing w:before="0" w:after="160"/>
        <w:ind w:left="720" w:hanging="720"/>
        <w:rPr>
          <w:rFonts w:eastAsia="Aptos" w:cs="Arial"/>
          <w:noProof/>
          <w:sz w:val="22"/>
          <w:lang w:val="en-US"/>
        </w:rPr>
      </w:pPr>
    </w:p>
    <w:p w14:paraId="7ACC8BFB" w14:textId="6812DD77" w:rsidR="00041E74" w:rsidRPr="00041E74" w:rsidRDefault="00041E74" w:rsidP="00041E74">
      <w:pPr>
        <w:spacing w:before="0" w:after="160"/>
        <w:ind w:left="720" w:hanging="720"/>
        <w:rPr>
          <w:rFonts w:eastAsia="Aptos" w:cs="Arial"/>
          <w:noProof/>
          <w:sz w:val="22"/>
          <w:lang w:val="en-US"/>
        </w:rPr>
      </w:pPr>
      <w:r w:rsidRPr="002D28AB">
        <w:rPr>
          <w:rFonts w:eastAsia="Aptos" w:cs="Arial"/>
          <w:noProof/>
          <w:sz w:val="22"/>
        </w:rPr>
        <w:t xml:space="preserve">Carvalho, L., Almeida, I., Felgueiras, I., Leitão, S., Boavida, J., &amp; Franco, V. (2019). </w:t>
      </w:r>
      <w:r w:rsidRPr="00041E74">
        <w:rPr>
          <w:rFonts w:eastAsia="Aptos" w:cs="Arial"/>
          <w:i/>
          <w:noProof/>
          <w:sz w:val="22"/>
          <w:lang w:val="en-US"/>
        </w:rPr>
        <w:t>Recommended practices in early childhood intervention: A guidebook for professionals</w:t>
      </w:r>
      <w:r w:rsidRPr="00041E74">
        <w:rPr>
          <w:rFonts w:eastAsia="Aptos" w:cs="Arial"/>
          <w:noProof/>
          <w:sz w:val="22"/>
          <w:lang w:val="en-US"/>
        </w:rPr>
        <w:t xml:space="preserve">. Luxembourg: Eurlyaid – The European Association on Early Childhood Intervention. Retrieved 6 September, 2024 from </w:t>
      </w:r>
      <w:hyperlink r:id="rId142" w:history="1">
        <w:r w:rsidR="00E95F6C" w:rsidRPr="00326476">
          <w:rPr>
            <w:rStyle w:val="Hyperlink"/>
            <w:rFonts w:eastAsia="Aptos" w:cs="Arial"/>
            <w:noProof/>
            <w:sz w:val="22"/>
            <w:lang w:val="en-US"/>
          </w:rPr>
          <w:t>https://www.eurlyaid.eu/eciguidebook-englishversion/</w:t>
        </w:r>
      </w:hyperlink>
      <w:r w:rsidR="00E95F6C">
        <w:rPr>
          <w:rFonts w:eastAsia="Aptos" w:cs="Arial"/>
          <w:noProof/>
          <w:sz w:val="22"/>
          <w:lang w:val="en-US"/>
        </w:rPr>
        <w:t xml:space="preserve"> </w:t>
      </w:r>
    </w:p>
    <w:p w14:paraId="14230BAE" w14:textId="77777777" w:rsidR="00041E74" w:rsidRPr="00041E74" w:rsidRDefault="00041E74" w:rsidP="00041E74">
      <w:pPr>
        <w:spacing w:before="0" w:after="0"/>
        <w:ind w:left="720" w:hanging="720"/>
        <w:rPr>
          <w:rFonts w:eastAsia="Aptos" w:cs="Arial"/>
          <w:noProof/>
          <w:sz w:val="22"/>
          <w:lang w:val="en-US"/>
        </w:rPr>
      </w:pPr>
      <w:r w:rsidRPr="00041E74">
        <w:rPr>
          <w:rFonts w:eastAsia="Aptos" w:cs="Arial"/>
          <w:noProof/>
          <w:sz w:val="22"/>
          <w:lang w:val="en-US"/>
        </w:rPr>
        <w:tab/>
      </w:r>
    </w:p>
    <w:p w14:paraId="1F83D07B" w14:textId="77777777" w:rsidR="00041E74" w:rsidRDefault="00041E74" w:rsidP="00041E74">
      <w:pPr>
        <w:spacing w:before="0" w:after="160"/>
        <w:ind w:left="720" w:hanging="720"/>
        <w:rPr>
          <w:rFonts w:eastAsia="Aptos" w:cs="Arial"/>
          <w:noProof/>
          <w:sz w:val="22"/>
          <w:lang w:val="en-US"/>
        </w:rPr>
      </w:pPr>
      <w:r w:rsidRPr="00041E74">
        <w:rPr>
          <w:rFonts w:eastAsia="Aptos" w:cs="Arial"/>
          <w:noProof/>
          <w:sz w:val="22"/>
          <w:lang w:val="it-IT"/>
        </w:rPr>
        <w:t xml:space="preserve">Casanova, E. L., &amp; Casanova, M. F. (2015). </w:t>
      </w:r>
      <w:r w:rsidRPr="00041E74">
        <w:rPr>
          <w:rFonts w:eastAsia="Aptos" w:cs="Arial"/>
          <w:noProof/>
          <w:sz w:val="22"/>
          <w:lang w:val="en-US"/>
        </w:rPr>
        <w:t xml:space="preserve">A spectrum of neurodevelopment. In </w:t>
      </w:r>
      <w:r w:rsidRPr="00041E74">
        <w:rPr>
          <w:rFonts w:eastAsia="Aptos" w:cs="Arial"/>
          <w:i/>
          <w:noProof/>
          <w:sz w:val="22"/>
          <w:lang w:val="en-US"/>
        </w:rPr>
        <w:t>The nine degrees of autism: A developmental model for the alignment and reconciliation of hidden neurological conditions</w:t>
      </w:r>
      <w:r w:rsidRPr="00041E74">
        <w:rPr>
          <w:rFonts w:eastAsia="Aptos" w:cs="Arial"/>
          <w:noProof/>
          <w:sz w:val="22"/>
          <w:lang w:val="en-US"/>
        </w:rPr>
        <w:t xml:space="preserve"> (pp. 13-36). Oxford, UK: Routledge. </w:t>
      </w:r>
    </w:p>
    <w:p w14:paraId="38A0C7BC" w14:textId="77777777" w:rsidR="00B66875" w:rsidRPr="00041E74" w:rsidRDefault="00B66875" w:rsidP="00041E74">
      <w:pPr>
        <w:spacing w:before="0" w:after="160"/>
        <w:ind w:left="720" w:hanging="720"/>
        <w:rPr>
          <w:rFonts w:eastAsia="Aptos" w:cs="Arial"/>
          <w:noProof/>
          <w:sz w:val="22"/>
          <w:lang w:val="en-US"/>
        </w:rPr>
      </w:pPr>
    </w:p>
    <w:p w14:paraId="0FB446E8" w14:textId="42DA953C" w:rsidR="004B7855" w:rsidRPr="004B7855" w:rsidRDefault="004B7855" w:rsidP="004B7855">
      <w:pPr>
        <w:spacing w:before="0" w:after="160"/>
        <w:ind w:left="720" w:hanging="720"/>
        <w:rPr>
          <w:rFonts w:eastAsia="Aptos" w:cs="Arial"/>
          <w:noProof/>
          <w:sz w:val="22"/>
          <w:lang w:val="en-US"/>
        </w:rPr>
      </w:pPr>
      <w:r w:rsidRPr="004B7855">
        <w:rPr>
          <w:rFonts w:eastAsia="Aptos" w:cs="Arial"/>
          <w:noProof/>
          <w:sz w:val="22"/>
          <w:lang w:val="en-US"/>
        </w:rPr>
        <w:t xml:space="preserve">Cate, D., Dell, P., &amp; Thompson, V. (2017). </w:t>
      </w:r>
      <w:r w:rsidRPr="004B7855">
        <w:rPr>
          <w:rFonts w:eastAsia="Aptos" w:cs="Arial"/>
          <w:i/>
          <w:noProof/>
          <w:sz w:val="22"/>
          <w:lang w:val="en-US"/>
        </w:rPr>
        <w:t>Considerations for developing state policy and guidance on inclusion of children with disabilities in early childhood programs</w:t>
      </w:r>
      <w:r w:rsidRPr="004B7855">
        <w:rPr>
          <w:rFonts w:eastAsia="Aptos" w:cs="Arial"/>
          <w:noProof/>
          <w:sz w:val="22"/>
          <w:lang w:val="en-US"/>
        </w:rPr>
        <w:t xml:space="preserve">. Chapel Hill, NC: The Early Childhood Technical Assistance Centre, FPG Child Development Institute, University of North Carolina. Retrieved 6 September, 2024 from </w:t>
      </w:r>
      <w:hyperlink r:id="rId143" w:history="1">
        <w:r w:rsidR="002D28AB" w:rsidRPr="00326476">
          <w:rPr>
            <w:rStyle w:val="Hyperlink"/>
            <w:rFonts w:eastAsia="Aptos" w:cs="Arial"/>
            <w:noProof/>
            <w:sz w:val="22"/>
            <w:lang w:val="en-US"/>
          </w:rPr>
          <w:t>https://fpg.unc.edu/publications/considerations-developing-state-policy-and-guidance-inclusion-children-disabilities</w:t>
        </w:r>
      </w:hyperlink>
      <w:r w:rsidR="002D28AB">
        <w:rPr>
          <w:rFonts w:eastAsia="Aptos" w:cs="Arial"/>
          <w:noProof/>
          <w:sz w:val="22"/>
          <w:lang w:val="en-US"/>
        </w:rPr>
        <w:t xml:space="preserve"> </w:t>
      </w:r>
    </w:p>
    <w:p w14:paraId="1210EFF3" w14:textId="77777777" w:rsidR="004B7855" w:rsidRPr="004B7855" w:rsidRDefault="004B7855" w:rsidP="004B7855">
      <w:pPr>
        <w:spacing w:before="0" w:after="0"/>
        <w:ind w:left="720" w:hanging="720"/>
        <w:rPr>
          <w:rFonts w:eastAsia="Aptos" w:cs="Arial"/>
          <w:noProof/>
          <w:sz w:val="22"/>
          <w:lang w:val="en-US"/>
        </w:rPr>
      </w:pPr>
      <w:r w:rsidRPr="004B7855">
        <w:rPr>
          <w:rFonts w:eastAsia="Aptos" w:cs="Arial"/>
          <w:noProof/>
          <w:sz w:val="22"/>
          <w:lang w:val="en-US"/>
        </w:rPr>
        <w:tab/>
      </w:r>
    </w:p>
    <w:p w14:paraId="2ED20390" w14:textId="2D584E24" w:rsidR="004B7855" w:rsidRPr="004B7855" w:rsidRDefault="004B7855" w:rsidP="004B7855">
      <w:pPr>
        <w:spacing w:before="0" w:after="160"/>
        <w:ind w:left="720" w:hanging="720"/>
        <w:rPr>
          <w:rFonts w:eastAsia="Aptos" w:cs="Arial"/>
          <w:noProof/>
          <w:sz w:val="22"/>
          <w:lang w:val="en-US"/>
        </w:rPr>
      </w:pPr>
      <w:r w:rsidRPr="004B7855">
        <w:rPr>
          <w:rFonts w:eastAsia="Aptos" w:cs="Arial"/>
          <w:noProof/>
          <w:sz w:val="22"/>
          <w:lang w:val="en-US"/>
        </w:rPr>
        <w:t xml:space="preserve">Cattan, S., Fitzsimons, E., Goodman, A., Phimister, A., Ploubidis, G., &amp; Wertz, J. (2022). </w:t>
      </w:r>
      <w:r w:rsidRPr="004B7855">
        <w:rPr>
          <w:rFonts w:eastAsia="Aptos" w:cs="Arial"/>
          <w:i/>
          <w:noProof/>
          <w:sz w:val="22"/>
          <w:lang w:val="en-US"/>
        </w:rPr>
        <w:t>Early childhood and inequalities</w:t>
      </w:r>
      <w:r w:rsidRPr="004B7855">
        <w:rPr>
          <w:rFonts w:eastAsia="Aptos" w:cs="Arial"/>
          <w:noProof/>
          <w:sz w:val="22"/>
          <w:lang w:val="en-US"/>
        </w:rPr>
        <w:t xml:space="preserve">. London, UK: Institute of Fiscal Studies. Retrieved 6 September, 2024 from </w:t>
      </w:r>
      <w:hyperlink r:id="rId144" w:history="1">
        <w:r w:rsidR="00E95F6C" w:rsidRPr="00326476">
          <w:rPr>
            <w:rStyle w:val="Hyperlink"/>
            <w:rFonts w:eastAsia="Aptos" w:cs="Arial"/>
            <w:noProof/>
            <w:sz w:val="22"/>
            <w:lang w:val="en-US"/>
          </w:rPr>
          <w:t>https://ifs.org.uk/inequality/early-childhood-inequalities-chapter</w:t>
        </w:r>
      </w:hyperlink>
      <w:r w:rsidR="00E95F6C">
        <w:rPr>
          <w:rFonts w:eastAsia="Aptos" w:cs="Arial"/>
          <w:noProof/>
          <w:sz w:val="22"/>
          <w:lang w:val="en-US"/>
        </w:rPr>
        <w:t xml:space="preserve"> </w:t>
      </w:r>
    </w:p>
    <w:p w14:paraId="49DF6D53" w14:textId="77777777" w:rsidR="004B7855" w:rsidRPr="004B7855" w:rsidRDefault="004B7855" w:rsidP="004B7855">
      <w:pPr>
        <w:spacing w:before="0" w:after="0"/>
        <w:ind w:left="720" w:hanging="720"/>
        <w:rPr>
          <w:rFonts w:eastAsia="Aptos" w:cs="Arial"/>
          <w:noProof/>
          <w:sz w:val="22"/>
          <w:lang w:val="en-US"/>
        </w:rPr>
      </w:pPr>
      <w:r w:rsidRPr="004B7855">
        <w:rPr>
          <w:rFonts w:eastAsia="Aptos" w:cs="Arial"/>
          <w:noProof/>
          <w:sz w:val="22"/>
          <w:lang w:val="en-US"/>
        </w:rPr>
        <w:tab/>
      </w:r>
    </w:p>
    <w:p w14:paraId="1B71E3F8" w14:textId="1424C04C" w:rsidR="004B7855" w:rsidRPr="004B7855" w:rsidRDefault="004B7855" w:rsidP="004B7855">
      <w:pPr>
        <w:spacing w:before="0" w:after="160"/>
        <w:ind w:left="720" w:hanging="720"/>
        <w:rPr>
          <w:rFonts w:eastAsia="Aptos" w:cs="Arial"/>
          <w:noProof/>
          <w:sz w:val="22"/>
          <w:lang w:val="en-US"/>
        </w:rPr>
      </w:pPr>
      <w:r w:rsidRPr="004B7855">
        <w:rPr>
          <w:rFonts w:eastAsia="Aptos" w:cs="Arial"/>
          <w:noProof/>
          <w:sz w:val="22"/>
          <w:lang w:val="en-US"/>
        </w:rPr>
        <w:t xml:space="preserve">Centre for Community Child Health. (2010). </w:t>
      </w:r>
      <w:r w:rsidRPr="004B7855">
        <w:rPr>
          <w:rFonts w:eastAsia="Aptos" w:cs="Arial"/>
          <w:i/>
          <w:noProof/>
          <w:sz w:val="22"/>
          <w:lang w:val="en-US"/>
        </w:rPr>
        <w:t>Engaging marginalised and vulnerable families.</w:t>
      </w:r>
      <w:r w:rsidRPr="004B7855">
        <w:rPr>
          <w:rFonts w:eastAsia="Aptos" w:cs="Arial"/>
          <w:noProof/>
          <w:sz w:val="22"/>
          <w:lang w:val="en-US"/>
        </w:rPr>
        <w:t xml:space="preserve"> Parkville, VIC: Centre for Community Child Health, The Royal Children’s Hospital. Retrieved September 6, 2024,  </w:t>
      </w:r>
      <w:hyperlink r:id="rId145" w:history="1">
        <w:r w:rsidR="00E95F6C" w:rsidRPr="00326476">
          <w:rPr>
            <w:rStyle w:val="Hyperlink"/>
            <w:rFonts w:eastAsia="Aptos" w:cs="Arial"/>
            <w:noProof/>
            <w:sz w:val="22"/>
            <w:lang w:val="en-US"/>
          </w:rPr>
          <w:t>http://www.rch.org.au/emplibrary/ccch/PB18_Vulnerable_families.pdf</w:t>
        </w:r>
      </w:hyperlink>
      <w:r w:rsidR="00E95F6C">
        <w:rPr>
          <w:rFonts w:eastAsia="Aptos" w:cs="Arial"/>
          <w:noProof/>
          <w:sz w:val="22"/>
          <w:lang w:val="en-US"/>
        </w:rPr>
        <w:t xml:space="preserve"> </w:t>
      </w:r>
    </w:p>
    <w:p w14:paraId="7B435A43" w14:textId="77777777" w:rsidR="004B7855" w:rsidRPr="004B7855" w:rsidRDefault="004B7855" w:rsidP="004B7855">
      <w:pPr>
        <w:spacing w:before="0" w:after="0"/>
        <w:ind w:left="720" w:hanging="720"/>
        <w:rPr>
          <w:rFonts w:eastAsia="Aptos" w:cs="Arial"/>
          <w:noProof/>
          <w:sz w:val="22"/>
          <w:lang w:val="en-US"/>
        </w:rPr>
      </w:pPr>
      <w:r w:rsidRPr="004B7855">
        <w:rPr>
          <w:rFonts w:eastAsia="Aptos" w:cs="Arial"/>
          <w:noProof/>
          <w:sz w:val="22"/>
          <w:lang w:val="en-US"/>
        </w:rPr>
        <w:tab/>
      </w:r>
    </w:p>
    <w:p w14:paraId="61EAACE1" w14:textId="12AFDFD3" w:rsidR="004B7855" w:rsidRDefault="004B7855" w:rsidP="004B7855">
      <w:pPr>
        <w:spacing w:before="0" w:after="160"/>
        <w:ind w:left="720" w:hanging="720"/>
        <w:rPr>
          <w:rFonts w:eastAsia="Aptos" w:cs="Arial"/>
          <w:noProof/>
          <w:sz w:val="22"/>
          <w:lang w:val="en-US"/>
        </w:rPr>
      </w:pPr>
      <w:r w:rsidRPr="004B7855">
        <w:rPr>
          <w:rFonts w:eastAsia="Aptos" w:cs="Arial"/>
          <w:noProof/>
          <w:sz w:val="22"/>
          <w:lang w:val="en-US"/>
        </w:rPr>
        <w:t xml:space="preserve">Centre for Community Child Health. (2011). </w:t>
      </w:r>
      <w:r w:rsidRPr="004B7855">
        <w:rPr>
          <w:rFonts w:eastAsia="Aptos" w:cs="Arial"/>
          <w:i/>
          <w:noProof/>
          <w:sz w:val="22"/>
          <w:lang w:val="en-US"/>
        </w:rPr>
        <w:t>Evidence-based practice and practice-based evidence: What does it all mean?</w:t>
      </w:r>
      <w:r w:rsidRPr="004B7855">
        <w:rPr>
          <w:rFonts w:eastAsia="Aptos" w:cs="Arial"/>
          <w:noProof/>
          <w:sz w:val="22"/>
          <w:lang w:val="en-US"/>
        </w:rPr>
        <w:t xml:space="preserve"> Parkville, VIC: Centre for Community Child Health, The Royal Children’s Hospital. Retrieved September 6, 2024,  </w:t>
      </w:r>
      <w:hyperlink r:id="rId146" w:history="1">
        <w:r w:rsidR="00B66875" w:rsidRPr="00326476">
          <w:rPr>
            <w:rStyle w:val="Hyperlink"/>
            <w:rFonts w:eastAsia="Aptos" w:cs="Arial"/>
            <w:noProof/>
            <w:sz w:val="22"/>
            <w:lang w:val="en-US"/>
          </w:rPr>
          <w:t>http://www.rch.org.au/emplibrary/ccch/Policy_Brief_21_-Evidence_based_practice_final_web.pdf</w:t>
        </w:r>
      </w:hyperlink>
      <w:r w:rsidRPr="004B7855">
        <w:rPr>
          <w:rFonts w:eastAsia="Aptos" w:cs="Arial"/>
          <w:noProof/>
          <w:sz w:val="22"/>
          <w:lang w:val="en-US"/>
        </w:rPr>
        <w:t>.</w:t>
      </w:r>
    </w:p>
    <w:p w14:paraId="042B10B8" w14:textId="77777777" w:rsidR="00B66875" w:rsidRPr="004B7855" w:rsidRDefault="00B66875" w:rsidP="004B7855">
      <w:pPr>
        <w:spacing w:before="0" w:after="160"/>
        <w:ind w:left="720" w:hanging="720"/>
        <w:rPr>
          <w:rFonts w:eastAsia="Aptos" w:cs="Arial"/>
          <w:noProof/>
          <w:sz w:val="22"/>
          <w:lang w:val="en-US"/>
        </w:rPr>
      </w:pPr>
    </w:p>
    <w:p w14:paraId="7AEC46FD" w14:textId="4DE19B3D" w:rsidR="00FC623D" w:rsidRPr="00FC623D" w:rsidRDefault="00FC623D" w:rsidP="00FC623D">
      <w:pPr>
        <w:spacing w:before="0" w:after="160"/>
        <w:ind w:left="720" w:hanging="720"/>
        <w:rPr>
          <w:rFonts w:eastAsia="Aptos" w:cs="Arial"/>
          <w:noProof/>
          <w:sz w:val="22"/>
          <w:lang w:val="en-US"/>
        </w:rPr>
      </w:pPr>
      <w:r w:rsidRPr="00FC623D">
        <w:rPr>
          <w:rFonts w:eastAsia="Aptos" w:cs="Arial"/>
          <w:noProof/>
          <w:sz w:val="22"/>
          <w:lang w:val="en-US"/>
        </w:rPr>
        <w:t xml:space="preserve">Centre for Community Child Health. (2017). </w:t>
      </w:r>
      <w:r w:rsidRPr="00FC623D">
        <w:rPr>
          <w:rFonts w:eastAsia="Aptos" w:cs="Arial"/>
          <w:i/>
          <w:noProof/>
          <w:sz w:val="22"/>
          <w:lang w:val="en-US"/>
        </w:rPr>
        <w:t>Using evidence in policy and programs.</w:t>
      </w:r>
      <w:r w:rsidRPr="00FC623D">
        <w:rPr>
          <w:rFonts w:eastAsia="Aptos" w:cs="Arial"/>
          <w:noProof/>
          <w:sz w:val="22"/>
          <w:lang w:val="en-US"/>
        </w:rPr>
        <w:t xml:space="preserve"> Parkville, VIC: Centre for Community Child Health, Murdoch Children’s Research Institute, The Royal Children’s Hospital. Retrieved September 6, 2024,  </w:t>
      </w:r>
      <w:hyperlink r:id="rId147" w:history="1">
        <w:r w:rsidR="00E95F6C" w:rsidRPr="00326476">
          <w:rPr>
            <w:rStyle w:val="Hyperlink"/>
            <w:rFonts w:eastAsia="Aptos" w:cs="Arial"/>
            <w:noProof/>
            <w:sz w:val="22"/>
            <w:lang w:val="en-US"/>
          </w:rPr>
          <w:t>https://www.rch.org.au/uploadedFiles/Main/Content/ccchdev/1711-CCCH-PolicyBrief-27.pdf</w:t>
        </w:r>
      </w:hyperlink>
      <w:r w:rsidR="00E95F6C">
        <w:rPr>
          <w:rFonts w:eastAsia="Aptos" w:cs="Arial"/>
          <w:noProof/>
          <w:sz w:val="22"/>
          <w:lang w:val="en-US"/>
        </w:rPr>
        <w:t xml:space="preserve"> </w:t>
      </w:r>
    </w:p>
    <w:p w14:paraId="556C5903" w14:textId="77777777" w:rsidR="00FC623D" w:rsidRPr="00FC623D" w:rsidRDefault="00FC623D" w:rsidP="00FC623D">
      <w:pPr>
        <w:spacing w:before="0" w:after="0"/>
        <w:ind w:left="720" w:hanging="720"/>
        <w:rPr>
          <w:rFonts w:eastAsia="Aptos" w:cs="Arial"/>
          <w:noProof/>
          <w:sz w:val="22"/>
          <w:lang w:val="en-US"/>
        </w:rPr>
      </w:pPr>
      <w:r w:rsidRPr="00FC623D">
        <w:rPr>
          <w:rFonts w:eastAsia="Aptos" w:cs="Arial"/>
          <w:noProof/>
          <w:sz w:val="22"/>
          <w:lang w:val="en-US"/>
        </w:rPr>
        <w:tab/>
      </w:r>
    </w:p>
    <w:p w14:paraId="389FA0BB" w14:textId="4B56EEEC" w:rsidR="00FC623D" w:rsidRPr="00FC623D" w:rsidRDefault="00FC623D" w:rsidP="00FC623D">
      <w:pPr>
        <w:spacing w:before="0" w:after="160"/>
        <w:ind w:left="720" w:hanging="720"/>
        <w:rPr>
          <w:rFonts w:eastAsia="Aptos" w:cs="Arial"/>
          <w:noProof/>
          <w:sz w:val="22"/>
          <w:lang w:val="en-US"/>
        </w:rPr>
      </w:pPr>
      <w:r w:rsidRPr="00FC623D">
        <w:rPr>
          <w:rFonts w:eastAsia="Aptos" w:cs="Arial"/>
          <w:noProof/>
          <w:sz w:val="22"/>
          <w:lang w:val="en-US"/>
        </w:rPr>
        <w:t xml:space="preserve">Centre for Community Child Health. (2018). </w:t>
      </w:r>
      <w:r w:rsidRPr="00FC623D">
        <w:rPr>
          <w:rFonts w:eastAsia="Aptos" w:cs="Arial"/>
          <w:i/>
          <w:noProof/>
          <w:sz w:val="22"/>
          <w:lang w:val="en-US"/>
        </w:rPr>
        <w:t>Addressing disadvantage to optimise children’s development in Australia.</w:t>
      </w:r>
      <w:r w:rsidRPr="00FC623D">
        <w:rPr>
          <w:rFonts w:eastAsia="Aptos" w:cs="Arial"/>
          <w:noProof/>
          <w:sz w:val="22"/>
          <w:lang w:val="en-US"/>
        </w:rPr>
        <w:t xml:space="preserve"> Parkville, VIC: Centre for Community Child Health, Murdoch Children’s Research Institute. Retrieved September 6, 2024, </w:t>
      </w:r>
      <w:hyperlink r:id="rId148" w:history="1">
        <w:r w:rsidR="00E95F6C" w:rsidRPr="00326476">
          <w:rPr>
            <w:rStyle w:val="Hyperlink"/>
            <w:rFonts w:eastAsia="Aptos" w:cs="Arial"/>
            <w:noProof/>
            <w:sz w:val="22"/>
            <w:lang w:val="en-US"/>
          </w:rPr>
          <w:t>https://www.rch.org.au/uploadedFiles/Main/Content/ccchdev/CCCH-Changing-Childrens-Chances-Research-Snapshot-May-2018.pdf</w:t>
        </w:r>
      </w:hyperlink>
      <w:r w:rsidR="00E95F6C">
        <w:rPr>
          <w:rFonts w:eastAsia="Aptos" w:cs="Arial"/>
          <w:noProof/>
          <w:sz w:val="22"/>
          <w:lang w:val="en-US"/>
        </w:rPr>
        <w:t xml:space="preserve"> </w:t>
      </w:r>
    </w:p>
    <w:p w14:paraId="5EE5FB33" w14:textId="77777777" w:rsidR="00FC623D" w:rsidRPr="00FC623D" w:rsidRDefault="00FC623D" w:rsidP="00FC623D">
      <w:pPr>
        <w:spacing w:before="0" w:after="0"/>
        <w:ind w:left="720" w:hanging="720"/>
        <w:rPr>
          <w:rFonts w:eastAsia="Aptos" w:cs="Arial"/>
          <w:noProof/>
          <w:sz w:val="22"/>
          <w:lang w:val="en-US"/>
        </w:rPr>
      </w:pPr>
      <w:r w:rsidRPr="00FC623D">
        <w:rPr>
          <w:rFonts w:eastAsia="Aptos" w:cs="Arial"/>
          <w:noProof/>
          <w:sz w:val="22"/>
          <w:lang w:val="en-US"/>
        </w:rPr>
        <w:tab/>
      </w:r>
    </w:p>
    <w:p w14:paraId="37E2C87E" w14:textId="623AF3FE" w:rsidR="00FC623D" w:rsidRPr="00FC623D" w:rsidRDefault="00FC623D" w:rsidP="00FC623D">
      <w:pPr>
        <w:spacing w:before="0" w:after="160"/>
        <w:ind w:left="720" w:hanging="720"/>
        <w:rPr>
          <w:rFonts w:eastAsia="Aptos" w:cs="Arial"/>
          <w:noProof/>
          <w:sz w:val="22"/>
          <w:lang w:val="en-US"/>
        </w:rPr>
      </w:pPr>
      <w:r w:rsidRPr="00FC623D">
        <w:rPr>
          <w:rFonts w:eastAsia="Aptos" w:cs="Arial"/>
          <w:noProof/>
          <w:sz w:val="22"/>
          <w:lang w:val="en-US"/>
        </w:rPr>
        <w:t xml:space="preserve">Centre for Community Child Health. (2021). </w:t>
      </w:r>
      <w:r w:rsidRPr="00FC623D">
        <w:rPr>
          <w:rFonts w:eastAsia="Aptos" w:cs="Arial"/>
          <w:i/>
          <w:noProof/>
          <w:sz w:val="22"/>
          <w:lang w:val="en-US"/>
        </w:rPr>
        <w:t xml:space="preserve">From consumer to partner: Rethinking the parent/practitioner relationship. </w:t>
      </w:r>
      <w:r w:rsidRPr="00FC623D">
        <w:rPr>
          <w:rFonts w:eastAsia="Aptos" w:cs="Arial"/>
          <w:noProof/>
          <w:sz w:val="22"/>
          <w:lang w:val="en-US"/>
        </w:rPr>
        <w:t xml:space="preserve">. Parkville, VIC: Murdoch Children’s Research Institute, The Royal Children’s Hospital. Retrieved September 6, 2024,  </w:t>
      </w:r>
      <w:hyperlink r:id="rId149" w:history="1">
        <w:r w:rsidR="00E95F6C" w:rsidRPr="00326476">
          <w:rPr>
            <w:rStyle w:val="Hyperlink"/>
            <w:rFonts w:eastAsia="Aptos" w:cs="Arial"/>
            <w:noProof/>
            <w:sz w:val="22"/>
            <w:lang w:val="en-US"/>
          </w:rPr>
          <w:t>https://doi.org/10.25374/MCRI.14587047</w:t>
        </w:r>
      </w:hyperlink>
      <w:r w:rsidR="00E95F6C">
        <w:rPr>
          <w:rFonts w:eastAsia="Aptos" w:cs="Arial"/>
          <w:noProof/>
          <w:sz w:val="22"/>
          <w:lang w:val="en-US"/>
        </w:rPr>
        <w:t xml:space="preserve"> </w:t>
      </w:r>
    </w:p>
    <w:p w14:paraId="12325202" w14:textId="77777777" w:rsidR="00FC623D" w:rsidRPr="00FC623D" w:rsidRDefault="00FC623D" w:rsidP="00FC623D">
      <w:pPr>
        <w:spacing w:before="0" w:after="0"/>
        <w:ind w:left="720" w:hanging="720"/>
        <w:rPr>
          <w:rFonts w:eastAsia="Aptos" w:cs="Arial"/>
          <w:noProof/>
          <w:sz w:val="22"/>
          <w:lang w:val="en-US"/>
        </w:rPr>
      </w:pPr>
      <w:r w:rsidRPr="00FC623D">
        <w:rPr>
          <w:rFonts w:eastAsia="Aptos" w:cs="Arial"/>
          <w:noProof/>
          <w:sz w:val="22"/>
          <w:lang w:val="en-US"/>
        </w:rPr>
        <w:tab/>
      </w:r>
    </w:p>
    <w:p w14:paraId="2F80CE1A" w14:textId="35B9D801" w:rsidR="00FC623D" w:rsidRDefault="00FC623D" w:rsidP="00FC623D">
      <w:pPr>
        <w:spacing w:before="0" w:after="160"/>
        <w:ind w:left="720" w:hanging="720"/>
        <w:rPr>
          <w:rFonts w:eastAsia="Aptos" w:cs="Arial"/>
          <w:noProof/>
          <w:sz w:val="22"/>
          <w:lang w:val="en-US"/>
        </w:rPr>
      </w:pPr>
      <w:r w:rsidRPr="00FC623D">
        <w:rPr>
          <w:rFonts w:eastAsia="Aptos" w:cs="Arial"/>
          <w:noProof/>
          <w:sz w:val="22"/>
          <w:lang w:val="en-US"/>
        </w:rPr>
        <w:t xml:space="preserve">Centre for Public Impact (CPI). (2018). </w:t>
      </w:r>
      <w:r w:rsidRPr="00FC623D">
        <w:rPr>
          <w:rFonts w:eastAsia="Aptos" w:cs="Arial"/>
          <w:i/>
          <w:noProof/>
          <w:sz w:val="22"/>
          <w:lang w:val="en-US"/>
        </w:rPr>
        <w:t>The shared power principle: How governments are changing to achieve better outcomes.</w:t>
      </w:r>
      <w:r w:rsidRPr="00FC623D">
        <w:rPr>
          <w:rFonts w:eastAsia="Aptos" w:cs="Arial"/>
          <w:noProof/>
          <w:sz w:val="22"/>
          <w:lang w:val="en-US"/>
        </w:rPr>
        <w:t xml:space="preserve"> Geneva, Switzerland: Centre for Public Impact. Retrieved September 6, 2024,  </w:t>
      </w:r>
      <w:hyperlink r:id="rId150" w:history="1">
        <w:r w:rsidR="00B66875" w:rsidRPr="00326476">
          <w:rPr>
            <w:rStyle w:val="Hyperlink"/>
            <w:rFonts w:eastAsia="Aptos" w:cs="Arial"/>
            <w:noProof/>
            <w:sz w:val="22"/>
            <w:lang w:val="en-US"/>
          </w:rPr>
          <w:t>https://www.centreforpublicimpact.org/assets/documents/shared-power-principle.pdf</w:t>
        </w:r>
      </w:hyperlink>
      <w:r w:rsidR="00B66875">
        <w:rPr>
          <w:rFonts w:eastAsia="Aptos" w:cs="Arial"/>
          <w:noProof/>
          <w:sz w:val="22"/>
          <w:lang w:val="en-US"/>
        </w:rPr>
        <w:t xml:space="preserve"> </w:t>
      </w:r>
    </w:p>
    <w:p w14:paraId="64A0FD8F" w14:textId="77777777" w:rsidR="00B66875" w:rsidRPr="00FC623D" w:rsidRDefault="00B66875" w:rsidP="00FC623D">
      <w:pPr>
        <w:spacing w:before="0" w:after="160"/>
        <w:ind w:left="720" w:hanging="720"/>
        <w:rPr>
          <w:rFonts w:eastAsia="Aptos" w:cs="Arial"/>
          <w:noProof/>
          <w:sz w:val="22"/>
          <w:lang w:val="en-US"/>
        </w:rPr>
      </w:pPr>
    </w:p>
    <w:p w14:paraId="6B01BD3E" w14:textId="2B45920D" w:rsidR="00682B4E" w:rsidRPr="00682B4E" w:rsidRDefault="00682B4E" w:rsidP="00682B4E">
      <w:pPr>
        <w:spacing w:before="0" w:after="160"/>
        <w:ind w:left="720" w:hanging="720"/>
        <w:rPr>
          <w:rFonts w:eastAsia="Aptos" w:cs="Arial"/>
          <w:noProof/>
          <w:sz w:val="22"/>
          <w:lang w:val="en-US"/>
        </w:rPr>
      </w:pPr>
      <w:r w:rsidRPr="00682B4E">
        <w:rPr>
          <w:rFonts w:eastAsia="Aptos" w:cs="Arial"/>
          <w:noProof/>
          <w:sz w:val="22"/>
          <w:lang w:val="en-US"/>
        </w:rPr>
        <w:t xml:space="preserve">Centre on the Developing Child at Harvard University. (2010). </w:t>
      </w:r>
      <w:r w:rsidRPr="00682B4E">
        <w:rPr>
          <w:rFonts w:eastAsia="Aptos" w:cs="Arial"/>
          <w:i/>
          <w:noProof/>
          <w:sz w:val="22"/>
          <w:lang w:val="en-US"/>
        </w:rPr>
        <w:t>The Foundations of Lifelong Health Are Built in Early Childhood.</w:t>
      </w:r>
      <w:r w:rsidRPr="00682B4E">
        <w:rPr>
          <w:rFonts w:eastAsia="Aptos" w:cs="Arial"/>
          <w:noProof/>
          <w:sz w:val="22"/>
          <w:lang w:val="en-US"/>
        </w:rPr>
        <w:t xml:space="preserve"> Cambridge, Massachusetts: Centre on the Developing Child at Harvard University. Retrieved September 6, 2024, </w:t>
      </w:r>
      <w:hyperlink r:id="rId151" w:history="1">
        <w:r w:rsidR="00E95F6C" w:rsidRPr="00326476">
          <w:rPr>
            <w:rStyle w:val="Hyperlink"/>
            <w:rFonts w:eastAsia="Aptos" w:cs="Arial"/>
            <w:noProof/>
            <w:sz w:val="22"/>
            <w:lang w:val="en-US"/>
          </w:rPr>
          <w:t>http://developingchild.harvard.edu/index.php/download_file/-/view/700</w:t>
        </w:r>
      </w:hyperlink>
      <w:r w:rsidR="00E95F6C">
        <w:rPr>
          <w:rFonts w:eastAsia="Aptos" w:cs="Arial"/>
          <w:noProof/>
          <w:sz w:val="22"/>
          <w:lang w:val="en-US"/>
        </w:rPr>
        <w:t xml:space="preserve"> </w:t>
      </w:r>
    </w:p>
    <w:p w14:paraId="3CC5D202" w14:textId="77777777" w:rsidR="00682B4E" w:rsidRPr="00682B4E" w:rsidRDefault="00682B4E" w:rsidP="00682B4E">
      <w:pPr>
        <w:spacing w:before="0" w:after="0"/>
        <w:ind w:left="720" w:hanging="720"/>
        <w:rPr>
          <w:rFonts w:eastAsia="Aptos" w:cs="Arial"/>
          <w:noProof/>
          <w:sz w:val="22"/>
          <w:lang w:val="en-US"/>
        </w:rPr>
      </w:pPr>
      <w:r w:rsidRPr="00682B4E">
        <w:rPr>
          <w:rFonts w:eastAsia="Aptos" w:cs="Arial"/>
          <w:noProof/>
          <w:sz w:val="22"/>
          <w:lang w:val="en-US"/>
        </w:rPr>
        <w:tab/>
      </w:r>
    </w:p>
    <w:p w14:paraId="0C167284" w14:textId="46057D7C" w:rsidR="00682B4E" w:rsidRPr="00682B4E" w:rsidRDefault="00682B4E" w:rsidP="00682B4E">
      <w:pPr>
        <w:spacing w:before="0" w:after="160"/>
        <w:ind w:left="720" w:hanging="720"/>
        <w:rPr>
          <w:rFonts w:eastAsia="Aptos" w:cs="Arial"/>
          <w:noProof/>
          <w:sz w:val="22"/>
          <w:lang w:val="en-US"/>
        </w:rPr>
      </w:pPr>
      <w:r w:rsidRPr="00682B4E">
        <w:rPr>
          <w:rFonts w:eastAsia="Aptos" w:cs="Arial"/>
          <w:noProof/>
          <w:sz w:val="22"/>
          <w:lang w:val="en-US"/>
        </w:rPr>
        <w:t>Chakraborty, S. P., Collie, A., Hodder, R., Majumdar, S. S., Sutherland, K., Towler, B., Vogel, J., Wilson, A., Wolfenden, L., &amp; Green, S. (2024). Living evidence syntheses: the emerging opportunity to increase evidence</w:t>
      </w:r>
      <w:r w:rsidRPr="00682B4E">
        <w:rPr>
          <w:rFonts w:ascii="Cambria Math" w:eastAsia="Aptos" w:hAnsi="Cambria Math" w:cs="Cambria Math"/>
          <w:noProof/>
          <w:sz w:val="22"/>
          <w:lang w:val="en-US"/>
        </w:rPr>
        <w:t>‐</w:t>
      </w:r>
      <w:r w:rsidRPr="00682B4E">
        <w:rPr>
          <w:rFonts w:eastAsia="Aptos" w:cs="Arial"/>
          <w:noProof/>
          <w:sz w:val="22"/>
          <w:lang w:val="en-US"/>
        </w:rPr>
        <w:t xml:space="preserve">informed health policy in Australia. </w:t>
      </w:r>
      <w:r w:rsidRPr="00682B4E">
        <w:rPr>
          <w:rFonts w:eastAsia="Aptos" w:cs="Arial"/>
          <w:i/>
          <w:noProof/>
          <w:sz w:val="22"/>
          <w:lang w:val="en-US"/>
        </w:rPr>
        <w:t>The Medical Journal of Australia</w:t>
      </w:r>
      <w:r w:rsidRPr="00682B4E">
        <w:rPr>
          <w:rFonts w:eastAsia="Aptos" w:cs="Arial"/>
          <w:noProof/>
          <w:sz w:val="22"/>
          <w:lang w:val="en-US"/>
        </w:rPr>
        <w:t>,</w:t>
      </w:r>
      <w:r w:rsidRPr="00682B4E">
        <w:rPr>
          <w:rFonts w:eastAsia="Aptos" w:cs="Arial"/>
          <w:i/>
          <w:noProof/>
          <w:sz w:val="22"/>
          <w:lang w:val="en-US"/>
        </w:rPr>
        <w:t xml:space="preserve"> 221</w:t>
      </w:r>
      <w:r w:rsidRPr="00682B4E">
        <w:rPr>
          <w:rFonts w:eastAsia="Aptos" w:cs="Arial"/>
          <w:noProof/>
          <w:sz w:val="22"/>
          <w:lang w:val="en-US"/>
        </w:rPr>
        <w:t xml:space="preserve">(3). </w:t>
      </w:r>
      <w:hyperlink r:id="rId152" w:history="1">
        <w:r w:rsidR="00E95F6C" w:rsidRPr="00326476">
          <w:rPr>
            <w:rStyle w:val="Hyperlink"/>
            <w:rFonts w:eastAsia="Aptos" w:cs="Arial"/>
            <w:noProof/>
            <w:sz w:val="22"/>
            <w:lang w:val="en-US"/>
          </w:rPr>
          <w:t>https://doi.org/10.5694/mja2.52368</w:t>
        </w:r>
      </w:hyperlink>
      <w:r w:rsidR="00E95F6C">
        <w:rPr>
          <w:rFonts w:eastAsia="Aptos" w:cs="Arial"/>
          <w:noProof/>
          <w:sz w:val="22"/>
          <w:lang w:val="en-US"/>
        </w:rPr>
        <w:t xml:space="preserve"> </w:t>
      </w:r>
      <w:r w:rsidRPr="00682B4E">
        <w:rPr>
          <w:rFonts w:eastAsia="Aptos" w:cs="Arial"/>
          <w:noProof/>
          <w:sz w:val="22"/>
          <w:lang w:val="en-US"/>
        </w:rPr>
        <w:t xml:space="preserve"> </w:t>
      </w:r>
    </w:p>
    <w:p w14:paraId="5433F8FC" w14:textId="77777777" w:rsidR="00682B4E" w:rsidRPr="00682B4E" w:rsidRDefault="00682B4E" w:rsidP="00682B4E">
      <w:pPr>
        <w:spacing w:before="0" w:after="0"/>
        <w:ind w:left="720" w:hanging="720"/>
        <w:rPr>
          <w:rFonts w:eastAsia="Aptos" w:cs="Arial"/>
          <w:noProof/>
          <w:sz w:val="22"/>
          <w:lang w:val="en-US"/>
        </w:rPr>
      </w:pPr>
      <w:r w:rsidRPr="00682B4E">
        <w:rPr>
          <w:rFonts w:eastAsia="Aptos" w:cs="Arial"/>
          <w:noProof/>
          <w:sz w:val="22"/>
          <w:lang w:val="en-US"/>
        </w:rPr>
        <w:tab/>
      </w:r>
    </w:p>
    <w:p w14:paraId="68E3BCE0" w14:textId="77777777" w:rsidR="00682B4E" w:rsidRDefault="00682B4E" w:rsidP="00682B4E">
      <w:pPr>
        <w:spacing w:before="0" w:after="160"/>
        <w:ind w:left="720" w:hanging="720"/>
        <w:rPr>
          <w:rFonts w:eastAsia="Aptos" w:cs="Arial"/>
          <w:noProof/>
          <w:sz w:val="22"/>
          <w:lang w:val="en-US"/>
        </w:rPr>
      </w:pPr>
      <w:r w:rsidRPr="00682B4E">
        <w:rPr>
          <w:rFonts w:eastAsia="Aptos" w:cs="Arial"/>
          <w:noProof/>
          <w:sz w:val="22"/>
          <w:lang w:val="en-US"/>
        </w:rPr>
        <w:t xml:space="preserve">Chaney, S. (2022). </w:t>
      </w:r>
      <w:r w:rsidRPr="00682B4E">
        <w:rPr>
          <w:rFonts w:eastAsia="Aptos" w:cs="Arial"/>
          <w:i/>
          <w:noProof/>
          <w:sz w:val="22"/>
          <w:lang w:val="en-US"/>
        </w:rPr>
        <w:t>Am I Normal?: The 200-Year Search for Normal People (and Why They Don’t Exist)</w:t>
      </w:r>
      <w:r w:rsidRPr="00682B4E">
        <w:rPr>
          <w:rFonts w:eastAsia="Aptos" w:cs="Arial"/>
          <w:noProof/>
          <w:sz w:val="22"/>
          <w:lang w:val="en-US"/>
        </w:rPr>
        <w:t xml:space="preserve">. London, UK: Profile Books. </w:t>
      </w:r>
    </w:p>
    <w:p w14:paraId="6B0FC82B" w14:textId="77777777" w:rsidR="00B66875" w:rsidRPr="00682B4E" w:rsidRDefault="00B66875" w:rsidP="00682B4E">
      <w:pPr>
        <w:spacing w:before="0" w:after="160"/>
        <w:ind w:left="720" w:hanging="720"/>
        <w:rPr>
          <w:rFonts w:eastAsia="Aptos" w:cs="Arial"/>
          <w:noProof/>
          <w:sz w:val="22"/>
          <w:lang w:val="en-US"/>
        </w:rPr>
      </w:pPr>
    </w:p>
    <w:p w14:paraId="786DB0B2" w14:textId="3661F84D" w:rsidR="00DC3758" w:rsidRPr="00DC3758" w:rsidRDefault="00DC3758" w:rsidP="00DC3758">
      <w:pPr>
        <w:spacing w:before="0" w:after="160"/>
        <w:ind w:left="720" w:hanging="720"/>
        <w:rPr>
          <w:rFonts w:eastAsia="Aptos" w:cs="Arial"/>
          <w:noProof/>
          <w:sz w:val="22"/>
          <w:lang w:val="en-US"/>
        </w:rPr>
      </w:pPr>
      <w:r w:rsidRPr="00DC3758">
        <w:rPr>
          <w:rFonts w:eastAsia="Aptos" w:cs="Arial"/>
          <w:noProof/>
          <w:sz w:val="22"/>
          <w:lang w:val="en-US"/>
        </w:rPr>
        <w:t xml:space="preserve">Cheng, A. W., &amp; Lai, C. Y. (2023). Parental stress in families of children with special educational needs: a systematic review. </w:t>
      </w:r>
      <w:r w:rsidRPr="00DC3758">
        <w:rPr>
          <w:rFonts w:eastAsia="Aptos" w:cs="Arial"/>
          <w:i/>
          <w:noProof/>
          <w:sz w:val="22"/>
          <w:lang w:val="en-US"/>
        </w:rPr>
        <w:t>Frontiers in Psychiatry</w:t>
      </w:r>
      <w:r w:rsidRPr="00DC3758">
        <w:rPr>
          <w:rFonts w:eastAsia="Aptos" w:cs="Arial"/>
          <w:noProof/>
          <w:sz w:val="22"/>
          <w:lang w:val="en-US"/>
        </w:rPr>
        <w:t>,</w:t>
      </w:r>
      <w:r w:rsidRPr="00DC3758">
        <w:rPr>
          <w:rFonts w:eastAsia="Aptos" w:cs="Arial"/>
          <w:i/>
          <w:noProof/>
          <w:sz w:val="22"/>
          <w:lang w:val="en-US"/>
        </w:rPr>
        <w:t xml:space="preserve"> 14</w:t>
      </w:r>
      <w:r w:rsidRPr="00DC3758">
        <w:rPr>
          <w:rFonts w:eastAsia="Aptos" w:cs="Arial"/>
          <w:noProof/>
          <w:sz w:val="22"/>
          <w:lang w:val="en-US"/>
        </w:rPr>
        <w:t>, 1198302.</w:t>
      </w:r>
      <w:r w:rsidR="00E54CC3">
        <w:rPr>
          <w:rFonts w:eastAsia="Aptos" w:cs="Arial"/>
          <w:noProof/>
          <w:sz w:val="22"/>
          <w:lang w:val="en-US"/>
        </w:rPr>
        <w:t xml:space="preserve"> </w:t>
      </w:r>
      <w:r w:rsidRPr="00DC3758">
        <w:rPr>
          <w:rFonts w:eastAsia="Aptos" w:cs="Arial"/>
          <w:noProof/>
          <w:sz w:val="22"/>
          <w:lang w:val="en-US"/>
        </w:rPr>
        <w:t>https://doi.org/10.3389/ fpsyt.2023.119830</w:t>
      </w:r>
      <w:r w:rsidR="00E95F6C">
        <w:rPr>
          <w:rFonts w:eastAsia="Aptos" w:cs="Arial"/>
          <w:noProof/>
          <w:sz w:val="22"/>
          <w:lang w:val="en-US"/>
        </w:rPr>
        <w:t>2</w:t>
      </w:r>
      <w:r w:rsidR="00E54CC3">
        <w:rPr>
          <w:rFonts w:eastAsia="Aptos" w:cs="Arial"/>
          <w:noProof/>
          <w:sz w:val="22"/>
          <w:lang w:val="en-US"/>
        </w:rPr>
        <w:t xml:space="preserve"> </w:t>
      </w:r>
    </w:p>
    <w:p w14:paraId="2320833E" w14:textId="77777777" w:rsidR="00DC3758" w:rsidRPr="00DC3758" w:rsidRDefault="00DC3758" w:rsidP="00DC3758">
      <w:pPr>
        <w:spacing w:before="0" w:after="0"/>
        <w:ind w:left="720" w:hanging="720"/>
        <w:rPr>
          <w:rFonts w:eastAsia="Aptos" w:cs="Arial"/>
          <w:noProof/>
          <w:sz w:val="22"/>
          <w:lang w:val="en-US"/>
        </w:rPr>
      </w:pPr>
      <w:r w:rsidRPr="00DC3758">
        <w:rPr>
          <w:rFonts w:eastAsia="Aptos" w:cs="Arial"/>
          <w:noProof/>
          <w:sz w:val="22"/>
          <w:lang w:val="en-US"/>
        </w:rPr>
        <w:tab/>
      </w:r>
    </w:p>
    <w:p w14:paraId="3157AEA0" w14:textId="77777777" w:rsidR="00DC3758" w:rsidRPr="00DC3758" w:rsidRDefault="00DC3758" w:rsidP="00DC3758">
      <w:pPr>
        <w:spacing w:before="0" w:after="160"/>
        <w:ind w:left="720" w:hanging="720"/>
        <w:rPr>
          <w:rFonts w:eastAsia="Aptos" w:cs="Arial"/>
          <w:noProof/>
          <w:sz w:val="22"/>
          <w:lang w:val="en-US"/>
        </w:rPr>
      </w:pPr>
      <w:r w:rsidRPr="00DC3758">
        <w:rPr>
          <w:rFonts w:eastAsia="Aptos" w:cs="Arial"/>
          <w:noProof/>
          <w:sz w:val="22"/>
          <w:lang w:val="en-US"/>
        </w:rPr>
        <w:t xml:space="preserve">Christakis, N. A. (2009). </w:t>
      </w:r>
      <w:r w:rsidRPr="00DC3758">
        <w:rPr>
          <w:rFonts w:eastAsia="Aptos" w:cs="Arial"/>
          <w:i/>
          <w:noProof/>
          <w:sz w:val="22"/>
          <w:lang w:val="en-US"/>
        </w:rPr>
        <w:t>Connected: The surprising power of our social networks and how they shape our lives</w:t>
      </w:r>
      <w:r w:rsidRPr="00DC3758">
        <w:rPr>
          <w:rFonts w:eastAsia="Aptos" w:cs="Arial"/>
          <w:noProof/>
          <w:sz w:val="22"/>
          <w:lang w:val="en-US"/>
        </w:rPr>
        <w:t xml:space="preserve">. New York: Brown and Company. </w:t>
      </w:r>
    </w:p>
    <w:p w14:paraId="0BD30672" w14:textId="77777777" w:rsidR="00DC3758" w:rsidRPr="00DC3758" w:rsidRDefault="00DC3758" w:rsidP="00DC3758">
      <w:pPr>
        <w:spacing w:before="0" w:after="0"/>
        <w:ind w:left="720" w:hanging="720"/>
        <w:rPr>
          <w:rFonts w:eastAsia="Aptos" w:cs="Arial"/>
          <w:noProof/>
          <w:sz w:val="22"/>
          <w:lang w:val="en-US"/>
        </w:rPr>
      </w:pPr>
      <w:r w:rsidRPr="00DC3758">
        <w:rPr>
          <w:rFonts w:eastAsia="Aptos" w:cs="Arial"/>
          <w:noProof/>
          <w:sz w:val="22"/>
          <w:lang w:val="en-US"/>
        </w:rPr>
        <w:tab/>
      </w:r>
    </w:p>
    <w:p w14:paraId="39AB007B" w14:textId="6E6BB651" w:rsidR="00DC3758" w:rsidRDefault="00DC3758" w:rsidP="00DC3758">
      <w:pPr>
        <w:spacing w:before="0" w:after="160"/>
        <w:ind w:left="720" w:hanging="720"/>
        <w:rPr>
          <w:rFonts w:eastAsia="Aptos" w:cs="Arial"/>
          <w:noProof/>
          <w:sz w:val="22"/>
          <w:lang w:val="en-US"/>
        </w:rPr>
      </w:pPr>
      <w:r w:rsidRPr="00DC3758">
        <w:rPr>
          <w:rFonts w:eastAsia="Aptos" w:cs="Arial"/>
          <w:noProof/>
          <w:sz w:val="22"/>
          <w:lang w:val="en-US"/>
        </w:rPr>
        <w:t xml:space="preserve">Christakis, N. A. (2019). </w:t>
      </w:r>
      <w:r w:rsidRPr="00DC3758">
        <w:rPr>
          <w:rFonts w:eastAsia="Aptos" w:cs="Arial"/>
          <w:i/>
          <w:noProof/>
          <w:sz w:val="22"/>
          <w:lang w:val="en-US"/>
        </w:rPr>
        <w:t>Blueprint: The evolutionary origins of a good society</w:t>
      </w:r>
      <w:r w:rsidRPr="00DC3758">
        <w:rPr>
          <w:rFonts w:eastAsia="Aptos" w:cs="Arial"/>
          <w:noProof/>
          <w:sz w:val="22"/>
          <w:lang w:val="en-US"/>
        </w:rPr>
        <w:t xml:space="preserve">. New York: Hachette UK. </w:t>
      </w:r>
    </w:p>
    <w:p w14:paraId="2EC7C210" w14:textId="77777777" w:rsidR="00B66875" w:rsidRPr="00DC3758" w:rsidRDefault="00B66875" w:rsidP="00DC3758">
      <w:pPr>
        <w:spacing w:before="0" w:after="160"/>
        <w:ind w:left="720" w:hanging="720"/>
        <w:rPr>
          <w:rFonts w:eastAsia="Aptos" w:cs="Arial"/>
          <w:noProof/>
          <w:sz w:val="22"/>
          <w:lang w:val="en-US"/>
        </w:rPr>
      </w:pPr>
    </w:p>
    <w:p w14:paraId="26FBA9A0" w14:textId="0EE1A078" w:rsidR="008B182E" w:rsidRPr="008B182E" w:rsidRDefault="008B182E" w:rsidP="008B182E">
      <w:pPr>
        <w:spacing w:before="0" w:after="160"/>
        <w:ind w:left="720" w:hanging="720"/>
        <w:rPr>
          <w:rFonts w:eastAsia="Aptos" w:cs="Arial"/>
          <w:noProof/>
          <w:sz w:val="22"/>
          <w:lang w:val="en-US"/>
        </w:rPr>
      </w:pPr>
      <w:r w:rsidRPr="000053CE">
        <w:rPr>
          <w:rFonts w:eastAsia="Aptos" w:cs="Arial"/>
          <w:noProof/>
          <w:sz w:val="22"/>
        </w:rPr>
        <w:t xml:space="preserve">Cieza, A., Sabariego, C., Bickenbach, J., &amp; Chatterji, S. (2018). </w:t>
      </w:r>
      <w:r w:rsidRPr="008B182E">
        <w:rPr>
          <w:rFonts w:eastAsia="Aptos" w:cs="Arial"/>
          <w:noProof/>
          <w:sz w:val="22"/>
          <w:lang w:val="en-US"/>
        </w:rPr>
        <w:t xml:space="preserve">Rethinking disability. </w:t>
      </w:r>
      <w:r w:rsidRPr="008B182E">
        <w:rPr>
          <w:rFonts w:eastAsia="Aptos" w:cs="Arial"/>
          <w:i/>
          <w:noProof/>
          <w:sz w:val="22"/>
          <w:lang w:val="en-US"/>
        </w:rPr>
        <w:t>BMC Medicine</w:t>
      </w:r>
      <w:r w:rsidRPr="008B182E">
        <w:rPr>
          <w:rFonts w:eastAsia="Aptos" w:cs="Arial"/>
          <w:noProof/>
          <w:sz w:val="22"/>
          <w:lang w:val="en-US"/>
        </w:rPr>
        <w:t>,</w:t>
      </w:r>
      <w:r w:rsidRPr="008B182E">
        <w:rPr>
          <w:rFonts w:eastAsia="Aptos" w:cs="Arial"/>
          <w:i/>
          <w:noProof/>
          <w:sz w:val="22"/>
          <w:lang w:val="en-US"/>
        </w:rPr>
        <w:t xml:space="preserve"> 16</w:t>
      </w:r>
      <w:r w:rsidRPr="008B182E">
        <w:rPr>
          <w:rFonts w:eastAsia="Aptos" w:cs="Arial"/>
          <w:noProof/>
          <w:sz w:val="22"/>
          <w:lang w:val="en-US"/>
        </w:rPr>
        <w:t xml:space="preserve">(1), 1-5. </w:t>
      </w:r>
      <w:hyperlink r:id="rId153" w:history="1">
        <w:r w:rsidR="00E54CC3" w:rsidRPr="00326476">
          <w:rPr>
            <w:rStyle w:val="Hyperlink"/>
            <w:rFonts w:eastAsia="Aptos" w:cs="Arial"/>
            <w:noProof/>
            <w:sz w:val="22"/>
            <w:lang w:val="en-US"/>
          </w:rPr>
          <w:t>https://doi.org/10.1186/s12916-017-1002-6</w:t>
        </w:r>
      </w:hyperlink>
      <w:r w:rsidR="00E54CC3">
        <w:rPr>
          <w:rFonts w:eastAsia="Aptos" w:cs="Arial"/>
          <w:noProof/>
          <w:sz w:val="22"/>
          <w:lang w:val="en-US"/>
        </w:rPr>
        <w:t xml:space="preserve"> </w:t>
      </w:r>
      <w:r w:rsidRPr="008B182E">
        <w:rPr>
          <w:rFonts w:eastAsia="Aptos" w:cs="Arial"/>
          <w:noProof/>
          <w:sz w:val="22"/>
          <w:lang w:val="en-US"/>
        </w:rPr>
        <w:t xml:space="preserve"> </w:t>
      </w:r>
    </w:p>
    <w:p w14:paraId="1FA7294E" w14:textId="77777777" w:rsidR="008B182E" w:rsidRPr="008B182E" w:rsidRDefault="008B182E" w:rsidP="008B182E">
      <w:pPr>
        <w:spacing w:before="0" w:after="0"/>
        <w:ind w:left="720" w:hanging="720"/>
        <w:rPr>
          <w:rFonts w:eastAsia="Aptos" w:cs="Arial"/>
          <w:noProof/>
          <w:sz w:val="22"/>
          <w:lang w:val="en-US"/>
        </w:rPr>
      </w:pPr>
      <w:r w:rsidRPr="008B182E">
        <w:rPr>
          <w:rFonts w:eastAsia="Aptos" w:cs="Arial"/>
          <w:noProof/>
          <w:sz w:val="22"/>
          <w:lang w:val="en-US"/>
        </w:rPr>
        <w:tab/>
      </w:r>
    </w:p>
    <w:p w14:paraId="6AE8686E" w14:textId="5BF6C088" w:rsidR="008B182E" w:rsidRPr="008B182E" w:rsidRDefault="008B182E" w:rsidP="008B182E">
      <w:pPr>
        <w:spacing w:before="0" w:after="160"/>
        <w:ind w:left="720" w:hanging="720"/>
        <w:rPr>
          <w:rFonts w:eastAsia="Aptos" w:cs="Arial"/>
          <w:noProof/>
          <w:sz w:val="22"/>
          <w:lang w:val="en-US"/>
        </w:rPr>
      </w:pPr>
      <w:r w:rsidRPr="008B182E">
        <w:rPr>
          <w:rFonts w:eastAsia="Aptos" w:cs="Arial"/>
          <w:noProof/>
          <w:sz w:val="22"/>
          <w:lang w:val="en-US"/>
        </w:rPr>
        <w:t xml:space="preserve">Coalition of Peaks. (2023). </w:t>
      </w:r>
      <w:r w:rsidRPr="008B182E">
        <w:rPr>
          <w:rFonts w:eastAsia="Aptos" w:cs="Arial"/>
          <w:i/>
          <w:noProof/>
          <w:sz w:val="22"/>
          <w:lang w:val="en-US"/>
        </w:rPr>
        <w:t>Closing the Gap National Agreement.</w:t>
      </w:r>
      <w:r w:rsidRPr="008B182E">
        <w:rPr>
          <w:rFonts w:eastAsia="Aptos" w:cs="Arial"/>
          <w:noProof/>
          <w:sz w:val="22"/>
          <w:lang w:val="en-US"/>
        </w:rPr>
        <w:t xml:space="preserve">  Retrieved September 6, 2024,  </w:t>
      </w:r>
      <w:hyperlink r:id="rId154" w:history="1">
        <w:r w:rsidR="00E54CC3" w:rsidRPr="00326476">
          <w:rPr>
            <w:rStyle w:val="Hyperlink"/>
            <w:rFonts w:eastAsia="Aptos" w:cs="Arial"/>
            <w:noProof/>
            <w:sz w:val="22"/>
            <w:lang w:val="en-US"/>
          </w:rPr>
          <w:t>https://www.coalitionofpeaks.org.au/national-agreement-on-closing-the-gap</w:t>
        </w:r>
      </w:hyperlink>
      <w:r w:rsidR="00E54CC3">
        <w:rPr>
          <w:rFonts w:eastAsia="Aptos" w:cs="Arial"/>
          <w:noProof/>
          <w:sz w:val="22"/>
          <w:lang w:val="en-US"/>
        </w:rPr>
        <w:t xml:space="preserve"> </w:t>
      </w:r>
    </w:p>
    <w:p w14:paraId="70FB2EA8" w14:textId="77777777" w:rsidR="008B182E" w:rsidRPr="008B182E" w:rsidRDefault="008B182E" w:rsidP="008B182E">
      <w:pPr>
        <w:spacing w:before="0" w:after="0"/>
        <w:ind w:left="720" w:hanging="720"/>
        <w:rPr>
          <w:rFonts w:eastAsia="Aptos" w:cs="Arial"/>
          <w:noProof/>
          <w:sz w:val="22"/>
          <w:lang w:val="en-US"/>
        </w:rPr>
      </w:pPr>
      <w:r w:rsidRPr="008B182E">
        <w:rPr>
          <w:rFonts w:eastAsia="Aptos" w:cs="Arial"/>
          <w:noProof/>
          <w:sz w:val="22"/>
          <w:lang w:val="en-US"/>
        </w:rPr>
        <w:tab/>
      </w:r>
    </w:p>
    <w:p w14:paraId="6F39D60B" w14:textId="7CFB69A2" w:rsidR="008B182E" w:rsidRDefault="008B182E" w:rsidP="008B182E">
      <w:pPr>
        <w:spacing w:before="0" w:after="160"/>
        <w:ind w:left="720" w:hanging="720"/>
        <w:rPr>
          <w:rFonts w:eastAsia="Aptos" w:cs="Arial"/>
          <w:noProof/>
          <w:sz w:val="22"/>
          <w:lang w:val="en-US"/>
        </w:rPr>
      </w:pPr>
      <w:r w:rsidRPr="008B182E">
        <w:rPr>
          <w:rFonts w:eastAsia="Aptos" w:cs="Arial"/>
          <w:noProof/>
          <w:sz w:val="22"/>
          <w:lang w:val="en-US"/>
        </w:rPr>
        <w:t xml:space="preserve">Cohen, E., &amp; Houtrow, A. (2019). Disability is not delay: precision communication about intellectual disability. </w:t>
      </w:r>
      <w:r w:rsidRPr="008B182E">
        <w:rPr>
          <w:rFonts w:eastAsia="Aptos" w:cs="Arial"/>
          <w:i/>
          <w:noProof/>
          <w:sz w:val="22"/>
          <w:lang w:val="en-US"/>
        </w:rPr>
        <w:t>The Journal of pediatrics</w:t>
      </w:r>
      <w:r w:rsidRPr="008B182E">
        <w:rPr>
          <w:rFonts w:eastAsia="Aptos" w:cs="Arial"/>
          <w:noProof/>
          <w:sz w:val="22"/>
          <w:lang w:val="en-US"/>
        </w:rPr>
        <w:t>,</w:t>
      </w:r>
      <w:r w:rsidRPr="008B182E">
        <w:rPr>
          <w:rFonts w:eastAsia="Aptos" w:cs="Arial"/>
          <w:i/>
          <w:noProof/>
          <w:sz w:val="22"/>
          <w:lang w:val="en-US"/>
        </w:rPr>
        <w:t xml:space="preserve"> 207</w:t>
      </w:r>
      <w:r w:rsidRPr="008B182E">
        <w:rPr>
          <w:rFonts w:eastAsia="Aptos" w:cs="Arial"/>
          <w:noProof/>
          <w:sz w:val="22"/>
          <w:lang w:val="en-US"/>
        </w:rPr>
        <w:t xml:space="preserve">, 241-243. </w:t>
      </w:r>
      <w:hyperlink r:id="rId155" w:history="1">
        <w:r w:rsidR="00CC4EAB" w:rsidRPr="00326476">
          <w:rPr>
            <w:rStyle w:val="Hyperlink"/>
            <w:rFonts w:eastAsia="Aptos" w:cs="Arial"/>
            <w:noProof/>
            <w:sz w:val="22"/>
            <w:lang w:val="en-US"/>
          </w:rPr>
          <w:t>https://doi.org/10.1016/j.jpeds.2018.12.040</w:t>
        </w:r>
      </w:hyperlink>
      <w:r w:rsidRPr="008B182E">
        <w:rPr>
          <w:rFonts w:eastAsia="Aptos" w:cs="Arial"/>
          <w:noProof/>
          <w:sz w:val="22"/>
          <w:lang w:val="en-US"/>
        </w:rPr>
        <w:t xml:space="preserve"> </w:t>
      </w:r>
    </w:p>
    <w:p w14:paraId="25BF4B33" w14:textId="77777777" w:rsidR="00CC4EAB" w:rsidRPr="008B182E" w:rsidRDefault="00CC4EAB" w:rsidP="008B182E">
      <w:pPr>
        <w:spacing w:before="0" w:after="160"/>
        <w:ind w:left="720" w:hanging="720"/>
        <w:rPr>
          <w:rFonts w:eastAsia="Aptos" w:cs="Arial"/>
          <w:noProof/>
          <w:sz w:val="22"/>
          <w:lang w:val="en-US"/>
        </w:rPr>
      </w:pPr>
    </w:p>
    <w:p w14:paraId="73C53E16" w14:textId="77777777" w:rsidR="0078517B" w:rsidRPr="0078517B" w:rsidRDefault="0078517B" w:rsidP="0078517B">
      <w:pPr>
        <w:spacing w:before="0" w:after="160"/>
        <w:ind w:left="720" w:hanging="720"/>
        <w:rPr>
          <w:rFonts w:eastAsia="Aptos" w:cs="Arial"/>
          <w:noProof/>
          <w:sz w:val="22"/>
          <w:lang w:val="en-US"/>
        </w:rPr>
      </w:pPr>
      <w:r w:rsidRPr="0078517B">
        <w:rPr>
          <w:rFonts w:eastAsia="Aptos" w:cs="Arial"/>
          <w:noProof/>
          <w:sz w:val="22"/>
          <w:lang w:val="en-US"/>
        </w:rPr>
        <w:t xml:space="preserve">Collins, P. H., &amp; Bilge, S. (2020). </w:t>
      </w:r>
      <w:r w:rsidRPr="0078517B">
        <w:rPr>
          <w:rFonts w:eastAsia="Aptos" w:cs="Arial"/>
          <w:i/>
          <w:noProof/>
          <w:sz w:val="22"/>
          <w:lang w:val="en-US"/>
        </w:rPr>
        <w:t>Intersectionality</w:t>
      </w:r>
      <w:r w:rsidRPr="0078517B">
        <w:rPr>
          <w:rFonts w:eastAsia="Aptos" w:cs="Arial"/>
          <w:noProof/>
          <w:sz w:val="22"/>
          <w:lang w:val="en-US"/>
        </w:rPr>
        <w:t xml:space="preserve"> (2nd ed.). Cambridge, UK: Polity. </w:t>
      </w:r>
    </w:p>
    <w:p w14:paraId="70EBB904" w14:textId="77777777" w:rsidR="0078517B" w:rsidRPr="0078517B" w:rsidRDefault="0078517B" w:rsidP="0078517B">
      <w:pPr>
        <w:spacing w:before="0" w:after="0"/>
        <w:ind w:left="720" w:hanging="720"/>
        <w:rPr>
          <w:rFonts w:eastAsia="Aptos" w:cs="Arial"/>
          <w:noProof/>
          <w:sz w:val="22"/>
          <w:lang w:val="en-US"/>
        </w:rPr>
      </w:pPr>
      <w:r w:rsidRPr="0078517B">
        <w:rPr>
          <w:rFonts w:eastAsia="Aptos" w:cs="Arial"/>
          <w:noProof/>
          <w:sz w:val="22"/>
          <w:lang w:val="en-US"/>
        </w:rPr>
        <w:tab/>
      </w:r>
    </w:p>
    <w:p w14:paraId="1E25C55E" w14:textId="4E51E0FD" w:rsidR="0078517B" w:rsidRPr="0078517B" w:rsidRDefault="0078517B" w:rsidP="0078517B">
      <w:pPr>
        <w:spacing w:before="0" w:after="160"/>
        <w:ind w:left="720" w:hanging="720"/>
        <w:rPr>
          <w:rFonts w:eastAsia="Aptos" w:cs="Arial"/>
          <w:noProof/>
          <w:sz w:val="22"/>
          <w:lang w:val="it-IT"/>
        </w:rPr>
      </w:pPr>
      <w:r w:rsidRPr="0078517B">
        <w:rPr>
          <w:rFonts w:eastAsia="Aptos" w:cs="Arial"/>
          <w:noProof/>
          <w:sz w:val="22"/>
          <w:lang w:val="en-US"/>
        </w:rPr>
        <w:t xml:space="preserve">Collins, P. Y., Pringle, B., Alexander, C., Darmstadt, G. L., Heymann, J., Huebner, G., Kutlesic, V., Polk, C., Sherr, L., &amp; Shih, A. (2017). Global services and support for children with developmental delays and disabilities: Bridging research and policy gaps. </w:t>
      </w:r>
      <w:r w:rsidRPr="0078517B">
        <w:rPr>
          <w:rFonts w:eastAsia="Aptos" w:cs="Arial"/>
          <w:i/>
          <w:noProof/>
          <w:sz w:val="22"/>
          <w:lang w:val="it-IT"/>
        </w:rPr>
        <w:t>PLoS Medicine</w:t>
      </w:r>
      <w:r w:rsidRPr="0078517B">
        <w:rPr>
          <w:rFonts w:eastAsia="Aptos" w:cs="Arial"/>
          <w:noProof/>
          <w:sz w:val="22"/>
          <w:lang w:val="it-IT"/>
        </w:rPr>
        <w:t>,</w:t>
      </w:r>
      <w:r w:rsidRPr="0078517B">
        <w:rPr>
          <w:rFonts w:eastAsia="Aptos" w:cs="Arial"/>
          <w:i/>
          <w:noProof/>
          <w:sz w:val="22"/>
          <w:lang w:val="it-IT"/>
        </w:rPr>
        <w:t xml:space="preserve"> 14</w:t>
      </w:r>
      <w:r w:rsidRPr="0078517B">
        <w:rPr>
          <w:rFonts w:eastAsia="Aptos" w:cs="Arial"/>
          <w:noProof/>
          <w:sz w:val="22"/>
          <w:lang w:val="it-IT"/>
        </w:rPr>
        <w:t xml:space="preserve">(9), e1002393. </w:t>
      </w:r>
      <w:hyperlink r:id="rId156" w:history="1">
        <w:r w:rsidR="00E54CC3" w:rsidRPr="00326476">
          <w:rPr>
            <w:rStyle w:val="Hyperlink"/>
            <w:rFonts w:eastAsia="Aptos" w:cs="Arial"/>
            <w:noProof/>
            <w:sz w:val="22"/>
            <w:lang w:val="it-IT"/>
          </w:rPr>
          <w:t>https://doi.org/10.1371/journal.pmed.1002393</w:t>
        </w:r>
      </w:hyperlink>
      <w:r w:rsidR="00E54CC3">
        <w:rPr>
          <w:rFonts w:eastAsia="Aptos" w:cs="Arial"/>
          <w:noProof/>
          <w:sz w:val="22"/>
          <w:lang w:val="it-IT"/>
        </w:rPr>
        <w:t xml:space="preserve"> </w:t>
      </w:r>
      <w:r w:rsidRPr="0078517B">
        <w:rPr>
          <w:rFonts w:eastAsia="Aptos" w:cs="Arial"/>
          <w:noProof/>
          <w:sz w:val="22"/>
          <w:lang w:val="it-IT"/>
        </w:rPr>
        <w:t xml:space="preserve"> </w:t>
      </w:r>
    </w:p>
    <w:p w14:paraId="2A1164D1" w14:textId="77777777" w:rsidR="0078517B" w:rsidRPr="0078517B" w:rsidRDefault="0078517B" w:rsidP="0078517B">
      <w:pPr>
        <w:spacing w:before="0" w:after="0"/>
        <w:ind w:left="720" w:hanging="720"/>
        <w:rPr>
          <w:rFonts w:eastAsia="Aptos" w:cs="Arial"/>
          <w:noProof/>
          <w:sz w:val="22"/>
          <w:lang w:val="it-IT"/>
        </w:rPr>
      </w:pPr>
      <w:r w:rsidRPr="0078517B">
        <w:rPr>
          <w:rFonts w:eastAsia="Aptos" w:cs="Arial"/>
          <w:noProof/>
          <w:sz w:val="22"/>
          <w:lang w:val="it-IT"/>
        </w:rPr>
        <w:tab/>
      </w:r>
    </w:p>
    <w:p w14:paraId="78556C35" w14:textId="77777777" w:rsidR="0078517B" w:rsidRPr="0078517B" w:rsidRDefault="0078517B" w:rsidP="0078517B">
      <w:pPr>
        <w:spacing w:before="0" w:after="160"/>
        <w:ind w:left="720" w:hanging="720"/>
        <w:rPr>
          <w:rFonts w:eastAsia="Aptos" w:cs="Arial"/>
          <w:noProof/>
          <w:sz w:val="22"/>
          <w:lang w:val="en-US"/>
        </w:rPr>
      </w:pPr>
      <w:r w:rsidRPr="0078517B">
        <w:rPr>
          <w:rFonts w:eastAsia="Aptos" w:cs="Arial"/>
          <w:noProof/>
          <w:sz w:val="22"/>
          <w:lang w:val="it-IT"/>
        </w:rPr>
        <w:t xml:space="preserve">Cologon, K. (2014). </w:t>
      </w:r>
      <w:r w:rsidRPr="0078517B">
        <w:rPr>
          <w:rFonts w:eastAsia="Aptos" w:cs="Arial"/>
          <w:noProof/>
          <w:sz w:val="22"/>
          <w:lang w:val="en-US"/>
        </w:rPr>
        <w:t xml:space="preserve">Preventing inclusion? Inclusive early childhood education and the option to exclude. </w:t>
      </w:r>
      <w:r w:rsidRPr="0078517B">
        <w:rPr>
          <w:rFonts w:eastAsia="Aptos" w:cs="Arial"/>
          <w:i/>
          <w:noProof/>
          <w:sz w:val="22"/>
          <w:lang w:val="en-US"/>
        </w:rPr>
        <w:t>Contemporary Issues in Early Childhood</w:t>
      </w:r>
      <w:r w:rsidRPr="0078517B">
        <w:rPr>
          <w:rFonts w:eastAsia="Aptos" w:cs="Arial"/>
          <w:noProof/>
          <w:sz w:val="22"/>
          <w:lang w:val="en-US"/>
        </w:rPr>
        <w:t>,</w:t>
      </w:r>
      <w:r w:rsidRPr="0078517B">
        <w:rPr>
          <w:rFonts w:eastAsia="Aptos" w:cs="Arial"/>
          <w:i/>
          <w:noProof/>
          <w:sz w:val="22"/>
          <w:lang w:val="en-US"/>
        </w:rPr>
        <w:t xml:space="preserve"> 15</w:t>
      </w:r>
      <w:r w:rsidRPr="0078517B">
        <w:rPr>
          <w:rFonts w:eastAsia="Aptos" w:cs="Arial"/>
          <w:noProof/>
          <w:sz w:val="22"/>
          <w:lang w:val="en-US"/>
        </w:rPr>
        <w:t xml:space="preserve">(4), 378-381. </w:t>
      </w:r>
    </w:p>
    <w:p w14:paraId="002515A2" w14:textId="77777777" w:rsidR="0078517B" w:rsidRPr="0078517B" w:rsidRDefault="0078517B" w:rsidP="0078517B">
      <w:pPr>
        <w:spacing w:before="0" w:after="0"/>
        <w:ind w:left="720" w:hanging="720"/>
        <w:rPr>
          <w:rFonts w:eastAsia="Aptos" w:cs="Arial"/>
          <w:noProof/>
          <w:sz w:val="22"/>
          <w:lang w:val="en-US"/>
        </w:rPr>
      </w:pPr>
      <w:r w:rsidRPr="0078517B">
        <w:rPr>
          <w:rFonts w:eastAsia="Aptos" w:cs="Arial"/>
          <w:noProof/>
          <w:sz w:val="22"/>
          <w:lang w:val="en-US"/>
        </w:rPr>
        <w:tab/>
      </w:r>
    </w:p>
    <w:p w14:paraId="29BB9C61" w14:textId="77777777" w:rsidR="0078517B" w:rsidRPr="0078517B" w:rsidRDefault="0078517B" w:rsidP="0078517B">
      <w:pPr>
        <w:spacing w:before="0" w:after="160"/>
        <w:ind w:left="720" w:hanging="720"/>
        <w:rPr>
          <w:rFonts w:eastAsia="Aptos" w:cs="Arial"/>
          <w:noProof/>
          <w:sz w:val="22"/>
          <w:lang w:val="en-US"/>
        </w:rPr>
      </w:pPr>
      <w:r w:rsidRPr="0078517B">
        <w:rPr>
          <w:rFonts w:eastAsia="Aptos" w:cs="Arial"/>
          <w:noProof/>
          <w:sz w:val="22"/>
          <w:lang w:val="en-US"/>
        </w:rPr>
        <w:t xml:space="preserve">Cologon, K., &amp; Thomas, C. (2014). Ableism, disablism and the early years. In K. Cologon (Ed.), </w:t>
      </w:r>
      <w:r w:rsidRPr="0078517B">
        <w:rPr>
          <w:rFonts w:eastAsia="Aptos" w:cs="Arial"/>
          <w:i/>
          <w:noProof/>
          <w:sz w:val="22"/>
          <w:lang w:val="en-US"/>
        </w:rPr>
        <w:t>Inclusive education in the early years: Right from the start</w:t>
      </w:r>
      <w:r w:rsidRPr="0078517B">
        <w:rPr>
          <w:rFonts w:eastAsia="Aptos" w:cs="Arial"/>
          <w:noProof/>
          <w:sz w:val="22"/>
          <w:lang w:val="en-US"/>
        </w:rPr>
        <w:t xml:space="preserve"> (pp. 27-48). South Melbourne, VIC: Oxford University Press. </w:t>
      </w:r>
    </w:p>
    <w:p w14:paraId="1D6AF561" w14:textId="77777777" w:rsidR="0078517B" w:rsidRPr="0078517B" w:rsidRDefault="0078517B" w:rsidP="0078517B">
      <w:pPr>
        <w:spacing w:before="0" w:after="0"/>
        <w:ind w:left="720" w:hanging="720"/>
        <w:rPr>
          <w:rFonts w:eastAsia="Aptos" w:cs="Arial"/>
          <w:noProof/>
          <w:sz w:val="22"/>
          <w:lang w:val="en-US"/>
        </w:rPr>
      </w:pPr>
      <w:r w:rsidRPr="0078517B">
        <w:rPr>
          <w:rFonts w:eastAsia="Aptos" w:cs="Arial"/>
          <w:noProof/>
          <w:sz w:val="22"/>
          <w:lang w:val="en-US"/>
        </w:rPr>
        <w:tab/>
      </w:r>
    </w:p>
    <w:p w14:paraId="0CF23319" w14:textId="77777777" w:rsidR="00CC4EAB" w:rsidRDefault="0078517B" w:rsidP="0078517B">
      <w:pPr>
        <w:spacing w:before="0" w:after="160"/>
        <w:ind w:left="720" w:hanging="720"/>
        <w:rPr>
          <w:rFonts w:eastAsia="Aptos" w:cs="Arial"/>
          <w:noProof/>
          <w:sz w:val="22"/>
          <w:lang w:val="en-US"/>
        </w:rPr>
      </w:pPr>
      <w:r w:rsidRPr="0078517B">
        <w:rPr>
          <w:rFonts w:eastAsia="Aptos" w:cs="Arial"/>
          <w:noProof/>
          <w:sz w:val="22"/>
          <w:lang w:val="en-US"/>
        </w:rPr>
        <w:t xml:space="preserve">Colver, A. (2005). A shared framework and language for childhood disability. </w:t>
      </w:r>
      <w:r w:rsidRPr="0078517B">
        <w:rPr>
          <w:rFonts w:eastAsia="Aptos" w:cs="Arial"/>
          <w:i/>
          <w:noProof/>
          <w:sz w:val="22"/>
          <w:lang w:val="en-US"/>
        </w:rPr>
        <w:t>Developmental Medicine and Child Neurology</w:t>
      </w:r>
      <w:r w:rsidRPr="0078517B">
        <w:rPr>
          <w:rFonts w:eastAsia="Aptos" w:cs="Arial"/>
          <w:noProof/>
          <w:sz w:val="22"/>
          <w:lang w:val="en-US"/>
        </w:rPr>
        <w:t>,</w:t>
      </w:r>
      <w:r w:rsidRPr="0078517B">
        <w:rPr>
          <w:rFonts w:eastAsia="Aptos" w:cs="Arial"/>
          <w:i/>
          <w:noProof/>
          <w:sz w:val="22"/>
          <w:lang w:val="en-US"/>
        </w:rPr>
        <w:t xml:space="preserve"> 47</w:t>
      </w:r>
      <w:r w:rsidRPr="0078517B">
        <w:rPr>
          <w:rFonts w:eastAsia="Aptos" w:cs="Arial"/>
          <w:noProof/>
          <w:sz w:val="22"/>
          <w:lang w:val="en-US"/>
        </w:rPr>
        <w:t>(11), 780-784.</w:t>
      </w:r>
    </w:p>
    <w:p w14:paraId="2B545EAF" w14:textId="020B7773" w:rsidR="0078517B" w:rsidRPr="0078517B" w:rsidRDefault="0078517B" w:rsidP="0078517B">
      <w:pPr>
        <w:spacing w:before="0" w:after="160"/>
        <w:ind w:left="720" w:hanging="720"/>
        <w:rPr>
          <w:rFonts w:eastAsia="Aptos" w:cs="Arial"/>
          <w:noProof/>
          <w:sz w:val="22"/>
          <w:lang w:val="en-US"/>
        </w:rPr>
      </w:pPr>
      <w:r w:rsidRPr="0078517B">
        <w:rPr>
          <w:rFonts w:eastAsia="Aptos" w:cs="Arial"/>
          <w:noProof/>
          <w:sz w:val="22"/>
          <w:lang w:val="en-US"/>
        </w:rPr>
        <w:t xml:space="preserve"> </w:t>
      </w:r>
    </w:p>
    <w:p w14:paraId="78180FC2" w14:textId="128B8E69" w:rsidR="003C2F14" w:rsidRPr="003C2F14" w:rsidRDefault="003C2F14" w:rsidP="003C2F14">
      <w:pPr>
        <w:spacing w:before="0" w:after="160"/>
        <w:ind w:left="720" w:hanging="720"/>
        <w:rPr>
          <w:rFonts w:eastAsia="Aptos" w:cs="Arial"/>
          <w:noProof/>
          <w:sz w:val="22"/>
          <w:lang w:val="en-US"/>
        </w:rPr>
      </w:pPr>
      <w:r w:rsidRPr="003C2F14">
        <w:rPr>
          <w:rFonts w:eastAsia="Aptos" w:cs="Arial"/>
          <w:noProof/>
          <w:sz w:val="22"/>
          <w:lang w:val="en-US"/>
        </w:rPr>
        <w:t xml:space="preserve">Commissioner for Children and Young People (Vic). (2024). </w:t>
      </w:r>
      <w:r w:rsidRPr="003C2F14">
        <w:rPr>
          <w:rFonts w:eastAsia="Aptos" w:cs="Arial"/>
          <w:i/>
          <w:noProof/>
          <w:sz w:val="22"/>
          <w:lang w:val="en-US"/>
        </w:rPr>
        <w:t>Understanding cultural safety for Aboriginal children and young people.</w:t>
      </w:r>
      <w:r w:rsidRPr="003C2F14">
        <w:rPr>
          <w:rFonts w:eastAsia="Aptos" w:cs="Arial"/>
          <w:noProof/>
          <w:sz w:val="22"/>
          <w:lang w:val="en-US"/>
        </w:rPr>
        <w:t xml:space="preserve"> Melbourne, VIC: Commission for Children and Young People. Retrieved 6 September, 2024 from </w:t>
      </w:r>
      <w:hyperlink r:id="rId157" w:history="1">
        <w:r w:rsidR="00E54CC3" w:rsidRPr="00326476">
          <w:rPr>
            <w:rStyle w:val="Hyperlink"/>
            <w:rFonts w:eastAsia="Aptos" w:cs="Arial"/>
            <w:noProof/>
            <w:sz w:val="22"/>
            <w:lang w:val="en-US"/>
          </w:rPr>
          <w:t>https://ccyp.vic.gov.au/child-safe-standards/cultural-safety/</w:t>
        </w:r>
      </w:hyperlink>
      <w:r w:rsidR="00E54CC3">
        <w:rPr>
          <w:rFonts w:eastAsia="Aptos" w:cs="Arial"/>
          <w:noProof/>
          <w:sz w:val="22"/>
          <w:lang w:val="en-US"/>
        </w:rPr>
        <w:t xml:space="preserve"> </w:t>
      </w:r>
    </w:p>
    <w:p w14:paraId="4E219065" w14:textId="77777777" w:rsidR="003C2F14" w:rsidRPr="003C2F14" w:rsidRDefault="003C2F14" w:rsidP="003C2F14">
      <w:pPr>
        <w:spacing w:before="0" w:after="0"/>
        <w:ind w:left="720" w:hanging="720"/>
        <w:rPr>
          <w:rFonts w:eastAsia="Aptos" w:cs="Arial"/>
          <w:noProof/>
          <w:sz w:val="22"/>
          <w:lang w:val="en-US"/>
        </w:rPr>
      </w:pPr>
      <w:r w:rsidRPr="003C2F14">
        <w:rPr>
          <w:rFonts w:eastAsia="Aptos" w:cs="Arial"/>
          <w:noProof/>
          <w:sz w:val="22"/>
          <w:lang w:val="en-US"/>
        </w:rPr>
        <w:tab/>
      </w:r>
    </w:p>
    <w:p w14:paraId="78AD4389" w14:textId="1B925411" w:rsidR="003C2F14" w:rsidRPr="003C2F14" w:rsidRDefault="003C2F14" w:rsidP="003C2F14">
      <w:pPr>
        <w:spacing w:before="0" w:after="160"/>
        <w:ind w:left="720" w:hanging="720"/>
        <w:rPr>
          <w:rFonts w:eastAsia="Aptos" w:cs="Arial"/>
          <w:noProof/>
          <w:sz w:val="22"/>
          <w:lang w:val="en-US"/>
        </w:rPr>
      </w:pPr>
      <w:r w:rsidRPr="003C2F14">
        <w:rPr>
          <w:rFonts w:eastAsia="Aptos" w:cs="Arial"/>
          <w:noProof/>
          <w:sz w:val="22"/>
          <w:lang w:val="en-US"/>
        </w:rPr>
        <w:t xml:space="preserve">Committee for Economic Development of Australia. (2015). </w:t>
      </w:r>
      <w:r w:rsidRPr="003C2F14">
        <w:rPr>
          <w:rFonts w:eastAsia="Aptos" w:cs="Arial"/>
          <w:i/>
          <w:noProof/>
          <w:sz w:val="22"/>
          <w:lang w:val="en-US"/>
        </w:rPr>
        <w:t>Addressing entrenched disadvantage in Australia.</w:t>
      </w:r>
      <w:r w:rsidRPr="003C2F14">
        <w:rPr>
          <w:rFonts w:eastAsia="Aptos" w:cs="Arial"/>
          <w:noProof/>
          <w:sz w:val="22"/>
          <w:lang w:val="en-US"/>
        </w:rPr>
        <w:t xml:space="preserve"> Melbourne, Victoria: Committee for Economic Development of Australia. Retrieved September 6, 2024,  </w:t>
      </w:r>
      <w:hyperlink r:id="rId158" w:history="1">
        <w:r w:rsidR="00E54CC3" w:rsidRPr="00326476">
          <w:rPr>
            <w:rStyle w:val="Hyperlink"/>
            <w:rFonts w:eastAsia="Aptos" w:cs="Arial"/>
            <w:noProof/>
            <w:sz w:val="22"/>
            <w:lang w:val="en-US"/>
          </w:rPr>
          <w:t>https://www.flipsnack.com/cedamelbourne/addressing-entrenched-disadvantage-in-australia-fdu36if3d.html</w:t>
        </w:r>
      </w:hyperlink>
      <w:r w:rsidR="00E54CC3">
        <w:rPr>
          <w:rFonts w:eastAsia="Aptos" w:cs="Arial"/>
          <w:noProof/>
          <w:sz w:val="22"/>
          <w:lang w:val="en-US"/>
        </w:rPr>
        <w:t xml:space="preserve"> </w:t>
      </w:r>
    </w:p>
    <w:p w14:paraId="2A04DE99" w14:textId="77777777" w:rsidR="003C2F14" w:rsidRPr="003C2F14" w:rsidRDefault="003C2F14" w:rsidP="003C2F14">
      <w:pPr>
        <w:spacing w:before="0" w:after="0"/>
        <w:ind w:left="720" w:hanging="720"/>
        <w:rPr>
          <w:rFonts w:eastAsia="Aptos" w:cs="Arial"/>
          <w:noProof/>
          <w:sz w:val="22"/>
          <w:lang w:val="en-US"/>
        </w:rPr>
      </w:pPr>
      <w:r w:rsidRPr="003C2F14">
        <w:rPr>
          <w:rFonts w:eastAsia="Aptos" w:cs="Arial"/>
          <w:noProof/>
          <w:sz w:val="22"/>
          <w:lang w:val="en-US"/>
        </w:rPr>
        <w:tab/>
      </w:r>
    </w:p>
    <w:p w14:paraId="17DC68EE" w14:textId="0F19130F" w:rsidR="003C2F14" w:rsidRPr="003C2F14" w:rsidRDefault="003C2F14" w:rsidP="003C2F14">
      <w:pPr>
        <w:spacing w:before="0" w:after="160"/>
        <w:ind w:left="720" w:hanging="720"/>
        <w:rPr>
          <w:rFonts w:eastAsia="Aptos" w:cs="Arial"/>
          <w:noProof/>
          <w:sz w:val="22"/>
          <w:lang w:val="en-US"/>
        </w:rPr>
      </w:pPr>
      <w:r w:rsidRPr="003C2F14">
        <w:rPr>
          <w:rFonts w:eastAsia="Aptos" w:cs="Arial"/>
          <w:noProof/>
          <w:sz w:val="22"/>
          <w:lang w:val="en-US"/>
        </w:rPr>
        <w:t xml:space="preserve">Commonwealth of Australia. (2017). </w:t>
      </w:r>
      <w:r w:rsidRPr="003C2F14">
        <w:rPr>
          <w:rFonts w:eastAsia="Aptos" w:cs="Arial"/>
          <w:i/>
          <w:noProof/>
          <w:sz w:val="22"/>
          <w:lang w:val="en-US"/>
        </w:rPr>
        <w:t>National strategic framework for Aboriginal and Torres Strait Islander peoples’ mental health and social and emotional wellbeing</w:t>
      </w:r>
      <w:r w:rsidRPr="003C2F14">
        <w:rPr>
          <w:rFonts w:eastAsia="Aptos" w:cs="Arial"/>
          <w:noProof/>
          <w:sz w:val="22"/>
          <w:lang w:val="en-US"/>
        </w:rPr>
        <w:t xml:space="preserve">. Canberra, ACT: Department of the Prime Minister and Cabinet. Retrieved 6 September, 2024 from </w:t>
      </w:r>
      <w:hyperlink r:id="rId159" w:history="1">
        <w:r w:rsidR="00E54CC3" w:rsidRPr="00326476">
          <w:rPr>
            <w:rStyle w:val="Hyperlink"/>
            <w:rFonts w:eastAsia="Aptos" w:cs="Arial"/>
            <w:noProof/>
            <w:sz w:val="22"/>
            <w:lang w:val="en-US"/>
          </w:rPr>
          <w:t>https://www.niaa.gov.au/sites/default/files/documents/publications/mhsewb-framework_0.pdf</w:t>
        </w:r>
      </w:hyperlink>
      <w:r w:rsidR="00E54CC3">
        <w:rPr>
          <w:rFonts w:eastAsia="Aptos" w:cs="Arial"/>
          <w:noProof/>
          <w:sz w:val="22"/>
          <w:lang w:val="en-US"/>
        </w:rPr>
        <w:t xml:space="preserve"> </w:t>
      </w:r>
    </w:p>
    <w:p w14:paraId="7DB221AA" w14:textId="77777777" w:rsidR="003C2F14" w:rsidRPr="003C2F14" w:rsidRDefault="003C2F14" w:rsidP="003C2F14">
      <w:pPr>
        <w:spacing w:before="0" w:after="0"/>
        <w:ind w:left="720" w:hanging="720"/>
        <w:rPr>
          <w:rFonts w:eastAsia="Aptos" w:cs="Arial"/>
          <w:noProof/>
          <w:sz w:val="22"/>
          <w:lang w:val="en-US"/>
        </w:rPr>
      </w:pPr>
      <w:r w:rsidRPr="003C2F14">
        <w:rPr>
          <w:rFonts w:eastAsia="Aptos" w:cs="Arial"/>
          <w:noProof/>
          <w:sz w:val="22"/>
          <w:lang w:val="en-US"/>
        </w:rPr>
        <w:tab/>
      </w:r>
    </w:p>
    <w:p w14:paraId="35C2613B" w14:textId="6B2203B4" w:rsidR="003C2F14" w:rsidRDefault="003C2F14" w:rsidP="003C2F14">
      <w:pPr>
        <w:spacing w:before="0" w:after="160"/>
        <w:ind w:left="720" w:hanging="720"/>
        <w:rPr>
          <w:rFonts w:eastAsia="Aptos" w:cs="Arial"/>
          <w:noProof/>
          <w:sz w:val="22"/>
          <w:lang w:val="en-US"/>
        </w:rPr>
      </w:pPr>
      <w:r w:rsidRPr="003C2F14">
        <w:rPr>
          <w:rFonts w:eastAsia="Aptos" w:cs="Arial"/>
          <w:noProof/>
          <w:sz w:val="22"/>
          <w:lang w:val="en-US"/>
        </w:rPr>
        <w:t xml:space="preserve">Commonwealth of Australia. (2023). </w:t>
      </w:r>
      <w:r w:rsidRPr="003C2F14">
        <w:rPr>
          <w:rFonts w:eastAsia="Aptos" w:cs="Arial"/>
          <w:i/>
          <w:noProof/>
          <w:sz w:val="22"/>
          <w:lang w:val="en-US"/>
        </w:rPr>
        <w:t>Working together to deliver the NDIS - Independent Review into the National Disability Insurance Scheme: Final Report</w:t>
      </w:r>
      <w:r w:rsidRPr="003C2F14">
        <w:rPr>
          <w:rFonts w:eastAsia="Aptos" w:cs="Arial"/>
          <w:noProof/>
          <w:sz w:val="22"/>
          <w:lang w:val="en-US"/>
        </w:rPr>
        <w:t xml:space="preserve">.  Retrieved 6 September 2024,  </w:t>
      </w:r>
      <w:hyperlink r:id="rId160" w:history="1">
        <w:r w:rsidR="00E54CC3" w:rsidRPr="00326476">
          <w:rPr>
            <w:rStyle w:val="Hyperlink"/>
            <w:rFonts w:eastAsia="Aptos" w:cs="Arial"/>
            <w:noProof/>
            <w:sz w:val="22"/>
            <w:lang w:val="en-US"/>
          </w:rPr>
          <w:t>https://www.ndisreview.gov.au/resources/reports/working-together-deliver-ndis</w:t>
        </w:r>
      </w:hyperlink>
    </w:p>
    <w:p w14:paraId="2FA11AEA" w14:textId="77777777" w:rsidR="00E54CC3" w:rsidRPr="003C2F14" w:rsidRDefault="00E54CC3" w:rsidP="003C2F14">
      <w:pPr>
        <w:spacing w:before="0" w:after="160"/>
        <w:ind w:left="720" w:hanging="720"/>
        <w:rPr>
          <w:rFonts w:eastAsia="Aptos" w:cs="Arial"/>
          <w:noProof/>
          <w:sz w:val="22"/>
          <w:lang w:val="en-US"/>
        </w:rPr>
      </w:pPr>
    </w:p>
    <w:p w14:paraId="10598048" w14:textId="61FF7916" w:rsidR="00E377D8" w:rsidRPr="00E377D8" w:rsidRDefault="00E377D8" w:rsidP="00E377D8">
      <w:pPr>
        <w:spacing w:before="0" w:after="160"/>
        <w:ind w:left="720" w:hanging="720"/>
        <w:rPr>
          <w:rFonts w:eastAsia="Aptos" w:cs="Arial"/>
          <w:noProof/>
          <w:sz w:val="22"/>
          <w:lang w:val="en-US"/>
        </w:rPr>
      </w:pPr>
      <w:r w:rsidRPr="00E377D8">
        <w:rPr>
          <w:rFonts w:eastAsia="Aptos" w:cs="Arial"/>
          <w:noProof/>
          <w:sz w:val="22"/>
          <w:lang w:val="en-US"/>
        </w:rPr>
        <w:t xml:space="preserve">Commonwealth of Australia, &amp; Department of Social Services. (2021). </w:t>
      </w:r>
      <w:r w:rsidRPr="00E377D8">
        <w:rPr>
          <w:rFonts w:eastAsia="Aptos" w:cs="Arial"/>
          <w:i/>
          <w:noProof/>
          <w:sz w:val="22"/>
          <w:lang w:val="en-US"/>
        </w:rPr>
        <w:t>Safe and Supported: the National Framework for Protecting Australia’s Children 2021 - 2031</w:t>
      </w:r>
      <w:r w:rsidRPr="00E377D8">
        <w:rPr>
          <w:rFonts w:eastAsia="Aptos" w:cs="Arial"/>
          <w:noProof/>
          <w:sz w:val="22"/>
          <w:lang w:val="en-US"/>
        </w:rPr>
        <w:t xml:space="preserve">.  Retrieved 6 September, 2024 from </w:t>
      </w:r>
      <w:hyperlink r:id="rId161" w:history="1">
        <w:r w:rsidR="00E54CC3" w:rsidRPr="00326476">
          <w:rPr>
            <w:rStyle w:val="Hyperlink"/>
            <w:rFonts w:eastAsia="Aptos" w:cs="Arial"/>
            <w:noProof/>
            <w:sz w:val="22"/>
            <w:lang w:val="en-US"/>
          </w:rPr>
          <w:t>https://www.dss.gov.au/sites/default/files/documents/12_2021/dess5016-national-framework-protecting-childrenaccessible.pdf</w:t>
        </w:r>
      </w:hyperlink>
      <w:r w:rsidR="00E54CC3">
        <w:rPr>
          <w:rFonts w:eastAsia="Aptos" w:cs="Arial"/>
          <w:noProof/>
          <w:sz w:val="22"/>
          <w:lang w:val="en-US"/>
        </w:rPr>
        <w:t xml:space="preserve"> </w:t>
      </w:r>
    </w:p>
    <w:p w14:paraId="549AF3E4" w14:textId="77777777" w:rsidR="00E377D8" w:rsidRPr="00E377D8" w:rsidRDefault="00E377D8" w:rsidP="00E377D8">
      <w:pPr>
        <w:spacing w:before="0" w:after="0"/>
        <w:ind w:left="720" w:hanging="720"/>
        <w:rPr>
          <w:rFonts w:eastAsia="Aptos" w:cs="Arial"/>
          <w:noProof/>
          <w:sz w:val="22"/>
          <w:lang w:val="en-US"/>
        </w:rPr>
      </w:pPr>
      <w:r w:rsidRPr="00E377D8">
        <w:rPr>
          <w:rFonts w:eastAsia="Aptos" w:cs="Arial"/>
          <w:noProof/>
          <w:sz w:val="22"/>
          <w:lang w:val="en-US"/>
        </w:rPr>
        <w:tab/>
      </w:r>
    </w:p>
    <w:p w14:paraId="578B5256" w14:textId="06273691" w:rsidR="00E377D8" w:rsidRDefault="00E377D8" w:rsidP="00E377D8">
      <w:pPr>
        <w:spacing w:before="0" w:after="160"/>
        <w:ind w:left="720" w:hanging="720"/>
        <w:rPr>
          <w:rFonts w:eastAsia="Aptos" w:cs="Arial"/>
          <w:noProof/>
          <w:sz w:val="22"/>
          <w:lang w:val="en-US"/>
        </w:rPr>
      </w:pPr>
      <w:r w:rsidRPr="00E377D8">
        <w:rPr>
          <w:rFonts w:eastAsia="Aptos" w:cs="Arial"/>
          <w:noProof/>
          <w:sz w:val="22"/>
          <w:lang w:val="en-US"/>
        </w:rPr>
        <w:t xml:space="preserve">Commonwealth of Australia Department of the Prime Minister and Cabinet. (2020). </w:t>
      </w:r>
      <w:r w:rsidRPr="00E377D8">
        <w:rPr>
          <w:rFonts w:eastAsia="Aptos" w:cs="Arial"/>
          <w:i/>
          <w:noProof/>
          <w:sz w:val="22"/>
          <w:lang w:val="en-US"/>
        </w:rPr>
        <w:t>Closing the Gap Report</w:t>
      </w:r>
      <w:r w:rsidRPr="00E377D8">
        <w:rPr>
          <w:rFonts w:eastAsia="Aptos" w:cs="Arial"/>
          <w:noProof/>
          <w:sz w:val="22"/>
          <w:lang w:val="en-US"/>
        </w:rPr>
        <w:t xml:space="preserve">.  Retrieved September 6, 2024,  </w:t>
      </w:r>
      <w:hyperlink r:id="rId162" w:history="1">
        <w:r w:rsidR="00CC4EAB" w:rsidRPr="00326476">
          <w:rPr>
            <w:rStyle w:val="Hyperlink"/>
            <w:rFonts w:eastAsia="Aptos" w:cs="Arial"/>
            <w:noProof/>
            <w:sz w:val="22"/>
            <w:lang w:val="en-US"/>
          </w:rPr>
          <w:t>https://ctgreport.niaa.gov.au/sites/default/files/pdf/closing-the-gap-report-2020.pdf</w:t>
        </w:r>
      </w:hyperlink>
      <w:r w:rsidR="00CC4EAB">
        <w:rPr>
          <w:rFonts w:eastAsia="Aptos" w:cs="Arial"/>
          <w:noProof/>
          <w:sz w:val="22"/>
          <w:lang w:val="en-US"/>
        </w:rPr>
        <w:t xml:space="preserve"> </w:t>
      </w:r>
    </w:p>
    <w:p w14:paraId="2DC1ED97" w14:textId="77777777" w:rsidR="00CC4EAB" w:rsidRPr="00E377D8" w:rsidRDefault="00CC4EAB" w:rsidP="00E377D8">
      <w:pPr>
        <w:spacing w:before="0" w:after="160"/>
        <w:ind w:left="720" w:hanging="720"/>
        <w:rPr>
          <w:rFonts w:eastAsia="Aptos" w:cs="Arial"/>
          <w:noProof/>
          <w:sz w:val="22"/>
          <w:lang w:val="en-US"/>
        </w:rPr>
      </w:pPr>
    </w:p>
    <w:p w14:paraId="4BF21148" w14:textId="77777777" w:rsidR="005A56EB" w:rsidRDefault="005A56EB" w:rsidP="005A56EB">
      <w:pPr>
        <w:spacing w:before="0" w:after="160"/>
        <w:ind w:left="720" w:hanging="720"/>
        <w:rPr>
          <w:rFonts w:eastAsia="Aptos" w:cs="Arial"/>
          <w:noProof/>
          <w:sz w:val="22"/>
          <w:lang w:val="en-US"/>
        </w:rPr>
      </w:pPr>
      <w:r w:rsidRPr="005A56EB">
        <w:rPr>
          <w:rFonts w:eastAsia="Aptos" w:cs="Arial"/>
          <w:noProof/>
          <w:sz w:val="22"/>
          <w:lang w:val="en-US"/>
        </w:rPr>
        <w:t xml:space="preserve">Conaboy, C. (2022). </w:t>
      </w:r>
      <w:r w:rsidRPr="005A56EB">
        <w:rPr>
          <w:rFonts w:eastAsia="Aptos" w:cs="Arial"/>
          <w:i/>
          <w:noProof/>
          <w:sz w:val="22"/>
          <w:lang w:val="en-US"/>
        </w:rPr>
        <w:t>Mother brain: How neuroscience is rewriting the story of parenthood</w:t>
      </w:r>
      <w:r w:rsidRPr="005A56EB">
        <w:rPr>
          <w:rFonts w:eastAsia="Aptos" w:cs="Arial"/>
          <w:noProof/>
          <w:sz w:val="22"/>
          <w:lang w:val="en-US"/>
        </w:rPr>
        <w:t xml:space="preserve">. Henry Holt and Company. </w:t>
      </w:r>
    </w:p>
    <w:p w14:paraId="5C39DCA9" w14:textId="77777777" w:rsidR="00CC4EAB" w:rsidRPr="005A56EB" w:rsidRDefault="00CC4EAB" w:rsidP="005A56EB">
      <w:pPr>
        <w:spacing w:before="0" w:after="160"/>
        <w:ind w:left="720" w:hanging="720"/>
        <w:rPr>
          <w:rFonts w:eastAsia="Aptos" w:cs="Arial"/>
          <w:noProof/>
          <w:sz w:val="22"/>
          <w:lang w:val="en-US"/>
        </w:rPr>
      </w:pPr>
    </w:p>
    <w:p w14:paraId="12B08561" w14:textId="77777777" w:rsidR="00304818" w:rsidRDefault="00304818" w:rsidP="00304818">
      <w:pPr>
        <w:spacing w:before="0" w:after="160"/>
        <w:ind w:left="720" w:hanging="720"/>
        <w:rPr>
          <w:rFonts w:eastAsia="Aptos" w:cs="Arial"/>
          <w:noProof/>
          <w:sz w:val="22"/>
          <w:lang w:val="en-US"/>
        </w:rPr>
      </w:pPr>
      <w:r w:rsidRPr="00304818">
        <w:rPr>
          <w:rFonts w:eastAsia="Aptos" w:cs="Arial"/>
          <w:noProof/>
          <w:sz w:val="22"/>
          <w:lang w:val="en-US"/>
        </w:rPr>
        <w:t xml:space="preserve">Connolly, M., &amp; Healy, K. (2017). Social work practice theories and frameworks. In M. Connolly, L. Harms, &amp; J. Maidment (Eds.), </w:t>
      </w:r>
      <w:r w:rsidRPr="00304818">
        <w:rPr>
          <w:rFonts w:eastAsia="Aptos" w:cs="Arial"/>
          <w:i/>
          <w:noProof/>
          <w:sz w:val="22"/>
          <w:lang w:val="en-US"/>
        </w:rPr>
        <w:t>Social work: Contexts and practice</w:t>
      </w:r>
      <w:r w:rsidRPr="00304818">
        <w:rPr>
          <w:rFonts w:eastAsia="Aptos" w:cs="Arial"/>
          <w:noProof/>
          <w:sz w:val="22"/>
          <w:lang w:val="en-US"/>
        </w:rPr>
        <w:t xml:space="preserve"> (4th ed.). South Melbourne, VIC: Oxford University Press. </w:t>
      </w:r>
    </w:p>
    <w:p w14:paraId="34FEA3E1" w14:textId="77777777" w:rsidR="00CC4EAB" w:rsidRPr="00304818" w:rsidRDefault="00CC4EAB" w:rsidP="00304818">
      <w:pPr>
        <w:spacing w:before="0" w:after="160"/>
        <w:ind w:left="720" w:hanging="720"/>
        <w:rPr>
          <w:rFonts w:eastAsia="Aptos" w:cs="Arial"/>
          <w:noProof/>
          <w:sz w:val="22"/>
          <w:lang w:val="en-US"/>
        </w:rPr>
      </w:pPr>
    </w:p>
    <w:p w14:paraId="63C6715E" w14:textId="41DE3C4B" w:rsidR="00724319" w:rsidRPr="00724319" w:rsidRDefault="00724319" w:rsidP="00724319">
      <w:pPr>
        <w:spacing w:before="0" w:after="160"/>
        <w:ind w:left="720" w:hanging="720"/>
        <w:rPr>
          <w:rFonts w:eastAsia="Aptos" w:cs="Arial"/>
          <w:noProof/>
          <w:sz w:val="22"/>
          <w:lang w:val="en-US"/>
        </w:rPr>
      </w:pPr>
      <w:r w:rsidRPr="00724319">
        <w:rPr>
          <w:rFonts w:eastAsia="Aptos" w:cs="Arial"/>
          <w:noProof/>
          <w:sz w:val="22"/>
          <w:lang w:val="en-US"/>
        </w:rPr>
        <w:t xml:space="preserve">Cook, B. G., &amp; Odom, S. L. (2013). Evidence-based practices and implementation science in special education. </w:t>
      </w:r>
      <w:r w:rsidRPr="00724319">
        <w:rPr>
          <w:rFonts w:eastAsia="Aptos" w:cs="Arial"/>
          <w:i/>
          <w:noProof/>
          <w:sz w:val="22"/>
          <w:lang w:val="en-US"/>
        </w:rPr>
        <w:t>Exceptional Children</w:t>
      </w:r>
      <w:r w:rsidRPr="00724319">
        <w:rPr>
          <w:rFonts w:eastAsia="Aptos" w:cs="Arial"/>
          <w:noProof/>
          <w:sz w:val="22"/>
          <w:lang w:val="en-US"/>
        </w:rPr>
        <w:t>,</w:t>
      </w:r>
      <w:r w:rsidRPr="00724319">
        <w:rPr>
          <w:rFonts w:eastAsia="Aptos" w:cs="Arial"/>
          <w:i/>
          <w:noProof/>
          <w:sz w:val="22"/>
          <w:lang w:val="en-US"/>
        </w:rPr>
        <w:t xml:space="preserve"> 79</w:t>
      </w:r>
      <w:r w:rsidRPr="00724319">
        <w:rPr>
          <w:rFonts w:eastAsia="Aptos" w:cs="Arial"/>
          <w:noProof/>
          <w:sz w:val="22"/>
          <w:lang w:val="en-US"/>
        </w:rPr>
        <w:t xml:space="preserve">(2), 135-144. </w:t>
      </w:r>
      <w:hyperlink r:id="rId163" w:history="1">
        <w:r w:rsidR="004C6996" w:rsidRPr="00326476">
          <w:rPr>
            <w:rStyle w:val="Hyperlink"/>
            <w:rFonts w:eastAsia="Aptos" w:cs="Arial"/>
            <w:noProof/>
            <w:sz w:val="22"/>
            <w:lang w:val="en-US"/>
          </w:rPr>
          <w:t>https://doi.org/10.1177/001440291307900201</w:t>
        </w:r>
      </w:hyperlink>
      <w:r w:rsidR="004C6996">
        <w:rPr>
          <w:rFonts w:eastAsia="Aptos" w:cs="Arial"/>
          <w:noProof/>
          <w:sz w:val="22"/>
          <w:lang w:val="en-US"/>
        </w:rPr>
        <w:t xml:space="preserve"> </w:t>
      </w:r>
      <w:r w:rsidRPr="00724319">
        <w:rPr>
          <w:rFonts w:eastAsia="Aptos" w:cs="Arial"/>
          <w:noProof/>
          <w:sz w:val="22"/>
          <w:lang w:val="en-US"/>
        </w:rPr>
        <w:t xml:space="preserve"> </w:t>
      </w:r>
    </w:p>
    <w:p w14:paraId="4EF818C9" w14:textId="77777777" w:rsidR="00724319" w:rsidRPr="00724319" w:rsidRDefault="00724319" w:rsidP="00724319">
      <w:pPr>
        <w:spacing w:before="0" w:after="0"/>
        <w:ind w:left="720" w:hanging="720"/>
        <w:rPr>
          <w:rFonts w:eastAsia="Aptos" w:cs="Arial"/>
          <w:noProof/>
          <w:sz w:val="22"/>
          <w:lang w:val="en-US"/>
        </w:rPr>
      </w:pPr>
      <w:r w:rsidRPr="00724319">
        <w:rPr>
          <w:rFonts w:eastAsia="Aptos" w:cs="Arial"/>
          <w:noProof/>
          <w:sz w:val="22"/>
          <w:lang w:val="en-US"/>
        </w:rPr>
        <w:tab/>
      </w:r>
    </w:p>
    <w:p w14:paraId="1EDBB79B" w14:textId="34B4F738" w:rsidR="00724319" w:rsidRPr="00724319" w:rsidRDefault="00724319" w:rsidP="00724319">
      <w:pPr>
        <w:spacing w:before="0" w:after="160"/>
        <w:ind w:left="720" w:hanging="720"/>
        <w:rPr>
          <w:rFonts w:eastAsia="Aptos" w:cs="Arial"/>
          <w:noProof/>
          <w:sz w:val="22"/>
          <w:lang w:val="en-US"/>
        </w:rPr>
      </w:pPr>
      <w:r w:rsidRPr="00724319">
        <w:rPr>
          <w:rFonts w:eastAsia="Aptos" w:cs="Arial"/>
          <w:noProof/>
          <w:sz w:val="22"/>
          <w:lang w:val="en-US"/>
        </w:rPr>
        <w:t xml:space="preserve">Cooke, G., &amp; Muir, R. (2012). </w:t>
      </w:r>
      <w:r w:rsidRPr="00724319">
        <w:rPr>
          <w:rFonts w:eastAsia="Aptos" w:cs="Arial"/>
          <w:i/>
          <w:noProof/>
          <w:sz w:val="22"/>
          <w:lang w:val="en-US"/>
        </w:rPr>
        <w:t>The relational state: How recognising the importance of human relationships could revolutionise the role of the state</w:t>
      </w:r>
      <w:r w:rsidRPr="00724319">
        <w:rPr>
          <w:rFonts w:eastAsia="Aptos" w:cs="Arial"/>
          <w:noProof/>
          <w:sz w:val="22"/>
          <w:lang w:val="en-US"/>
        </w:rPr>
        <w:t xml:space="preserve">. London, UK: Institute for Public Policy Research. Retrieved 6 September, 2024 from </w:t>
      </w:r>
      <w:hyperlink r:id="rId164" w:history="1">
        <w:r w:rsidR="004C6996" w:rsidRPr="00326476">
          <w:rPr>
            <w:rStyle w:val="Hyperlink"/>
            <w:rFonts w:eastAsia="Aptos" w:cs="Arial"/>
            <w:noProof/>
            <w:sz w:val="22"/>
            <w:lang w:val="en-US"/>
          </w:rPr>
          <w:t>https://www.ippr.org/articles/the-relational-state-how-recognising-the-importance-of-human-relationships-could-revolutionise-the-role-of-the-state</w:t>
        </w:r>
      </w:hyperlink>
      <w:r w:rsidR="004C6996">
        <w:rPr>
          <w:rFonts w:eastAsia="Aptos" w:cs="Arial"/>
          <w:noProof/>
          <w:sz w:val="22"/>
          <w:lang w:val="en-US"/>
        </w:rPr>
        <w:t xml:space="preserve"> </w:t>
      </w:r>
    </w:p>
    <w:p w14:paraId="6E1F6DF4" w14:textId="77777777" w:rsidR="00724319" w:rsidRPr="00724319" w:rsidRDefault="00724319" w:rsidP="00724319">
      <w:pPr>
        <w:spacing w:before="0" w:after="0"/>
        <w:ind w:left="720" w:hanging="720"/>
        <w:rPr>
          <w:rFonts w:eastAsia="Aptos" w:cs="Arial"/>
          <w:noProof/>
          <w:sz w:val="22"/>
          <w:lang w:val="en-US"/>
        </w:rPr>
      </w:pPr>
      <w:r w:rsidRPr="00724319">
        <w:rPr>
          <w:rFonts w:eastAsia="Aptos" w:cs="Arial"/>
          <w:noProof/>
          <w:sz w:val="22"/>
          <w:lang w:val="en-US"/>
        </w:rPr>
        <w:tab/>
      </w:r>
    </w:p>
    <w:p w14:paraId="46CA0FC5" w14:textId="0F97C209" w:rsidR="00724319" w:rsidRDefault="00724319" w:rsidP="00724319">
      <w:pPr>
        <w:spacing w:before="0" w:after="160"/>
        <w:ind w:left="720" w:hanging="720"/>
        <w:rPr>
          <w:rFonts w:eastAsia="Aptos" w:cs="Arial"/>
          <w:noProof/>
          <w:sz w:val="22"/>
          <w:lang w:val="en-US"/>
        </w:rPr>
      </w:pPr>
      <w:r w:rsidRPr="00724319">
        <w:rPr>
          <w:rFonts w:eastAsia="Aptos" w:cs="Arial"/>
          <w:noProof/>
          <w:sz w:val="22"/>
          <w:lang w:val="en-US"/>
        </w:rPr>
        <w:t xml:space="preserve">Cooper, K., &amp; Stewart, K. (2017). </w:t>
      </w:r>
      <w:r w:rsidRPr="00724319">
        <w:rPr>
          <w:rFonts w:eastAsia="Aptos" w:cs="Arial"/>
          <w:i/>
          <w:noProof/>
          <w:sz w:val="22"/>
          <w:lang w:val="en-US"/>
        </w:rPr>
        <w:t>Does money affect children’s outcomes? An update</w:t>
      </w:r>
      <w:r w:rsidRPr="00724319">
        <w:rPr>
          <w:rFonts w:eastAsia="Aptos" w:cs="Arial"/>
          <w:noProof/>
          <w:sz w:val="22"/>
          <w:lang w:val="en-US"/>
        </w:rPr>
        <w:t xml:space="preserve">. London, UK: Centre for Analysis of Social Exclusion, London School of Economics. </w:t>
      </w:r>
      <w:hyperlink r:id="rId165" w:history="1">
        <w:r w:rsidR="004C6996" w:rsidRPr="00326476">
          <w:rPr>
            <w:rStyle w:val="Hyperlink"/>
            <w:rFonts w:eastAsia="Aptos" w:cs="Arial"/>
            <w:noProof/>
            <w:sz w:val="22"/>
            <w:lang w:val="en-US"/>
          </w:rPr>
          <w:t>http://sticerd.lse.ac.uk/dps/case/cp/casepaper203.pdf</w:t>
        </w:r>
      </w:hyperlink>
      <w:r w:rsidR="004C6996">
        <w:rPr>
          <w:rFonts w:eastAsia="Aptos" w:cs="Arial"/>
          <w:noProof/>
          <w:sz w:val="22"/>
          <w:lang w:val="en-US"/>
        </w:rPr>
        <w:t xml:space="preserve"> </w:t>
      </w:r>
    </w:p>
    <w:p w14:paraId="062653EC" w14:textId="77777777" w:rsidR="00E54CC3" w:rsidRPr="00724319" w:rsidRDefault="00E54CC3" w:rsidP="00724319">
      <w:pPr>
        <w:spacing w:before="0" w:after="160"/>
        <w:ind w:left="720" w:hanging="720"/>
        <w:rPr>
          <w:rFonts w:eastAsia="Aptos" w:cs="Arial"/>
          <w:noProof/>
          <w:sz w:val="22"/>
          <w:lang w:val="en-US"/>
        </w:rPr>
      </w:pPr>
    </w:p>
    <w:p w14:paraId="4CAFC2AA" w14:textId="0A6C9BD2" w:rsidR="00405BA5" w:rsidRPr="00405BA5" w:rsidRDefault="00405BA5" w:rsidP="00405BA5">
      <w:pPr>
        <w:spacing w:before="0" w:after="160"/>
        <w:ind w:left="720" w:hanging="720"/>
        <w:rPr>
          <w:rFonts w:eastAsia="Aptos" w:cs="Arial"/>
          <w:noProof/>
          <w:sz w:val="22"/>
          <w:lang w:val="en-US"/>
        </w:rPr>
      </w:pPr>
      <w:r w:rsidRPr="00405BA5">
        <w:rPr>
          <w:rFonts w:eastAsia="Aptos" w:cs="Arial"/>
          <w:noProof/>
          <w:sz w:val="22"/>
          <w:lang w:val="en-US"/>
        </w:rPr>
        <w:t xml:space="preserve">Corman, M. K. (2009). The positives of caregiving: Mothers’ experiences caregiving for a child with autism. </w:t>
      </w:r>
      <w:r w:rsidRPr="00405BA5">
        <w:rPr>
          <w:rFonts w:eastAsia="Aptos" w:cs="Arial"/>
          <w:i/>
          <w:noProof/>
          <w:sz w:val="22"/>
          <w:lang w:val="en-US"/>
        </w:rPr>
        <w:t>Families in Society</w:t>
      </w:r>
      <w:r w:rsidRPr="00405BA5">
        <w:rPr>
          <w:rFonts w:eastAsia="Aptos" w:cs="Arial"/>
          <w:noProof/>
          <w:sz w:val="22"/>
          <w:lang w:val="en-US"/>
        </w:rPr>
        <w:t>,</w:t>
      </w:r>
      <w:r w:rsidRPr="00405BA5">
        <w:rPr>
          <w:rFonts w:eastAsia="Aptos" w:cs="Arial"/>
          <w:i/>
          <w:noProof/>
          <w:sz w:val="22"/>
          <w:lang w:val="en-US"/>
        </w:rPr>
        <w:t xml:space="preserve"> 90</w:t>
      </w:r>
      <w:r w:rsidRPr="00405BA5">
        <w:rPr>
          <w:rFonts w:eastAsia="Aptos" w:cs="Arial"/>
          <w:noProof/>
          <w:sz w:val="22"/>
          <w:lang w:val="en-US"/>
        </w:rPr>
        <w:t xml:space="preserve">(4), 439-445. </w:t>
      </w:r>
      <w:hyperlink r:id="rId166" w:history="1">
        <w:r w:rsidR="004C6996" w:rsidRPr="00326476">
          <w:rPr>
            <w:rStyle w:val="Hyperlink"/>
            <w:rFonts w:eastAsia="Aptos" w:cs="Arial"/>
            <w:noProof/>
            <w:sz w:val="22"/>
            <w:lang w:val="en-US"/>
          </w:rPr>
          <w:t>https://doi.org/10.1606/1044-3894.3923</w:t>
        </w:r>
      </w:hyperlink>
      <w:r w:rsidR="004C6996">
        <w:rPr>
          <w:rFonts w:eastAsia="Aptos" w:cs="Arial"/>
          <w:noProof/>
          <w:sz w:val="22"/>
          <w:lang w:val="en-US"/>
        </w:rPr>
        <w:t xml:space="preserve"> </w:t>
      </w:r>
    </w:p>
    <w:p w14:paraId="0DCBCA4E" w14:textId="77777777" w:rsidR="00405BA5" w:rsidRPr="00405BA5" w:rsidRDefault="00405BA5" w:rsidP="00405BA5">
      <w:pPr>
        <w:spacing w:before="0" w:after="0"/>
        <w:ind w:left="720" w:hanging="720"/>
        <w:rPr>
          <w:rFonts w:eastAsia="Aptos" w:cs="Arial"/>
          <w:noProof/>
          <w:sz w:val="22"/>
          <w:lang w:val="en-US"/>
        </w:rPr>
      </w:pPr>
      <w:r w:rsidRPr="00405BA5">
        <w:rPr>
          <w:rFonts w:eastAsia="Aptos" w:cs="Arial"/>
          <w:noProof/>
          <w:sz w:val="22"/>
          <w:lang w:val="en-US"/>
        </w:rPr>
        <w:tab/>
      </w:r>
    </w:p>
    <w:p w14:paraId="5E1CBDF1" w14:textId="7ABA67FB" w:rsidR="00405BA5" w:rsidRPr="00405BA5" w:rsidRDefault="00405BA5" w:rsidP="00405BA5">
      <w:pPr>
        <w:spacing w:before="0" w:after="160"/>
        <w:ind w:left="720" w:hanging="720"/>
        <w:rPr>
          <w:rFonts w:eastAsia="Aptos" w:cs="Arial"/>
          <w:noProof/>
          <w:sz w:val="22"/>
          <w:lang w:val="en-US"/>
        </w:rPr>
      </w:pPr>
      <w:r w:rsidRPr="00405BA5">
        <w:rPr>
          <w:rFonts w:eastAsia="Aptos" w:cs="Arial"/>
          <w:noProof/>
          <w:sz w:val="22"/>
          <w:lang w:val="en-US"/>
        </w:rPr>
        <w:t xml:space="preserve">Corr, C., Santos, R. M., &amp; Fowler, S. A. (2015). The components of early intervention services for families living in poverty: A review of the literature. </w:t>
      </w:r>
      <w:r w:rsidRPr="00405BA5">
        <w:rPr>
          <w:rFonts w:eastAsia="Aptos" w:cs="Arial"/>
          <w:i/>
          <w:noProof/>
          <w:sz w:val="22"/>
          <w:lang w:val="en-US"/>
        </w:rPr>
        <w:t>Topics in Early Childhood Special Education</w:t>
      </w:r>
      <w:r w:rsidRPr="00405BA5">
        <w:rPr>
          <w:rFonts w:eastAsia="Aptos" w:cs="Arial"/>
          <w:noProof/>
          <w:sz w:val="22"/>
          <w:lang w:val="en-US"/>
        </w:rPr>
        <w:t>,</w:t>
      </w:r>
      <w:r w:rsidRPr="00405BA5">
        <w:rPr>
          <w:rFonts w:eastAsia="Aptos" w:cs="Arial"/>
          <w:i/>
          <w:noProof/>
          <w:sz w:val="22"/>
          <w:lang w:val="en-US"/>
        </w:rPr>
        <w:t xml:space="preserve"> 36</w:t>
      </w:r>
      <w:r w:rsidRPr="00405BA5">
        <w:rPr>
          <w:rFonts w:eastAsia="Aptos" w:cs="Arial"/>
          <w:noProof/>
          <w:sz w:val="22"/>
          <w:lang w:val="en-US"/>
        </w:rPr>
        <w:t xml:space="preserve">(1), 55-64. </w:t>
      </w:r>
      <w:hyperlink r:id="rId167" w:history="1">
        <w:r w:rsidR="004C6996" w:rsidRPr="00326476">
          <w:rPr>
            <w:rStyle w:val="Hyperlink"/>
            <w:rFonts w:eastAsia="Aptos" w:cs="Arial"/>
            <w:noProof/>
            <w:sz w:val="22"/>
            <w:lang w:val="en-US"/>
          </w:rPr>
          <w:t>https://doi.org/10.1177/0271121415595551</w:t>
        </w:r>
      </w:hyperlink>
      <w:r w:rsidR="004C6996">
        <w:rPr>
          <w:rFonts w:eastAsia="Aptos" w:cs="Arial"/>
          <w:noProof/>
          <w:sz w:val="22"/>
          <w:lang w:val="en-US"/>
        </w:rPr>
        <w:t xml:space="preserve"> </w:t>
      </w:r>
      <w:r w:rsidRPr="00405BA5">
        <w:rPr>
          <w:rFonts w:eastAsia="Aptos" w:cs="Arial"/>
          <w:noProof/>
          <w:sz w:val="22"/>
          <w:lang w:val="en-US"/>
        </w:rPr>
        <w:t xml:space="preserve"> </w:t>
      </w:r>
    </w:p>
    <w:p w14:paraId="0FAFBBD1" w14:textId="77777777" w:rsidR="00405BA5" w:rsidRPr="00405BA5" w:rsidRDefault="00405BA5" w:rsidP="00405BA5">
      <w:pPr>
        <w:spacing w:before="0" w:after="0"/>
        <w:ind w:left="720" w:hanging="720"/>
        <w:rPr>
          <w:rFonts w:eastAsia="Aptos" w:cs="Arial"/>
          <w:noProof/>
          <w:sz w:val="22"/>
          <w:lang w:val="en-US"/>
        </w:rPr>
      </w:pPr>
      <w:r w:rsidRPr="00405BA5">
        <w:rPr>
          <w:rFonts w:eastAsia="Aptos" w:cs="Arial"/>
          <w:noProof/>
          <w:sz w:val="22"/>
          <w:lang w:val="en-US"/>
        </w:rPr>
        <w:tab/>
      </w:r>
    </w:p>
    <w:p w14:paraId="63C4FEAA" w14:textId="77777777" w:rsidR="00405BA5" w:rsidRPr="00405BA5" w:rsidRDefault="00405BA5" w:rsidP="00405BA5">
      <w:pPr>
        <w:spacing w:before="0" w:after="160"/>
        <w:ind w:left="720" w:hanging="720"/>
        <w:rPr>
          <w:rFonts w:eastAsia="Aptos" w:cs="Arial"/>
          <w:noProof/>
          <w:sz w:val="22"/>
          <w:lang w:val="en-US"/>
        </w:rPr>
      </w:pPr>
      <w:r w:rsidRPr="00405BA5">
        <w:rPr>
          <w:rFonts w:eastAsia="Aptos" w:cs="Arial"/>
          <w:noProof/>
          <w:sz w:val="22"/>
          <w:lang w:val="en-US"/>
        </w:rPr>
        <w:t xml:space="preserve">Cottam, H. (2018). </w:t>
      </w:r>
      <w:r w:rsidRPr="00405BA5">
        <w:rPr>
          <w:rFonts w:eastAsia="Aptos" w:cs="Arial"/>
          <w:i/>
          <w:noProof/>
          <w:sz w:val="22"/>
          <w:lang w:val="en-US"/>
        </w:rPr>
        <w:t>Radical help: How we can remake the relationships between us and revolutionise the welfare state</w:t>
      </w:r>
      <w:r w:rsidRPr="00405BA5">
        <w:rPr>
          <w:rFonts w:eastAsia="Aptos" w:cs="Arial"/>
          <w:noProof/>
          <w:sz w:val="22"/>
          <w:lang w:val="en-US"/>
        </w:rPr>
        <w:t xml:space="preserve">. London, UK: Virago. </w:t>
      </w:r>
    </w:p>
    <w:p w14:paraId="176AB360" w14:textId="77777777" w:rsidR="00405BA5" w:rsidRPr="00405BA5" w:rsidRDefault="00405BA5" w:rsidP="00405BA5">
      <w:pPr>
        <w:spacing w:before="0" w:after="0"/>
        <w:ind w:left="720" w:hanging="720"/>
        <w:rPr>
          <w:rFonts w:eastAsia="Aptos" w:cs="Arial"/>
          <w:noProof/>
          <w:sz w:val="22"/>
          <w:lang w:val="en-US"/>
        </w:rPr>
      </w:pPr>
      <w:r w:rsidRPr="00405BA5">
        <w:rPr>
          <w:rFonts w:eastAsia="Aptos" w:cs="Arial"/>
          <w:noProof/>
          <w:sz w:val="22"/>
          <w:lang w:val="en-US"/>
        </w:rPr>
        <w:tab/>
      </w:r>
    </w:p>
    <w:p w14:paraId="737027C3" w14:textId="29DAE2F1" w:rsidR="00405BA5" w:rsidRPr="00405BA5" w:rsidRDefault="00405BA5" w:rsidP="00405BA5">
      <w:pPr>
        <w:spacing w:before="0" w:after="160"/>
        <w:ind w:left="720" w:hanging="720"/>
        <w:rPr>
          <w:rFonts w:eastAsia="Aptos" w:cs="Arial"/>
          <w:noProof/>
          <w:sz w:val="22"/>
          <w:lang w:val="en-US"/>
        </w:rPr>
      </w:pPr>
      <w:r w:rsidRPr="00405BA5">
        <w:rPr>
          <w:rFonts w:eastAsia="Aptos" w:cs="Arial"/>
          <w:noProof/>
          <w:sz w:val="22"/>
          <w:lang w:val="en-US"/>
        </w:rPr>
        <w:t xml:space="preserve">Courchesne, E., Gazestani, V. H., &amp; Lewis, N. E. (2020). Prenatal origins of ASD: the when, what, and how of ASD development. </w:t>
      </w:r>
      <w:r w:rsidRPr="00405BA5">
        <w:rPr>
          <w:rFonts w:eastAsia="Aptos" w:cs="Arial"/>
          <w:i/>
          <w:noProof/>
          <w:sz w:val="22"/>
          <w:lang w:val="en-US"/>
        </w:rPr>
        <w:t>Trends in neurosciences</w:t>
      </w:r>
      <w:r w:rsidRPr="00405BA5">
        <w:rPr>
          <w:rFonts w:eastAsia="Aptos" w:cs="Arial"/>
          <w:noProof/>
          <w:sz w:val="22"/>
          <w:lang w:val="en-US"/>
        </w:rPr>
        <w:t>,</w:t>
      </w:r>
      <w:r w:rsidRPr="00405BA5">
        <w:rPr>
          <w:rFonts w:eastAsia="Aptos" w:cs="Arial"/>
          <w:i/>
          <w:noProof/>
          <w:sz w:val="22"/>
          <w:lang w:val="en-US"/>
        </w:rPr>
        <w:t xml:space="preserve"> 43</w:t>
      </w:r>
      <w:r w:rsidRPr="00405BA5">
        <w:rPr>
          <w:rFonts w:eastAsia="Aptos" w:cs="Arial"/>
          <w:noProof/>
          <w:sz w:val="22"/>
          <w:lang w:val="en-US"/>
        </w:rPr>
        <w:t xml:space="preserve">(5), 326-342. </w:t>
      </w:r>
      <w:hyperlink r:id="rId168" w:history="1">
        <w:r w:rsidR="004C6996" w:rsidRPr="00326476">
          <w:rPr>
            <w:rStyle w:val="Hyperlink"/>
            <w:rFonts w:eastAsia="Aptos" w:cs="Arial"/>
            <w:noProof/>
            <w:sz w:val="22"/>
            <w:lang w:val="en-US"/>
          </w:rPr>
          <w:t>https://doi.org/10.1016/j.tins.2020.03.005</w:t>
        </w:r>
      </w:hyperlink>
      <w:r w:rsidRPr="00405BA5">
        <w:rPr>
          <w:rFonts w:eastAsia="Aptos" w:cs="Arial"/>
          <w:noProof/>
          <w:sz w:val="22"/>
          <w:lang w:val="en-US"/>
        </w:rPr>
        <w:t xml:space="preserve"> </w:t>
      </w:r>
    </w:p>
    <w:p w14:paraId="2435791C" w14:textId="77777777" w:rsidR="0056189F" w:rsidRPr="0056189F" w:rsidRDefault="0056189F" w:rsidP="0056189F">
      <w:pPr>
        <w:spacing w:before="0" w:after="160"/>
        <w:ind w:left="720" w:hanging="720"/>
        <w:rPr>
          <w:rFonts w:eastAsia="Aptos" w:cs="Arial"/>
          <w:noProof/>
          <w:sz w:val="22"/>
          <w:lang w:val="en-US"/>
        </w:rPr>
      </w:pPr>
      <w:r w:rsidRPr="0056189F">
        <w:rPr>
          <w:rFonts w:eastAsia="Aptos" w:cs="Arial"/>
          <w:noProof/>
          <w:sz w:val="22"/>
          <w:lang w:val="en-US"/>
        </w:rPr>
        <w:t xml:space="preserve">Cozolino, L. (2010). </w:t>
      </w:r>
      <w:r w:rsidRPr="0056189F">
        <w:rPr>
          <w:rFonts w:eastAsia="Aptos" w:cs="Arial"/>
          <w:i/>
          <w:noProof/>
          <w:sz w:val="22"/>
          <w:lang w:val="en-US"/>
        </w:rPr>
        <w:t>The neuroscience of psychotherapy: Healing the social brain</w:t>
      </w:r>
      <w:r w:rsidRPr="0056189F">
        <w:rPr>
          <w:rFonts w:eastAsia="Aptos" w:cs="Arial"/>
          <w:noProof/>
          <w:sz w:val="22"/>
          <w:lang w:val="en-US"/>
        </w:rPr>
        <w:t xml:space="preserve"> (2nd ed.). New York: W.W. Norton. </w:t>
      </w:r>
    </w:p>
    <w:p w14:paraId="3273F792" w14:textId="77777777" w:rsidR="0056189F" w:rsidRPr="0056189F" w:rsidRDefault="0056189F" w:rsidP="0056189F">
      <w:pPr>
        <w:spacing w:before="0" w:after="0"/>
        <w:ind w:left="720" w:hanging="720"/>
        <w:rPr>
          <w:rFonts w:eastAsia="Aptos" w:cs="Arial"/>
          <w:noProof/>
          <w:sz w:val="22"/>
          <w:lang w:val="en-US"/>
        </w:rPr>
      </w:pPr>
      <w:r w:rsidRPr="0056189F">
        <w:rPr>
          <w:rFonts w:eastAsia="Aptos" w:cs="Arial"/>
          <w:noProof/>
          <w:sz w:val="22"/>
          <w:lang w:val="en-US"/>
        </w:rPr>
        <w:tab/>
      </w:r>
    </w:p>
    <w:p w14:paraId="25ED720F" w14:textId="77777777" w:rsidR="0056189F" w:rsidRPr="0056189F" w:rsidRDefault="0056189F" w:rsidP="0056189F">
      <w:pPr>
        <w:spacing w:before="0" w:after="160"/>
        <w:ind w:left="720" w:hanging="720"/>
        <w:rPr>
          <w:rFonts w:eastAsia="Aptos" w:cs="Arial"/>
          <w:noProof/>
          <w:sz w:val="22"/>
          <w:lang w:val="en-US"/>
        </w:rPr>
      </w:pPr>
      <w:r w:rsidRPr="0056189F">
        <w:rPr>
          <w:rFonts w:eastAsia="Aptos" w:cs="Arial"/>
          <w:noProof/>
          <w:sz w:val="22"/>
          <w:lang w:val="en-US"/>
        </w:rPr>
        <w:t xml:space="preserve">Cozolino, L. J. (2014). </w:t>
      </w:r>
      <w:r w:rsidRPr="0056189F">
        <w:rPr>
          <w:rFonts w:eastAsia="Aptos" w:cs="Arial"/>
          <w:i/>
          <w:noProof/>
          <w:sz w:val="22"/>
          <w:lang w:val="en-US"/>
        </w:rPr>
        <w:t>The Neuroscience of Human Relationships 2e: Attachment And The Developing Social Brain</w:t>
      </w:r>
      <w:r w:rsidRPr="0056189F">
        <w:rPr>
          <w:rFonts w:eastAsia="Aptos" w:cs="Arial"/>
          <w:noProof/>
          <w:sz w:val="22"/>
          <w:lang w:val="en-US"/>
        </w:rPr>
        <w:t xml:space="preserve">. WW Norton &amp; Company. </w:t>
      </w:r>
    </w:p>
    <w:p w14:paraId="213D7102" w14:textId="77777777" w:rsidR="0056189F" w:rsidRPr="0056189F" w:rsidRDefault="0056189F" w:rsidP="0056189F">
      <w:pPr>
        <w:spacing w:before="0" w:after="0"/>
        <w:ind w:left="720" w:hanging="720"/>
        <w:rPr>
          <w:rFonts w:eastAsia="Aptos" w:cs="Arial"/>
          <w:noProof/>
          <w:sz w:val="22"/>
          <w:lang w:val="en-US"/>
        </w:rPr>
      </w:pPr>
      <w:r w:rsidRPr="0056189F">
        <w:rPr>
          <w:rFonts w:eastAsia="Aptos" w:cs="Arial"/>
          <w:noProof/>
          <w:sz w:val="22"/>
          <w:lang w:val="en-US"/>
        </w:rPr>
        <w:tab/>
      </w:r>
    </w:p>
    <w:p w14:paraId="4D251F1C" w14:textId="446C4F9E" w:rsidR="0056189F" w:rsidRPr="0056189F" w:rsidRDefault="0056189F" w:rsidP="0056189F">
      <w:pPr>
        <w:spacing w:before="0" w:after="160"/>
        <w:ind w:left="720" w:hanging="720"/>
        <w:rPr>
          <w:rFonts w:eastAsia="Aptos" w:cs="Arial"/>
          <w:noProof/>
          <w:sz w:val="22"/>
          <w:lang w:val="en-US"/>
        </w:rPr>
      </w:pPr>
      <w:r w:rsidRPr="0056189F">
        <w:rPr>
          <w:rFonts w:eastAsia="Aptos" w:cs="Arial"/>
          <w:noProof/>
          <w:sz w:val="22"/>
          <w:lang w:val="en-US"/>
        </w:rPr>
        <w:t xml:space="preserve">Crosby, N. (2010). </w:t>
      </w:r>
      <w:r w:rsidRPr="0056189F">
        <w:rPr>
          <w:rFonts w:eastAsia="Aptos" w:cs="Arial"/>
          <w:i/>
          <w:noProof/>
          <w:sz w:val="22"/>
          <w:lang w:val="en-US"/>
        </w:rPr>
        <w:t>Personalisation: Children, young people and families</w:t>
      </w:r>
      <w:r w:rsidRPr="0056189F">
        <w:rPr>
          <w:rFonts w:eastAsia="Aptos" w:cs="Arial"/>
          <w:noProof/>
          <w:sz w:val="22"/>
          <w:lang w:val="en-US"/>
        </w:rPr>
        <w:t xml:space="preserve">. Wythall: In Control. Retrieved 6 September, 2024 from </w:t>
      </w:r>
      <w:hyperlink r:id="rId169" w:history="1">
        <w:r w:rsidR="004C6996" w:rsidRPr="00326476">
          <w:rPr>
            <w:rStyle w:val="Hyperlink"/>
            <w:rFonts w:eastAsia="Aptos" w:cs="Arial"/>
            <w:noProof/>
            <w:sz w:val="22"/>
            <w:lang w:val="en-US"/>
          </w:rPr>
          <w:t>http://www.in-control.org.uk/media/15332/children%20briefing%20paper%201.pdf</w:t>
        </w:r>
      </w:hyperlink>
      <w:r w:rsidR="004C6996">
        <w:rPr>
          <w:rFonts w:eastAsia="Aptos" w:cs="Arial"/>
          <w:noProof/>
          <w:sz w:val="22"/>
          <w:lang w:val="en-US"/>
        </w:rPr>
        <w:t xml:space="preserve"> </w:t>
      </w:r>
    </w:p>
    <w:p w14:paraId="242756A8" w14:textId="77777777" w:rsidR="0056189F" w:rsidRPr="0056189F" w:rsidRDefault="0056189F" w:rsidP="0056189F">
      <w:pPr>
        <w:spacing w:before="0" w:after="0"/>
        <w:ind w:left="720" w:hanging="720"/>
        <w:rPr>
          <w:rFonts w:eastAsia="Aptos" w:cs="Arial"/>
          <w:noProof/>
          <w:sz w:val="22"/>
          <w:lang w:val="en-US"/>
        </w:rPr>
      </w:pPr>
      <w:r w:rsidRPr="0056189F">
        <w:rPr>
          <w:rFonts w:eastAsia="Aptos" w:cs="Arial"/>
          <w:noProof/>
          <w:sz w:val="22"/>
          <w:lang w:val="en-US"/>
        </w:rPr>
        <w:tab/>
      </w:r>
    </w:p>
    <w:p w14:paraId="14342A93" w14:textId="56BDE167" w:rsidR="0056189F" w:rsidRDefault="0056189F" w:rsidP="0056189F">
      <w:pPr>
        <w:spacing w:before="0" w:after="160"/>
        <w:ind w:left="720" w:hanging="720"/>
        <w:rPr>
          <w:rFonts w:eastAsia="Aptos" w:cs="Arial"/>
          <w:noProof/>
          <w:sz w:val="22"/>
          <w:lang w:val="en-US"/>
        </w:rPr>
      </w:pPr>
      <w:r w:rsidRPr="0056189F">
        <w:rPr>
          <w:rFonts w:eastAsia="Aptos" w:cs="Arial"/>
          <w:noProof/>
          <w:sz w:val="22"/>
          <w:lang w:val="en-US"/>
        </w:rPr>
        <w:t xml:space="preserve">Crosby, N., Kelly, G., Lazarus, C., Macintyre, L., &amp; Sibthorp, K. (2012). </w:t>
      </w:r>
      <w:r w:rsidRPr="0056189F">
        <w:rPr>
          <w:rFonts w:eastAsia="Aptos" w:cs="Arial"/>
          <w:i/>
          <w:noProof/>
          <w:sz w:val="22"/>
          <w:lang w:val="en-US"/>
        </w:rPr>
        <w:t>Building a new relationship with children, young people and families</w:t>
      </w:r>
      <w:r w:rsidRPr="0056189F">
        <w:rPr>
          <w:rFonts w:eastAsia="Aptos" w:cs="Arial"/>
          <w:noProof/>
          <w:sz w:val="22"/>
          <w:lang w:val="en-US"/>
        </w:rPr>
        <w:t xml:space="preserve">. Wythall, West Midlands: In Control. Retrieved 6 September, 2024 from </w:t>
      </w:r>
      <w:hyperlink r:id="rId170" w:history="1">
        <w:r w:rsidR="00112FF0" w:rsidRPr="00326476">
          <w:rPr>
            <w:rStyle w:val="Hyperlink"/>
            <w:rFonts w:eastAsia="Aptos" w:cs="Arial"/>
            <w:noProof/>
            <w:sz w:val="22"/>
            <w:lang w:val="en-US"/>
          </w:rPr>
          <w:t>http://www.in-control.org.uk/media/120711/building%20a%20new%20relationship%20final.pdf</w:t>
        </w:r>
      </w:hyperlink>
    </w:p>
    <w:p w14:paraId="5FDD9EE8" w14:textId="77777777" w:rsidR="00112FF0" w:rsidRPr="0056189F" w:rsidRDefault="00112FF0" w:rsidP="0056189F">
      <w:pPr>
        <w:spacing w:before="0" w:after="160"/>
        <w:ind w:left="720" w:hanging="720"/>
        <w:rPr>
          <w:rFonts w:eastAsia="Aptos" w:cs="Arial"/>
          <w:noProof/>
          <w:sz w:val="22"/>
          <w:lang w:val="en-US"/>
        </w:rPr>
      </w:pPr>
    </w:p>
    <w:p w14:paraId="6FED6CAE" w14:textId="09AA0F93" w:rsidR="00CF0234" w:rsidRDefault="00CF0234" w:rsidP="00CF0234">
      <w:pPr>
        <w:spacing w:before="0" w:after="160"/>
        <w:ind w:left="720" w:hanging="720"/>
        <w:rPr>
          <w:rFonts w:eastAsia="Aptos" w:cs="Arial"/>
          <w:noProof/>
          <w:sz w:val="22"/>
          <w:lang w:val="en-US"/>
        </w:rPr>
      </w:pPr>
      <w:r w:rsidRPr="00CF0234">
        <w:rPr>
          <w:rFonts w:eastAsia="Aptos" w:cs="Arial"/>
          <w:noProof/>
          <w:sz w:val="22"/>
          <w:lang w:val="en-US"/>
        </w:rPr>
        <w:t xml:space="preserve">Crosby, N., Wilson, S., &amp; Miller, D. (2015). </w:t>
      </w:r>
      <w:r w:rsidRPr="00CF0234">
        <w:rPr>
          <w:rFonts w:eastAsia="Aptos" w:cs="Arial"/>
          <w:i/>
          <w:noProof/>
          <w:sz w:val="22"/>
          <w:lang w:val="en-US"/>
        </w:rPr>
        <w:t>A guide to safeguarding, managing risk and personal budgets: Supporting the work to implement personal budgets as part of the special educational needs and disability (SEND) reforms.</w:t>
      </w:r>
      <w:r w:rsidRPr="00CF0234">
        <w:rPr>
          <w:rFonts w:eastAsia="Aptos" w:cs="Arial"/>
          <w:noProof/>
          <w:sz w:val="22"/>
          <w:lang w:val="en-US"/>
        </w:rPr>
        <w:t xml:space="preserve"> London, UK: NSPCC (National Society for the Prevention of Cruelty to Children). Retrieved 6 September, 2024 from </w:t>
      </w:r>
      <w:hyperlink r:id="rId171" w:history="1">
        <w:r w:rsidR="00112FF0" w:rsidRPr="00326476">
          <w:rPr>
            <w:rStyle w:val="Hyperlink"/>
            <w:rFonts w:eastAsia="Aptos" w:cs="Arial"/>
            <w:noProof/>
            <w:sz w:val="22"/>
            <w:lang w:val="en-US"/>
          </w:rPr>
          <w:t>https://councilfordisabledchildren.org.uk/sites/default/files/uploads/files/nspcc-guide-safeguarding-managing-risk-personal-budgets.pdf</w:t>
        </w:r>
      </w:hyperlink>
    </w:p>
    <w:p w14:paraId="21CABC76" w14:textId="77777777" w:rsidR="00112FF0" w:rsidRPr="00CF0234" w:rsidRDefault="00112FF0" w:rsidP="00CF0234">
      <w:pPr>
        <w:spacing w:before="0" w:after="160"/>
        <w:ind w:left="720" w:hanging="720"/>
        <w:rPr>
          <w:rFonts w:eastAsia="Aptos" w:cs="Arial"/>
          <w:noProof/>
          <w:sz w:val="22"/>
          <w:lang w:val="en-US"/>
        </w:rPr>
      </w:pPr>
    </w:p>
    <w:p w14:paraId="6FD66D26" w14:textId="1AF5E834" w:rsidR="004419AB" w:rsidRPr="004419AB" w:rsidRDefault="004419AB" w:rsidP="004419AB">
      <w:pPr>
        <w:spacing w:before="0" w:after="160"/>
        <w:ind w:left="720" w:hanging="720"/>
        <w:rPr>
          <w:rFonts w:eastAsia="Aptos" w:cs="Arial"/>
          <w:noProof/>
          <w:sz w:val="22"/>
          <w:lang w:val="en-US"/>
        </w:rPr>
      </w:pPr>
      <w:r w:rsidRPr="004419AB">
        <w:rPr>
          <w:rFonts w:eastAsia="Aptos" w:cs="Arial"/>
          <w:noProof/>
          <w:sz w:val="22"/>
          <w:lang w:val="en-US"/>
        </w:rPr>
        <w:t xml:space="preserve">Curley, J. P., &amp; Champagne, F. A. (2016). Influence of maternal care on the developing brain: Mechanisms, temporal dynamics and sensitive periods. </w:t>
      </w:r>
      <w:r w:rsidRPr="004419AB">
        <w:rPr>
          <w:rFonts w:eastAsia="Aptos" w:cs="Arial"/>
          <w:i/>
          <w:noProof/>
          <w:sz w:val="22"/>
          <w:lang w:val="en-US"/>
        </w:rPr>
        <w:t>Frontiers in neuroendocrinology</w:t>
      </w:r>
      <w:r w:rsidRPr="004419AB">
        <w:rPr>
          <w:rFonts w:eastAsia="Aptos" w:cs="Arial"/>
          <w:noProof/>
          <w:sz w:val="22"/>
          <w:lang w:val="en-US"/>
        </w:rPr>
        <w:t>,</w:t>
      </w:r>
      <w:r w:rsidRPr="004419AB">
        <w:rPr>
          <w:rFonts w:eastAsia="Aptos" w:cs="Arial"/>
          <w:i/>
          <w:noProof/>
          <w:sz w:val="22"/>
          <w:lang w:val="en-US"/>
        </w:rPr>
        <w:t xml:space="preserve"> 40</w:t>
      </w:r>
      <w:r w:rsidRPr="004419AB">
        <w:rPr>
          <w:rFonts w:eastAsia="Aptos" w:cs="Arial"/>
          <w:noProof/>
          <w:sz w:val="22"/>
          <w:lang w:val="en-US"/>
        </w:rPr>
        <w:t xml:space="preserve">, 52-66. </w:t>
      </w:r>
      <w:hyperlink r:id="rId172" w:history="1">
        <w:r w:rsidR="004C6996" w:rsidRPr="00326476">
          <w:rPr>
            <w:rStyle w:val="Hyperlink"/>
            <w:rFonts w:eastAsia="Aptos" w:cs="Arial"/>
            <w:noProof/>
            <w:sz w:val="22"/>
            <w:lang w:val="en-US"/>
          </w:rPr>
          <w:t>https://doi.org/10.1016/j.yfrne.2015.11.001</w:t>
        </w:r>
      </w:hyperlink>
      <w:r w:rsidR="004C6996">
        <w:rPr>
          <w:rFonts w:eastAsia="Aptos" w:cs="Arial"/>
          <w:noProof/>
          <w:sz w:val="22"/>
          <w:lang w:val="en-US"/>
        </w:rPr>
        <w:t xml:space="preserve"> </w:t>
      </w:r>
      <w:r w:rsidRPr="004419AB">
        <w:rPr>
          <w:rFonts w:eastAsia="Aptos" w:cs="Arial"/>
          <w:noProof/>
          <w:sz w:val="22"/>
          <w:lang w:val="en-US"/>
        </w:rPr>
        <w:t xml:space="preserve"> </w:t>
      </w:r>
    </w:p>
    <w:p w14:paraId="10264936" w14:textId="77777777" w:rsidR="004419AB" w:rsidRPr="004419AB" w:rsidRDefault="004419AB" w:rsidP="004419AB">
      <w:pPr>
        <w:spacing w:before="0" w:after="0"/>
        <w:ind w:left="720" w:hanging="720"/>
        <w:rPr>
          <w:rFonts w:eastAsia="Aptos" w:cs="Arial"/>
          <w:noProof/>
          <w:sz w:val="22"/>
          <w:lang w:val="en-US"/>
        </w:rPr>
      </w:pPr>
      <w:r w:rsidRPr="004419AB">
        <w:rPr>
          <w:rFonts w:eastAsia="Aptos" w:cs="Arial"/>
          <w:noProof/>
          <w:sz w:val="22"/>
          <w:lang w:val="en-US"/>
        </w:rPr>
        <w:tab/>
      </w:r>
    </w:p>
    <w:p w14:paraId="27D36094" w14:textId="51FA98F2" w:rsidR="004419AB" w:rsidRPr="004419AB" w:rsidRDefault="004419AB" w:rsidP="004419AB">
      <w:pPr>
        <w:spacing w:before="0" w:after="160"/>
        <w:ind w:left="720" w:hanging="720"/>
        <w:rPr>
          <w:rFonts w:eastAsia="Aptos" w:cs="Arial"/>
          <w:noProof/>
          <w:sz w:val="22"/>
          <w:lang w:val="en-US"/>
        </w:rPr>
      </w:pPr>
      <w:r w:rsidRPr="004419AB">
        <w:rPr>
          <w:rFonts w:eastAsia="Aptos" w:cs="Arial"/>
          <w:noProof/>
          <w:sz w:val="22"/>
          <w:lang w:val="en-US"/>
        </w:rPr>
        <w:t xml:space="preserve">Curtis, E., Jones, R., Tipene-Leach, D., Walker, C., Loring, B., Paine, S.-J., &amp; Reid, P. (2019). Why cultural safety rather than cultural competency is required to achieve health equity: a literature review and recommended definition. </w:t>
      </w:r>
      <w:r w:rsidRPr="004419AB">
        <w:rPr>
          <w:rFonts w:eastAsia="Aptos" w:cs="Arial"/>
          <w:i/>
          <w:noProof/>
          <w:sz w:val="22"/>
          <w:lang w:val="en-US"/>
        </w:rPr>
        <w:t>International journal for equity in health</w:t>
      </w:r>
      <w:r w:rsidRPr="004419AB">
        <w:rPr>
          <w:rFonts w:eastAsia="Aptos" w:cs="Arial"/>
          <w:noProof/>
          <w:sz w:val="22"/>
          <w:lang w:val="en-US"/>
        </w:rPr>
        <w:t>,</w:t>
      </w:r>
      <w:r w:rsidRPr="004419AB">
        <w:rPr>
          <w:rFonts w:eastAsia="Aptos" w:cs="Arial"/>
          <w:i/>
          <w:noProof/>
          <w:sz w:val="22"/>
          <w:lang w:val="en-US"/>
        </w:rPr>
        <w:t xml:space="preserve"> 18</w:t>
      </w:r>
      <w:r w:rsidRPr="004419AB">
        <w:rPr>
          <w:rFonts w:eastAsia="Aptos" w:cs="Arial"/>
          <w:noProof/>
          <w:sz w:val="22"/>
          <w:lang w:val="en-US"/>
        </w:rPr>
        <w:t xml:space="preserve">, 1-17. </w:t>
      </w:r>
      <w:hyperlink r:id="rId173" w:history="1">
        <w:r w:rsidR="004C6996" w:rsidRPr="00326476">
          <w:rPr>
            <w:rStyle w:val="Hyperlink"/>
            <w:rFonts w:eastAsia="Aptos" w:cs="Arial"/>
            <w:noProof/>
            <w:sz w:val="22"/>
            <w:lang w:val="en-US"/>
          </w:rPr>
          <w:t>https://doi.org/10.1186/s12939-019-1082-3</w:t>
        </w:r>
      </w:hyperlink>
      <w:r w:rsidR="004C6996">
        <w:rPr>
          <w:rFonts w:eastAsia="Aptos" w:cs="Arial"/>
          <w:noProof/>
          <w:sz w:val="22"/>
          <w:lang w:val="en-US"/>
        </w:rPr>
        <w:t xml:space="preserve"> </w:t>
      </w:r>
      <w:r w:rsidRPr="004419AB">
        <w:rPr>
          <w:rFonts w:eastAsia="Aptos" w:cs="Arial"/>
          <w:noProof/>
          <w:sz w:val="22"/>
          <w:lang w:val="en-US"/>
        </w:rPr>
        <w:t xml:space="preserve"> </w:t>
      </w:r>
    </w:p>
    <w:p w14:paraId="3F1F3EAF" w14:textId="118BD792" w:rsidR="00BC2632" w:rsidRPr="00BC2632" w:rsidRDefault="00BC2632" w:rsidP="00BC2632">
      <w:pPr>
        <w:spacing w:before="0" w:after="160"/>
        <w:ind w:left="720" w:hanging="720"/>
        <w:rPr>
          <w:rFonts w:eastAsia="Aptos" w:cs="Arial"/>
          <w:noProof/>
          <w:sz w:val="22"/>
          <w:lang w:val="en-US"/>
        </w:rPr>
      </w:pPr>
      <w:r w:rsidRPr="00BC2632">
        <w:rPr>
          <w:rFonts w:eastAsia="Aptos" w:cs="Arial"/>
          <w:noProof/>
          <w:sz w:val="22"/>
          <w:lang w:val="en-US"/>
        </w:rPr>
        <w:t xml:space="preserve">Darling, J. C., Bamidis, P. D., Burberry, J., &amp; Rudolf, M. C. (2020). The First Thousand Days: early, integrated and evidence-based approaches to improving child health: coming to a population near you? </w:t>
      </w:r>
      <w:r w:rsidRPr="00BC2632">
        <w:rPr>
          <w:rFonts w:eastAsia="Aptos" w:cs="Arial"/>
          <w:i/>
          <w:noProof/>
          <w:sz w:val="22"/>
          <w:lang w:val="en-US"/>
        </w:rPr>
        <w:t>Archives of disease in childhood</w:t>
      </w:r>
      <w:r w:rsidRPr="00BC2632">
        <w:rPr>
          <w:rFonts w:eastAsia="Aptos" w:cs="Arial"/>
          <w:noProof/>
          <w:sz w:val="22"/>
          <w:lang w:val="en-US"/>
        </w:rPr>
        <w:t>,</w:t>
      </w:r>
      <w:r w:rsidRPr="00BC2632">
        <w:rPr>
          <w:rFonts w:eastAsia="Aptos" w:cs="Arial"/>
          <w:i/>
          <w:noProof/>
          <w:sz w:val="22"/>
          <w:lang w:val="en-US"/>
        </w:rPr>
        <w:t xml:space="preserve"> 105</w:t>
      </w:r>
      <w:r w:rsidRPr="00BC2632">
        <w:rPr>
          <w:rFonts w:eastAsia="Aptos" w:cs="Arial"/>
          <w:noProof/>
          <w:sz w:val="22"/>
          <w:lang w:val="en-US"/>
        </w:rPr>
        <w:t xml:space="preserve">(9), 837-841. </w:t>
      </w:r>
      <w:hyperlink r:id="rId174" w:history="1">
        <w:r w:rsidR="004C6996" w:rsidRPr="00326476">
          <w:rPr>
            <w:rStyle w:val="Hyperlink"/>
            <w:rFonts w:eastAsia="Aptos" w:cs="Arial"/>
            <w:noProof/>
            <w:sz w:val="22"/>
            <w:lang w:val="en-US"/>
          </w:rPr>
          <w:t>https://doi.org/10.1136/archdischild-2019-316929</w:t>
        </w:r>
      </w:hyperlink>
      <w:r w:rsidR="004C6996">
        <w:rPr>
          <w:rFonts w:eastAsia="Aptos" w:cs="Arial"/>
          <w:noProof/>
          <w:sz w:val="22"/>
          <w:lang w:val="en-US"/>
        </w:rPr>
        <w:t xml:space="preserve"> </w:t>
      </w:r>
      <w:r w:rsidRPr="00BC2632">
        <w:rPr>
          <w:rFonts w:eastAsia="Aptos" w:cs="Arial"/>
          <w:noProof/>
          <w:sz w:val="22"/>
          <w:lang w:val="en-US"/>
        </w:rPr>
        <w:t xml:space="preserve"> </w:t>
      </w:r>
    </w:p>
    <w:p w14:paraId="2CB48269" w14:textId="77777777" w:rsidR="00BC2632" w:rsidRPr="00BC2632" w:rsidRDefault="00BC2632" w:rsidP="00BC2632">
      <w:pPr>
        <w:spacing w:before="0" w:after="0"/>
        <w:ind w:left="720" w:hanging="720"/>
        <w:rPr>
          <w:rFonts w:eastAsia="Aptos" w:cs="Arial"/>
          <w:noProof/>
          <w:sz w:val="22"/>
          <w:lang w:val="en-US"/>
        </w:rPr>
      </w:pPr>
      <w:r w:rsidRPr="00BC2632">
        <w:rPr>
          <w:rFonts w:eastAsia="Aptos" w:cs="Arial"/>
          <w:noProof/>
          <w:sz w:val="22"/>
          <w:lang w:val="en-US"/>
        </w:rPr>
        <w:tab/>
      </w:r>
    </w:p>
    <w:p w14:paraId="23FBD0E2" w14:textId="40BA0A8E" w:rsidR="00BC2632" w:rsidRPr="00BC2632" w:rsidRDefault="00BC2632" w:rsidP="00BC2632">
      <w:pPr>
        <w:spacing w:before="0" w:after="160"/>
        <w:ind w:left="720" w:hanging="720"/>
        <w:rPr>
          <w:rFonts w:eastAsia="Aptos" w:cs="Arial"/>
          <w:noProof/>
          <w:sz w:val="22"/>
          <w:lang w:val="en-US"/>
        </w:rPr>
      </w:pPr>
      <w:r w:rsidRPr="00BC2632">
        <w:rPr>
          <w:rFonts w:eastAsia="Aptos" w:cs="Arial"/>
          <w:noProof/>
          <w:sz w:val="22"/>
          <w:lang w:val="en-US"/>
        </w:rPr>
        <w:t xml:space="preserve">Darrah, J., Law, M. C., Pollock, N., Wilson, B., Russell, D. J., Walter, S. D., Rosenbaum, P., &amp; Galuppi, B. (2011). Context therapy: a new intervention approach for children with cerebral palsy. </w:t>
      </w:r>
      <w:r w:rsidRPr="00BC2632">
        <w:rPr>
          <w:rFonts w:eastAsia="Aptos" w:cs="Arial"/>
          <w:i/>
          <w:noProof/>
          <w:sz w:val="22"/>
          <w:lang w:val="en-US"/>
        </w:rPr>
        <w:t>Developmental Medicine &amp; Child Neurology</w:t>
      </w:r>
      <w:r w:rsidRPr="00BC2632">
        <w:rPr>
          <w:rFonts w:eastAsia="Aptos" w:cs="Arial"/>
          <w:noProof/>
          <w:sz w:val="22"/>
          <w:lang w:val="en-US"/>
        </w:rPr>
        <w:t>,</w:t>
      </w:r>
      <w:r w:rsidRPr="00BC2632">
        <w:rPr>
          <w:rFonts w:eastAsia="Aptos" w:cs="Arial"/>
          <w:i/>
          <w:noProof/>
          <w:sz w:val="22"/>
          <w:lang w:val="en-US"/>
        </w:rPr>
        <w:t xml:space="preserve"> 53</w:t>
      </w:r>
      <w:r w:rsidRPr="00BC2632">
        <w:rPr>
          <w:rFonts w:eastAsia="Aptos" w:cs="Arial"/>
          <w:noProof/>
          <w:sz w:val="22"/>
          <w:lang w:val="en-US"/>
        </w:rPr>
        <w:t xml:space="preserve">(7), 615-620. </w:t>
      </w:r>
      <w:hyperlink r:id="rId175" w:history="1">
        <w:r w:rsidR="004C6996" w:rsidRPr="00326476">
          <w:rPr>
            <w:rStyle w:val="Hyperlink"/>
            <w:rFonts w:eastAsia="Aptos" w:cs="Arial"/>
            <w:noProof/>
            <w:sz w:val="22"/>
            <w:lang w:val="en-US"/>
          </w:rPr>
          <w:t>https://doi.org/10.1111/j.1469-8749.2011.03959.x</w:t>
        </w:r>
      </w:hyperlink>
      <w:r w:rsidR="004C6996">
        <w:rPr>
          <w:rFonts w:eastAsia="Aptos" w:cs="Arial"/>
          <w:noProof/>
          <w:sz w:val="22"/>
          <w:lang w:val="en-US"/>
        </w:rPr>
        <w:t xml:space="preserve"> </w:t>
      </w:r>
      <w:r w:rsidRPr="00BC2632">
        <w:rPr>
          <w:rFonts w:eastAsia="Aptos" w:cs="Arial"/>
          <w:noProof/>
          <w:sz w:val="22"/>
          <w:lang w:val="en-US"/>
        </w:rPr>
        <w:t xml:space="preserve"> </w:t>
      </w:r>
    </w:p>
    <w:p w14:paraId="0E8946AC" w14:textId="77777777" w:rsidR="00BC2632" w:rsidRPr="00BC2632" w:rsidRDefault="00BC2632" w:rsidP="00BC2632">
      <w:pPr>
        <w:spacing w:before="0" w:after="0"/>
        <w:ind w:left="720" w:hanging="720"/>
        <w:rPr>
          <w:rFonts w:eastAsia="Aptos" w:cs="Arial"/>
          <w:noProof/>
          <w:sz w:val="22"/>
          <w:lang w:val="en-US"/>
        </w:rPr>
      </w:pPr>
      <w:r w:rsidRPr="00BC2632">
        <w:rPr>
          <w:rFonts w:eastAsia="Aptos" w:cs="Arial"/>
          <w:noProof/>
          <w:sz w:val="22"/>
          <w:lang w:val="en-US"/>
        </w:rPr>
        <w:tab/>
      </w:r>
    </w:p>
    <w:p w14:paraId="4368DC6C" w14:textId="5BA1E270" w:rsidR="00BC2632" w:rsidRPr="00BC2632" w:rsidRDefault="00BC2632" w:rsidP="00BC2632">
      <w:pPr>
        <w:spacing w:before="0" w:after="160"/>
        <w:ind w:left="720" w:hanging="720"/>
        <w:rPr>
          <w:rFonts w:eastAsia="Aptos" w:cs="Arial"/>
          <w:noProof/>
          <w:sz w:val="22"/>
          <w:lang w:val="en-US"/>
        </w:rPr>
      </w:pPr>
      <w:r w:rsidRPr="00BC2632">
        <w:rPr>
          <w:rFonts w:eastAsia="Aptos" w:cs="Arial"/>
          <w:noProof/>
          <w:sz w:val="22"/>
          <w:lang w:val="en-US"/>
        </w:rPr>
        <w:t>Darrah, J., Wiart, L., Magill</w:t>
      </w:r>
      <w:r w:rsidRPr="00BC2632">
        <w:rPr>
          <w:rFonts w:ascii="Cambria Math" w:eastAsia="Aptos" w:hAnsi="Cambria Math" w:cs="Cambria Math"/>
          <w:noProof/>
          <w:sz w:val="22"/>
          <w:lang w:val="en-US"/>
        </w:rPr>
        <w:t>‐</w:t>
      </w:r>
      <w:r w:rsidRPr="00BC2632">
        <w:rPr>
          <w:rFonts w:eastAsia="Aptos" w:cs="Arial"/>
          <w:noProof/>
          <w:sz w:val="22"/>
          <w:lang w:val="en-US"/>
        </w:rPr>
        <w:t>Evans, J., Ray, L., &amp; Andersen, J. (2012). Are family</w:t>
      </w:r>
      <w:r w:rsidRPr="00BC2632">
        <w:rPr>
          <w:rFonts w:ascii="Cambria Math" w:eastAsia="Aptos" w:hAnsi="Cambria Math" w:cs="Cambria Math"/>
          <w:noProof/>
          <w:sz w:val="22"/>
          <w:lang w:val="en-US"/>
        </w:rPr>
        <w:t>‐</w:t>
      </w:r>
      <w:r w:rsidRPr="00BC2632">
        <w:rPr>
          <w:rFonts w:eastAsia="Aptos" w:cs="Arial"/>
          <w:noProof/>
          <w:sz w:val="22"/>
          <w:lang w:val="en-US"/>
        </w:rPr>
        <w:t xml:space="preserve">centred principles, functional goal setting and transition planning evident in therapy services for children with cerebral palsy? </w:t>
      </w:r>
      <w:r w:rsidRPr="00BC2632">
        <w:rPr>
          <w:rFonts w:eastAsia="Aptos" w:cs="Arial"/>
          <w:i/>
          <w:noProof/>
          <w:sz w:val="22"/>
          <w:lang w:val="en-US"/>
        </w:rPr>
        <w:t>Child: care, health and development</w:t>
      </w:r>
      <w:r w:rsidRPr="00BC2632">
        <w:rPr>
          <w:rFonts w:eastAsia="Aptos" w:cs="Arial"/>
          <w:noProof/>
          <w:sz w:val="22"/>
          <w:lang w:val="en-US"/>
        </w:rPr>
        <w:t>,</w:t>
      </w:r>
      <w:r w:rsidRPr="00BC2632">
        <w:rPr>
          <w:rFonts w:eastAsia="Aptos" w:cs="Arial"/>
          <w:i/>
          <w:noProof/>
          <w:sz w:val="22"/>
          <w:lang w:val="en-US"/>
        </w:rPr>
        <w:t xml:space="preserve"> 38</w:t>
      </w:r>
      <w:r w:rsidRPr="00BC2632">
        <w:rPr>
          <w:rFonts w:eastAsia="Aptos" w:cs="Arial"/>
          <w:noProof/>
          <w:sz w:val="22"/>
          <w:lang w:val="en-US"/>
        </w:rPr>
        <w:t xml:space="preserve">(1), 41-47. </w:t>
      </w:r>
      <w:hyperlink r:id="rId176" w:history="1">
        <w:r w:rsidR="004C6996" w:rsidRPr="00326476">
          <w:rPr>
            <w:rStyle w:val="Hyperlink"/>
            <w:rFonts w:eastAsia="Aptos" w:cs="Arial"/>
            <w:noProof/>
            <w:sz w:val="22"/>
            <w:lang w:val="en-US"/>
          </w:rPr>
          <w:t>https://doi.org/10.1111/j.1365-2214.2010.01160.x</w:t>
        </w:r>
      </w:hyperlink>
      <w:r w:rsidR="004C6996">
        <w:rPr>
          <w:rFonts w:eastAsia="Aptos" w:cs="Arial"/>
          <w:noProof/>
          <w:sz w:val="22"/>
          <w:lang w:val="en-US"/>
        </w:rPr>
        <w:t xml:space="preserve"> </w:t>
      </w:r>
      <w:r w:rsidRPr="00BC2632">
        <w:rPr>
          <w:rFonts w:eastAsia="Aptos" w:cs="Arial"/>
          <w:noProof/>
          <w:sz w:val="22"/>
          <w:lang w:val="en-US"/>
        </w:rPr>
        <w:t xml:space="preserve"> </w:t>
      </w:r>
    </w:p>
    <w:p w14:paraId="60C44216" w14:textId="788C893B" w:rsidR="00005528" w:rsidRPr="00005528" w:rsidRDefault="00005528" w:rsidP="00005528">
      <w:pPr>
        <w:spacing w:before="0" w:after="160"/>
        <w:ind w:left="720" w:hanging="720"/>
        <w:rPr>
          <w:rFonts w:eastAsia="Aptos" w:cs="Arial"/>
          <w:noProof/>
          <w:sz w:val="22"/>
          <w:lang w:val="en-US"/>
        </w:rPr>
      </w:pPr>
      <w:r w:rsidRPr="00005528">
        <w:rPr>
          <w:rFonts w:eastAsia="Aptos" w:cs="Arial"/>
          <w:noProof/>
          <w:sz w:val="22"/>
          <w:lang w:val="en-US"/>
        </w:rPr>
        <w:t xml:space="preserve">Davidson, P., Bradbury, B., &amp; Wong, M. (2022). </w:t>
      </w:r>
      <w:r w:rsidRPr="00005528">
        <w:rPr>
          <w:rFonts w:eastAsia="Aptos" w:cs="Arial"/>
          <w:i/>
          <w:noProof/>
          <w:sz w:val="22"/>
          <w:lang w:val="en-US"/>
        </w:rPr>
        <w:t>Poverty in Australia 2022: A snapshot. An ACOSS/UNSW Sydney poverty &amp; inequality partnership report</w:t>
      </w:r>
      <w:r w:rsidRPr="00005528">
        <w:rPr>
          <w:rFonts w:eastAsia="Aptos" w:cs="Arial"/>
          <w:noProof/>
          <w:sz w:val="22"/>
          <w:lang w:val="en-US"/>
        </w:rPr>
        <w:t xml:space="preserve">. Australian Council of Social Services (ACOSS) and UNSW Sydney. Retrieved 6 September, 2024 from </w:t>
      </w:r>
      <w:hyperlink r:id="rId177" w:history="1">
        <w:r w:rsidR="004C6996" w:rsidRPr="00326476">
          <w:rPr>
            <w:rStyle w:val="Hyperlink"/>
            <w:rFonts w:eastAsia="Aptos" w:cs="Arial"/>
            <w:noProof/>
            <w:sz w:val="22"/>
            <w:lang w:val="en-US"/>
          </w:rPr>
          <w:t>https://povertyandinequality.acoss.org.au/a-snapshot-of-poverty-in-australia-2022/</w:t>
        </w:r>
      </w:hyperlink>
      <w:r w:rsidR="004C6996">
        <w:rPr>
          <w:rFonts w:eastAsia="Aptos" w:cs="Arial"/>
          <w:noProof/>
          <w:sz w:val="22"/>
          <w:lang w:val="en-US"/>
        </w:rPr>
        <w:t xml:space="preserve"> </w:t>
      </w:r>
    </w:p>
    <w:p w14:paraId="64283675" w14:textId="77777777" w:rsidR="00005528" w:rsidRPr="00005528" w:rsidRDefault="00005528" w:rsidP="00005528">
      <w:pPr>
        <w:spacing w:before="0" w:after="0"/>
        <w:ind w:left="720" w:hanging="720"/>
        <w:rPr>
          <w:rFonts w:eastAsia="Aptos" w:cs="Arial"/>
          <w:noProof/>
          <w:sz w:val="22"/>
          <w:lang w:val="en-US"/>
        </w:rPr>
      </w:pPr>
      <w:r w:rsidRPr="00005528">
        <w:rPr>
          <w:rFonts w:eastAsia="Aptos" w:cs="Arial"/>
          <w:noProof/>
          <w:sz w:val="22"/>
          <w:lang w:val="en-US"/>
        </w:rPr>
        <w:tab/>
      </w:r>
    </w:p>
    <w:p w14:paraId="75BE18FE" w14:textId="41A4BBDD" w:rsidR="00005528" w:rsidRPr="00005528" w:rsidRDefault="00005528" w:rsidP="00005528">
      <w:pPr>
        <w:spacing w:before="0" w:after="160"/>
        <w:ind w:left="720" w:hanging="720"/>
        <w:rPr>
          <w:rFonts w:eastAsia="Aptos" w:cs="Arial"/>
          <w:noProof/>
          <w:sz w:val="22"/>
          <w:lang w:val="en-US"/>
        </w:rPr>
      </w:pPr>
      <w:r w:rsidRPr="00005528">
        <w:rPr>
          <w:rFonts w:eastAsia="Aptos" w:cs="Arial"/>
          <w:noProof/>
          <w:sz w:val="22"/>
          <w:lang w:val="en-US"/>
        </w:rPr>
        <w:t xml:space="preserve">Davidson, P., Bradbury, B., Wong, M., &amp; Hill, T. (2020). </w:t>
      </w:r>
      <w:r w:rsidRPr="00005528">
        <w:rPr>
          <w:rFonts w:eastAsia="Aptos" w:cs="Arial"/>
          <w:i/>
          <w:noProof/>
          <w:sz w:val="22"/>
          <w:lang w:val="en-US"/>
        </w:rPr>
        <w:t>Inequality in Australia 2020-part 1: overview</w:t>
      </w:r>
      <w:r w:rsidRPr="00005528">
        <w:rPr>
          <w:rFonts w:eastAsia="Aptos" w:cs="Arial"/>
          <w:noProof/>
          <w:sz w:val="22"/>
          <w:lang w:val="en-US"/>
        </w:rPr>
        <w:t xml:space="preserve">. Sydney, NSW: Australian Council of Social Service and UNSW (Sydney). Retrieved 6 September, 2024 from </w:t>
      </w:r>
      <w:hyperlink r:id="rId178" w:history="1">
        <w:r w:rsidR="004C6996" w:rsidRPr="00326476">
          <w:rPr>
            <w:rStyle w:val="Hyperlink"/>
            <w:rFonts w:eastAsia="Aptos" w:cs="Arial"/>
            <w:noProof/>
            <w:sz w:val="22"/>
            <w:lang w:val="en-US"/>
          </w:rPr>
          <w:t>http://povertyandinequality.acoss.org.au/wp-content/uploads/2020/09/Inequality-in-Australia-2020-Part-1_FINAL.pdf</w:t>
        </w:r>
      </w:hyperlink>
      <w:r w:rsidR="004C6996">
        <w:rPr>
          <w:rFonts w:eastAsia="Aptos" w:cs="Arial"/>
          <w:noProof/>
          <w:sz w:val="22"/>
          <w:lang w:val="en-US"/>
        </w:rPr>
        <w:t xml:space="preserve"> </w:t>
      </w:r>
    </w:p>
    <w:p w14:paraId="18D1B718" w14:textId="77777777" w:rsidR="00005528" w:rsidRPr="00005528" w:rsidRDefault="00005528" w:rsidP="00005528">
      <w:pPr>
        <w:spacing w:before="0" w:after="0"/>
        <w:ind w:left="720" w:hanging="720"/>
        <w:rPr>
          <w:rFonts w:eastAsia="Aptos" w:cs="Arial"/>
          <w:noProof/>
          <w:sz w:val="22"/>
          <w:lang w:val="en-US"/>
        </w:rPr>
      </w:pPr>
      <w:r w:rsidRPr="00005528">
        <w:rPr>
          <w:rFonts w:eastAsia="Aptos" w:cs="Arial"/>
          <w:noProof/>
          <w:sz w:val="22"/>
          <w:lang w:val="en-US"/>
        </w:rPr>
        <w:tab/>
      </w:r>
    </w:p>
    <w:p w14:paraId="4069E012" w14:textId="77777777" w:rsidR="00005528" w:rsidRPr="00005528" w:rsidRDefault="00005528" w:rsidP="00005528">
      <w:pPr>
        <w:spacing w:before="0" w:after="160"/>
        <w:ind w:left="720" w:hanging="720"/>
        <w:rPr>
          <w:rFonts w:eastAsia="Aptos" w:cs="Arial"/>
          <w:noProof/>
          <w:sz w:val="22"/>
          <w:lang w:val="en-US"/>
        </w:rPr>
      </w:pPr>
      <w:r w:rsidRPr="00005528">
        <w:rPr>
          <w:rFonts w:eastAsia="Aptos" w:cs="Arial"/>
          <w:noProof/>
          <w:sz w:val="22"/>
          <w:lang w:val="en-US"/>
        </w:rPr>
        <w:t xml:space="preserve">Davis, H., &amp; Day, C. (2010). </w:t>
      </w:r>
      <w:r w:rsidRPr="00005528">
        <w:rPr>
          <w:rFonts w:eastAsia="Aptos" w:cs="Arial"/>
          <w:i/>
          <w:noProof/>
          <w:sz w:val="22"/>
          <w:lang w:val="en-US"/>
        </w:rPr>
        <w:t>Working in partnership: the family partnership model</w:t>
      </w:r>
      <w:r w:rsidRPr="00005528">
        <w:rPr>
          <w:rFonts w:eastAsia="Aptos" w:cs="Arial"/>
          <w:noProof/>
          <w:sz w:val="22"/>
          <w:lang w:val="en-US"/>
        </w:rPr>
        <w:t xml:space="preserve">. London, UK: Pearson. </w:t>
      </w:r>
    </w:p>
    <w:p w14:paraId="38C5EFE7" w14:textId="77777777" w:rsidR="00005528" w:rsidRPr="00005528" w:rsidRDefault="00005528" w:rsidP="00005528">
      <w:pPr>
        <w:spacing w:before="0" w:after="0"/>
        <w:ind w:left="720" w:hanging="720"/>
        <w:rPr>
          <w:rFonts w:eastAsia="Aptos" w:cs="Arial"/>
          <w:noProof/>
          <w:sz w:val="22"/>
          <w:lang w:val="en-US"/>
        </w:rPr>
      </w:pPr>
      <w:r w:rsidRPr="00005528">
        <w:rPr>
          <w:rFonts w:eastAsia="Aptos" w:cs="Arial"/>
          <w:noProof/>
          <w:sz w:val="22"/>
          <w:lang w:val="en-US"/>
        </w:rPr>
        <w:tab/>
      </w:r>
    </w:p>
    <w:p w14:paraId="1C9130D6" w14:textId="77777777" w:rsidR="00005528" w:rsidRPr="00005528" w:rsidRDefault="00005528" w:rsidP="00005528">
      <w:pPr>
        <w:spacing w:before="0" w:after="160"/>
        <w:ind w:left="720" w:hanging="720"/>
        <w:rPr>
          <w:rFonts w:eastAsia="Aptos" w:cs="Arial"/>
          <w:noProof/>
          <w:sz w:val="22"/>
          <w:lang w:val="en-US"/>
        </w:rPr>
      </w:pPr>
      <w:r w:rsidRPr="00005528">
        <w:rPr>
          <w:rFonts w:eastAsia="Aptos" w:cs="Arial"/>
          <w:noProof/>
          <w:sz w:val="22"/>
          <w:lang w:val="en-US"/>
        </w:rPr>
        <w:t xml:space="preserve">De Camargo, O. (2019). The ICF and the biopsychosocial model of health: From ‘disease’to ‘health condition'. In L. Simon, G. Ronen, &amp; P. Rosenbaum (Eds.), </w:t>
      </w:r>
      <w:r w:rsidRPr="00005528">
        <w:rPr>
          <w:rFonts w:eastAsia="Aptos" w:cs="Arial"/>
          <w:i/>
          <w:noProof/>
          <w:sz w:val="22"/>
          <w:lang w:val="en-US"/>
        </w:rPr>
        <w:t>ICF a hands-on approach for clinicians and families</w:t>
      </w:r>
      <w:r w:rsidRPr="00005528">
        <w:rPr>
          <w:rFonts w:eastAsia="Aptos" w:cs="Arial"/>
          <w:noProof/>
          <w:sz w:val="22"/>
          <w:lang w:val="en-US"/>
        </w:rPr>
        <w:t xml:space="preserve"> (pp. 8-18). London, UK: Mac Keith Press. </w:t>
      </w:r>
    </w:p>
    <w:p w14:paraId="5D67F266" w14:textId="16D96036" w:rsidR="00C163DA" w:rsidRPr="00C163DA" w:rsidRDefault="00C163DA" w:rsidP="00C163DA">
      <w:pPr>
        <w:spacing w:before="0" w:after="160"/>
        <w:ind w:left="720" w:hanging="720"/>
        <w:rPr>
          <w:rFonts w:eastAsia="Aptos" w:cs="Arial"/>
          <w:noProof/>
          <w:sz w:val="22"/>
          <w:lang w:val="en-US"/>
        </w:rPr>
      </w:pPr>
      <w:r w:rsidRPr="00C163DA">
        <w:rPr>
          <w:rFonts w:eastAsia="Aptos" w:cs="Arial"/>
          <w:noProof/>
          <w:sz w:val="22"/>
          <w:lang w:val="en-US"/>
        </w:rPr>
        <w:t xml:space="preserve">De Moor, J. M., Van Waesberghe, B. T. M., Hosman, J. B., Jaeken, D., &amp; Miedema, S. (1993). Early intervention for children with developmental disabilities: Manifesto of the Eurlyaid working party. </w:t>
      </w:r>
      <w:r w:rsidRPr="00C163DA">
        <w:rPr>
          <w:rFonts w:eastAsia="Aptos" w:cs="Arial"/>
          <w:i/>
          <w:noProof/>
          <w:sz w:val="22"/>
          <w:lang w:val="en-US"/>
        </w:rPr>
        <w:t>International journal of rehabilitation research</w:t>
      </w:r>
      <w:r w:rsidRPr="00C163DA">
        <w:rPr>
          <w:rFonts w:eastAsia="Aptos" w:cs="Arial"/>
          <w:noProof/>
          <w:sz w:val="22"/>
          <w:lang w:val="en-US"/>
        </w:rPr>
        <w:t>,</w:t>
      </w:r>
      <w:r w:rsidRPr="00C163DA">
        <w:rPr>
          <w:rFonts w:eastAsia="Aptos" w:cs="Arial"/>
          <w:i/>
          <w:noProof/>
          <w:sz w:val="22"/>
          <w:lang w:val="en-US"/>
        </w:rPr>
        <w:t xml:space="preserve"> 16</w:t>
      </w:r>
      <w:r w:rsidRPr="00C163DA">
        <w:rPr>
          <w:rFonts w:eastAsia="Aptos" w:cs="Arial"/>
          <w:noProof/>
          <w:sz w:val="22"/>
          <w:lang w:val="en-US"/>
        </w:rPr>
        <w:t xml:space="preserve">(1), 23-31. </w:t>
      </w:r>
      <w:hyperlink r:id="rId179" w:history="1">
        <w:r w:rsidR="004C6996" w:rsidRPr="00326476">
          <w:rPr>
            <w:rStyle w:val="Hyperlink"/>
            <w:rFonts w:eastAsia="Aptos" w:cs="Arial"/>
            <w:noProof/>
            <w:sz w:val="22"/>
            <w:lang w:val="en-US"/>
          </w:rPr>
          <w:t>https://doi.org/10.1097/00004356-199303000-00003</w:t>
        </w:r>
      </w:hyperlink>
      <w:r w:rsidR="004C6996">
        <w:rPr>
          <w:rFonts w:eastAsia="Aptos" w:cs="Arial"/>
          <w:noProof/>
          <w:sz w:val="22"/>
          <w:lang w:val="en-US"/>
        </w:rPr>
        <w:t xml:space="preserve"> </w:t>
      </w:r>
      <w:r w:rsidRPr="00C163DA">
        <w:rPr>
          <w:rFonts w:eastAsia="Aptos" w:cs="Arial"/>
          <w:noProof/>
          <w:sz w:val="22"/>
          <w:lang w:val="en-US"/>
        </w:rPr>
        <w:t xml:space="preserve"> </w:t>
      </w:r>
    </w:p>
    <w:p w14:paraId="77CB1881" w14:textId="77777777" w:rsidR="00C163DA" w:rsidRPr="00C163DA" w:rsidRDefault="00C163DA" w:rsidP="00C163DA">
      <w:pPr>
        <w:spacing w:before="0" w:after="0"/>
        <w:ind w:left="720" w:hanging="720"/>
        <w:rPr>
          <w:rFonts w:eastAsia="Aptos" w:cs="Arial"/>
          <w:noProof/>
          <w:sz w:val="22"/>
          <w:lang w:val="en-US"/>
        </w:rPr>
      </w:pPr>
      <w:r w:rsidRPr="00C163DA">
        <w:rPr>
          <w:rFonts w:eastAsia="Aptos" w:cs="Arial"/>
          <w:noProof/>
          <w:sz w:val="22"/>
          <w:lang w:val="en-US"/>
        </w:rPr>
        <w:tab/>
      </w:r>
    </w:p>
    <w:p w14:paraId="45780AD1" w14:textId="1C644A72" w:rsidR="00C163DA" w:rsidRPr="00C163DA" w:rsidRDefault="00C163DA" w:rsidP="00C163DA">
      <w:pPr>
        <w:spacing w:before="0" w:after="160"/>
        <w:ind w:left="720" w:hanging="720"/>
        <w:rPr>
          <w:rFonts w:eastAsia="Aptos" w:cs="Arial"/>
          <w:noProof/>
          <w:sz w:val="22"/>
          <w:lang w:val="en-US"/>
        </w:rPr>
      </w:pPr>
      <w:r w:rsidRPr="00C163DA">
        <w:rPr>
          <w:rFonts w:eastAsia="Aptos" w:cs="Arial"/>
          <w:noProof/>
          <w:sz w:val="22"/>
          <w:lang w:val="en-US"/>
        </w:rPr>
        <w:t xml:space="preserve">De Silva, D. (2011). </w:t>
      </w:r>
      <w:r w:rsidRPr="00C163DA">
        <w:rPr>
          <w:rFonts w:eastAsia="Aptos" w:cs="Arial"/>
          <w:i/>
          <w:noProof/>
          <w:sz w:val="22"/>
          <w:lang w:val="en-US"/>
        </w:rPr>
        <w:t>Helping people help themselves: a review of the evidence considering whether it is worthwhile to support self-management</w:t>
      </w:r>
      <w:r w:rsidRPr="00C163DA">
        <w:rPr>
          <w:rFonts w:eastAsia="Aptos" w:cs="Arial"/>
          <w:noProof/>
          <w:sz w:val="22"/>
          <w:lang w:val="en-US"/>
        </w:rPr>
        <w:t xml:space="preserve">. London, UK: Health Foundation. Retrieved 6 September, 2024 from </w:t>
      </w:r>
      <w:hyperlink r:id="rId180" w:history="1">
        <w:r w:rsidR="004C6996" w:rsidRPr="00326476">
          <w:rPr>
            <w:rStyle w:val="Hyperlink"/>
            <w:rFonts w:eastAsia="Aptos" w:cs="Arial"/>
            <w:noProof/>
            <w:sz w:val="22"/>
            <w:lang w:val="en-US"/>
          </w:rPr>
          <w:t>http://www.health.org.uk/publications/evidence-helping-people-help-themselves/</w:t>
        </w:r>
      </w:hyperlink>
      <w:r w:rsidR="004C6996">
        <w:rPr>
          <w:rFonts w:eastAsia="Aptos" w:cs="Arial"/>
          <w:noProof/>
          <w:sz w:val="22"/>
          <w:lang w:val="en-US"/>
        </w:rPr>
        <w:t xml:space="preserve"> </w:t>
      </w:r>
    </w:p>
    <w:p w14:paraId="2943DACE" w14:textId="77777777" w:rsidR="00C163DA" w:rsidRPr="00C163DA" w:rsidRDefault="00C163DA" w:rsidP="00C163DA">
      <w:pPr>
        <w:spacing w:before="0" w:after="0"/>
        <w:ind w:left="720" w:hanging="720"/>
        <w:rPr>
          <w:rFonts w:eastAsia="Aptos" w:cs="Arial"/>
          <w:noProof/>
          <w:sz w:val="22"/>
          <w:lang w:val="en-US"/>
        </w:rPr>
      </w:pPr>
      <w:r w:rsidRPr="00C163DA">
        <w:rPr>
          <w:rFonts w:eastAsia="Aptos" w:cs="Arial"/>
          <w:noProof/>
          <w:sz w:val="22"/>
          <w:lang w:val="en-US"/>
        </w:rPr>
        <w:tab/>
      </w:r>
    </w:p>
    <w:p w14:paraId="2B2DD360" w14:textId="696B86CF" w:rsidR="00C163DA" w:rsidRDefault="00C163DA" w:rsidP="00C163DA">
      <w:pPr>
        <w:spacing w:before="0" w:after="160"/>
        <w:ind w:left="720" w:hanging="720"/>
        <w:rPr>
          <w:rFonts w:eastAsia="Aptos" w:cs="Arial"/>
          <w:noProof/>
          <w:sz w:val="22"/>
          <w:lang w:val="en-US"/>
        </w:rPr>
      </w:pPr>
      <w:r w:rsidRPr="00C163DA">
        <w:rPr>
          <w:rFonts w:eastAsia="Aptos" w:cs="Arial"/>
          <w:noProof/>
          <w:sz w:val="22"/>
          <w:lang w:val="en-US"/>
        </w:rPr>
        <w:t xml:space="preserve">Delfabbro, P. (2018). </w:t>
      </w:r>
      <w:r w:rsidRPr="00C163DA">
        <w:rPr>
          <w:rFonts w:eastAsia="Aptos" w:cs="Arial"/>
          <w:i/>
          <w:noProof/>
          <w:sz w:val="22"/>
          <w:lang w:val="en-US"/>
        </w:rPr>
        <w:t>Aboriginal children in out-of-home care in NSW: Developmental outcomes and cultural and family connections. Pathways of Care Longitudinal Study: Outcomes of Children and Young People in Out-of-Home Care.</w:t>
      </w:r>
      <w:r w:rsidRPr="00C163DA">
        <w:rPr>
          <w:rFonts w:eastAsia="Aptos" w:cs="Arial"/>
          <w:noProof/>
          <w:sz w:val="22"/>
          <w:lang w:val="en-US"/>
        </w:rPr>
        <w:t xml:space="preserve"> NSW, Australia: NSW Department of Family and Community Services. Retrieved 6 September, 2024 from </w:t>
      </w:r>
      <w:hyperlink r:id="rId181" w:history="1">
        <w:r w:rsidR="00112FF0" w:rsidRPr="00326476">
          <w:rPr>
            <w:rStyle w:val="Hyperlink"/>
            <w:rFonts w:eastAsia="Aptos" w:cs="Arial"/>
            <w:noProof/>
            <w:sz w:val="22"/>
            <w:lang w:val="en-US"/>
          </w:rPr>
          <w:t>https://dcj.nsw.gov.au/documents/about-us/facsiar/pocls/pocls-publications/aboriginal-children-in-out-of-home-care-in-nsw.pdf</w:t>
        </w:r>
      </w:hyperlink>
    </w:p>
    <w:p w14:paraId="721CCE5B" w14:textId="77777777" w:rsidR="00112FF0" w:rsidRPr="00C163DA" w:rsidRDefault="00112FF0" w:rsidP="00C163DA">
      <w:pPr>
        <w:spacing w:before="0" w:after="160"/>
        <w:ind w:left="720" w:hanging="720"/>
        <w:rPr>
          <w:rFonts w:eastAsia="Aptos" w:cs="Arial"/>
          <w:noProof/>
          <w:sz w:val="22"/>
          <w:lang w:val="en-US"/>
        </w:rPr>
      </w:pPr>
    </w:p>
    <w:p w14:paraId="12B755D4" w14:textId="77777777" w:rsidR="009C2CB0" w:rsidRPr="009C2CB0" w:rsidRDefault="009C2CB0" w:rsidP="009C2CB0">
      <w:pPr>
        <w:spacing w:before="0" w:after="160"/>
        <w:ind w:left="720" w:hanging="720"/>
        <w:rPr>
          <w:rFonts w:eastAsia="Aptos" w:cs="Arial"/>
          <w:noProof/>
          <w:sz w:val="22"/>
          <w:lang w:val="en-US"/>
        </w:rPr>
      </w:pPr>
      <w:r w:rsidRPr="009C2CB0">
        <w:rPr>
          <w:rFonts w:eastAsia="Aptos" w:cs="Arial"/>
          <w:noProof/>
          <w:sz w:val="22"/>
          <w:lang w:val="en-US"/>
        </w:rPr>
        <w:t xml:space="preserve">Dempsey, I., &amp; Keen, D. (2017). Desirable outcomes associated with family-centred practices for young children with a disability. In H. Sukkar, C.J. Dunst, &amp; J. Kirkby (Eds.), </w:t>
      </w:r>
      <w:r w:rsidRPr="009C2CB0">
        <w:rPr>
          <w:rFonts w:eastAsia="Aptos" w:cs="Arial"/>
          <w:i/>
          <w:noProof/>
          <w:sz w:val="22"/>
          <w:lang w:val="en-US"/>
        </w:rPr>
        <w:t>Early Childhood Intervention: Working with Families of Young Children with Special Needs</w:t>
      </w:r>
      <w:r w:rsidRPr="009C2CB0">
        <w:rPr>
          <w:rFonts w:eastAsia="Aptos" w:cs="Arial"/>
          <w:noProof/>
          <w:sz w:val="22"/>
          <w:lang w:val="en-US"/>
        </w:rPr>
        <w:t xml:space="preserve"> (pp. 75-88). London and New York: Routledge. </w:t>
      </w:r>
    </w:p>
    <w:p w14:paraId="1E647092" w14:textId="77777777" w:rsidR="009C2CB0" w:rsidRPr="009C2CB0" w:rsidRDefault="009C2CB0" w:rsidP="009C2CB0">
      <w:pPr>
        <w:spacing w:before="0" w:after="0"/>
        <w:ind w:left="720" w:hanging="720"/>
        <w:rPr>
          <w:rFonts w:eastAsia="Aptos" w:cs="Arial"/>
          <w:noProof/>
          <w:sz w:val="22"/>
          <w:lang w:val="en-US"/>
        </w:rPr>
      </w:pPr>
      <w:r w:rsidRPr="009C2CB0">
        <w:rPr>
          <w:rFonts w:eastAsia="Aptos" w:cs="Arial"/>
          <w:noProof/>
          <w:sz w:val="22"/>
          <w:lang w:val="en-US"/>
        </w:rPr>
        <w:tab/>
      </w:r>
    </w:p>
    <w:p w14:paraId="0E3F609E" w14:textId="41DD7E61" w:rsidR="009C2CB0" w:rsidRPr="009C2CB0" w:rsidRDefault="009C2CB0" w:rsidP="009C2CB0">
      <w:pPr>
        <w:spacing w:before="0" w:after="160"/>
        <w:ind w:left="720" w:hanging="720"/>
        <w:rPr>
          <w:rFonts w:eastAsia="Aptos" w:cs="Arial"/>
          <w:noProof/>
          <w:sz w:val="22"/>
          <w:lang w:val="en-US"/>
        </w:rPr>
      </w:pPr>
      <w:r w:rsidRPr="009C2CB0">
        <w:rPr>
          <w:rFonts w:eastAsia="Aptos" w:cs="Arial"/>
          <w:noProof/>
          <w:sz w:val="22"/>
          <w:lang w:val="en-US"/>
        </w:rPr>
        <w:t xml:space="preserve">Department for Education, &amp; Department of Health. (2015). </w:t>
      </w:r>
      <w:r w:rsidRPr="009C2CB0">
        <w:rPr>
          <w:rFonts w:eastAsia="Aptos" w:cs="Arial"/>
          <w:i/>
          <w:noProof/>
          <w:sz w:val="22"/>
          <w:lang w:val="en-US"/>
        </w:rPr>
        <w:t>Special educational needs and disability code of practice: 0 to 25 years.</w:t>
      </w:r>
      <w:r w:rsidRPr="009C2CB0">
        <w:rPr>
          <w:rFonts w:eastAsia="Aptos" w:cs="Arial"/>
          <w:noProof/>
          <w:sz w:val="22"/>
          <w:lang w:val="en-US"/>
        </w:rPr>
        <w:t xml:space="preserve"> London, UK.: Crown. </w:t>
      </w:r>
      <w:hyperlink r:id="rId182" w:history="1">
        <w:r w:rsidR="0054349C" w:rsidRPr="00326476">
          <w:rPr>
            <w:rStyle w:val="Hyperlink"/>
            <w:rFonts w:eastAsia="Aptos" w:cs="Arial"/>
            <w:noProof/>
            <w:sz w:val="22"/>
            <w:lang w:val="en-US"/>
          </w:rPr>
          <w:t>https://www.gov.uk/government/publications/send-code-of-practice-0-to-25</w:t>
        </w:r>
      </w:hyperlink>
      <w:r w:rsidR="0054349C">
        <w:rPr>
          <w:rFonts w:eastAsia="Aptos" w:cs="Arial"/>
          <w:noProof/>
          <w:sz w:val="22"/>
          <w:lang w:val="en-US"/>
        </w:rPr>
        <w:t xml:space="preserve"> </w:t>
      </w:r>
    </w:p>
    <w:p w14:paraId="306A3D21" w14:textId="77777777" w:rsidR="009C2CB0" w:rsidRPr="009C2CB0" w:rsidRDefault="009C2CB0" w:rsidP="009C2CB0">
      <w:pPr>
        <w:spacing w:before="0" w:after="0"/>
        <w:ind w:left="720" w:hanging="720"/>
        <w:rPr>
          <w:rFonts w:eastAsia="Aptos" w:cs="Arial"/>
          <w:noProof/>
          <w:sz w:val="22"/>
          <w:lang w:val="en-US"/>
        </w:rPr>
      </w:pPr>
      <w:r w:rsidRPr="009C2CB0">
        <w:rPr>
          <w:rFonts w:eastAsia="Aptos" w:cs="Arial"/>
          <w:noProof/>
          <w:sz w:val="22"/>
          <w:lang w:val="en-US"/>
        </w:rPr>
        <w:tab/>
      </w:r>
    </w:p>
    <w:p w14:paraId="76B7E983" w14:textId="573BCA71" w:rsidR="009C2CB0" w:rsidRPr="009C2CB0" w:rsidRDefault="009C2CB0" w:rsidP="009C2CB0">
      <w:pPr>
        <w:spacing w:before="0" w:after="160"/>
        <w:ind w:left="720" w:hanging="720"/>
        <w:rPr>
          <w:rFonts w:eastAsia="Aptos" w:cs="Arial"/>
          <w:noProof/>
          <w:sz w:val="22"/>
          <w:lang w:val="en-US"/>
        </w:rPr>
      </w:pPr>
      <w:r w:rsidRPr="009C2CB0">
        <w:rPr>
          <w:rFonts w:eastAsia="Aptos" w:cs="Arial"/>
          <w:noProof/>
          <w:sz w:val="22"/>
          <w:lang w:val="en-US"/>
        </w:rPr>
        <w:t xml:space="preserve">Department of Education. (2014). </w:t>
      </w:r>
      <w:r w:rsidRPr="009C2CB0">
        <w:rPr>
          <w:rFonts w:eastAsia="Aptos" w:cs="Arial"/>
          <w:i/>
          <w:noProof/>
          <w:sz w:val="22"/>
          <w:lang w:val="en-US"/>
        </w:rPr>
        <w:t>Early years: guide to the 0 to 25 SEND code of practice. Advice for early years providers that are funded by the local authority.</w:t>
      </w:r>
      <w:r w:rsidRPr="009C2CB0">
        <w:rPr>
          <w:rFonts w:eastAsia="Aptos" w:cs="Arial"/>
          <w:noProof/>
          <w:sz w:val="22"/>
          <w:lang w:val="en-US"/>
        </w:rPr>
        <w:t xml:space="preserve"> Department of Education. Retrieved September 6, 2024,  </w:t>
      </w:r>
      <w:hyperlink r:id="rId183" w:history="1">
        <w:r w:rsidR="0054349C" w:rsidRPr="00326476">
          <w:rPr>
            <w:rStyle w:val="Hyperlink"/>
            <w:rFonts w:eastAsia="Aptos" w:cs="Arial"/>
            <w:noProof/>
            <w:sz w:val="22"/>
            <w:lang w:val="en-US"/>
          </w:rPr>
          <w:t>https://assets.publishing.service.gov.uk/media/5a7e5159e5274a2e8ab473d4/Early_Years_Guide_to_SEND_Code_of_Practice_-_02Sept14.pdf</w:t>
        </w:r>
      </w:hyperlink>
      <w:r w:rsidR="0054349C">
        <w:rPr>
          <w:rFonts w:eastAsia="Aptos" w:cs="Arial"/>
          <w:noProof/>
          <w:sz w:val="22"/>
          <w:lang w:val="en-US"/>
        </w:rPr>
        <w:t xml:space="preserve"> </w:t>
      </w:r>
    </w:p>
    <w:p w14:paraId="08862E38" w14:textId="77777777" w:rsidR="009C2CB0" w:rsidRPr="009C2CB0" w:rsidRDefault="009C2CB0" w:rsidP="009C2CB0">
      <w:pPr>
        <w:spacing w:before="0" w:after="0"/>
        <w:ind w:left="720" w:hanging="720"/>
        <w:rPr>
          <w:rFonts w:eastAsia="Aptos" w:cs="Arial"/>
          <w:noProof/>
          <w:sz w:val="22"/>
          <w:lang w:val="en-US"/>
        </w:rPr>
      </w:pPr>
      <w:r w:rsidRPr="009C2CB0">
        <w:rPr>
          <w:rFonts w:eastAsia="Aptos" w:cs="Arial"/>
          <w:noProof/>
          <w:sz w:val="22"/>
          <w:lang w:val="en-US"/>
        </w:rPr>
        <w:tab/>
      </w:r>
    </w:p>
    <w:p w14:paraId="1EA7D5EA" w14:textId="17B62DCF" w:rsidR="009C2CB0" w:rsidRDefault="009C2CB0" w:rsidP="009C2CB0">
      <w:pPr>
        <w:spacing w:before="0" w:after="160"/>
        <w:ind w:left="720" w:hanging="720"/>
        <w:rPr>
          <w:rFonts w:eastAsia="Aptos" w:cs="Arial"/>
          <w:noProof/>
          <w:sz w:val="22"/>
          <w:lang w:val="en-US"/>
        </w:rPr>
      </w:pPr>
      <w:r w:rsidRPr="009C2CB0">
        <w:rPr>
          <w:rFonts w:eastAsia="Aptos" w:cs="Arial"/>
          <w:noProof/>
          <w:sz w:val="22"/>
          <w:lang w:val="en-US"/>
        </w:rPr>
        <w:t xml:space="preserve">Department of Education, &amp; Department of Health and Aged Care. (2023, 23 November). </w:t>
      </w:r>
      <w:r w:rsidRPr="009C2CB0">
        <w:rPr>
          <w:rFonts w:eastAsia="Aptos" w:cs="Arial"/>
          <w:i/>
          <w:noProof/>
          <w:sz w:val="22"/>
          <w:lang w:val="en-US"/>
        </w:rPr>
        <w:t>Connected beginnings program mid-term evaluation: Final report</w:t>
      </w:r>
      <w:r w:rsidRPr="009C2CB0">
        <w:rPr>
          <w:rFonts w:eastAsia="Aptos" w:cs="Arial"/>
          <w:noProof/>
          <w:sz w:val="22"/>
          <w:lang w:val="en-US"/>
        </w:rPr>
        <w:t xml:space="preserve">. Department of Education. Retrieved 6 September, 2024 from </w:t>
      </w:r>
      <w:hyperlink r:id="rId184" w:history="1">
        <w:r w:rsidR="00CC4EAB" w:rsidRPr="00326476">
          <w:rPr>
            <w:rStyle w:val="Hyperlink"/>
            <w:rFonts w:eastAsia="Aptos" w:cs="Arial"/>
            <w:noProof/>
            <w:sz w:val="22"/>
            <w:lang w:val="en-US"/>
          </w:rPr>
          <w:t>https://www.education.gov.au/early-childhood/resources/evaluation-connected-beginnings-midterm-report-2023</w:t>
        </w:r>
      </w:hyperlink>
    </w:p>
    <w:p w14:paraId="708C1E94" w14:textId="77777777" w:rsidR="00CC4EAB" w:rsidRPr="009C2CB0" w:rsidRDefault="00CC4EAB" w:rsidP="009C2CB0">
      <w:pPr>
        <w:spacing w:before="0" w:after="160"/>
        <w:ind w:left="720" w:hanging="720"/>
        <w:rPr>
          <w:rFonts w:eastAsia="Aptos" w:cs="Arial"/>
          <w:noProof/>
          <w:sz w:val="22"/>
          <w:lang w:val="en-US"/>
        </w:rPr>
      </w:pPr>
    </w:p>
    <w:p w14:paraId="70B12809" w14:textId="2BEB804A" w:rsidR="00B42805" w:rsidRPr="00B42805" w:rsidRDefault="00B42805" w:rsidP="00B42805">
      <w:pPr>
        <w:spacing w:before="0" w:after="160"/>
        <w:ind w:left="720" w:hanging="720"/>
        <w:rPr>
          <w:rFonts w:eastAsia="Aptos" w:cs="Arial"/>
          <w:noProof/>
          <w:sz w:val="22"/>
          <w:lang w:val="en-US"/>
        </w:rPr>
      </w:pPr>
      <w:r w:rsidRPr="00B42805">
        <w:rPr>
          <w:rFonts w:eastAsia="Aptos" w:cs="Arial"/>
          <w:noProof/>
          <w:sz w:val="22"/>
          <w:lang w:val="en-US"/>
        </w:rPr>
        <w:t xml:space="preserve">Department of Families Fairness and Housing. (2022, November). </w:t>
      </w:r>
      <w:r w:rsidRPr="00B42805">
        <w:rPr>
          <w:rFonts w:eastAsia="Aptos" w:cs="Arial"/>
          <w:i/>
          <w:noProof/>
          <w:sz w:val="22"/>
          <w:lang w:val="en-US"/>
        </w:rPr>
        <w:t>Framework for trauma informed practice. Supporting children, young people and their families</w:t>
      </w:r>
      <w:r w:rsidRPr="00B42805">
        <w:rPr>
          <w:rFonts w:eastAsia="Aptos" w:cs="Arial"/>
          <w:noProof/>
          <w:sz w:val="22"/>
          <w:lang w:val="en-US"/>
        </w:rPr>
        <w:t xml:space="preserve">. Melbourne, VIC: Victorian Government. Retrieved 6 September, 2024 from </w:t>
      </w:r>
      <w:hyperlink r:id="rId185" w:history="1">
        <w:r w:rsidR="0054349C" w:rsidRPr="00326476">
          <w:rPr>
            <w:rStyle w:val="Hyperlink"/>
            <w:rFonts w:eastAsia="Aptos" w:cs="Arial"/>
            <w:noProof/>
            <w:sz w:val="22"/>
            <w:lang w:val="en-US"/>
          </w:rPr>
          <w:t>https://www.dffh.vic.gov.au/framework-trauma-informed-practice</w:t>
        </w:r>
      </w:hyperlink>
      <w:r w:rsidR="0054349C">
        <w:rPr>
          <w:rFonts w:eastAsia="Aptos" w:cs="Arial"/>
          <w:noProof/>
          <w:sz w:val="22"/>
          <w:lang w:val="en-US"/>
        </w:rPr>
        <w:t xml:space="preserve"> </w:t>
      </w:r>
    </w:p>
    <w:p w14:paraId="5759E511" w14:textId="77777777" w:rsidR="00B42805" w:rsidRPr="00B42805" w:rsidRDefault="00B42805" w:rsidP="00B42805">
      <w:pPr>
        <w:spacing w:before="0" w:after="0"/>
        <w:ind w:left="720" w:hanging="720"/>
        <w:rPr>
          <w:rFonts w:eastAsia="Aptos" w:cs="Arial"/>
          <w:noProof/>
          <w:sz w:val="22"/>
          <w:lang w:val="en-US"/>
        </w:rPr>
      </w:pPr>
      <w:r w:rsidRPr="00B42805">
        <w:rPr>
          <w:rFonts w:eastAsia="Aptos" w:cs="Arial"/>
          <w:noProof/>
          <w:sz w:val="22"/>
          <w:lang w:val="en-US"/>
        </w:rPr>
        <w:tab/>
      </w:r>
    </w:p>
    <w:p w14:paraId="2EB5AA7F" w14:textId="7A536A70" w:rsidR="00B42805" w:rsidRPr="00B42805" w:rsidRDefault="00B42805" w:rsidP="00B42805">
      <w:pPr>
        <w:spacing w:before="0" w:after="160"/>
        <w:ind w:left="720" w:hanging="720"/>
        <w:rPr>
          <w:rFonts w:eastAsia="Aptos" w:cs="Arial"/>
          <w:noProof/>
          <w:sz w:val="22"/>
          <w:lang w:val="en-US"/>
        </w:rPr>
      </w:pPr>
      <w:r w:rsidRPr="00B42805">
        <w:rPr>
          <w:rFonts w:eastAsia="Aptos" w:cs="Arial"/>
          <w:noProof/>
          <w:sz w:val="22"/>
          <w:lang w:val="en-US"/>
        </w:rPr>
        <w:t xml:space="preserve">Department of Health. (2013). </w:t>
      </w:r>
      <w:r w:rsidRPr="00B42805">
        <w:rPr>
          <w:rFonts w:eastAsia="Aptos" w:cs="Arial"/>
          <w:i/>
          <w:noProof/>
          <w:sz w:val="22"/>
          <w:lang w:val="en-US"/>
        </w:rPr>
        <w:t>National Framework for Neonatal Hearing Screening.</w:t>
      </w:r>
      <w:r w:rsidRPr="00B42805">
        <w:rPr>
          <w:rFonts w:eastAsia="Aptos" w:cs="Arial"/>
          <w:noProof/>
          <w:sz w:val="22"/>
          <w:lang w:val="en-US"/>
        </w:rPr>
        <w:t xml:space="preserve"> Canberra, ACT: Department of Health. Retrieved September 6, 2024,  </w:t>
      </w:r>
      <w:hyperlink r:id="rId186" w:history="1">
        <w:r w:rsidR="0054349C" w:rsidRPr="00326476">
          <w:rPr>
            <w:rStyle w:val="Hyperlink"/>
            <w:rFonts w:eastAsia="Aptos" w:cs="Arial"/>
            <w:noProof/>
            <w:sz w:val="22"/>
            <w:lang w:val="en-US"/>
          </w:rPr>
          <w:t>https://www.health.gov.au/resources/publications/national-framework-for-neonatal-hearing-screening?language=en</w:t>
        </w:r>
      </w:hyperlink>
      <w:r w:rsidR="0054349C">
        <w:rPr>
          <w:rFonts w:eastAsia="Aptos" w:cs="Arial"/>
          <w:noProof/>
          <w:sz w:val="22"/>
          <w:lang w:val="en-US"/>
        </w:rPr>
        <w:t xml:space="preserve"> </w:t>
      </w:r>
    </w:p>
    <w:p w14:paraId="0A5AA481" w14:textId="77777777" w:rsidR="00B42805" w:rsidRPr="00B42805" w:rsidRDefault="00B42805" w:rsidP="00B42805">
      <w:pPr>
        <w:spacing w:before="0" w:after="0"/>
        <w:ind w:left="720" w:hanging="720"/>
        <w:rPr>
          <w:rFonts w:eastAsia="Aptos" w:cs="Arial"/>
          <w:noProof/>
          <w:sz w:val="22"/>
          <w:lang w:val="en-US"/>
        </w:rPr>
      </w:pPr>
      <w:r w:rsidRPr="00B42805">
        <w:rPr>
          <w:rFonts w:eastAsia="Aptos" w:cs="Arial"/>
          <w:noProof/>
          <w:sz w:val="22"/>
          <w:lang w:val="en-US"/>
        </w:rPr>
        <w:tab/>
      </w:r>
    </w:p>
    <w:p w14:paraId="52659E96" w14:textId="77777777" w:rsidR="00B42805" w:rsidRPr="00B42805" w:rsidRDefault="00B42805" w:rsidP="00B42805">
      <w:pPr>
        <w:spacing w:before="0" w:after="160"/>
        <w:ind w:left="720" w:hanging="720"/>
        <w:rPr>
          <w:rFonts w:eastAsia="Aptos" w:cs="Arial"/>
          <w:noProof/>
          <w:sz w:val="22"/>
          <w:lang w:val="en-US"/>
        </w:rPr>
      </w:pPr>
      <w:r w:rsidRPr="00B42805">
        <w:rPr>
          <w:rFonts w:eastAsia="Aptos" w:cs="Arial"/>
          <w:noProof/>
          <w:sz w:val="22"/>
          <w:lang w:val="en-US"/>
        </w:rPr>
        <w:t xml:space="preserve">Department of Health and Social Care. (2019). </w:t>
      </w:r>
      <w:r w:rsidRPr="00B42805">
        <w:rPr>
          <w:rFonts w:eastAsia="Aptos" w:cs="Arial"/>
          <w:i/>
          <w:noProof/>
          <w:sz w:val="22"/>
          <w:lang w:val="en-US"/>
        </w:rPr>
        <w:t>Strengths-based approach: Practice framework and practice handbook</w:t>
      </w:r>
      <w:r w:rsidRPr="00B42805">
        <w:rPr>
          <w:rFonts w:eastAsia="Aptos" w:cs="Arial"/>
          <w:noProof/>
          <w:sz w:val="22"/>
          <w:lang w:val="en-US"/>
        </w:rPr>
        <w:t xml:space="preserve">. London, UK: Department of Health and Social Care. Retrieved September 6, 2024,  </w:t>
      </w:r>
    </w:p>
    <w:p w14:paraId="1F81C366" w14:textId="77777777" w:rsidR="00B42805" w:rsidRPr="00B42805" w:rsidRDefault="00B42805" w:rsidP="00B42805">
      <w:pPr>
        <w:spacing w:before="0" w:after="0"/>
        <w:ind w:left="720" w:hanging="720"/>
        <w:rPr>
          <w:rFonts w:eastAsia="Aptos" w:cs="Arial"/>
          <w:noProof/>
          <w:sz w:val="22"/>
          <w:lang w:val="en-US"/>
        </w:rPr>
      </w:pPr>
      <w:r w:rsidRPr="00B42805">
        <w:rPr>
          <w:rFonts w:eastAsia="Aptos" w:cs="Arial"/>
          <w:noProof/>
          <w:sz w:val="22"/>
          <w:lang w:val="en-US"/>
        </w:rPr>
        <w:tab/>
      </w:r>
    </w:p>
    <w:p w14:paraId="5031F0E7" w14:textId="7424D98D" w:rsidR="00B42805" w:rsidRPr="00B42805" w:rsidRDefault="00B42805" w:rsidP="00B42805">
      <w:pPr>
        <w:spacing w:before="0" w:after="160"/>
        <w:ind w:left="720" w:hanging="720"/>
        <w:rPr>
          <w:rFonts w:eastAsia="Aptos" w:cs="Arial"/>
          <w:noProof/>
          <w:sz w:val="22"/>
          <w:lang w:val="en-US"/>
        </w:rPr>
      </w:pPr>
      <w:r w:rsidRPr="00B42805">
        <w:rPr>
          <w:rFonts w:eastAsia="Aptos" w:cs="Arial"/>
          <w:noProof/>
          <w:sz w:val="22"/>
          <w:lang w:val="en-US"/>
        </w:rPr>
        <w:t xml:space="preserve">Department of Social Services. (2023a, 18 August). </w:t>
      </w:r>
      <w:r w:rsidRPr="00B42805">
        <w:rPr>
          <w:rFonts w:eastAsia="Aptos" w:cs="Arial"/>
          <w:i/>
          <w:noProof/>
          <w:sz w:val="22"/>
          <w:lang w:val="en-US"/>
        </w:rPr>
        <w:t>Early Childhood Targeted Action Plan 2.4. Stakeholder workshop report</w:t>
      </w:r>
      <w:r w:rsidRPr="00B42805">
        <w:rPr>
          <w:rFonts w:eastAsia="Aptos" w:cs="Arial"/>
          <w:noProof/>
          <w:sz w:val="22"/>
          <w:lang w:val="en-US"/>
        </w:rPr>
        <w:t xml:space="preserve">. Department of Social Services. Retrieved 6 September, 2024 from </w:t>
      </w:r>
      <w:hyperlink r:id="rId187" w:history="1">
        <w:r w:rsidR="0054349C" w:rsidRPr="00326476">
          <w:rPr>
            <w:rStyle w:val="Hyperlink"/>
            <w:rFonts w:eastAsia="Aptos" w:cs="Arial"/>
            <w:noProof/>
            <w:sz w:val="22"/>
            <w:lang w:val="en-US"/>
          </w:rPr>
          <w:t>https://www.dss.gov.au/families-and-children-publications-articles/dss-early-childhood-best-practice-workshop-report</w:t>
        </w:r>
      </w:hyperlink>
      <w:r w:rsidR="0054349C">
        <w:rPr>
          <w:rFonts w:eastAsia="Aptos" w:cs="Arial"/>
          <w:noProof/>
          <w:sz w:val="22"/>
          <w:lang w:val="en-US"/>
        </w:rPr>
        <w:t xml:space="preserve"> </w:t>
      </w:r>
    </w:p>
    <w:p w14:paraId="26F3A762" w14:textId="77777777" w:rsidR="00B42805" w:rsidRPr="00B42805" w:rsidRDefault="00B42805" w:rsidP="00B42805">
      <w:pPr>
        <w:spacing w:before="0" w:after="0"/>
        <w:ind w:left="720" w:hanging="720"/>
        <w:rPr>
          <w:rFonts w:eastAsia="Aptos" w:cs="Arial"/>
          <w:noProof/>
          <w:sz w:val="22"/>
          <w:lang w:val="en-US"/>
        </w:rPr>
      </w:pPr>
      <w:r w:rsidRPr="00B42805">
        <w:rPr>
          <w:rFonts w:eastAsia="Aptos" w:cs="Arial"/>
          <w:noProof/>
          <w:sz w:val="22"/>
          <w:lang w:val="en-US"/>
        </w:rPr>
        <w:tab/>
      </w:r>
    </w:p>
    <w:p w14:paraId="6C692FCB" w14:textId="46565515" w:rsidR="00B42805" w:rsidRDefault="00B42805" w:rsidP="00B42805">
      <w:pPr>
        <w:spacing w:before="0" w:after="160"/>
        <w:ind w:left="720" w:hanging="720"/>
        <w:rPr>
          <w:rFonts w:eastAsia="Aptos" w:cs="Arial"/>
          <w:noProof/>
          <w:sz w:val="22"/>
          <w:lang w:val="en-US"/>
        </w:rPr>
      </w:pPr>
      <w:r w:rsidRPr="00B42805">
        <w:rPr>
          <w:rFonts w:eastAsia="Aptos" w:cs="Arial"/>
          <w:noProof/>
          <w:sz w:val="22"/>
          <w:lang w:val="en-US"/>
        </w:rPr>
        <w:t xml:space="preserve">Department of Social Services. (2023b). </w:t>
      </w:r>
      <w:r w:rsidRPr="00B42805">
        <w:rPr>
          <w:rFonts w:eastAsia="Aptos" w:cs="Arial"/>
          <w:i/>
          <w:noProof/>
          <w:sz w:val="22"/>
          <w:lang w:val="en-US"/>
        </w:rPr>
        <w:t>National Autism Strategy.</w:t>
      </w:r>
      <w:r w:rsidRPr="00B42805">
        <w:rPr>
          <w:rFonts w:eastAsia="Aptos" w:cs="Arial"/>
          <w:noProof/>
          <w:sz w:val="22"/>
          <w:lang w:val="en-US"/>
        </w:rPr>
        <w:t xml:space="preserve">  </w:t>
      </w:r>
      <w:hyperlink r:id="rId188" w:history="1">
        <w:r w:rsidR="00CC4EAB" w:rsidRPr="00326476">
          <w:rPr>
            <w:rStyle w:val="Hyperlink"/>
            <w:rFonts w:eastAsia="Aptos" w:cs="Arial"/>
            <w:noProof/>
            <w:sz w:val="22"/>
            <w:lang w:val="en-US"/>
          </w:rPr>
          <w:t>https://www.dss.gov.au/disability-and-carers/national-autism-strategy</w:t>
        </w:r>
      </w:hyperlink>
    </w:p>
    <w:p w14:paraId="32AF38CC" w14:textId="77777777" w:rsidR="00CC4EAB" w:rsidRPr="00B42805" w:rsidRDefault="00CC4EAB" w:rsidP="00B42805">
      <w:pPr>
        <w:spacing w:before="0" w:after="160"/>
        <w:ind w:left="720" w:hanging="720"/>
        <w:rPr>
          <w:rFonts w:eastAsia="Aptos" w:cs="Arial"/>
          <w:noProof/>
          <w:sz w:val="22"/>
          <w:lang w:val="en-US"/>
        </w:rPr>
      </w:pPr>
    </w:p>
    <w:p w14:paraId="6656BAE7" w14:textId="1B6DFC75" w:rsidR="00BA1A25" w:rsidRPr="00BA1A25" w:rsidRDefault="00BA1A25" w:rsidP="00BA1A25">
      <w:pPr>
        <w:spacing w:before="0" w:after="160"/>
        <w:ind w:left="720" w:hanging="720"/>
        <w:rPr>
          <w:rFonts w:eastAsia="Aptos" w:cs="Arial"/>
          <w:noProof/>
          <w:sz w:val="22"/>
          <w:lang w:val="en-US"/>
        </w:rPr>
      </w:pPr>
      <w:r w:rsidRPr="00BA1A25">
        <w:rPr>
          <w:rFonts w:eastAsia="Aptos" w:cs="Arial"/>
          <w:noProof/>
          <w:sz w:val="22"/>
          <w:lang w:val="en-US"/>
        </w:rPr>
        <w:t xml:space="preserve">Department of the Prime Minister and Cabinet. (2017). </w:t>
      </w:r>
      <w:r w:rsidRPr="00BA1A25">
        <w:rPr>
          <w:rFonts w:eastAsia="Aptos" w:cs="Arial"/>
          <w:i/>
          <w:noProof/>
          <w:sz w:val="22"/>
          <w:lang w:val="en-US"/>
        </w:rPr>
        <w:t>National strategic framework for Aboriginal and Torres Strait Islander peoples' mental health and social and emotional wellbeing 2017-2023</w:t>
      </w:r>
      <w:r w:rsidRPr="00BA1A25">
        <w:rPr>
          <w:rFonts w:eastAsia="Aptos" w:cs="Arial"/>
          <w:noProof/>
          <w:sz w:val="22"/>
          <w:lang w:val="en-US"/>
        </w:rPr>
        <w:t xml:space="preserve">. Canberra: Commonwealth of Australia. Retrieved September 6, 2024 </w:t>
      </w:r>
      <w:hyperlink r:id="rId189" w:history="1">
        <w:r w:rsidR="0054349C" w:rsidRPr="00326476">
          <w:rPr>
            <w:rStyle w:val="Hyperlink"/>
            <w:rFonts w:eastAsia="Aptos" w:cs="Arial"/>
            <w:noProof/>
            <w:sz w:val="22"/>
            <w:lang w:val="en-US"/>
          </w:rPr>
          <w:t>https://healthinfonet.ecu.edu.au/key-resources/policies-and-strategies/33834/?title=National+strategic+framework+for+Aboriginal+and+Torres+Strait+Islander+peoples++mental+health+and+social+and+emotional+wellbeing+2017+2023&amp;contenttypeid=1&amp;contentid=33834_1</w:t>
        </w:r>
      </w:hyperlink>
      <w:r w:rsidR="0054349C">
        <w:rPr>
          <w:rFonts w:eastAsia="Aptos" w:cs="Arial"/>
          <w:noProof/>
          <w:sz w:val="22"/>
          <w:lang w:val="en-US"/>
        </w:rPr>
        <w:t xml:space="preserve"> </w:t>
      </w:r>
    </w:p>
    <w:p w14:paraId="647A663A" w14:textId="2BE4A8FA" w:rsidR="0030178D" w:rsidRPr="00075790" w:rsidRDefault="0030178D" w:rsidP="0030178D">
      <w:pPr>
        <w:pStyle w:val="EndNoteBibliography"/>
        <w:spacing w:after="0"/>
        <w:ind w:left="720" w:hanging="720"/>
      </w:pPr>
    </w:p>
    <w:p w14:paraId="44F8CC5A" w14:textId="020DCBD0" w:rsidR="00CC4EAB" w:rsidRDefault="00AE1D87" w:rsidP="00AE1D87">
      <w:pPr>
        <w:spacing w:before="0" w:after="160"/>
        <w:ind w:left="720" w:hanging="720"/>
        <w:rPr>
          <w:rFonts w:eastAsia="Aptos" w:cs="Arial"/>
          <w:noProof/>
          <w:sz w:val="22"/>
          <w:lang w:val="en-US"/>
        </w:rPr>
      </w:pPr>
      <w:r w:rsidRPr="00AE1D87">
        <w:rPr>
          <w:rFonts w:eastAsia="Aptos" w:cs="Arial"/>
          <w:noProof/>
          <w:sz w:val="22"/>
          <w:lang w:val="en-US"/>
        </w:rPr>
        <w:t xml:space="preserve">Devine, A., Dickinson, H., Rangi, M., Huska, M., Disney, G., Yang, Y., Barney, J., Kavanagh, A., Bonyhady, B., Deane, K., &amp; McAllister, A. (2022). ‘Nearly gave up on it to be honest’: Utilisation of individualised budgets by people with psychosocial disability within Australia's National Disability Insurance Scheme. </w:t>
      </w:r>
      <w:r w:rsidRPr="00AE1D87">
        <w:rPr>
          <w:rFonts w:eastAsia="Aptos" w:cs="Arial"/>
          <w:i/>
          <w:noProof/>
          <w:sz w:val="22"/>
          <w:lang w:val="en-US"/>
        </w:rPr>
        <w:t>Social Policy &amp; Administration</w:t>
      </w:r>
      <w:r w:rsidRPr="00AE1D87">
        <w:rPr>
          <w:rFonts w:eastAsia="Aptos" w:cs="Arial"/>
          <w:noProof/>
          <w:sz w:val="22"/>
          <w:lang w:val="en-US"/>
        </w:rPr>
        <w:t>,</w:t>
      </w:r>
      <w:r w:rsidRPr="00AE1D87">
        <w:rPr>
          <w:rFonts w:eastAsia="Aptos" w:cs="Arial"/>
          <w:i/>
          <w:noProof/>
          <w:sz w:val="22"/>
          <w:lang w:val="en-US"/>
        </w:rPr>
        <w:t xml:space="preserve"> 56</w:t>
      </w:r>
      <w:r w:rsidRPr="00AE1D87">
        <w:rPr>
          <w:rFonts w:eastAsia="Aptos" w:cs="Arial"/>
          <w:noProof/>
          <w:sz w:val="22"/>
          <w:lang w:val="en-US"/>
        </w:rPr>
        <w:t xml:space="preserve">(7), 1056-1073. </w:t>
      </w:r>
      <w:hyperlink r:id="rId190" w:history="1">
        <w:r w:rsidR="00CC4EAB" w:rsidRPr="00326476">
          <w:rPr>
            <w:rStyle w:val="Hyperlink"/>
            <w:rFonts w:eastAsia="Aptos" w:cs="Arial"/>
            <w:noProof/>
            <w:sz w:val="22"/>
            <w:lang w:val="en-US"/>
          </w:rPr>
          <w:t>https://doi.org/https://doi.org/10.1111/spol.12838</w:t>
        </w:r>
      </w:hyperlink>
    </w:p>
    <w:p w14:paraId="26317833" w14:textId="7442E284" w:rsidR="00AE1D87" w:rsidRPr="00AE1D87" w:rsidRDefault="00AE1D87" w:rsidP="00AE1D87">
      <w:pPr>
        <w:spacing w:before="0" w:after="160"/>
        <w:ind w:left="720" w:hanging="720"/>
        <w:rPr>
          <w:rFonts w:eastAsia="Aptos" w:cs="Arial"/>
          <w:noProof/>
          <w:sz w:val="22"/>
          <w:lang w:val="en-US"/>
        </w:rPr>
      </w:pPr>
      <w:r w:rsidRPr="00AE1D87">
        <w:rPr>
          <w:rFonts w:eastAsia="Aptos" w:cs="Arial"/>
          <w:noProof/>
          <w:sz w:val="22"/>
          <w:lang w:val="en-US"/>
        </w:rPr>
        <w:t xml:space="preserve"> </w:t>
      </w:r>
    </w:p>
    <w:p w14:paraId="35A0A015" w14:textId="592A56C4" w:rsidR="008A65AA" w:rsidRPr="008A65AA" w:rsidRDefault="008A65AA" w:rsidP="008A65AA">
      <w:pPr>
        <w:spacing w:before="0" w:after="160"/>
        <w:ind w:left="720" w:hanging="720"/>
        <w:rPr>
          <w:rFonts w:eastAsia="Aptos" w:cs="Arial"/>
          <w:noProof/>
          <w:sz w:val="22"/>
          <w:lang w:val="en-US"/>
        </w:rPr>
      </w:pPr>
      <w:r w:rsidRPr="008A65AA">
        <w:rPr>
          <w:rFonts w:eastAsia="Aptos" w:cs="Arial"/>
          <w:noProof/>
          <w:sz w:val="22"/>
          <w:lang w:val="en-US"/>
        </w:rPr>
        <w:t xml:space="preserve">Dewey, D. (2018). What is comorbidity and why does it matter in neurodevelopmental disorders? </w:t>
      </w:r>
      <w:r w:rsidRPr="008A65AA">
        <w:rPr>
          <w:rFonts w:eastAsia="Aptos" w:cs="Arial"/>
          <w:i/>
          <w:noProof/>
          <w:sz w:val="22"/>
          <w:lang w:val="en-US"/>
        </w:rPr>
        <w:t>Current Developmental Disorders Reports</w:t>
      </w:r>
      <w:r w:rsidRPr="008A65AA">
        <w:rPr>
          <w:rFonts w:eastAsia="Aptos" w:cs="Arial"/>
          <w:noProof/>
          <w:sz w:val="22"/>
          <w:lang w:val="en-US"/>
        </w:rPr>
        <w:t>,</w:t>
      </w:r>
      <w:r w:rsidRPr="008A65AA">
        <w:rPr>
          <w:rFonts w:eastAsia="Aptos" w:cs="Arial"/>
          <w:i/>
          <w:noProof/>
          <w:sz w:val="22"/>
          <w:lang w:val="en-US"/>
        </w:rPr>
        <w:t xml:space="preserve"> 5</w:t>
      </w:r>
      <w:r w:rsidRPr="008A65AA">
        <w:rPr>
          <w:rFonts w:eastAsia="Aptos" w:cs="Arial"/>
          <w:noProof/>
          <w:sz w:val="22"/>
          <w:lang w:val="en-US"/>
        </w:rPr>
        <w:t xml:space="preserve">, 235-242. </w:t>
      </w:r>
      <w:hyperlink r:id="rId191" w:history="1">
        <w:r w:rsidR="0054349C" w:rsidRPr="00326476">
          <w:rPr>
            <w:rStyle w:val="Hyperlink"/>
            <w:rFonts w:eastAsia="Aptos" w:cs="Arial"/>
            <w:noProof/>
            <w:sz w:val="22"/>
            <w:lang w:val="en-US"/>
          </w:rPr>
          <w:t>https://doi.org/10.1007/s40474-018-0152-3</w:t>
        </w:r>
      </w:hyperlink>
      <w:r w:rsidR="0054349C">
        <w:rPr>
          <w:rFonts w:eastAsia="Aptos" w:cs="Arial"/>
          <w:noProof/>
          <w:sz w:val="22"/>
          <w:lang w:val="en-US"/>
        </w:rPr>
        <w:t xml:space="preserve"> </w:t>
      </w:r>
      <w:r w:rsidRPr="008A65AA">
        <w:rPr>
          <w:rFonts w:eastAsia="Aptos" w:cs="Arial"/>
          <w:noProof/>
          <w:sz w:val="22"/>
          <w:lang w:val="en-US"/>
        </w:rPr>
        <w:t xml:space="preserve"> </w:t>
      </w:r>
    </w:p>
    <w:p w14:paraId="6E2A12E1" w14:textId="77777777" w:rsidR="008A65AA" w:rsidRPr="008A65AA" w:rsidRDefault="008A65AA" w:rsidP="008A65AA">
      <w:pPr>
        <w:spacing w:before="0" w:after="0"/>
        <w:ind w:left="720" w:hanging="720"/>
        <w:rPr>
          <w:rFonts w:eastAsia="Aptos" w:cs="Arial"/>
          <w:noProof/>
          <w:sz w:val="22"/>
          <w:lang w:val="en-US"/>
        </w:rPr>
      </w:pPr>
      <w:r w:rsidRPr="008A65AA">
        <w:rPr>
          <w:rFonts w:eastAsia="Aptos" w:cs="Arial"/>
          <w:noProof/>
          <w:sz w:val="22"/>
          <w:lang w:val="en-US"/>
        </w:rPr>
        <w:tab/>
      </w:r>
    </w:p>
    <w:p w14:paraId="5F2325FE" w14:textId="0571D531" w:rsidR="008A65AA" w:rsidRDefault="008A65AA" w:rsidP="008A65AA">
      <w:pPr>
        <w:spacing w:before="0" w:after="160"/>
        <w:ind w:left="720" w:hanging="720"/>
        <w:rPr>
          <w:rFonts w:eastAsia="Aptos" w:cs="Arial"/>
          <w:noProof/>
          <w:sz w:val="22"/>
          <w:lang w:val="en-US"/>
        </w:rPr>
      </w:pPr>
      <w:r w:rsidRPr="008A65AA">
        <w:rPr>
          <w:rFonts w:eastAsia="Aptos" w:cs="Arial"/>
          <w:noProof/>
          <w:sz w:val="22"/>
          <w:lang w:val="en-US"/>
        </w:rPr>
        <w:t xml:space="preserve">Dickinson, H. (2017). Individual funding systems: What works? </w:t>
      </w:r>
      <w:r w:rsidRPr="008A65AA">
        <w:rPr>
          <w:rFonts w:eastAsia="Aptos" w:cs="Arial"/>
          <w:i/>
          <w:noProof/>
          <w:sz w:val="22"/>
          <w:lang w:val="en-US"/>
        </w:rPr>
        <w:t>Evidence Base</w:t>
      </w:r>
      <w:r w:rsidRPr="008A65AA">
        <w:rPr>
          <w:rFonts w:eastAsia="Aptos" w:cs="Arial"/>
          <w:noProof/>
          <w:sz w:val="22"/>
          <w:lang w:val="en-US"/>
        </w:rPr>
        <w:t>,</w:t>
      </w:r>
      <w:r w:rsidRPr="008A65AA">
        <w:rPr>
          <w:rFonts w:eastAsia="Aptos" w:cs="Arial"/>
          <w:i/>
          <w:noProof/>
          <w:sz w:val="22"/>
          <w:lang w:val="en-US"/>
        </w:rPr>
        <w:t xml:space="preserve"> 2017</w:t>
      </w:r>
      <w:r w:rsidRPr="008A65AA">
        <w:rPr>
          <w:rFonts w:eastAsia="Aptos" w:cs="Arial"/>
          <w:noProof/>
          <w:sz w:val="22"/>
          <w:lang w:val="en-US"/>
        </w:rPr>
        <w:t xml:space="preserve">(3), 1-18. </w:t>
      </w:r>
      <w:hyperlink r:id="rId192" w:history="1">
        <w:r w:rsidR="0054349C" w:rsidRPr="00326476">
          <w:rPr>
            <w:rStyle w:val="Hyperlink"/>
            <w:rFonts w:eastAsia="Aptos" w:cs="Arial"/>
            <w:noProof/>
            <w:sz w:val="22"/>
            <w:lang w:val="en-US"/>
          </w:rPr>
          <w:t>https://doi.org/10.21307/eb-2017-003</w:t>
        </w:r>
      </w:hyperlink>
      <w:r w:rsidR="0054349C">
        <w:rPr>
          <w:rFonts w:eastAsia="Aptos" w:cs="Arial"/>
          <w:noProof/>
          <w:sz w:val="22"/>
          <w:lang w:val="en-US"/>
        </w:rPr>
        <w:t xml:space="preserve"> </w:t>
      </w:r>
      <w:r w:rsidRPr="008A65AA">
        <w:rPr>
          <w:rFonts w:eastAsia="Aptos" w:cs="Arial"/>
          <w:noProof/>
          <w:sz w:val="22"/>
          <w:lang w:val="en-US"/>
        </w:rPr>
        <w:t xml:space="preserve"> </w:t>
      </w:r>
    </w:p>
    <w:p w14:paraId="33E59B0C" w14:textId="77777777" w:rsidR="00CC4EAB" w:rsidRPr="008A65AA" w:rsidRDefault="00CC4EAB" w:rsidP="008A65AA">
      <w:pPr>
        <w:spacing w:before="0" w:after="160"/>
        <w:ind w:left="720" w:hanging="720"/>
        <w:rPr>
          <w:rFonts w:eastAsia="Aptos" w:cs="Arial"/>
          <w:noProof/>
          <w:sz w:val="22"/>
          <w:lang w:val="en-US"/>
        </w:rPr>
      </w:pPr>
    </w:p>
    <w:p w14:paraId="79C220FB" w14:textId="7F1CCBC3" w:rsidR="00653B4B" w:rsidRPr="00653B4B" w:rsidRDefault="00653B4B" w:rsidP="00653B4B">
      <w:pPr>
        <w:spacing w:before="0" w:after="160"/>
        <w:ind w:left="720" w:hanging="720"/>
        <w:rPr>
          <w:rFonts w:eastAsia="Aptos" w:cs="Arial"/>
          <w:noProof/>
          <w:sz w:val="22"/>
          <w:lang w:val="en-US"/>
        </w:rPr>
      </w:pPr>
      <w:r w:rsidRPr="00653B4B">
        <w:rPr>
          <w:rFonts w:eastAsia="Aptos" w:cs="Arial"/>
          <w:noProof/>
          <w:sz w:val="22"/>
          <w:lang w:val="en-US"/>
        </w:rPr>
        <w:t xml:space="preserve">DiGiacomo, M., Davidson, P., Abbott, P., Delaney, P., Dharmendra, T., McGrath, S. J., Delaney, J., &amp; F, V. (2013). Childhood disability in Aboriginal and Torres Strait Islander peoples: a literature review. </w:t>
      </w:r>
      <w:r w:rsidRPr="00653B4B">
        <w:rPr>
          <w:rFonts w:eastAsia="Aptos" w:cs="Arial"/>
          <w:i/>
          <w:noProof/>
          <w:sz w:val="22"/>
          <w:lang w:val="en-US"/>
        </w:rPr>
        <w:t>International journal for equity in health</w:t>
      </w:r>
      <w:r w:rsidRPr="00653B4B">
        <w:rPr>
          <w:rFonts w:eastAsia="Aptos" w:cs="Arial"/>
          <w:noProof/>
          <w:sz w:val="22"/>
          <w:lang w:val="en-US"/>
        </w:rPr>
        <w:t>,</w:t>
      </w:r>
      <w:r w:rsidRPr="00653B4B">
        <w:rPr>
          <w:rFonts w:eastAsia="Aptos" w:cs="Arial"/>
          <w:i/>
          <w:noProof/>
          <w:sz w:val="22"/>
          <w:lang w:val="en-US"/>
        </w:rPr>
        <w:t xml:space="preserve"> 12</w:t>
      </w:r>
      <w:r w:rsidRPr="00653B4B">
        <w:rPr>
          <w:rFonts w:eastAsia="Aptos" w:cs="Arial"/>
          <w:noProof/>
          <w:sz w:val="22"/>
          <w:lang w:val="en-US"/>
        </w:rPr>
        <w:t xml:space="preserve">(7). </w:t>
      </w:r>
      <w:hyperlink r:id="rId193" w:history="1">
        <w:r w:rsidR="0054349C" w:rsidRPr="00326476">
          <w:rPr>
            <w:rStyle w:val="Hyperlink"/>
            <w:rFonts w:eastAsia="Aptos" w:cs="Arial"/>
            <w:noProof/>
            <w:sz w:val="22"/>
            <w:lang w:val="en-US"/>
          </w:rPr>
          <w:t>https://doi.org/https://doi.org/10.1186/1475-9276-12-7</w:t>
        </w:r>
      </w:hyperlink>
      <w:r w:rsidR="0054349C">
        <w:rPr>
          <w:rFonts w:eastAsia="Aptos" w:cs="Arial"/>
          <w:noProof/>
          <w:sz w:val="22"/>
          <w:lang w:val="en-US"/>
        </w:rPr>
        <w:t xml:space="preserve"> </w:t>
      </w:r>
      <w:r w:rsidRPr="00653B4B">
        <w:rPr>
          <w:rFonts w:eastAsia="Aptos" w:cs="Arial"/>
          <w:noProof/>
          <w:sz w:val="22"/>
          <w:lang w:val="en-US"/>
        </w:rPr>
        <w:t xml:space="preserve"> </w:t>
      </w:r>
    </w:p>
    <w:p w14:paraId="2778482D" w14:textId="77777777" w:rsidR="00653B4B" w:rsidRPr="00653B4B" w:rsidRDefault="00653B4B" w:rsidP="00653B4B">
      <w:pPr>
        <w:spacing w:before="0" w:after="0"/>
        <w:ind w:left="720" w:hanging="720"/>
        <w:rPr>
          <w:rFonts w:eastAsia="Aptos" w:cs="Arial"/>
          <w:noProof/>
          <w:sz w:val="22"/>
          <w:lang w:val="en-US"/>
        </w:rPr>
      </w:pPr>
      <w:r w:rsidRPr="00653B4B">
        <w:rPr>
          <w:rFonts w:eastAsia="Aptos" w:cs="Arial"/>
          <w:noProof/>
          <w:sz w:val="22"/>
          <w:lang w:val="en-US"/>
        </w:rPr>
        <w:tab/>
      </w:r>
    </w:p>
    <w:p w14:paraId="4C75BE17" w14:textId="0F9A9369" w:rsidR="00653B4B" w:rsidRDefault="00653B4B" w:rsidP="00653B4B">
      <w:pPr>
        <w:spacing w:before="0" w:after="160"/>
        <w:ind w:left="720" w:hanging="720"/>
        <w:rPr>
          <w:rFonts w:eastAsia="Aptos" w:cs="Arial"/>
          <w:noProof/>
          <w:sz w:val="22"/>
          <w:lang w:val="en-US"/>
        </w:rPr>
      </w:pPr>
      <w:r w:rsidRPr="00653B4B">
        <w:rPr>
          <w:rFonts w:eastAsia="Aptos" w:cs="Arial"/>
          <w:noProof/>
          <w:sz w:val="22"/>
          <w:lang w:val="en-US"/>
        </w:rPr>
        <w:t xml:space="preserve">Dikow, N., Moog, U., Karch, S., Sander, A., Kilian, S., Blank, R., &amp; Reuner, G. (2019). What do parents expect from a genetic diagnosis of their child with intellectual disability? </w:t>
      </w:r>
      <w:r w:rsidRPr="00653B4B">
        <w:rPr>
          <w:rFonts w:eastAsia="Aptos" w:cs="Arial"/>
          <w:i/>
          <w:noProof/>
          <w:sz w:val="22"/>
          <w:lang w:val="en-US"/>
        </w:rPr>
        <w:t>Journal of Applied Research in Intellectual Disabilities</w:t>
      </w:r>
      <w:r w:rsidRPr="00653B4B">
        <w:rPr>
          <w:rFonts w:eastAsia="Aptos" w:cs="Arial"/>
          <w:noProof/>
          <w:sz w:val="22"/>
          <w:lang w:val="en-US"/>
        </w:rPr>
        <w:t>,</w:t>
      </w:r>
      <w:r w:rsidRPr="00653B4B">
        <w:rPr>
          <w:rFonts w:eastAsia="Aptos" w:cs="Arial"/>
          <w:i/>
          <w:noProof/>
          <w:sz w:val="22"/>
          <w:lang w:val="en-US"/>
        </w:rPr>
        <w:t xml:space="preserve"> 32</w:t>
      </w:r>
      <w:r w:rsidRPr="00653B4B">
        <w:rPr>
          <w:rFonts w:eastAsia="Aptos" w:cs="Arial"/>
          <w:noProof/>
          <w:sz w:val="22"/>
          <w:lang w:val="en-US"/>
        </w:rPr>
        <w:t xml:space="preserve">(5), 1129-1137. </w:t>
      </w:r>
      <w:hyperlink r:id="rId194" w:history="1">
        <w:r w:rsidR="00CC4EAB" w:rsidRPr="00326476">
          <w:rPr>
            <w:rStyle w:val="Hyperlink"/>
            <w:rFonts w:eastAsia="Aptos" w:cs="Arial"/>
            <w:noProof/>
            <w:sz w:val="22"/>
            <w:lang w:val="en-US"/>
          </w:rPr>
          <w:t>https://doi.org/10.1111/jar.12602</w:t>
        </w:r>
      </w:hyperlink>
      <w:r w:rsidRPr="00653B4B">
        <w:rPr>
          <w:rFonts w:eastAsia="Aptos" w:cs="Arial"/>
          <w:noProof/>
          <w:sz w:val="22"/>
          <w:lang w:val="en-US"/>
        </w:rPr>
        <w:t xml:space="preserve"> </w:t>
      </w:r>
    </w:p>
    <w:p w14:paraId="75BCCE6C" w14:textId="77777777" w:rsidR="00CC4EAB" w:rsidRPr="00653B4B" w:rsidRDefault="00CC4EAB" w:rsidP="00653B4B">
      <w:pPr>
        <w:spacing w:before="0" w:after="160"/>
        <w:ind w:left="720" w:hanging="720"/>
        <w:rPr>
          <w:rFonts w:eastAsia="Aptos" w:cs="Arial"/>
          <w:noProof/>
          <w:sz w:val="22"/>
          <w:lang w:val="en-US"/>
        </w:rPr>
      </w:pPr>
    </w:p>
    <w:p w14:paraId="74C96322" w14:textId="77777777" w:rsidR="00985518" w:rsidRPr="00985518" w:rsidRDefault="00985518" w:rsidP="00985518">
      <w:pPr>
        <w:spacing w:before="0" w:after="160"/>
        <w:ind w:left="720" w:hanging="720"/>
        <w:rPr>
          <w:rFonts w:eastAsia="Aptos" w:cs="Arial"/>
          <w:noProof/>
          <w:sz w:val="22"/>
          <w:lang w:val="en-US"/>
        </w:rPr>
      </w:pPr>
      <w:r w:rsidRPr="00985518">
        <w:rPr>
          <w:rFonts w:eastAsia="Aptos" w:cs="Arial"/>
          <w:noProof/>
          <w:sz w:val="22"/>
          <w:lang w:val="en-US"/>
        </w:rPr>
        <w:t xml:space="preserve">Dillon-Wallace, J. A., McDonagh, S. H., &amp; Fordham, L. A. (2014). How stable is the well-being of Australian mothers who care for young children with special health care needs? </w:t>
      </w:r>
      <w:r w:rsidRPr="00985518">
        <w:rPr>
          <w:rFonts w:eastAsia="Aptos" w:cs="Arial"/>
          <w:i/>
          <w:noProof/>
          <w:sz w:val="22"/>
          <w:lang w:val="en-US"/>
        </w:rPr>
        <w:t>Journal of Child and Family Studies</w:t>
      </w:r>
      <w:r w:rsidRPr="00985518">
        <w:rPr>
          <w:rFonts w:eastAsia="Aptos" w:cs="Arial"/>
          <w:noProof/>
          <w:sz w:val="22"/>
          <w:lang w:val="en-US"/>
        </w:rPr>
        <w:t>,</w:t>
      </w:r>
      <w:r w:rsidRPr="00985518">
        <w:rPr>
          <w:rFonts w:eastAsia="Aptos" w:cs="Arial"/>
          <w:i/>
          <w:noProof/>
          <w:sz w:val="22"/>
          <w:lang w:val="en-US"/>
        </w:rPr>
        <w:t xml:space="preserve"> 23</w:t>
      </w:r>
      <w:r w:rsidRPr="00985518">
        <w:rPr>
          <w:rFonts w:eastAsia="Aptos" w:cs="Arial"/>
          <w:noProof/>
          <w:sz w:val="22"/>
          <w:lang w:val="en-US"/>
        </w:rPr>
        <w:t xml:space="preserve">, 1215-1226. </w:t>
      </w:r>
    </w:p>
    <w:p w14:paraId="6CED1626" w14:textId="77777777" w:rsidR="00985518" w:rsidRPr="00985518" w:rsidRDefault="00985518" w:rsidP="00985518">
      <w:pPr>
        <w:spacing w:before="0" w:after="0"/>
        <w:ind w:left="720" w:hanging="720"/>
        <w:rPr>
          <w:rFonts w:eastAsia="Aptos" w:cs="Arial"/>
          <w:noProof/>
          <w:sz w:val="22"/>
          <w:lang w:val="en-US"/>
        </w:rPr>
      </w:pPr>
      <w:r w:rsidRPr="00985518">
        <w:rPr>
          <w:rFonts w:eastAsia="Aptos" w:cs="Arial"/>
          <w:noProof/>
          <w:sz w:val="22"/>
          <w:lang w:val="en-US"/>
        </w:rPr>
        <w:tab/>
      </w:r>
    </w:p>
    <w:p w14:paraId="5E7797E1" w14:textId="77777777" w:rsidR="00985518" w:rsidRPr="00985518" w:rsidRDefault="00985518" w:rsidP="00985518">
      <w:pPr>
        <w:spacing w:before="0" w:after="160"/>
        <w:ind w:left="720" w:hanging="720"/>
        <w:rPr>
          <w:rFonts w:eastAsia="Aptos" w:cs="Arial"/>
          <w:noProof/>
          <w:sz w:val="22"/>
          <w:lang w:val="en-US"/>
        </w:rPr>
      </w:pPr>
      <w:r w:rsidRPr="00985518">
        <w:rPr>
          <w:rFonts w:eastAsia="Aptos" w:cs="Arial"/>
          <w:noProof/>
          <w:sz w:val="22"/>
          <w:lang w:val="en-US"/>
        </w:rPr>
        <w:t xml:space="preserve">Dissanayake, C. (2012). The trouble with autism: Delays in early identification and diagnosis. </w:t>
      </w:r>
      <w:r w:rsidRPr="00985518">
        <w:rPr>
          <w:rFonts w:eastAsia="Aptos" w:cs="Arial"/>
          <w:i/>
          <w:noProof/>
          <w:sz w:val="22"/>
          <w:lang w:val="en-US"/>
        </w:rPr>
        <w:t>Bulletin of the Australian Psychological Society</w:t>
      </w:r>
      <w:r w:rsidRPr="00985518">
        <w:rPr>
          <w:rFonts w:eastAsia="Aptos" w:cs="Arial"/>
          <w:noProof/>
          <w:sz w:val="22"/>
          <w:lang w:val="en-US"/>
        </w:rPr>
        <w:t>,</w:t>
      </w:r>
      <w:r w:rsidRPr="00985518">
        <w:rPr>
          <w:rFonts w:eastAsia="Aptos" w:cs="Arial"/>
          <w:i/>
          <w:noProof/>
          <w:sz w:val="22"/>
          <w:lang w:val="en-US"/>
        </w:rPr>
        <w:t xml:space="preserve"> 34</w:t>
      </w:r>
      <w:r w:rsidRPr="00985518">
        <w:rPr>
          <w:rFonts w:eastAsia="Aptos" w:cs="Arial"/>
          <w:noProof/>
          <w:sz w:val="22"/>
          <w:lang w:val="en-US"/>
        </w:rPr>
        <w:t xml:space="preserve">(3), 12-13. </w:t>
      </w:r>
    </w:p>
    <w:p w14:paraId="2D0A781E" w14:textId="77777777" w:rsidR="00985518" w:rsidRPr="00985518" w:rsidRDefault="00985518" w:rsidP="00985518">
      <w:pPr>
        <w:spacing w:before="0" w:after="0"/>
        <w:ind w:left="720" w:hanging="720"/>
        <w:rPr>
          <w:rFonts w:eastAsia="Aptos" w:cs="Arial"/>
          <w:noProof/>
          <w:sz w:val="22"/>
          <w:lang w:val="en-US"/>
        </w:rPr>
      </w:pPr>
      <w:r w:rsidRPr="00985518">
        <w:rPr>
          <w:rFonts w:eastAsia="Aptos" w:cs="Arial"/>
          <w:noProof/>
          <w:sz w:val="22"/>
          <w:lang w:val="en-US"/>
        </w:rPr>
        <w:tab/>
      </w:r>
    </w:p>
    <w:p w14:paraId="05AEE786" w14:textId="29F14E61" w:rsidR="00985518" w:rsidRPr="00985518" w:rsidRDefault="00985518" w:rsidP="00985518">
      <w:pPr>
        <w:spacing w:before="0" w:after="160"/>
        <w:ind w:left="720" w:hanging="720"/>
        <w:rPr>
          <w:rFonts w:eastAsia="Aptos" w:cs="Arial"/>
          <w:noProof/>
          <w:sz w:val="22"/>
          <w:lang w:val="en-US"/>
        </w:rPr>
      </w:pPr>
      <w:r w:rsidRPr="00985518">
        <w:rPr>
          <w:rFonts w:eastAsia="Aptos" w:cs="Arial"/>
          <w:noProof/>
          <w:sz w:val="22"/>
          <w:lang w:val="en-US"/>
        </w:rPr>
        <w:t xml:space="preserve">Dissanayake, C., &amp; Crossley, S. A. (1996). Proximity and sociable behaviours in autism: Evidence for attachment. </w:t>
      </w:r>
      <w:r w:rsidRPr="00985518">
        <w:rPr>
          <w:rFonts w:eastAsia="Aptos" w:cs="Arial"/>
          <w:i/>
          <w:noProof/>
          <w:sz w:val="22"/>
          <w:lang w:val="en-US"/>
        </w:rPr>
        <w:t>Journal of Child Psychology and Psychiatry</w:t>
      </w:r>
      <w:r w:rsidRPr="00985518">
        <w:rPr>
          <w:rFonts w:eastAsia="Aptos" w:cs="Arial"/>
          <w:noProof/>
          <w:sz w:val="22"/>
          <w:lang w:val="en-US"/>
        </w:rPr>
        <w:t>,</w:t>
      </w:r>
      <w:r w:rsidRPr="00985518">
        <w:rPr>
          <w:rFonts w:eastAsia="Aptos" w:cs="Arial"/>
          <w:i/>
          <w:noProof/>
          <w:sz w:val="22"/>
          <w:lang w:val="en-US"/>
        </w:rPr>
        <w:t xml:space="preserve"> 37</w:t>
      </w:r>
      <w:r w:rsidRPr="00985518">
        <w:rPr>
          <w:rFonts w:eastAsia="Aptos" w:cs="Arial"/>
          <w:noProof/>
          <w:sz w:val="22"/>
          <w:lang w:val="en-US"/>
        </w:rPr>
        <w:t xml:space="preserve">(2), 149-156. </w:t>
      </w:r>
      <w:hyperlink r:id="rId195" w:history="1">
        <w:r w:rsidR="0054349C" w:rsidRPr="00326476">
          <w:rPr>
            <w:rStyle w:val="Hyperlink"/>
            <w:rFonts w:eastAsia="Aptos" w:cs="Arial"/>
            <w:noProof/>
            <w:sz w:val="22"/>
            <w:lang w:val="en-US"/>
          </w:rPr>
          <w:t>https://doi.org/10.1111/j.1469-7610.1996.tb01386.x</w:t>
        </w:r>
      </w:hyperlink>
      <w:r w:rsidR="0054349C">
        <w:rPr>
          <w:rFonts w:eastAsia="Aptos" w:cs="Arial"/>
          <w:noProof/>
          <w:sz w:val="22"/>
          <w:lang w:val="en-US"/>
        </w:rPr>
        <w:t xml:space="preserve"> </w:t>
      </w:r>
      <w:r w:rsidRPr="00985518">
        <w:rPr>
          <w:rFonts w:eastAsia="Aptos" w:cs="Arial"/>
          <w:noProof/>
          <w:sz w:val="22"/>
          <w:lang w:val="en-US"/>
        </w:rPr>
        <w:t xml:space="preserve"> </w:t>
      </w:r>
    </w:p>
    <w:p w14:paraId="21F4C43E" w14:textId="77777777" w:rsidR="00985518" w:rsidRPr="00985518" w:rsidRDefault="00985518" w:rsidP="00985518">
      <w:pPr>
        <w:spacing w:before="0" w:after="0"/>
        <w:ind w:left="720" w:hanging="720"/>
        <w:rPr>
          <w:rFonts w:eastAsia="Aptos" w:cs="Arial"/>
          <w:noProof/>
          <w:sz w:val="22"/>
          <w:lang w:val="en-US"/>
        </w:rPr>
      </w:pPr>
      <w:r w:rsidRPr="00985518">
        <w:rPr>
          <w:rFonts w:eastAsia="Aptos" w:cs="Arial"/>
          <w:noProof/>
          <w:sz w:val="22"/>
          <w:lang w:val="en-US"/>
        </w:rPr>
        <w:tab/>
      </w:r>
    </w:p>
    <w:p w14:paraId="461939B7" w14:textId="1E3F9ACB" w:rsidR="00985518" w:rsidRPr="00985518" w:rsidRDefault="00985518" w:rsidP="00985518">
      <w:pPr>
        <w:spacing w:before="0" w:after="160"/>
        <w:ind w:left="720" w:hanging="720"/>
        <w:rPr>
          <w:rFonts w:eastAsia="Aptos" w:cs="Arial"/>
          <w:noProof/>
          <w:sz w:val="22"/>
          <w:lang w:val="en-US"/>
        </w:rPr>
      </w:pPr>
      <w:r w:rsidRPr="00985518">
        <w:rPr>
          <w:rFonts w:eastAsia="Aptos" w:cs="Arial"/>
          <w:noProof/>
          <w:sz w:val="22"/>
          <w:lang w:val="en-US"/>
        </w:rPr>
        <w:t xml:space="preserve">Dissanayake, C., &amp; Crossley, S. A. (1997). Autistic children's responses to separation and reunion with their mothers. </w:t>
      </w:r>
      <w:r w:rsidRPr="00985518">
        <w:rPr>
          <w:rFonts w:eastAsia="Aptos" w:cs="Arial"/>
          <w:i/>
          <w:noProof/>
          <w:sz w:val="22"/>
          <w:lang w:val="en-US"/>
        </w:rPr>
        <w:t>Journal of Autism and Developmental Disorders</w:t>
      </w:r>
      <w:r w:rsidRPr="00985518">
        <w:rPr>
          <w:rFonts w:eastAsia="Aptos" w:cs="Arial"/>
          <w:noProof/>
          <w:sz w:val="22"/>
          <w:lang w:val="en-US"/>
        </w:rPr>
        <w:t>,</w:t>
      </w:r>
      <w:r w:rsidRPr="00985518">
        <w:rPr>
          <w:rFonts w:eastAsia="Aptos" w:cs="Arial"/>
          <w:i/>
          <w:noProof/>
          <w:sz w:val="22"/>
          <w:lang w:val="en-US"/>
        </w:rPr>
        <w:t xml:space="preserve"> 27</w:t>
      </w:r>
      <w:r w:rsidRPr="00985518">
        <w:rPr>
          <w:rFonts w:eastAsia="Aptos" w:cs="Arial"/>
          <w:noProof/>
          <w:sz w:val="22"/>
          <w:lang w:val="en-US"/>
        </w:rPr>
        <w:t xml:space="preserve">(3), 295-312. </w:t>
      </w:r>
      <w:hyperlink r:id="rId196" w:history="1">
        <w:r w:rsidR="0054349C" w:rsidRPr="00326476">
          <w:rPr>
            <w:rStyle w:val="Hyperlink"/>
            <w:rFonts w:eastAsia="Aptos" w:cs="Arial"/>
            <w:noProof/>
            <w:sz w:val="22"/>
            <w:lang w:val="en-US"/>
          </w:rPr>
          <w:t>https://doi.org/10.1023/a:1025802515241</w:t>
        </w:r>
      </w:hyperlink>
      <w:r w:rsidR="0054349C">
        <w:rPr>
          <w:rFonts w:eastAsia="Aptos" w:cs="Arial"/>
          <w:noProof/>
          <w:sz w:val="22"/>
          <w:lang w:val="en-US"/>
        </w:rPr>
        <w:t xml:space="preserve"> </w:t>
      </w:r>
      <w:r w:rsidRPr="00985518">
        <w:rPr>
          <w:rFonts w:eastAsia="Aptos" w:cs="Arial"/>
          <w:noProof/>
          <w:sz w:val="22"/>
          <w:lang w:val="en-US"/>
        </w:rPr>
        <w:t xml:space="preserve"> </w:t>
      </w:r>
    </w:p>
    <w:p w14:paraId="50C80E5A" w14:textId="77777777" w:rsidR="00985518" w:rsidRPr="00985518" w:rsidRDefault="00985518" w:rsidP="00985518">
      <w:pPr>
        <w:spacing w:before="0" w:after="0"/>
        <w:ind w:left="720" w:hanging="720"/>
        <w:rPr>
          <w:rFonts w:eastAsia="Aptos" w:cs="Arial"/>
          <w:noProof/>
          <w:sz w:val="22"/>
          <w:lang w:val="en-US"/>
        </w:rPr>
      </w:pPr>
      <w:r w:rsidRPr="00985518">
        <w:rPr>
          <w:rFonts w:eastAsia="Aptos" w:cs="Arial"/>
          <w:noProof/>
          <w:sz w:val="22"/>
          <w:lang w:val="en-US"/>
        </w:rPr>
        <w:tab/>
      </w:r>
    </w:p>
    <w:p w14:paraId="25DB699D" w14:textId="77777777" w:rsidR="00985518" w:rsidRDefault="00985518" w:rsidP="00985518">
      <w:pPr>
        <w:spacing w:before="0" w:after="160"/>
        <w:ind w:left="720" w:hanging="720"/>
        <w:rPr>
          <w:rFonts w:eastAsia="Aptos" w:cs="Arial"/>
          <w:noProof/>
          <w:sz w:val="22"/>
          <w:lang w:val="en-US"/>
        </w:rPr>
      </w:pPr>
      <w:r w:rsidRPr="00985518">
        <w:rPr>
          <w:rFonts w:eastAsia="Aptos" w:cs="Arial"/>
          <w:noProof/>
          <w:sz w:val="22"/>
          <w:lang w:val="en-US"/>
        </w:rPr>
        <w:t xml:space="preserve">Dissanayake, C., &amp; Sigman, M. (2001). Attachment and emotional responsiveness in children with autism. In L. M. Glidden (Ed.), </w:t>
      </w:r>
      <w:r w:rsidRPr="00985518">
        <w:rPr>
          <w:rFonts w:eastAsia="Aptos" w:cs="Arial"/>
          <w:i/>
          <w:noProof/>
          <w:sz w:val="22"/>
          <w:lang w:val="en-US"/>
        </w:rPr>
        <w:t>International Review of Research in Mental Retardation</w:t>
      </w:r>
      <w:r w:rsidRPr="00985518">
        <w:rPr>
          <w:rFonts w:eastAsia="Aptos" w:cs="Arial"/>
          <w:noProof/>
          <w:sz w:val="22"/>
          <w:lang w:val="en-US"/>
        </w:rPr>
        <w:t xml:space="preserve"> (Vol. 23, pp. 239-266). San Diego, CA: Academic Press. </w:t>
      </w:r>
    </w:p>
    <w:p w14:paraId="7A02F1AD" w14:textId="77777777" w:rsidR="00CC4EAB" w:rsidRPr="00985518" w:rsidRDefault="00CC4EAB" w:rsidP="00985518">
      <w:pPr>
        <w:spacing w:before="0" w:after="160"/>
        <w:ind w:left="720" w:hanging="720"/>
        <w:rPr>
          <w:rFonts w:eastAsia="Aptos" w:cs="Arial"/>
          <w:noProof/>
          <w:sz w:val="22"/>
          <w:lang w:val="en-US"/>
        </w:rPr>
      </w:pPr>
    </w:p>
    <w:p w14:paraId="3263F420" w14:textId="6FCA3C44" w:rsidR="00C92546" w:rsidRDefault="00C92546" w:rsidP="00C92546">
      <w:pPr>
        <w:spacing w:before="0" w:after="160"/>
        <w:ind w:left="720" w:hanging="720"/>
        <w:rPr>
          <w:rFonts w:eastAsia="Aptos" w:cs="Arial"/>
          <w:noProof/>
          <w:sz w:val="22"/>
          <w:lang w:val="en-US"/>
        </w:rPr>
      </w:pPr>
      <w:r w:rsidRPr="00C92546">
        <w:rPr>
          <w:rFonts w:eastAsia="Aptos" w:cs="Arial"/>
          <w:noProof/>
          <w:sz w:val="22"/>
          <w:lang w:val="en-US"/>
        </w:rPr>
        <w:t xml:space="preserve">Division for Early Childhood. (2014). </w:t>
      </w:r>
      <w:r w:rsidRPr="00C92546">
        <w:rPr>
          <w:rFonts w:eastAsia="Aptos" w:cs="Arial"/>
          <w:i/>
          <w:noProof/>
          <w:sz w:val="22"/>
          <w:lang w:val="en-US"/>
        </w:rPr>
        <w:t>DEC recommended practices in early intervention/early childhood special education.</w:t>
      </w:r>
      <w:r w:rsidRPr="00C92546">
        <w:rPr>
          <w:rFonts w:eastAsia="Aptos" w:cs="Arial"/>
          <w:noProof/>
          <w:sz w:val="22"/>
          <w:lang w:val="en-US"/>
        </w:rPr>
        <w:t xml:space="preserve"> Division for Early Childhood. Retrieved 6 September, 2024 from </w:t>
      </w:r>
      <w:hyperlink r:id="rId197" w:history="1">
        <w:r w:rsidR="00CC4EAB" w:rsidRPr="00326476">
          <w:rPr>
            <w:rStyle w:val="Hyperlink"/>
            <w:rFonts w:eastAsia="Aptos" w:cs="Arial"/>
            <w:noProof/>
            <w:sz w:val="22"/>
            <w:lang w:val="en-US"/>
          </w:rPr>
          <w:t>http://www.dec-sped.org/dec-recommended-practices</w:t>
        </w:r>
      </w:hyperlink>
    </w:p>
    <w:p w14:paraId="09144C4F" w14:textId="77777777" w:rsidR="00CC4EAB" w:rsidRPr="00C92546" w:rsidRDefault="00CC4EAB" w:rsidP="00C92546">
      <w:pPr>
        <w:spacing w:before="0" w:after="160"/>
        <w:ind w:left="720" w:hanging="720"/>
        <w:rPr>
          <w:rFonts w:eastAsia="Aptos" w:cs="Arial"/>
          <w:noProof/>
          <w:sz w:val="22"/>
          <w:lang w:val="en-US"/>
        </w:rPr>
      </w:pPr>
    </w:p>
    <w:p w14:paraId="7FC89DCB" w14:textId="327A488D" w:rsidR="00E4003B" w:rsidRDefault="00E4003B" w:rsidP="00E4003B">
      <w:pPr>
        <w:spacing w:before="0" w:after="160"/>
        <w:ind w:left="720" w:hanging="720"/>
        <w:rPr>
          <w:rFonts w:eastAsia="Aptos" w:cs="Arial"/>
          <w:noProof/>
          <w:sz w:val="22"/>
          <w:lang w:val="en-US"/>
        </w:rPr>
      </w:pPr>
      <w:r w:rsidRPr="00E4003B">
        <w:rPr>
          <w:rFonts w:eastAsia="Aptos" w:cs="Arial"/>
          <w:noProof/>
          <w:sz w:val="22"/>
          <w:lang w:val="en-US"/>
        </w:rPr>
        <w:t xml:space="preserve">Division for Early Childhood. (2015). </w:t>
      </w:r>
      <w:r w:rsidRPr="00E4003B">
        <w:rPr>
          <w:rFonts w:eastAsia="Aptos" w:cs="Arial"/>
          <w:i/>
          <w:noProof/>
          <w:sz w:val="22"/>
          <w:lang w:val="en-US"/>
        </w:rPr>
        <w:t>DEC recommended practices: Enhancing services for young children with disabilities and their families.</w:t>
      </w:r>
      <w:r w:rsidRPr="00E4003B">
        <w:rPr>
          <w:rFonts w:eastAsia="Aptos" w:cs="Arial"/>
          <w:noProof/>
          <w:sz w:val="22"/>
          <w:lang w:val="en-US"/>
        </w:rPr>
        <w:t xml:space="preserve">  Retrieved September 6, 2024,  </w:t>
      </w:r>
      <w:hyperlink r:id="rId198" w:history="1">
        <w:r w:rsidR="00CC4EAB" w:rsidRPr="00326476">
          <w:rPr>
            <w:rStyle w:val="Hyperlink"/>
            <w:rFonts w:eastAsia="Aptos" w:cs="Arial"/>
            <w:noProof/>
            <w:sz w:val="22"/>
            <w:lang w:val="en-US"/>
          </w:rPr>
          <w:t>https://www.dec-sped.org/product-page/dec-recommended-practices-enhancing-services-for-young-children</w:t>
        </w:r>
      </w:hyperlink>
    </w:p>
    <w:p w14:paraId="54939D2D" w14:textId="77777777" w:rsidR="00CC4EAB" w:rsidRPr="00E4003B" w:rsidRDefault="00CC4EAB" w:rsidP="00E4003B">
      <w:pPr>
        <w:spacing w:before="0" w:after="160"/>
        <w:ind w:left="720" w:hanging="720"/>
        <w:rPr>
          <w:rFonts w:eastAsia="Aptos" w:cs="Arial"/>
          <w:noProof/>
          <w:sz w:val="22"/>
          <w:lang w:val="en-US"/>
        </w:rPr>
      </w:pPr>
    </w:p>
    <w:p w14:paraId="4DBF98A6" w14:textId="081CCDD4" w:rsidR="001F4995" w:rsidRPr="001F4995" w:rsidRDefault="001F4995" w:rsidP="001F4995">
      <w:pPr>
        <w:spacing w:before="0" w:after="160"/>
        <w:ind w:left="720" w:hanging="720"/>
        <w:rPr>
          <w:rFonts w:eastAsia="Aptos" w:cs="Arial"/>
          <w:noProof/>
          <w:sz w:val="22"/>
          <w:lang w:val="en-US"/>
        </w:rPr>
      </w:pPr>
      <w:r w:rsidRPr="001F4995">
        <w:rPr>
          <w:rFonts w:eastAsia="Aptos" w:cs="Arial"/>
          <w:noProof/>
          <w:sz w:val="22"/>
          <w:lang w:val="en-US"/>
        </w:rPr>
        <w:t xml:space="preserve">Division for Early Childhood. (2018). </w:t>
      </w:r>
      <w:r w:rsidRPr="001F4995">
        <w:rPr>
          <w:rFonts w:eastAsia="Aptos" w:cs="Arial"/>
          <w:i/>
          <w:noProof/>
          <w:sz w:val="22"/>
          <w:lang w:val="en-US"/>
        </w:rPr>
        <w:t>DEC recommended practices: A quick overview</w:t>
      </w:r>
      <w:r w:rsidRPr="001F4995">
        <w:rPr>
          <w:rFonts w:eastAsia="Aptos" w:cs="Arial"/>
          <w:noProof/>
          <w:sz w:val="22"/>
          <w:lang w:val="en-US"/>
        </w:rPr>
        <w:t xml:space="preserve">.  Retrieved September 6, 2024,  </w:t>
      </w:r>
      <w:hyperlink r:id="rId199" w:history="1">
        <w:r w:rsidR="0054349C" w:rsidRPr="00326476">
          <w:rPr>
            <w:rStyle w:val="Hyperlink"/>
            <w:rFonts w:eastAsia="Aptos" w:cs="Arial"/>
            <w:noProof/>
            <w:sz w:val="22"/>
            <w:lang w:val="en-US"/>
          </w:rPr>
          <w:t>http://www.dec-sped.org/dec-recommended-practices</w:t>
        </w:r>
      </w:hyperlink>
      <w:r w:rsidR="0054349C">
        <w:rPr>
          <w:rFonts w:eastAsia="Aptos" w:cs="Arial"/>
          <w:noProof/>
          <w:sz w:val="22"/>
          <w:lang w:val="en-US"/>
        </w:rPr>
        <w:t xml:space="preserve"> </w:t>
      </w:r>
    </w:p>
    <w:p w14:paraId="4A50094C" w14:textId="77777777" w:rsidR="001F4995" w:rsidRPr="001F4995" w:rsidRDefault="001F4995" w:rsidP="001F4995">
      <w:pPr>
        <w:spacing w:before="0" w:after="0"/>
        <w:ind w:left="720" w:hanging="720"/>
        <w:rPr>
          <w:rFonts w:eastAsia="Aptos" w:cs="Arial"/>
          <w:noProof/>
          <w:sz w:val="22"/>
          <w:lang w:val="en-US"/>
        </w:rPr>
      </w:pPr>
      <w:r w:rsidRPr="001F4995">
        <w:rPr>
          <w:rFonts w:eastAsia="Aptos" w:cs="Arial"/>
          <w:noProof/>
          <w:sz w:val="22"/>
          <w:lang w:val="en-US"/>
        </w:rPr>
        <w:tab/>
      </w:r>
    </w:p>
    <w:p w14:paraId="7B817F26" w14:textId="428139CA" w:rsidR="001F4995" w:rsidRPr="001F4995" w:rsidRDefault="001F4995" w:rsidP="001F4995">
      <w:pPr>
        <w:spacing w:before="0" w:after="160"/>
        <w:ind w:left="720" w:hanging="720"/>
        <w:rPr>
          <w:rFonts w:eastAsia="Aptos" w:cs="Arial"/>
          <w:noProof/>
          <w:sz w:val="22"/>
          <w:lang w:val="en-US"/>
        </w:rPr>
      </w:pPr>
      <w:r w:rsidRPr="001F4995">
        <w:rPr>
          <w:rFonts w:eastAsia="Aptos" w:cs="Arial"/>
          <w:noProof/>
          <w:sz w:val="22"/>
          <w:lang w:val="en-US"/>
        </w:rPr>
        <w:t xml:space="preserve">Division for Early Childhood. (2021). </w:t>
      </w:r>
      <w:r w:rsidRPr="001F4995">
        <w:rPr>
          <w:rFonts w:eastAsia="Aptos" w:cs="Arial"/>
          <w:i/>
          <w:noProof/>
          <w:sz w:val="22"/>
          <w:lang w:val="en-US"/>
        </w:rPr>
        <w:t>Position Statement on Multitiered System of Support Framework in Early Childhood.</w:t>
      </w:r>
      <w:r w:rsidRPr="001F4995">
        <w:rPr>
          <w:rFonts w:eastAsia="Aptos" w:cs="Arial"/>
          <w:noProof/>
          <w:sz w:val="22"/>
          <w:lang w:val="en-US"/>
        </w:rPr>
        <w:t xml:space="preserve"> Los Angeles, California: Division for Early Childhood. Retrieved September 6, 2024,  </w:t>
      </w:r>
      <w:hyperlink r:id="rId200" w:history="1">
        <w:r w:rsidR="0054349C" w:rsidRPr="00326476">
          <w:rPr>
            <w:rStyle w:val="Hyperlink"/>
            <w:rFonts w:eastAsia="Aptos" w:cs="Arial"/>
            <w:noProof/>
            <w:sz w:val="22"/>
            <w:lang w:val="en-US"/>
          </w:rPr>
          <w:t>https://www.decdocs.org/position-statement-mtss</w:t>
        </w:r>
      </w:hyperlink>
      <w:r w:rsidR="0054349C">
        <w:rPr>
          <w:rFonts w:eastAsia="Aptos" w:cs="Arial"/>
          <w:noProof/>
          <w:sz w:val="22"/>
          <w:lang w:val="en-US"/>
        </w:rPr>
        <w:t xml:space="preserve"> </w:t>
      </w:r>
    </w:p>
    <w:p w14:paraId="13520757" w14:textId="33EA856C" w:rsidR="00F37836" w:rsidRPr="00F37836" w:rsidRDefault="00F37836" w:rsidP="00F37836">
      <w:pPr>
        <w:spacing w:before="0" w:after="160"/>
        <w:ind w:left="720" w:hanging="720"/>
        <w:rPr>
          <w:rFonts w:eastAsia="Aptos" w:cs="Arial"/>
          <w:noProof/>
          <w:sz w:val="22"/>
          <w:lang w:val="en-US"/>
        </w:rPr>
      </w:pPr>
      <w:r w:rsidRPr="00F37836">
        <w:rPr>
          <w:rFonts w:eastAsia="Aptos" w:cs="Arial"/>
          <w:noProof/>
          <w:sz w:val="22"/>
          <w:lang w:val="en-US"/>
        </w:rPr>
        <w:t xml:space="preserve">Division for Early Childhood Task Force on Recommended Practices. (1993). </w:t>
      </w:r>
      <w:r w:rsidRPr="00F37836">
        <w:rPr>
          <w:rFonts w:eastAsia="Aptos" w:cs="Arial"/>
          <w:i/>
          <w:noProof/>
          <w:sz w:val="22"/>
          <w:lang w:val="en-US"/>
        </w:rPr>
        <w:t>DEC recommended practices: Indicators of quality programs for infants and young children with special needs and their families.</w:t>
      </w:r>
      <w:r w:rsidRPr="00F37836">
        <w:rPr>
          <w:rFonts w:eastAsia="Aptos" w:cs="Arial"/>
          <w:noProof/>
          <w:sz w:val="22"/>
          <w:lang w:val="en-US"/>
        </w:rPr>
        <w:t xml:space="preserve"> Pittsburgh: Division for Early Childhood. Retrieved September 6, 2024,  </w:t>
      </w:r>
      <w:hyperlink r:id="rId201" w:history="1">
        <w:r w:rsidR="0054349C" w:rsidRPr="00326476">
          <w:rPr>
            <w:rStyle w:val="Hyperlink"/>
            <w:rFonts w:eastAsia="Aptos" w:cs="Arial"/>
            <w:noProof/>
            <w:sz w:val="22"/>
            <w:lang w:val="en-US"/>
          </w:rPr>
          <w:t>https://files.eric.ed.gov/fulltext/ED370253.pdf</w:t>
        </w:r>
      </w:hyperlink>
      <w:r w:rsidR="0054349C">
        <w:rPr>
          <w:rFonts w:eastAsia="Aptos" w:cs="Arial"/>
          <w:noProof/>
          <w:sz w:val="22"/>
          <w:lang w:val="en-US"/>
        </w:rPr>
        <w:t xml:space="preserve"> </w:t>
      </w:r>
    </w:p>
    <w:p w14:paraId="4CF03D97" w14:textId="77777777" w:rsidR="00F37836" w:rsidRPr="00F37836" w:rsidRDefault="00F37836" w:rsidP="00F37836">
      <w:pPr>
        <w:spacing w:before="0" w:after="0"/>
        <w:ind w:left="720" w:hanging="720"/>
        <w:rPr>
          <w:rFonts w:eastAsia="Aptos" w:cs="Arial"/>
          <w:noProof/>
          <w:sz w:val="22"/>
          <w:lang w:val="en-US"/>
        </w:rPr>
      </w:pPr>
      <w:r w:rsidRPr="00F37836">
        <w:rPr>
          <w:rFonts w:eastAsia="Aptos" w:cs="Arial"/>
          <w:noProof/>
          <w:sz w:val="22"/>
          <w:lang w:val="en-US"/>
        </w:rPr>
        <w:tab/>
      </w:r>
    </w:p>
    <w:p w14:paraId="76BD2226" w14:textId="1537A1C9" w:rsidR="00E10B59" w:rsidRPr="00894821" w:rsidRDefault="00E10B59" w:rsidP="00E10B59">
      <w:pPr>
        <w:spacing w:before="0" w:after="160"/>
        <w:ind w:left="720" w:hanging="720"/>
        <w:rPr>
          <w:rFonts w:eastAsia="Aptos" w:cs="Arial"/>
          <w:noProof/>
          <w:sz w:val="22"/>
          <w:lang w:val="en-US"/>
        </w:rPr>
      </w:pPr>
      <w:r w:rsidRPr="00894821">
        <w:rPr>
          <w:rFonts w:eastAsia="Aptos" w:cs="Arial"/>
          <w:noProof/>
          <w:sz w:val="22"/>
          <w:lang w:val="en-US"/>
        </w:rPr>
        <w:t xml:space="preserve">Donaldson, A. L., Krejcha, K., &amp; McMillin, A. (2017). A strengths-based approach to autism: Neurodiversity and partnering with the autism community. </w:t>
      </w:r>
      <w:r w:rsidRPr="00894821">
        <w:rPr>
          <w:rFonts w:eastAsia="Aptos" w:cs="Arial"/>
          <w:i/>
          <w:noProof/>
          <w:sz w:val="22"/>
          <w:lang w:val="en-US"/>
        </w:rPr>
        <w:t>Perspectives of the ASHA Special Interest Groups</w:t>
      </w:r>
      <w:r w:rsidRPr="00894821">
        <w:rPr>
          <w:rFonts w:eastAsia="Aptos" w:cs="Arial"/>
          <w:noProof/>
          <w:sz w:val="22"/>
          <w:lang w:val="en-US"/>
        </w:rPr>
        <w:t>,</w:t>
      </w:r>
      <w:r w:rsidRPr="00894821">
        <w:rPr>
          <w:rFonts w:eastAsia="Aptos" w:cs="Arial"/>
          <w:i/>
          <w:noProof/>
          <w:sz w:val="22"/>
          <w:lang w:val="en-US"/>
        </w:rPr>
        <w:t xml:space="preserve"> 2</w:t>
      </w:r>
      <w:r w:rsidRPr="00894821">
        <w:rPr>
          <w:rFonts w:eastAsia="Aptos" w:cs="Arial"/>
          <w:noProof/>
          <w:sz w:val="22"/>
          <w:lang w:val="en-US"/>
        </w:rPr>
        <w:t xml:space="preserve">(1), 56-68. </w:t>
      </w:r>
      <w:hyperlink r:id="rId202" w:history="1">
        <w:r w:rsidR="0054349C" w:rsidRPr="00326476">
          <w:rPr>
            <w:rStyle w:val="Hyperlink"/>
            <w:rFonts w:eastAsia="Aptos" w:cs="Arial"/>
            <w:noProof/>
            <w:sz w:val="22"/>
            <w:lang w:val="en-US"/>
          </w:rPr>
          <w:t>https://doi.org/10.1044/persp2.SIG1.56</w:t>
        </w:r>
      </w:hyperlink>
      <w:r w:rsidR="0054349C">
        <w:rPr>
          <w:rFonts w:eastAsia="Aptos" w:cs="Arial"/>
          <w:noProof/>
          <w:sz w:val="22"/>
          <w:lang w:val="en-US"/>
        </w:rPr>
        <w:t xml:space="preserve"> </w:t>
      </w:r>
      <w:r w:rsidRPr="00894821">
        <w:rPr>
          <w:rFonts w:eastAsia="Aptos" w:cs="Arial"/>
          <w:noProof/>
          <w:sz w:val="22"/>
          <w:lang w:val="en-US"/>
        </w:rPr>
        <w:t xml:space="preserve"> </w:t>
      </w:r>
    </w:p>
    <w:p w14:paraId="5FB93E7C" w14:textId="77777777" w:rsidR="00F37836" w:rsidRPr="00075790" w:rsidRDefault="00F37836" w:rsidP="00894821">
      <w:pPr>
        <w:pStyle w:val="EndNoteBibliography"/>
        <w:spacing w:after="0"/>
      </w:pPr>
    </w:p>
    <w:p w14:paraId="458EE0F4" w14:textId="3BE4B587" w:rsidR="00CF133A" w:rsidRPr="00CF133A" w:rsidRDefault="00CF133A" w:rsidP="00CF133A">
      <w:pPr>
        <w:spacing w:before="0" w:after="160"/>
        <w:ind w:left="720" w:hanging="720"/>
        <w:rPr>
          <w:rFonts w:eastAsia="Aptos" w:cs="Arial"/>
          <w:noProof/>
          <w:sz w:val="22"/>
          <w:lang w:val="en-US"/>
        </w:rPr>
      </w:pPr>
      <w:r w:rsidRPr="000053CE">
        <w:rPr>
          <w:rFonts w:eastAsia="Aptos" w:cs="Arial"/>
          <w:noProof/>
          <w:sz w:val="22"/>
          <w:lang w:val="it-IT"/>
        </w:rPr>
        <w:t xml:space="preserve">Donoghue, S. E., &amp; Amor, D. J. (2024). </w:t>
      </w:r>
      <w:r w:rsidRPr="00CF133A">
        <w:rPr>
          <w:rFonts w:eastAsia="Aptos" w:cs="Arial"/>
          <w:noProof/>
          <w:sz w:val="22"/>
          <w:lang w:val="en-US"/>
        </w:rPr>
        <w:t xml:space="preserve">Intellectual disability: A potentially treatable condition. </w:t>
      </w:r>
      <w:r w:rsidRPr="00CF133A">
        <w:rPr>
          <w:rFonts w:eastAsia="Aptos" w:cs="Arial"/>
          <w:i/>
          <w:noProof/>
          <w:sz w:val="22"/>
          <w:lang w:val="en-US"/>
        </w:rPr>
        <w:t>Journal of Paediatrics and Child Health</w:t>
      </w:r>
      <w:r w:rsidRPr="00CF133A">
        <w:rPr>
          <w:rFonts w:eastAsia="Aptos" w:cs="Arial"/>
          <w:noProof/>
          <w:sz w:val="22"/>
          <w:lang w:val="en-US"/>
        </w:rPr>
        <w:t>,</w:t>
      </w:r>
      <w:r w:rsidRPr="00CF133A">
        <w:rPr>
          <w:rFonts w:eastAsia="Aptos" w:cs="Arial"/>
          <w:i/>
          <w:noProof/>
          <w:sz w:val="22"/>
          <w:lang w:val="en-US"/>
        </w:rPr>
        <w:t xml:space="preserve"> 60</w:t>
      </w:r>
      <w:r w:rsidRPr="00CF133A">
        <w:rPr>
          <w:rFonts w:eastAsia="Aptos" w:cs="Arial"/>
          <w:noProof/>
          <w:sz w:val="22"/>
          <w:lang w:val="en-US"/>
        </w:rPr>
        <w:t xml:space="preserve">(7), 273-278. </w:t>
      </w:r>
      <w:hyperlink r:id="rId203" w:history="1">
        <w:r w:rsidR="0054349C" w:rsidRPr="00326476">
          <w:rPr>
            <w:rStyle w:val="Hyperlink"/>
            <w:rFonts w:eastAsia="Aptos" w:cs="Arial"/>
            <w:noProof/>
            <w:sz w:val="22"/>
            <w:lang w:val="en-US"/>
          </w:rPr>
          <w:t>https://doi.org/10.1111/jpc.16598</w:t>
        </w:r>
      </w:hyperlink>
      <w:r w:rsidR="0054349C">
        <w:rPr>
          <w:rFonts w:eastAsia="Aptos" w:cs="Arial"/>
          <w:noProof/>
          <w:sz w:val="22"/>
          <w:lang w:val="en-US"/>
        </w:rPr>
        <w:t xml:space="preserve"> </w:t>
      </w:r>
      <w:r w:rsidRPr="00CF133A">
        <w:rPr>
          <w:rFonts w:eastAsia="Aptos" w:cs="Arial"/>
          <w:noProof/>
          <w:sz w:val="22"/>
          <w:lang w:val="en-US"/>
        </w:rPr>
        <w:t xml:space="preserve"> </w:t>
      </w:r>
    </w:p>
    <w:p w14:paraId="6B94D47C" w14:textId="27715113" w:rsidR="00257539" w:rsidRPr="00075790" w:rsidRDefault="00257539" w:rsidP="0030178D">
      <w:pPr>
        <w:pStyle w:val="EndNoteBibliography"/>
        <w:spacing w:after="0"/>
        <w:ind w:left="720" w:hanging="720"/>
      </w:pPr>
    </w:p>
    <w:p w14:paraId="5C136815" w14:textId="00D3DB5E" w:rsidR="00257539" w:rsidRPr="00257539" w:rsidRDefault="00257539" w:rsidP="00257539">
      <w:pPr>
        <w:spacing w:before="0" w:after="160"/>
        <w:ind w:left="720" w:hanging="720"/>
        <w:rPr>
          <w:rFonts w:eastAsia="Aptos" w:cs="Arial"/>
          <w:noProof/>
          <w:sz w:val="22"/>
          <w:lang w:val="en-US"/>
        </w:rPr>
      </w:pPr>
      <w:r w:rsidRPr="00257539">
        <w:rPr>
          <w:rFonts w:eastAsia="Aptos" w:cs="Arial"/>
          <w:noProof/>
          <w:sz w:val="22"/>
          <w:lang w:val="en-US"/>
        </w:rPr>
        <w:t xml:space="preserve">Douglas, S. N., Bowles, R., Plavnick, J., Sun, T., M. Dunkel-Jackson, S., &amp; Bagawan, A. (2024). Iterative Pilot Testing of the POWR Intervention: Online Training to Support Paraeducator Implementation of Augmentative and Alternative Communication Strategies. </w:t>
      </w:r>
      <w:r w:rsidRPr="00257539">
        <w:rPr>
          <w:rFonts w:eastAsia="Aptos" w:cs="Arial"/>
          <w:i/>
          <w:noProof/>
          <w:sz w:val="22"/>
          <w:lang w:val="en-US"/>
        </w:rPr>
        <w:t>Journal of Special Education Technology</w:t>
      </w:r>
      <w:r w:rsidRPr="00257539">
        <w:rPr>
          <w:rFonts w:eastAsia="Aptos" w:cs="Arial"/>
          <w:noProof/>
          <w:sz w:val="22"/>
          <w:lang w:val="en-US"/>
        </w:rPr>
        <w:t>,</w:t>
      </w:r>
      <w:r w:rsidRPr="00257539">
        <w:rPr>
          <w:rFonts w:eastAsia="Aptos" w:cs="Arial"/>
          <w:i/>
          <w:noProof/>
          <w:sz w:val="22"/>
          <w:lang w:val="en-US"/>
        </w:rPr>
        <w:t xml:space="preserve"> 39</w:t>
      </w:r>
      <w:r w:rsidRPr="00257539">
        <w:rPr>
          <w:rFonts w:eastAsia="Aptos" w:cs="Arial"/>
          <w:noProof/>
          <w:sz w:val="22"/>
          <w:lang w:val="en-US"/>
        </w:rPr>
        <w:t xml:space="preserve">(1), 79-93. </w:t>
      </w:r>
      <w:hyperlink r:id="rId204" w:history="1">
        <w:r w:rsidR="0054349C" w:rsidRPr="00326476">
          <w:rPr>
            <w:rStyle w:val="Hyperlink"/>
            <w:rFonts w:eastAsia="Aptos" w:cs="Arial"/>
            <w:noProof/>
            <w:sz w:val="22"/>
            <w:lang w:val="en-US"/>
          </w:rPr>
          <w:t>https://doi.org/10.1177/01626434231180591</w:t>
        </w:r>
      </w:hyperlink>
      <w:r w:rsidR="0054349C">
        <w:rPr>
          <w:rFonts w:eastAsia="Aptos" w:cs="Arial"/>
          <w:noProof/>
          <w:sz w:val="22"/>
          <w:lang w:val="en-US"/>
        </w:rPr>
        <w:t xml:space="preserve"> </w:t>
      </w:r>
      <w:r w:rsidRPr="00257539">
        <w:rPr>
          <w:rFonts w:eastAsia="Aptos" w:cs="Arial"/>
          <w:noProof/>
          <w:sz w:val="22"/>
          <w:lang w:val="en-US"/>
        </w:rPr>
        <w:t xml:space="preserve"> </w:t>
      </w:r>
    </w:p>
    <w:p w14:paraId="6F8CD660" w14:textId="77777777" w:rsidR="00257539" w:rsidRPr="00257539" w:rsidRDefault="00257539" w:rsidP="00257539">
      <w:pPr>
        <w:spacing w:before="0" w:after="0"/>
        <w:ind w:left="720" w:hanging="720"/>
        <w:rPr>
          <w:rFonts w:eastAsia="Aptos" w:cs="Arial"/>
          <w:noProof/>
          <w:sz w:val="22"/>
          <w:lang w:val="en-US"/>
        </w:rPr>
      </w:pPr>
      <w:r w:rsidRPr="00257539">
        <w:rPr>
          <w:rFonts w:eastAsia="Aptos" w:cs="Arial"/>
          <w:noProof/>
          <w:sz w:val="22"/>
          <w:lang w:val="en-US"/>
        </w:rPr>
        <w:tab/>
      </w:r>
    </w:p>
    <w:p w14:paraId="09091E89" w14:textId="201EC9A3" w:rsidR="00257539" w:rsidRPr="00257539" w:rsidRDefault="00257539" w:rsidP="00257539">
      <w:pPr>
        <w:spacing w:before="0" w:after="160"/>
        <w:ind w:left="720" w:hanging="720"/>
        <w:rPr>
          <w:rFonts w:eastAsia="Aptos" w:cs="Arial"/>
          <w:noProof/>
          <w:sz w:val="22"/>
          <w:lang w:val="en-US"/>
        </w:rPr>
      </w:pPr>
      <w:r w:rsidRPr="00257539">
        <w:rPr>
          <w:rFonts w:eastAsia="Aptos" w:cs="Arial"/>
          <w:noProof/>
          <w:sz w:val="22"/>
          <w:lang w:val="en-US"/>
        </w:rPr>
        <w:t xml:space="preserve">Douglas, S. N., Meadan, H., &amp; Kammes, R. (2020). Early interventionists’ caregiver coaching: A mixed methods approach exploring experiences and practices. </w:t>
      </w:r>
      <w:r w:rsidRPr="00257539">
        <w:rPr>
          <w:rFonts w:eastAsia="Aptos" w:cs="Arial"/>
          <w:i/>
          <w:noProof/>
          <w:sz w:val="22"/>
          <w:lang w:val="en-US"/>
        </w:rPr>
        <w:t>Topics in Early Childhood Special Education</w:t>
      </w:r>
      <w:r w:rsidRPr="00257539">
        <w:rPr>
          <w:rFonts w:eastAsia="Aptos" w:cs="Arial"/>
          <w:noProof/>
          <w:sz w:val="22"/>
          <w:lang w:val="en-US"/>
        </w:rPr>
        <w:t>,</w:t>
      </w:r>
      <w:r w:rsidRPr="00257539">
        <w:rPr>
          <w:rFonts w:eastAsia="Aptos" w:cs="Arial"/>
          <w:i/>
          <w:noProof/>
          <w:sz w:val="22"/>
          <w:lang w:val="en-US"/>
        </w:rPr>
        <w:t xml:space="preserve"> 40</w:t>
      </w:r>
      <w:r w:rsidRPr="00257539">
        <w:rPr>
          <w:rFonts w:eastAsia="Aptos" w:cs="Arial"/>
          <w:noProof/>
          <w:sz w:val="22"/>
          <w:lang w:val="en-US"/>
        </w:rPr>
        <w:t xml:space="preserve">(2), 84-96. </w:t>
      </w:r>
      <w:hyperlink r:id="rId205" w:history="1">
        <w:r w:rsidR="0054349C" w:rsidRPr="00326476">
          <w:rPr>
            <w:rStyle w:val="Hyperlink"/>
            <w:rFonts w:eastAsia="Aptos" w:cs="Arial"/>
            <w:noProof/>
            <w:sz w:val="22"/>
            <w:lang w:val="en-US"/>
          </w:rPr>
          <w:t>https://doi.org/10.1177/0271121419829899</w:t>
        </w:r>
      </w:hyperlink>
      <w:r w:rsidR="0054349C">
        <w:rPr>
          <w:rFonts w:eastAsia="Aptos" w:cs="Arial"/>
          <w:noProof/>
          <w:sz w:val="22"/>
          <w:lang w:val="en-US"/>
        </w:rPr>
        <w:t xml:space="preserve"> </w:t>
      </w:r>
      <w:r w:rsidRPr="00257539">
        <w:rPr>
          <w:rFonts w:eastAsia="Aptos" w:cs="Arial"/>
          <w:noProof/>
          <w:sz w:val="22"/>
          <w:lang w:val="en-US"/>
        </w:rPr>
        <w:t xml:space="preserve"> </w:t>
      </w:r>
    </w:p>
    <w:p w14:paraId="2728F76C" w14:textId="1D2443EA" w:rsidR="00CF136A" w:rsidRPr="00CF136A" w:rsidRDefault="00CF136A" w:rsidP="00CF136A">
      <w:pPr>
        <w:spacing w:before="0" w:after="160"/>
        <w:ind w:left="720" w:hanging="720"/>
        <w:rPr>
          <w:rFonts w:eastAsia="Aptos" w:cs="Arial"/>
          <w:noProof/>
          <w:sz w:val="22"/>
          <w:lang w:val="en-US"/>
        </w:rPr>
      </w:pPr>
      <w:r w:rsidRPr="00CF136A">
        <w:rPr>
          <w:rFonts w:eastAsia="Aptos" w:cs="Arial"/>
          <w:noProof/>
          <w:sz w:val="22"/>
          <w:lang w:val="en-US"/>
        </w:rPr>
        <w:t xml:space="preserve">Dudgeon, P., Milroy, H., &amp; Walker, R. (2014). </w:t>
      </w:r>
      <w:r w:rsidRPr="00CF136A">
        <w:rPr>
          <w:rFonts w:eastAsia="Aptos" w:cs="Arial"/>
          <w:i/>
          <w:noProof/>
          <w:sz w:val="22"/>
          <w:lang w:val="en-US"/>
        </w:rPr>
        <w:t>Working together: Aboriginal and Torres Strait Islander mental health and wellbeing principles and practice</w:t>
      </w:r>
      <w:r w:rsidRPr="00CF136A">
        <w:rPr>
          <w:rFonts w:eastAsia="Aptos" w:cs="Arial"/>
          <w:noProof/>
          <w:sz w:val="22"/>
          <w:lang w:val="en-US"/>
        </w:rPr>
        <w:t xml:space="preserve">. Canberra, ACT: Australian Government Department of The Prime Minister and Cabinet. Retrieved 6 September, 2024 from </w:t>
      </w:r>
      <w:hyperlink r:id="rId206" w:history="1">
        <w:r w:rsidR="0054349C" w:rsidRPr="00326476">
          <w:rPr>
            <w:rStyle w:val="Hyperlink"/>
            <w:rFonts w:eastAsia="Aptos" w:cs="Arial"/>
            <w:noProof/>
            <w:sz w:val="22"/>
            <w:lang w:val="en-US"/>
          </w:rPr>
          <w:t>http://aboriginal.telethonkids.org.au/media/699863/Working-Together-Book.pdf</w:t>
        </w:r>
      </w:hyperlink>
      <w:r w:rsidR="0054349C">
        <w:rPr>
          <w:rFonts w:eastAsia="Aptos" w:cs="Arial"/>
          <w:noProof/>
          <w:sz w:val="22"/>
          <w:lang w:val="en-US"/>
        </w:rPr>
        <w:t xml:space="preserve"> </w:t>
      </w:r>
    </w:p>
    <w:p w14:paraId="69A8C0ED" w14:textId="77777777" w:rsidR="00CF136A" w:rsidRPr="00CF136A" w:rsidRDefault="00CF136A" w:rsidP="00CF136A">
      <w:pPr>
        <w:spacing w:before="0" w:after="0"/>
        <w:ind w:left="720" w:hanging="720"/>
        <w:rPr>
          <w:rFonts w:eastAsia="Aptos" w:cs="Arial"/>
          <w:noProof/>
          <w:sz w:val="22"/>
          <w:lang w:val="en-US"/>
        </w:rPr>
      </w:pPr>
      <w:r w:rsidRPr="00CF136A">
        <w:rPr>
          <w:rFonts w:eastAsia="Aptos" w:cs="Arial"/>
          <w:noProof/>
          <w:sz w:val="22"/>
          <w:lang w:val="en-US"/>
        </w:rPr>
        <w:tab/>
      </w:r>
    </w:p>
    <w:p w14:paraId="09FE2402" w14:textId="189684FF" w:rsidR="00CF136A" w:rsidRPr="00CF136A" w:rsidRDefault="00CF136A" w:rsidP="00CF136A">
      <w:pPr>
        <w:spacing w:before="0" w:after="160"/>
        <w:ind w:left="720" w:hanging="720"/>
        <w:rPr>
          <w:rFonts w:eastAsia="Aptos" w:cs="Arial"/>
          <w:noProof/>
          <w:sz w:val="22"/>
          <w:lang w:val="en-US"/>
        </w:rPr>
      </w:pPr>
      <w:r w:rsidRPr="00CF136A">
        <w:rPr>
          <w:rFonts w:eastAsia="Aptos" w:cs="Arial"/>
          <w:noProof/>
          <w:sz w:val="22"/>
          <w:lang w:val="en-US"/>
        </w:rPr>
        <w:t xml:space="preserve">Due, C., Goodwin Smith, I., Allen, P., Button, E., Cheek, C., Quarmby, L., Stephens, M., Paku, S., Ferguson, S., &amp; Fordyce, K. (2018). A pilot study of social inclusion and quality of life for parents of children with autism spectrum disorder. </w:t>
      </w:r>
      <w:r w:rsidRPr="00CF136A">
        <w:rPr>
          <w:rFonts w:eastAsia="Aptos" w:cs="Arial"/>
          <w:i/>
          <w:noProof/>
          <w:sz w:val="22"/>
          <w:lang w:val="en-US"/>
        </w:rPr>
        <w:t>Journal of Intellectual &amp; Developmental Disability</w:t>
      </w:r>
      <w:r w:rsidRPr="00CF136A">
        <w:rPr>
          <w:rFonts w:eastAsia="Aptos" w:cs="Arial"/>
          <w:noProof/>
          <w:sz w:val="22"/>
          <w:lang w:val="en-US"/>
        </w:rPr>
        <w:t>,</w:t>
      </w:r>
      <w:r w:rsidRPr="00CF136A">
        <w:rPr>
          <w:rFonts w:eastAsia="Aptos" w:cs="Arial"/>
          <w:i/>
          <w:noProof/>
          <w:sz w:val="22"/>
          <w:lang w:val="en-US"/>
        </w:rPr>
        <w:t xml:space="preserve"> 43</w:t>
      </w:r>
      <w:r w:rsidRPr="00CF136A">
        <w:rPr>
          <w:rFonts w:eastAsia="Aptos" w:cs="Arial"/>
          <w:noProof/>
          <w:sz w:val="22"/>
          <w:lang w:val="en-US"/>
        </w:rPr>
        <w:t xml:space="preserve">(1), 73-82. </w:t>
      </w:r>
      <w:hyperlink r:id="rId207" w:history="1">
        <w:r w:rsidR="0054349C" w:rsidRPr="00326476">
          <w:rPr>
            <w:rStyle w:val="Hyperlink"/>
            <w:rFonts w:eastAsia="Aptos" w:cs="Arial"/>
            <w:noProof/>
            <w:sz w:val="22"/>
            <w:lang w:val="en-US"/>
          </w:rPr>
          <w:t>https://doi.org/10.3109/13668250.2017.1310812</w:t>
        </w:r>
      </w:hyperlink>
      <w:r w:rsidR="0054349C">
        <w:rPr>
          <w:rFonts w:eastAsia="Aptos" w:cs="Arial"/>
          <w:noProof/>
          <w:sz w:val="22"/>
          <w:lang w:val="en-US"/>
        </w:rPr>
        <w:t xml:space="preserve"> </w:t>
      </w:r>
      <w:r w:rsidRPr="00CF136A">
        <w:rPr>
          <w:rFonts w:eastAsia="Aptos" w:cs="Arial"/>
          <w:noProof/>
          <w:sz w:val="22"/>
          <w:lang w:val="en-US"/>
        </w:rPr>
        <w:t xml:space="preserve"> </w:t>
      </w:r>
    </w:p>
    <w:p w14:paraId="25C92571" w14:textId="663F16D7" w:rsidR="00BE1E6D" w:rsidRPr="00BE1E6D" w:rsidRDefault="00BE1E6D" w:rsidP="00BE1E6D">
      <w:pPr>
        <w:spacing w:before="0" w:after="160"/>
        <w:ind w:left="720" w:hanging="720"/>
        <w:rPr>
          <w:rFonts w:eastAsia="Aptos" w:cs="Arial"/>
          <w:noProof/>
          <w:sz w:val="22"/>
          <w:lang w:val="en-US"/>
        </w:rPr>
      </w:pPr>
      <w:r w:rsidRPr="00BE1E6D">
        <w:rPr>
          <w:rFonts w:eastAsia="Aptos" w:cs="Arial"/>
          <w:noProof/>
          <w:sz w:val="22"/>
          <w:lang w:val="en-US"/>
        </w:rPr>
        <w:t xml:space="preserve">Duffy, S. (2006). The implications of individual budgets. </w:t>
      </w:r>
      <w:r w:rsidRPr="00BE1E6D">
        <w:rPr>
          <w:rFonts w:eastAsia="Aptos" w:cs="Arial"/>
          <w:i/>
          <w:noProof/>
          <w:sz w:val="22"/>
          <w:lang w:val="en-US"/>
        </w:rPr>
        <w:t>Journal of Integrated Care</w:t>
      </w:r>
      <w:r w:rsidRPr="00BE1E6D">
        <w:rPr>
          <w:rFonts w:eastAsia="Aptos" w:cs="Arial"/>
          <w:noProof/>
          <w:sz w:val="22"/>
          <w:lang w:val="en-US"/>
        </w:rPr>
        <w:t>,</w:t>
      </w:r>
      <w:r w:rsidRPr="00BE1E6D">
        <w:rPr>
          <w:rFonts w:eastAsia="Aptos" w:cs="Arial"/>
          <w:i/>
          <w:noProof/>
          <w:sz w:val="22"/>
          <w:lang w:val="en-US"/>
        </w:rPr>
        <w:t xml:space="preserve"> 14</w:t>
      </w:r>
      <w:r w:rsidRPr="00BE1E6D">
        <w:rPr>
          <w:rFonts w:eastAsia="Aptos" w:cs="Arial"/>
          <w:noProof/>
          <w:sz w:val="22"/>
          <w:lang w:val="en-US"/>
        </w:rPr>
        <w:t xml:space="preserve">(2), 3-10. </w:t>
      </w:r>
      <w:hyperlink r:id="rId208" w:history="1">
        <w:r w:rsidR="0054349C" w:rsidRPr="00326476">
          <w:rPr>
            <w:rStyle w:val="Hyperlink"/>
            <w:rFonts w:eastAsia="Aptos" w:cs="Arial"/>
            <w:noProof/>
            <w:sz w:val="22"/>
            <w:lang w:val="en-US"/>
          </w:rPr>
          <w:t>https://doi.org/10.1108/14769018200600012</w:t>
        </w:r>
      </w:hyperlink>
      <w:r w:rsidR="0054349C">
        <w:rPr>
          <w:rFonts w:eastAsia="Aptos" w:cs="Arial"/>
          <w:noProof/>
          <w:sz w:val="22"/>
          <w:lang w:val="en-US"/>
        </w:rPr>
        <w:t xml:space="preserve"> </w:t>
      </w:r>
      <w:r w:rsidRPr="00BE1E6D">
        <w:rPr>
          <w:rFonts w:eastAsia="Aptos" w:cs="Arial"/>
          <w:noProof/>
          <w:sz w:val="22"/>
          <w:lang w:val="en-US"/>
        </w:rPr>
        <w:t xml:space="preserve"> </w:t>
      </w:r>
    </w:p>
    <w:p w14:paraId="30AE1AB9" w14:textId="77777777" w:rsidR="00BE1E6D" w:rsidRPr="00BE1E6D" w:rsidRDefault="00BE1E6D" w:rsidP="00BE1E6D">
      <w:pPr>
        <w:spacing w:before="0" w:after="0"/>
        <w:ind w:left="720" w:hanging="720"/>
        <w:rPr>
          <w:rFonts w:eastAsia="Aptos" w:cs="Arial"/>
          <w:noProof/>
          <w:sz w:val="22"/>
          <w:lang w:val="en-US"/>
        </w:rPr>
      </w:pPr>
      <w:r w:rsidRPr="00BE1E6D">
        <w:rPr>
          <w:rFonts w:eastAsia="Aptos" w:cs="Arial"/>
          <w:noProof/>
          <w:sz w:val="22"/>
          <w:lang w:val="en-US"/>
        </w:rPr>
        <w:tab/>
      </w:r>
    </w:p>
    <w:p w14:paraId="2243E74D" w14:textId="0C57FBCB" w:rsidR="00BE1E6D" w:rsidRPr="00BE1E6D" w:rsidRDefault="00BE1E6D" w:rsidP="00BE1E6D">
      <w:pPr>
        <w:spacing w:before="0" w:after="160"/>
        <w:ind w:left="720" w:hanging="720"/>
        <w:rPr>
          <w:rFonts w:eastAsia="Aptos" w:cs="Arial"/>
          <w:noProof/>
          <w:sz w:val="22"/>
          <w:lang w:val="en-US"/>
        </w:rPr>
      </w:pPr>
      <w:r w:rsidRPr="00BE1E6D">
        <w:rPr>
          <w:rFonts w:eastAsia="Aptos" w:cs="Arial"/>
          <w:noProof/>
          <w:sz w:val="22"/>
          <w:lang w:val="en-US"/>
        </w:rPr>
        <w:t xml:space="preserve">Duffy, S. (2010). The future of personalisation. </w:t>
      </w:r>
      <w:r w:rsidRPr="00BE1E6D">
        <w:rPr>
          <w:rFonts w:eastAsia="Aptos" w:cs="Arial"/>
          <w:i/>
          <w:noProof/>
          <w:sz w:val="22"/>
          <w:lang w:val="en-US"/>
        </w:rPr>
        <w:t>Journal of Care Services Management</w:t>
      </w:r>
      <w:r w:rsidRPr="00BE1E6D">
        <w:rPr>
          <w:rFonts w:eastAsia="Aptos" w:cs="Arial"/>
          <w:noProof/>
          <w:sz w:val="22"/>
          <w:lang w:val="en-US"/>
        </w:rPr>
        <w:t>,</w:t>
      </w:r>
      <w:r w:rsidRPr="00BE1E6D">
        <w:rPr>
          <w:rFonts w:eastAsia="Aptos" w:cs="Arial"/>
          <w:i/>
          <w:noProof/>
          <w:sz w:val="22"/>
          <w:lang w:val="en-US"/>
        </w:rPr>
        <w:t xml:space="preserve"> 4</w:t>
      </w:r>
      <w:r w:rsidRPr="00BE1E6D">
        <w:rPr>
          <w:rFonts w:eastAsia="Aptos" w:cs="Arial"/>
          <w:noProof/>
          <w:sz w:val="22"/>
          <w:lang w:val="en-US"/>
        </w:rPr>
        <w:t xml:space="preserve">(3), 202-216. </w:t>
      </w:r>
      <w:hyperlink r:id="rId209" w:history="1">
        <w:r w:rsidR="0054349C" w:rsidRPr="00326476">
          <w:rPr>
            <w:rStyle w:val="Hyperlink"/>
            <w:rFonts w:eastAsia="Aptos" w:cs="Arial"/>
            <w:noProof/>
            <w:sz w:val="22"/>
            <w:lang w:val="en-US"/>
          </w:rPr>
          <w:t>https://doi.org/10.1179/175016810X12676214008969</w:t>
        </w:r>
      </w:hyperlink>
      <w:r w:rsidR="0054349C">
        <w:rPr>
          <w:rFonts w:eastAsia="Aptos" w:cs="Arial"/>
          <w:noProof/>
          <w:sz w:val="22"/>
          <w:lang w:val="en-US"/>
        </w:rPr>
        <w:t xml:space="preserve"> </w:t>
      </w:r>
      <w:r w:rsidRPr="00BE1E6D">
        <w:rPr>
          <w:rFonts w:eastAsia="Aptos" w:cs="Arial"/>
          <w:noProof/>
          <w:sz w:val="22"/>
          <w:lang w:val="en-US"/>
        </w:rPr>
        <w:t xml:space="preserve"> </w:t>
      </w:r>
    </w:p>
    <w:p w14:paraId="220D4260" w14:textId="77777777" w:rsidR="00BE1E6D" w:rsidRPr="00BE1E6D" w:rsidRDefault="00BE1E6D" w:rsidP="00BE1E6D">
      <w:pPr>
        <w:spacing w:before="0" w:after="0"/>
        <w:ind w:left="720" w:hanging="720"/>
        <w:rPr>
          <w:rFonts w:eastAsia="Aptos" w:cs="Arial"/>
          <w:noProof/>
          <w:sz w:val="22"/>
          <w:lang w:val="en-US"/>
        </w:rPr>
      </w:pPr>
      <w:r w:rsidRPr="00BE1E6D">
        <w:rPr>
          <w:rFonts w:eastAsia="Aptos" w:cs="Arial"/>
          <w:noProof/>
          <w:sz w:val="22"/>
          <w:lang w:val="en-US"/>
        </w:rPr>
        <w:tab/>
      </w:r>
    </w:p>
    <w:p w14:paraId="71B828B3" w14:textId="77777777" w:rsidR="00BE1E6D" w:rsidRPr="00BE1E6D" w:rsidRDefault="00BE1E6D" w:rsidP="00BE1E6D">
      <w:pPr>
        <w:spacing w:before="0" w:after="160"/>
        <w:ind w:left="720" w:hanging="720"/>
        <w:rPr>
          <w:rFonts w:eastAsia="Aptos" w:cs="Arial"/>
          <w:noProof/>
          <w:sz w:val="22"/>
          <w:lang w:val="en-US"/>
        </w:rPr>
      </w:pPr>
      <w:r w:rsidRPr="00BE1E6D">
        <w:rPr>
          <w:rFonts w:eastAsia="Aptos" w:cs="Arial"/>
          <w:noProof/>
          <w:sz w:val="22"/>
          <w:lang w:val="en-US"/>
        </w:rPr>
        <w:t xml:space="preserve">Dunbar, R. (2021). </w:t>
      </w:r>
      <w:r w:rsidRPr="00BE1E6D">
        <w:rPr>
          <w:rFonts w:eastAsia="Aptos" w:cs="Arial"/>
          <w:i/>
          <w:noProof/>
          <w:sz w:val="22"/>
          <w:lang w:val="en-US"/>
        </w:rPr>
        <w:t>Friends: Understanding the power of our most important relationships</w:t>
      </w:r>
      <w:r w:rsidRPr="00BE1E6D">
        <w:rPr>
          <w:rFonts w:eastAsia="Aptos" w:cs="Arial"/>
          <w:noProof/>
          <w:sz w:val="22"/>
          <w:lang w:val="en-US"/>
        </w:rPr>
        <w:t xml:space="preserve">. Sydney, NSW: Hachette. </w:t>
      </w:r>
    </w:p>
    <w:p w14:paraId="40FE5456" w14:textId="77777777" w:rsidR="00BE1E6D" w:rsidRPr="00BE1E6D" w:rsidRDefault="00BE1E6D" w:rsidP="00BE1E6D">
      <w:pPr>
        <w:spacing w:before="0" w:after="0"/>
        <w:ind w:left="720" w:hanging="720"/>
        <w:rPr>
          <w:rFonts w:eastAsia="Aptos" w:cs="Arial"/>
          <w:noProof/>
          <w:sz w:val="22"/>
          <w:lang w:val="en-US"/>
        </w:rPr>
      </w:pPr>
      <w:r w:rsidRPr="00BE1E6D">
        <w:rPr>
          <w:rFonts w:eastAsia="Aptos" w:cs="Arial"/>
          <w:noProof/>
          <w:sz w:val="22"/>
          <w:lang w:val="en-US"/>
        </w:rPr>
        <w:tab/>
      </w:r>
    </w:p>
    <w:p w14:paraId="77F64413" w14:textId="53893CAA" w:rsidR="00BE1E6D" w:rsidRDefault="00BE1E6D" w:rsidP="00BE1E6D">
      <w:pPr>
        <w:spacing w:before="0" w:after="160"/>
        <w:ind w:left="720" w:hanging="720"/>
        <w:rPr>
          <w:rFonts w:eastAsia="Aptos" w:cs="Arial"/>
          <w:noProof/>
          <w:sz w:val="22"/>
          <w:lang w:val="en-US"/>
        </w:rPr>
      </w:pPr>
      <w:r w:rsidRPr="00BE1E6D">
        <w:rPr>
          <w:rFonts w:eastAsia="Aptos" w:cs="Arial"/>
          <w:noProof/>
          <w:sz w:val="22"/>
          <w:lang w:val="en-US"/>
        </w:rPr>
        <w:t xml:space="preserve">Duncan, K. M., MacGillivray, S., &amp; Renfrew, M. J. (2017). Costs and savings of parenting interventions: results of a systematic review. </w:t>
      </w:r>
      <w:r w:rsidRPr="00BE1E6D">
        <w:rPr>
          <w:rFonts w:eastAsia="Aptos" w:cs="Arial"/>
          <w:i/>
          <w:noProof/>
          <w:sz w:val="22"/>
          <w:lang w:val="en-US"/>
        </w:rPr>
        <w:t>Child: care, health and development</w:t>
      </w:r>
      <w:r w:rsidRPr="00BE1E6D">
        <w:rPr>
          <w:rFonts w:eastAsia="Aptos" w:cs="Arial"/>
          <w:noProof/>
          <w:sz w:val="22"/>
          <w:lang w:val="en-US"/>
        </w:rPr>
        <w:t>,</w:t>
      </w:r>
      <w:r w:rsidRPr="00BE1E6D">
        <w:rPr>
          <w:rFonts w:eastAsia="Aptos" w:cs="Arial"/>
          <w:i/>
          <w:noProof/>
          <w:sz w:val="22"/>
          <w:lang w:val="en-US"/>
        </w:rPr>
        <w:t xml:space="preserve"> 43</w:t>
      </w:r>
      <w:r w:rsidRPr="00BE1E6D">
        <w:rPr>
          <w:rFonts w:eastAsia="Aptos" w:cs="Arial"/>
          <w:noProof/>
          <w:sz w:val="22"/>
          <w:lang w:val="en-US"/>
        </w:rPr>
        <w:t xml:space="preserve">(6), 797-811. </w:t>
      </w:r>
      <w:hyperlink r:id="rId210" w:history="1">
        <w:r w:rsidR="0054349C" w:rsidRPr="00326476">
          <w:rPr>
            <w:rStyle w:val="Hyperlink"/>
            <w:rFonts w:eastAsia="Aptos" w:cs="Arial"/>
            <w:noProof/>
            <w:sz w:val="22"/>
            <w:lang w:val="en-US"/>
          </w:rPr>
          <w:t>https://doi.org/10.1111/cch.12473</w:t>
        </w:r>
      </w:hyperlink>
      <w:r w:rsidR="0054349C">
        <w:rPr>
          <w:rFonts w:eastAsia="Aptos" w:cs="Arial"/>
          <w:noProof/>
          <w:sz w:val="22"/>
          <w:lang w:val="en-US"/>
        </w:rPr>
        <w:t xml:space="preserve"> </w:t>
      </w:r>
      <w:r w:rsidRPr="00BE1E6D">
        <w:rPr>
          <w:rFonts w:eastAsia="Aptos" w:cs="Arial"/>
          <w:noProof/>
          <w:sz w:val="22"/>
          <w:lang w:val="en-US"/>
        </w:rPr>
        <w:t xml:space="preserve"> </w:t>
      </w:r>
    </w:p>
    <w:p w14:paraId="443B4CE9" w14:textId="77777777" w:rsidR="00475584" w:rsidRPr="00BE1E6D" w:rsidRDefault="00475584" w:rsidP="00BE1E6D">
      <w:pPr>
        <w:spacing w:before="0" w:after="160"/>
        <w:ind w:left="720" w:hanging="720"/>
        <w:rPr>
          <w:rFonts w:eastAsia="Aptos" w:cs="Arial"/>
          <w:noProof/>
          <w:sz w:val="22"/>
          <w:lang w:val="en-US"/>
        </w:rPr>
      </w:pPr>
    </w:p>
    <w:p w14:paraId="7F7D37EC" w14:textId="77777777" w:rsidR="00E1371B" w:rsidRPr="00E1371B" w:rsidRDefault="00E1371B" w:rsidP="00E1371B">
      <w:pPr>
        <w:spacing w:before="0" w:after="160"/>
        <w:ind w:left="720" w:hanging="720"/>
        <w:rPr>
          <w:rFonts w:eastAsia="Aptos" w:cs="Arial"/>
          <w:noProof/>
          <w:sz w:val="22"/>
          <w:lang w:val="en-US"/>
        </w:rPr>
      </w:pPr>
      <w:r w:rsidRPr="00E1371B">
        <w:rPr>
          <w:rFonts w:eastAsia="Aptos" w:cs="Arial"/>
          <w:noProof/>
          <w:sz w:val="22"/>
          <w:lang w:val="en-US"/>
        </w:rPr>
        <w:t xml:space="preserve">Dunst, C., &amp; Leet, H. (1985). </w:t>
      </w:r>
      <w:r w:rsidRPr="00E1371B">
        <w:rPr>
          <w:rFonts w:eastAsia="Aptos" w:cs="Arial"/>
          <w:i/>
          <w:noProof/>
          <w:sz w:val="22"/>
          <w:lang w:val="en-US"/>
        </w:rPr>
        <w:t>Family resource scale: Reliability and validity</w:t>
      </w:r>
      <w:r w:rsidRPr="00E1371B">
        <w:rPr>
          <w:rFonts w:eastAsia="Aptos" w:cs="Arial"/>
          <w:noProof/>
          <w:sz w:val="22"/>
          <w:lang w:val="en-US"/>
        </w:rPr>
        <w:t xml:space="preserve">. Asheville, NC: Winterberry Press. </w:t>
      </w:r>
    </w:p>
    <w:p w14:paraId="01D75E43" w14:textId="77777777" w:rsidR="00E1371B" w:rsidRPr="00E1371B" w:rsidRDefault="00E1371B" w:rsidP="00E1371B">
      <w:pPr>
        <w:spacing w:before="0" w:after="0"/>
        <w:ind w:left="720" w:hanging="720"/>
        <w:rPr>
          <w:rFonts w:eastAsia="Aptos" w:cs="Arial"/>
          <w:noProof/>
          <w:sz w:val="22"/>
          <w:lang w:val="en-US"/>
        </w:rPr>
      </w:pPr>
      <w:r w:rsidRPr="00E1371B">
        <w:rPr>
          <w:rFonts w:eastAsia="Aptos" w:cs="Arial"/>
          <w:noProof/>
          <w:sz w:val="22"/>
          <w:lang w:val="en-US"/>
        </w:rPr>
        <w:tab/>
      </w:r>
    </w:p>
    <w:p w14:paraId="3E47D7D4" w14:textId="6FC07DB3" w:rsidR="00E1371B" w:rsidRPr="00E1371B" w:rsidRDefault="00E1371B" w:rsidP="00E1371B">
      <w:pPr>
        <w:spacing w:before="0" w:after="160"/>
        <w:ind w:left="720" w:hanging="720"/>
        <w:rPr>
          <w:rFonts w:eastAsia="Aptos" w:cs="Arial"/>
          <w:noProof/>
          <w:sz w:val="22"/>
          <w:lang w:val="en-US"/>
        </w:rPr>
      </w:pPr>
      <w:r w:rsidRPr="00E1371B">
        <w:rPr>
          <w:rFonts w:eastAsia="Aptos" w:cs="Arial"/>
          <w:noProof/>
          <w:sz w:val="22"/>
          <w:lang w:val="en-US"/>
        </w:rPr>
        <w:t xml:space="preserve">Dunst, C. J. (1997). Conceptual and empirical foundations of family-centered practice. In R. J. Illback, C. T. Cobb, &amp; H. M. Joseph. (Eds.), </w:t>
      </w:r>
      <w:r w:rsidRPr="00E1371B">
        <w:rPr>
          <w:rFonts w:eastAsia="Aptos" w:cs="Arial"/>
          <w:i/>
          <w:noProof/>
          <w:sz w:val="22"/>
          <w:lang w:val="en-US"/>
        </w:rPr>
        <w:t> Integrated services for children and families: Opportunities for psychological practice</w:t>
      </w:r>
      <w:r w:rsidRPr="00E1371B">
        <w:rPr>
          <w:rFonts w:eastAsia="Aptos" w:cs="Arial"/>
          <w:noProof/>
          <w:sz w:val="22"/>
          <w:lang w:val="en-US"/>
        </w:rPr>
        <w:t xml:space="preserve"> (pp. 75–91). American Psychological Association. </w:t>
      </w:r>
      <w:hyperlink r:id="rId211" w:history="1">
        <w:r w:rsidR="0054349C" w:rsidRPr="00326476">
          <w:rPr>
            <w:rStyle w:val="Hyperlink"/>
            <w:rFonts w:eastAsia="Aptos" w:cs="Arial"/>
            <w:noProof/>
            <w:sz w:val="22"/>
            <w:lang w:val="en-US"/>
          </w:rPr>
          <w:t>https://doi.org/10.1037/10236-004</w:t>
        </w:r>
      </w:hyperlink>
      <w:r w:rsidR="0054349C">
        <w:rPr>
          <w:rFonts w:eastAsia="Aptos" w:cs="Arial"/>
          <w:noProof/>
          <w:sz w:val="22"/>
          <w:lang w:val="en-US"/>
        </w:rPr>
        <w:t xml:space="preserve"> </w:t>
      </w:r>
      <w:r w:rsidRPr="00E1371B">
        <w:rPr>
          <w:rFonts w:eastAsia="Aptos" w:cs="Arial"/>
          <w:noProof/>
          <w:sz w:val="22"/>
          <w:lang w:val="en-US"/>
        </w:rPr>
        <w:t xml:space="preserve"> </w:t>
      </w:r>
    </w:p>
    <w:p w14:paraId="652FAF4A" w14:textId="77777777" w:rsidR="00E1371B" w:rsidRPr="00E1371B" w:rsidRDefault="00E1371B" w:rsidP="00E1371B">
      <w:pPr>
        <w:spacing w:before="0" w:after="0"/>
        <w:ind w:left="720" w:hanging="720"/>
        <w:rPr>
          <w:rFonts w:eastAsia="Aptos" w:cs="Arial"/>
          <w:noProof/>
          <w:sz w:val="22"/>
          <w:lang w:val="en-US"/>
        </w:rPr>
      </w:pPr>
      <w:r w:rsidRPr="00E1371B">
        <w:rPr>
          <w:rFonts w:eastAsia="Aptos" w:cs="Arial"/>
          <w:noProof/>
          <w:sz w:val="22"/>
          <w:lang w:val="en-US"/>
        </w:rPr>
        <w:tab/>
      </w:r>
    </w:p>
    <w:p w14:paraId="7164A177" w14:textId="75B6F729" w:rsidR="00E1371B" w:rsidRDefault="00E1371B" w:rsidP="00E1371B">
      <w:pPr>
        <w:spacing w:before="0" w:after="160"/>
        <w:ind w:left="720" w:hanging="720"/>
        <w:rPr>
          <w:rFonts w:eastAsia="Aptos" w:cs="Arial"/>
          <w:noProof/>
          <w:sz w:val="22"/>
          <w:lang w:val="en-US"/>
        </w:rPr>
      </w:pPr>
      <w:r w:rsidRPr="00E1371B">
        <w:rPr>
          <w:rFonts w:eastAsia="Aptos" w:cs="Arial"/>
          <w:noProof/>
          <w:sz w:val="22"/>
          <w:lang w:val="en-US"/>
        </w:rPr>
        <w:t xml:space="preserve">Dunst, C. J. (2000). Revisiting" rethinking early intervention". </w:t>
      </w:r>
      <w:r w:rsidRPr="00E1371B">
        <w:rPr>
          <w:rFonts w:eastAsia="Aptos" w:cs="Arial"/>
          <w:i/>
          <w:noProof/>
          <w:sz w:val="22"/>
          <w:lang w:val="en-US"/>
        </w:rPr>
        <w:t>Topics in Early Childhood Special Education</w:t>
      </w:r>
      <w:r w:rsidRPr="00E1371B">
        <w:rPr>
          <w:rFonts w:eastAsia="Aptos" w:cs="Arial"/>
          <w:noProof/>
          <w:sz w:val="22"/>
          <w:lang w:val="en-US"/>
        </w:rPr>
        <w:t>,</w:t>
      </w:r>
      <w:r w:rsidRPr="00E1371B">
        <w:rPr>
          <w:rFonts w:eastAsia="Aptos" w:cs="Arial"/>
          <w:i/>
          <w:noProof/>
          <w:sz w:val="22"/>
          <w:lang w:val="en-US"/>
        </w:rPr>
        <w:t xml:space="preserve"> 20</w:t>
      </w:r>
      <w:r w:rsidRPr="00E1371B">
        <w:rPr>
          <w:rFonts w:eastAsia="Aptos" w:cs="Arial"/>
          <w:noProof/>
          <w:sz w:val="22"/>
          <w:lang w:val="en-US"/>
        </w:rPr>
        <w:t xml:space="preserve">(2), 95-104. </w:t>
      </w:r>
      <w:hyperlink r:id="rId212" w:history="1">
        <w:r w:rsidR="00475584" w:rsidRPr="00326476">
          <w:rPr>
            <w:rStyle w:val="Hyperlink"/>
            <w:rFonts w:eastAsia="Aptos" w:cs="Arial"/>
            <w:noProof/>
            <w:sz w:val="22"/>
            <w:lang w:val="en-US"/>
          </w:rPr>
          <w:t>https://doi.org/10.1177/0271121400020002</w:t>
        </w:r>
      </w:hyperlink>
      <w:r w:rsidRPr="00E1371B">
        <w:rPr>
          <w:rFonts w:eastAsia="Aptos" w:cs="Arial"/>
          <w:noProof/>
          <w:sz w:val="22"/>
          <w:lang w:val="en-US"/>
        </w:rPr>
        <w:t xml:space="preserve"> </w:t>
      </w:r>
    </w:p>
    <w:p w14:paraId="6B992946" w14:textId="77777777" w:rsidR="00475584" w:rsidRPr="00E1371B" w:rsidRDefault="00475584" w:rsidP="00E1371B">
      <w:pPr>
        <w:spacing w:before="0" w:after="160"/>
        <w:ind w:left="720" w:hanging="720"/>
        <w:rPr>
          <w:rFonts w:eastAsia="Aptos" w:cs="Arial"/>
          <w:noProof/>
          <w:sz w:val="22"/>
          <w:lang w:val="en-US"/>
        </w:rPr>
      </w:pPr>
    </w:p>
    <w:p w14:paraId="2CB6F491" w14:textId="77777777" w:rsidR="00B903D6" w:rsidRPr="00B903D6" w:rsidRDefault="00B903D6" w:rsidP="00B903D6">
      <w:pPr>
        <w:spacing w:before="0" w:after="160"/>
        <w:ind w:left="720" w:hanging="720"/>
        <w:rPr>
          <w:rFonts w:eastAsia="Aptos" w:cs="Arial"/>
          <w:noProof/>
          <w:sz w:val="22"/>
          <w:lang w:val="en-US"/>
        </w:rPr>
      </w:pPr>
      <w:r w:rsidRPr="00B903D6">
        <w:rPr>
          <w:rFonts w:eastAsia="Aptos" w:cs="Arial"/>
          <w:noProof/>
          <w:sz w:val="22"/>
          <w:lang w:val="en-US"/>
        </w:rPr>
        <w:t xml:space="preserve">Dunst, C. J. (2005). Foundations for an evidence-based approach to early childhood intervention and family support. </w:t>
      </w:r>
      <w:r w:rsidRPr="00B903D6">
        <w:rPr>
          <w:rFonts w:eastAsia="Aptos" w:cs="Arial"/>
          <w:i/>
          <w:noProof/>
          <w:sz w:val="22"/>
          <w:lang w:val="en-US"/>
        </w:rPr>
        <w:t>Journal of Community Psychology</w:t>
      </w:r>
      <w:r w:rsidRPr="00B903D6">
        <w:rPr>
          <w:rFonts w:eastAsia="Aptos" w:cs="Arial"/>
          <w:noProof/>
          <w:sz w:val="22"/>
          <w:lang w:val="en-US"/>
        </w:rPr>
        <w:t>,</w:t>
      </w:r>
      <w:r w:rsidRPr="00B903D6">
        <w:rPr>
          <w:rFonts w:eastAsia="Aptos" w:cs="Arial"/>
          <w:i/>
          <w:noProof/>
          <w:sz w:val="22"/>
          <w:lang w:val="en-US"/>
        </w:rPr>
        <w:t xml:space="preserve"> 22</w:t>
      </w:r>
      <w:r w:rsidRPr="00B903D6">
        <w:rPr>
          <w:rFonts w:eastAsia="Aptos" w:cs="Arial"/>
          <w:noProof/>
          <w:sz w:val="22"/>
          <w:lang w:val="en-US"/>
        </w:rPr>
        <w:t xml:space="preserve">, 149-179. </w:t>
      </w:r>
    </w:p>
    <w:p w14:paraId="01D118E6" w14:textId="77777777" w:rsidR="00B903D6" w:rsidRPr="00B903D6" w:rsidRDefault="00B903D6" w:rsidP="00B903D6">
      <w:pPr>
        <w:spacing w:before="0" w:after="0"/>
        <w:ind w:left="720" w:hanging="720"/>
        <w:rPr>
          <w:rFonts w:eastAsia="Aptos" w:cs="Arial"/>
          <w:noProof/>
          <w:sz w:val="22"/>
          <w:lang w:val="en-US"/>
        </w:rPr>
      </w:pPr>
      <w:r w:rsidRPr="00B903D6">
        <w:rPr>
          <w:rFonts w:eastAsia="Aptos" w:cs="Arial"/>
          <w:noProof/>
          <w:sz w:val="22"/>
          <w:lang w:val="en-US"/>
        </w:rPr>
        <w:tab/>
      </w:r>
    </w:p>
    <w:p w14:paraId="4DB4E833" w14:textId="77777777" w:rsidR="00B903D6" w:rsidRPr="00B903D6" w:rsidRDefault="00B903D6" w:rsidP="00B903D6">
      <w:pPr>
        <w:spacing w:before="0" w:after="160"/>
        <w:ind w:left="720" w:hanging="720"/>
        <w:rPr>
          <w:rFonts w:eastAsia="Aptos" w:cs="Arial"/>
          <w:noProof/>
          <w:sz w:val="22"/>
          <w:lang w:val="en-US"/>
        </w:rPr>
      </w:pPr>
      <w:r w:rsidRPr="00B903D6">
        <w:rPr>
          <w:rFonts w:eastAsia="Aptos" w:cs="Arial"/>
          <w:noProof/>
          <w:sz w:val="22"/>
          <w:lang w:val="en-US"/>
        </w:rPr>
        <w:t xml:space="preserve">Dunst, C. J. (2007). Early intervention for infants and toddlers with developmental disabilities. In S. L. Odom, R. H. Horner, M. Snell, &amp; J. Blacher (Eds.), </w:t>
      </w:r>
      <w:r w:rsidRPr="00B903D6">
        <w:rPr>
          <w:rFonts w:eastAsia="Aptos" w:cs="Arial"/>
          <w:i/>
          <w:noProof/>
          <w:sz w:val="22"/>
          <w:lang w:val="en-US"/>
        </w:rPr>
        <w:t>Handbook of developmental disabilities</w:t>
      </w:r>
      <w:r w:rsidRPr="00B903D6">
        <w:rPr>
          <w:rFonts w:eastAsia="Aptos" w:cs="Arial"/>
          <w:noProof/>
          <w:sz w:val="22"/>
          <w:lang w:val="en-US"/>
        </w:rPr>
        <w:t xml:space="preserve"> (pp. 161-180). New York, NY: Guilford Press. </w:t>
      </w:r>
    </w:p>
    <w:p w14:paraId="303CD2A9" w14:textId="77777777" w:rsidR="00B903D6" w:rsidRPr="00B903D6" w:rsidRDefault="00B903D6" w:rsidP="00B903D6">
      <w:pPr>
        <w:spacing w:before="0" w:after="0"/>
        <w:ind w:left="720" w:hanging="720"/>
        <w:rPr>
          <w:rFonts w:eastAsia="Aptos" w:cs="Arial"/>
          <w:noProof/>
          <w:sz w:val="22"/>
          <w:lang w:val="en-US"/>
        </w:rPr>
      </w:pPr>
      <w:r w:rsidRPr="00B903D6">
        <w:rPr>
          <w:rFonts w:eastAsia="Aptos" w:cs="Arial"/>
          <w:noProof/>
          <w:sz w:val="22"/>
          <w:lang w:val="en-US"/>
        </w:rPr>
        <w:tab/>
      </w:r>
    </w:p>
    <w:p w14:paraId="286A579E" w14:textId="77777777" w:rsidR="00B903D6" w:rsidRPr="00B903D6" w:rsidRDefault="00B903D6" w:rsidP="00B903D6">
      <w:pPr>
        <w:spacing w:before="0" w:after="160"/>
        <w:ind w:left="720" w:hanging="720"/>
        <w:rPr>
          <w:rFonts w:eastAsia="Aptos" w:cs="Arial"/>
          <w:noProof/>
          <w:sz w:val="22"/>
          <w:lang w:val="en-US"/>
        </w:rPr>
      </w:pPr>
      <w:r w:rsidRPr="00B903D6">
        <w:rPr>
          <w:rFonts w:eastAsia="Aptos" w:cs="Arial"/>
          <w:noProof/>
          <w:sz w:val="22"/>
          <w:lang w:val="en-US"/>
        </w:rPr>
        <w:t xml:space="preserve">Dunst, C. J. (2016). Family systems early childhood intervention. In </w:t>
      </w:r>
      <w:r w:rsidRPr="00B903D6">
        <w:rPr>
          <w:rFonts w:eastAsia="Aptos" w:cs="Arial"/>
          <w:i/>
          <w:noProof/>
          <w:sz w:val="22"/>
          <w:lang w:val="en-US"/>
        </w:rPr>
        <w:t>Early Childhood Intervention</w:t>
      </w:r>
      <w:r w:rsidRPr="00B903D6">
        <w:rPr>
          <w:rFonts w:eastAsia="Aptos" w:cs="Arial"/>
          <w:noProof/>
          <w:sz w:val="22"/>
          <w:lang w:val="en-US"/>
        </w:rPr>
        <w:t xml:space="preserve"> (pp. 52-74). Routledge. </w:t>
      </w:r>
    </w:p>
    <w:p w14:paraId="6AD0CD4A" w14:textId="77777777" w:rsidR="00FC164A" w:rsidRPr="00FC164A" w:rsidRDefault="00FC164A" w:rsidP="00FC164A">
      <w:pPr>
        <w:spacing w:before="0" w:after="160"/>
        <w:ind w:left="720" w:hanging="720"/>
        <w:rPr>
          <w:rFonts w:eastAsia="Aptos" w:cs="Arial"/>
          <w:noProof/>
          <w:sz w:val="22"/>
          <w:lang w:val="en-US"/>
        </w:rPr>
      </w:pPr>
      <w:r w:rsidRPr="00FC164A">
        <w:rPr>
          <w:rFonts w:eastAsia="Aptos" w:cs="Arial"/>
          <w:noProof/>
          <w:sz w:val="22"/>
          <w:lang w:val="en-US"/>
        </w:rPr>
        <w:t xml:space="preserve">Dunst, C. J. (2017). Practice Guides. </w:t>
      </w:r>
      <w:r w:rsidRPr="00FC164A">
        <w:rPr>
          <w:rFonts w:eastAsia="Aptos" w:cs="Arial"/>
          <w:i/>
          <w:noProof/>
          <w:sz w:val="22"/>
          <w:lang w:val="en-US"/>
        </w:rPr>
        <w:t>Journal of Education and Training Studies</w:t>
      </w:r>
      <w:r w:rsidRPr="00FC164A">
        <w:rPr>
          <w:rFonts w:eastAsia="Aptos" w:cs="Arial"/>
          <w:noProof/>
          <w:sz w:val="22"/>
          <w:lang w:val="en-US"/>
        </w:rPr>
        <w:t>,</w:t>
      </w:r>
      <w:r w:rsidRPr="00FC164A">
        <w:rPr>
          <w:rFonts w:eastAsia="Aptos" w:cs="Arial"/>
          <w:i/>
          <w:noProof/>
          <w:sz w:val="22"/>
          <w:lang w:val="en-US"/>
        </w:rPr>
        <w:t xml:space="preserve"> 5</w:t>
      </w:r>
      <w:r w:rsidRPr="00FC164A">
        <w:rPr>
          <w:rFonts w:eastAsia="Aptos" w:cs="Arial"/>
          <w:noProof/>
          <w:sz w:val="22"/>
          <w:lang w:val="en-US"/>
        </w:rPr>
        <w:t xml:space="preserve">(3), 176-187. </w:t>
      </w:r>
    </w:p>
    <w:p w14:paraId="67607329" w14:textId="77777777" w:rsidR="00FC164A" w:rsidRPr="00FC164A" w:rsidRDefault="00FC164A" w:rsidP="00FC164A">
      <w:pPr>
        <w:spacing w:before="0" w:after="0"/>
        <w:ind w:left="720" w:hanging="720"/>
        <w:rPr>
          <w:rFonts w:eastAsia="Aptos" w:cs="Arial"/>
          <w:noProof/>
          <w:sz w:val="22"/>
          <w:lang w:val="en-US"/>
        </w:rPr>
      </w:pPr>
      <w:r w:rsidRPr="00FC164A">
        <w:rPr>
          <w:rFonts w:eastAsia="Aptos" w:cs="Arial"/>
          <w:noProof/>
          <w:sz w:val="22"/>
          <w:lang w:val="en-US"/>
        </w:rPr>
        <w:tab/>
      </w:r>
    </w:p>
    <w:p w14:paraId="7A2EDFA8" w14:textId="77777777" w:rsidR="00FC164A" w:rsidRPr="00FC164A" w:rsidRDefault="00FC164A" w:rsidP="00FC164A">
      <w:pPr>
        <w:spacing w:before="0" w:after="160"/>
        <w:ind w:left="720" w:hanging="720"/>
        <w:rPr>
          <w:rFonts w:eastAsia="Aptos" w:cs="Arial"/>
          <w:noProof/>
          <w:sz w:val="22"/>
          <w:lang w:val="en-US"/>
        </w:rPr>
      </w:pPr>
      <w:r w:rsidRPr="00FC164A">
        <w:rPr>
          <w:rFonts w:eastAsia="Aptos" w:cs="Arial"/>
          <w:noProof/>
          <w:sz w:val="22"/>
          <w:lang w:val="en-US"/>
        </w:rPr>
        <w:t xml:space="preserve">Dunst, C. J. (2017). Procedures for Developing Evidence-Informed Performance Checklists for Improving Early Childhood Intervention Practices. </w:t>
      </w:r>
      <w:r w:rsidRPr="00FC164A">
        <w:rPr>
          <w:rFonts w:eastAsia="Aptos" w:cs="Arial"/>
          <w:i/>
          <w:noProof/>
          <w:sz w:val="22"/>
          <w:lang w:val="en-US"/>
        </w:rPr>
        <w:t>Journal of Education and Learning</w:t>
      </w:r>
      <w:r w:rsidRPr="00FC164A">
        <w:rPr>
          <w:rFonts w:eastAsia="Aptos" w:cs="Arial"/>
          <w:noProof/>
          <w:sz w:val="22"/>
          <w:lang w:val="en-US"/>
        </w:rPr>
        <w:t>,</w:t>
      </w:r>
      <w:r w:rsidRPr="00FC164A">
        <w:rPr>
          <w:rFonts w:eastAsia="Aptos" w:cs="Arial"/>
          <w:i/>
          <w:noProof/>
          <w:sz w:val="22"/>
          <w:lang w:val="en-US"/>
        </w:rPr>
        <w:t xml:space="preserve"> 6</w:t>
      </w:r>
      <w:r w:rsidRPr="00FC164A">
        <w:rPr>
          <w:rFonts w:eastAsia="Aptos" w:cs="Arial"/>
          <w:noProof/>
          <w:sz w:val="22"/>
          <w:lang w:val="en-US"/>
        </w:rPr>
        <w:t xml:space="preserve">(3), 1-13. </w:t>
      </w:r>
    </w:p>
    <w:p w14:paraId="73472238" w14:textId="77777777" w:rsidR="00FC164A" w:rsidRPr="00FC164A" w:rsidRDefault="00FC164A" w:rsidP="00FC164A">
      <w:pPr>
        <w:spacing w:before="0" w:after="0"/>
        <w:ind w:left="720" w:hanging="720"/>
        <w:rPr>
          <w:rFonts w:eastAsia="Aptos" w:cs="Arial"/>
          <w:noProof/>
          <w:sz w:val="22"/>
          <w:lang w:val="en-US"/>
        </w:rPr>
      </w:pPr>
      <w:r w:rsidRPr="00FC164A">
        <w:rPr>
          <w:rFonts w:eastAsia="Aptos" w:cs="Arial"/>
          <w:noProof/>
          <w:sz w:val="22"/>
          <w:lang w:val="en-US"/>
        </w:rPr>
        <w:tab/>
      </w:r>
    </w:p>
    <w:p w14:paraId="0AF8B7A8" w14:textId="7CFC9129" w:rsidR="00FC164A" w:rsidRPr="00FC164A" w:rsidRDefault="00FC164A" w:rsidP="00FC164A">
      <w:pPr>
        <w:spacing w:before="0" w:after="160"/>
        <w:ind w:left="720" w:hanging="720"/>
        <w:rPr>
          <w:rFonts w:eastAsia="Aptos" w:cs="Arial"/>
          <w:noProof/>
          <w:sz w:val="22"/>
          <w:lang w:val="en-US"/>
        </w:rPr>
      </w:pPr>
      <w:r w:rsidRPr="00FC164A">
        <w:rPr>
          <w:rFonts w:eastAsia="Aptos" w:cs="Arial"/>
          <w:noProof/>
          <w:sz w:val="22"/>
          <w:lang w:val="en-US"/>
        </w:rPr>
        <w:t xml:space="preserve">Dunst, C. J. (2017). Research Foundations for Evidence-Informed Early Childhood Intervention Performance Checklists. </w:t>
      </w:r>
      <w:r w:rsidRPr="00FC164A">
        <w:rPr>
          <w:rFonts w:eastAsia="Aptos" w:cs="Arial"/>
          <w:i/>
          <w:noProof/>
          <w:sz w:val="22"/>
          <w:lang w:val="en-US"/>
        </w:rPr>
        <w:t>Education Sciences</w:t>
      </w:r>
      <w:r w:rsidRPr="00FC164A">
        <w:rPr>
          <w:rFonts w:eastAsia="Aptos" w:cs="Arial"/>
          <w:noProof/>
          <w:sz w:val="22"/>
          <w:lang w:val="en-US"/>
        </w:rPr>
        <w:t>,</w:t>
      </w:r>
      <w:r w:rsidRPr="00FC164A">
        <w:rPr>
          <w:rFonts w:eastAsia="Aptos" w:cs="Arial"/>
          <w:i/>
          <w:noProof/>
          <w:sz w:val="22"/>
          <w:lang w:val="en-US"/>
        </w:rPr>
        <w:t xml:space="preserve"> 7</w:t>
      </w:r>
      <w:r w:rsidRPr="00FC164A">
        <w:rPr>
          <w:rFonts w:eastAsia="Aptos" w:cs="Arial"/>
          <w:noProof/>
          <w:sz w:val="22"/>
          <w:lang w:val="en-US"/>
        </w:rPr>
        <w:t xml:space="preserve">(4). </w:t>
      </w:r>
      <w:hyperlink r:id="rId213" w:history="1">
        <w:r w:rsidR="0054349C" w:rsidRPr="00326476">
          <w:rPr>
            <w:rStyle w:val="Hyperlink"/>
            <w:rFonts w:eastAsia="Aptos" w:cs="Arial"/>
            <w:noProof/>
            <w:sz w:val="22"/>
            <w:lang w:val="en-US"/>
          </w:rPr>
          <w:t>https://doi.org/10.3390/educsci7040078</w:t>
        </w:r>
      </w:hyperlink>
      <w:r w:rsidR="0054349C">
        <w:rPr>
          <w:rFonts w:eastAsia="Aptos" w:cs="Arial"/>
          <w:noProof/>
          <w:sz w:val="22"/>
          <w:lang w:val="en-US"/>
        </w:rPr>
        <w:t xml:space="preserve"> </w:t>
      </w:r>
      <w:r w:rsidRPr="00FC164A">
        <w:rPr>
          <w:rFonts w:eastAsia="Aptos" w:cs="Arial"/>
          <w:noProof/>
          <w:sz w:val="22"/>
          <w:lang w:val="en-US"/>
        </w:rPr>
        <w:t xml:space="preserve"> </w:t>
      </w:r>
    </w:p>
    <w:p w14:paraId="052AB74D" w14:textId="78ED5191" w:rsidR="001459CF" w:rsidRPr="001459CF" w:rsidRDefault="001459CF" w:rsidP="001459CF">
      <w:pPr>
        <w:spacing w:before="0" w:after="160"/>
        <w:ind w:left="720" w:hanging="720"/>
        <w:rPr>
          <w:rFonts w:eastAsia="Aptos" w:cs="Arial"/>
          <w:noProof/>
          <w:sz w:val="22"/>
          <w:lang w:val="en-US"/>
        </w:rPr>
      </w:pPr>
      <w:r w:rsidRPr="001459CF">
        <w:rPr>
          <w:rFonts w:eastAsia="Aptos" w:cs="Arial"/>
          <w:noProof/>
          <w:sz w:val="22"/>
          <w:lang w:val="en-US"/>
        </w:rPr>
        <w:t xml:space="preserve">Dunst, C. J. (2018). </w:t>
      </w:r>
      <w:r w:rsidRPr="001459CF">
        <w:rPr>
          <w:rFonts w:eastAsia="Aptos" w:cs="Arial"/>
          <w:i/>
          <w:noProof/>
          <w:sz w:val="22"/>
          <w:lang w:val="en-US"/>
        </w:rPr>
        <w:t>Evidence-informed early childhood intervention performance checklists and practice guides</w:t>
      </w:r>
      <w:r w:rsidRPr="001459CF">
        <w:rPr>
          <w:rFonts w:eastAsia="Aptos" w:cs="Arial"/>
          <w:noProof/>
          <w:sz w:val="22"/>
          <w:lang w:val="en-US"/>
        </w:rPr>
        <w:t xml:space="preserve">. Asheville, NC: Winterberry Press. Retrieved 6 September, 2024 from </w:t>
      </w:r>
      <w:hyperlink r:id="rId214" w:history="1">
        <w:r w:rsidR="0054349C" w:rsidRPr="00326476">
          <w:rPr>
            <w:rStyle w:val="Hyperlink"/>
            <w:rFonts w:eastAsia="Aptos" w:cs="Arial"/>
            <w:noProof/>
            <w:sz w:val="22"/>
            <w:lang w:val="en-US"/>
          </w:rPr>
          <w:t>https://www.wbpress.com/wp-content/uploads/2018/12/WP-EBP-Monograph.pdf</w:t>
        </w:r>
      </w:hyperlink>
      <w:r w:rsidR="0054349C">
        <w:rPr>
          <w:rFonts w:eastAsia="Aptos" w:cs="Arial"/>
          <w:noProof/>
          <w:sz w:val="22"/>
          <w:lang w:val="en-US"/>
        </w:rPr>
        <w:t xml:space="preserve"> </w:t>
      </w:r>
    </w:p>
    <w:p w14:paraId="52C6BEAB" w14:textId="77777777" w:rsidR="001459CF" w:rsidRPr="001459CF" w:rsidRDefault="001459CF" w:rsidP="001459CF">
      <w:pPr>
        <w:spacing w:before="0" w:after="0"/>
        <w:ind w:left="720" w:hanging="720"/>
        <w:rPr>
          <w:rFonts w:eastAsia="Aptos" w:cs="Arial"/>
          <w:noProof/>
          <w:sz w:val="22"/>
          <w:lang w:val="en-US"/>
        </w:rPr>
      </w:pPr>
      <w:r w:rsidRPr="001459CF">
        <w:rPr>
          <w:rFonts w:eastAsia="Aptos" w:cs="Arial"/>
          <w:noProof/>
          <w:sz w:val="22"/>
          <w:lang w:val="en-US"/>
        </w:rPr>
        <w:tab/>
      </w:r>
    </w:p>
    <w:p w14:paraId="2D8D7AB7" w14:textId="77777777" w:rsidR="001459CF" w:rsidRPr="001459CF" w:rsidRDefault="001459CF" w:rsidP="001459CF">
      <w:pPr>
        <w:spacing w:before="0" w:after="160"/>
        <w:ind w:left="720" w:hanging="720"/>
        <w:rPr>
          <w:rFonts w:eastAsia="Aptos" w:cs="Arial"/>
          <w:noProof/>
          <w:sz w:val="22"/>
          <w:lang w:val="en-US"/>
        </w:rPr>
      </w:pPr>
      <w:r w:rsidRPr="001459CF">
        <w:rPr>
          <w:rFonts w:eastAsia="Aptos" w:cs="Arial"/>
          <w:noProof/>
          <w:sz w:val="22"/>
          <w:lang w:val="en-US"/>
        </w:rPr>
        <w:t xml:space="preserve">Dunst, C. J. (2020). Everyday learning opportunities of young children with and without developmental disabilities or delays. </w:t>
      </w:r>
      <w:r w:rsidRPr="001459CF">
        <w:rPr>
          <w:rFonts w:eastAsia="Aptos" w:cs="Arial"/>
          <w:i/>
          <w:noProof/>
          <w:sz w:val="22"/>
          <w:lang w:val="en-US"/>
        </w:rPr>
        <w:t>International Journal of Early Childhood Environmental Education</w:t>
      </w:r>
      <w:r w:rsidRPr="001459CF">
        <w:rPr>
          <w:rFonts w:eastAsia="Aptos" w:cs="Arial"/>
          <w:noProof/>
          <w:sz w:val="22"/>
          <w:lang w:val="en-US"/>
        </w:rPr>
        <w:t>,</w:t>
      </w:r>
      <w:r w:rsidRPr="001459CF">
        <w:rPr>
          <w:rFonts w:eastAsia="Aptos" w:cs="Arial"/>
          <w:i/>
          <w:noProof/>
          <w:sz w:val="22"/>
          <w:lang w:val="en-US"/>
        </w:rPr>
        <w:t xml:space="preserve"> 7</w:t>
      </w:r>
      <w:r w:rsidRPr="001459CF">
        <w:rPr>
          <w:rFonts w:eastAsia="Aptos" w:cs="Arial"/>
          <w:noProof/>
          <w:sz w:val="22"/>
          <w:lang w:val="en-US"/>
        </w:rPr>
        <w:t xml:space="preserve">(3), 23-41. </w:t>
      </w:r>
    </w:p>
    <w:p w14:paraId="27A99B18" w14:textId="77777777" w:rsidR="001459CF" w:rsidRPr="001459CF" w:rsidRDefault="001459CF" w:rsidP="001459CF">
      <w:pPr>
        <w:spacing w:before="0" w:after="0"/>
        <w:ind w:left="720" w:hanging="720"/>
        <w:rPr>
          <w:rFonts w:eastAsia="Aptos" w:cs="Arial"/>
          <w:noProof/>
          <w:sz w:val="22"/>
          <w:lang w:val="en-US"/>
        </w:rPr>
      </w:pPr>
      <w:r w:rsidRPr="001459CF">
        <w:rPr>
          <w:rFonts w:eastAsia="Aptos" w:cs="Arial"/>
          <w:noProof/>
          <w:sz w:val="22"/>
          <w:lang w:val="en-US"/>
        </w:rPr>
        <w:tab/>
      </w:r>
    </w:p>
    <w:p w14:paraId="30AFAEAD" w14:textId="10C95BDF" w:rsidR="001459CF" w:rsidRDefault="001459CF" w:rsidP="001459CF">
      <w:pPr>
        <w:spacing w:before="0" w:after="160"/>
        <w:ind w:left="720" w:hanging="720"/>
        <w:rPr>
          <w:rFonts w:eastAsia="Aptos" w:cs="Arial"/>
          <w:noProof/>
          <w:sz w:val="22"/>
          <w:lang w:val="en-US"/>
        </w:rPr>
      </w:pPr>
      <w:r w:rsidRPr="001459CF">
        <w:rPr>
          <w:rFonts w:eastAsia="Aptos" w:cs="Arial"/>
          <w:noProof/>
          <w:sz w:val="22"/>
          <w:lang w:val="en-US"/>
        </w:rPr>
        <w:t xml:space="preserve">Dunst, C. J. (2021). Differential relationships between the adequacy of different types of family resources and psychological health and well-being: A meta-analysis. </w:t>
      </w:r>
      <w:r w:rsidRPr="001459CF">
        <w:rPr>
          <w:rFonts w:eastAsia="Aptos" w:cs="Arial"/>
          <w:i/>
          <w:noProof/>
          <w:sz w:val="22"/>
          <w:lang w:val="en-US"/>
        </w:rPr>
        <w:t>International Journal of Health and Psychology Research</w:t>
      </w:r>
      <w:r w:rsidRPr="001459CF">
        <w:rPr>
          <w:rFonts w:eastAsia="Aptos" w:cs="Arial"/>
          <w:noProof/>
          <w:sz w:val="22"/>
          <w:lang w:val="en-US"/>
        </w:rPr>
        <w:t>,</w:t>
      </w:r>
      <w:r w:rsidRPr="001459CF">
        <w:rPr>
          <w:rFonts w:eastAsia="Aptos" w:cs="Arial"/>
          <w:i/>
          <w:noProof/>
          <w:sz w:val="22"/>
          <w:lang w:val="en-US"/>
        </w:rPr>
        <w:t xml:space="preserve"> 9</w:t>
      </w:r>
      <w:r w:rsidRPr="001459CF">
        <w:rPr>
          <w:rFonts w:eastAsia="Aptos" w:cs="Arial"/>
          <w:noProof/>
          <w:sz w:val="22"/>
          <w:lang w:val="en-US"/>
        </w:rPr>
        <w:t xml:space="preserve">(2), 1-18. </w:t>
      </w:r>
      <w:hyperlink r:id="rId215" w:history="1">
        <w:r w:rsidR="00475584" w:rsidRPr="00326476">
          <w:rPr>
            <w:rStyle w:val="Hyperlink"/>
            <w:rFonts w:eastAsia="Aptos" w:cs="Arial"/>
            <w:noProof/>
            <w:sz w:val="22"/>
            <w:lang w:val="en-US"/>
          </w:rPr>
          <w:t>https://ssrn.com/abstract=3905431</w:t>
        </w:r>
      </w:hyperlink>
      <w:r w:rsidRPr="001459CF">
        <w:rPr>
          <w:rFonts w:eastAsia="Aptos" w:cs="Arial"/>
          <w:noProof/>
          <w:sz w:val="22"/>
          <w:lang w:val="en-US"/>
        </w:rPr>
        <w:t xml:space="preserve"> </w:t>
      </w:r>
    </w:p>
    <w:p w14:paraId="2BEE28B4" w14:textId="77777777" w:rsidR="00475584" w:rsidRPr="001459CF" w:rsidRDefault="00475584" w:rsidP="001459CF">
      <w:pPr>
        <w:spacing w:before="0" w:after="160"/>
        <w:ind w:left="720" w:hanging="720"/>
        <w:rPr>
          <w:rFonts w:eastAsia="Aptos" w:cs="Arial"/>
          <w:noProof/>
          <w:sz w:val="22"/>
          <w:lang w:val="en-US"/>
        </w:rPr>
      </w:pPr>
    </w:p>
    <w:p w14:paraId="7FD3209D" w14:textId="77777777" w:rsidR="00841BAC" w:rsidRPr="00841BAC" w:rsidRDefault="00841BAC" w:rsidP="00841BAC">
      <w:pPr>
        <w:spacing w:before="0" w:after="160"/>
        <w:ind w:left="720" w:hanging="720"/>
        <w:rPr>
          <w:rFonts w:eastAsia="Aptos" w:cs="Arial"/>
          <w:noProof/>
          <w:sz w:val="22"/>
          <w:lang w:val="en-US"/>
        </w:rPr>
      </w:pPr>
      <w:r w:rsidRPr="00841BAC">
        <w:rPr>
          <w:rFonts w:eastAsia="Aptos" w:cs="Arial"/>
          <w:noProof/>
          <w:sz w:val="22"/>
          <w:lang w:val="en-US"/>
        </w:rPr>
        <w:t xml:space="preserve">Dunst, C. J. (2022a). Associations between perceived family social support and the psychological health of caregivers of children and adolescents: A systematic review and meta-analysis. </w:t>
      </w:r>
      <w:r w:rsidRPr="00841BAC">
        <w:rPr>
          <w:rFonts w:eastAsia="Aptos" w:cs="Arial"/>
          <w:i/>
          <w:noProof/>
          <w:sz w:val="22"/>
          <w:lang w:val="en-US"/>
        </w:rPr>
        <w:t>European Journal of Psychological Research</w:t>
      </w:r>
      <w:r w:rsidRPr="00841BAC">
        <w:rPr>
          <w:rFonts w:eastAsia="Aptos" w:cs="Arial"/>
          <w:noProof/>
          <w:sz w:val="22"/>
          <w:lang w:val="en-US"/>
        </w:rPr>
        <w:t>,</w:t>
      </w:r>
      <w:r w:rsidRPr="00841BAC">
        <w:rPr>
          <w:rFonts w:eastAsia="Aptos" w:cs="Arial"/>
          <w:i/>
          <w:noProof/>
          <w:sz w:val="22"/>
          <w:lang w:val="en-US"/>
        </w:rPr>
        <w:t xml:space="preserve"> 9</w:t>
      </w:r>
      <w:r w:rsidRPr="00841BAC">
        <w:rPr>
          <w:rFonts w:eastAsia="Aptos" w:cs="Arial"/>
          <w:noProof/>
          <w:sz w:val="22"/>
          <w:lang w:val="en-US"/>
        </w:rPr>
        <w:t xml:space="preserve">(2), 32-57. </w:t>
      </w:r>
    </w:p>
    <w:p w14:paraId="61973313" w14:textId="77777777" w:rsidR="00841BAC" w:rsidRPr="00841BAC" w:rsidRDefault="00841BAC" w:rsidP="00841BAC">
      <w:pPr>
        <w:spacing w:before="0" w:after="0"/>
        <w:ind w:left="720" w:hanging="720"/>
        <w:rPr>
          <w:rFonts w:eastAsia="Aptos" w:cs="Arial"/>
          <w:noProof/>
          <w:sz w:val="22"/>
          <w:lang w:val="en-US"/>
        </w:rPr>
      </w:pPr>
      <w:r w:rsidRPr="00841BAC">
        <w:rPr>
          <w:rFonts w:eastAsia="Aptos" w:cs="Arial"/>
          <w:noProof/>
          <w:sz w:val="22"/>
          <w:lang w:val="en-US"/>
        </w:rPr>
        <w:tab/>
      </w:r>
    </w:p>
    <w:p w14:paraId="008F4C7A" w14:textId="2D2370AF" w:rsidR="00841BAC" w:rsidRPr="00841BAC" w:rsidRDefault="00841BAC" w:rsidP="00841BAC">
      <w:pPr>
        <w:spacing w:before="0" w:after="160"/>
        <w:ind w:left="720" w:hanging="720"/>
        <w:rPr>
          <w:rFonts w:eastAsia="Aptos" w:cs="Arial"/>
          <w:noProof/>
          <w:sz w:val="22"/>
          <w:lang w:val="en-US"/>
        </w:rPr>
      </w:pPr>
      <w:r w:rsidRPr="00841BAC">
        <w:rPr>
          <w:rFonts w:eastAsia="Aptos" w:cs="Arial"/>
          <w:noProof/>
          <w:sz w:val="22"/>
          <w:lang w:val="en-US"/>
        </w:rPr>
        <w:t xml:space="preserve">Dunst, C. J. (2022b). Child studies through the lens of applied family social systems theory. </w:t>
      </w:r>
      <w:r w:rsidRPr="00841BAC">
        <w:rPr>
          <w:rFonts w:eastAsia="Aptos" w:cs="Arial"/>
          <w:i/>
          <w:noProof/>
          <w:sz w:val="22"/>
          <w:lang w:val="en-US"/>
        </w:rPr>
        <w:t>Child Studies</w:t>
      </w:r>
      <w:r w:rsidRPr="00841BAC">
        <w:rPr>
          <w:rFonts w:eastAsia="Aptos" w:cs="Arial"/>
          <w:noProof/>
          <w:sz w:val="22"/>
          <w:lang w:val="en-US"/>
        </w:rPr>
        <w:t xml:space="preserve">(1), 37-64. </w:t>
      </w:r>
      <w:hyperlink r:id="rId216" w:history="1">
        <w:r w:rsidR="0054349C" w:rsidRPr="00326476">
          <w:rPr>
            <w:rStyle w:val="Hyperlink"/>
            <w:rFonts w:eastAsia="Aptos" w:cs="Arial"/>
            <w:noProof/>
            <w:sz w:val="22"/>
            <w:lang w:val="en-US"/>
          </w:rPr>
          <w:t>https://doi.org/10.21814/childstudies.4126</w:t>
        </w:r>
      </w:hyperlink>
      <w:r w:rsidR="0054349C">
        <w:rPr>
          <w:rFonts w:eastAsia="Aptos" w:cs="Arial"/>
          <w:noProof/>
          <w:sz w:val="22"/>
          <w:lang w:val="en-US"/>
        </w:rPr>
        <w:t xml:space="preserve"> </w:t>
      </w:r>
      <w:r w:rsidRPr="00841BAC">
        <w:rPr>
          <w:rFonts w:eastAsia="Aptos" w:cs="Arial"/>
          <w:noProof/>
          <w:sz w:val="22"/>
          <w:lang w:val="en-US"/>
        </w:rPr>
        <w:t xml:space="preserve"> </w:t>
      </w:r>
    </w:p>
    <w:p w14:paraId="14759F5E" w14:textId="77777777" w:rsidR="00841BAC" w:rsidRPr="00841BAC" w:rsidRDefault="00841BAC" w:rsidP="00841BAC">
      <w:pPr>
        <w:spacing w:before="0" w:after="0"/>
        <w:ind w:left="720" w:hanging="720"/>
        <w:rPr>
          <w:rFonts w:eastAsia="Aptos" w:cs="Arial"/>
          <w:noProof/>
          <w:sz w:val="22"/>
          <w:lang w:val="en-US"/>
        </w:rPr>
      </w:pPr>
      <w:r w:rsidRPr="00841BAC">
        <w:rPr>
          <w:rFonts w:eastAsia="Aptos" w:cs="Arial"/>
          <w:noProof/>
          <w:sz w:val="22"/>
          <w:lang w:val="en-US"/>
        </w:rPr>
        <w:tab/>
      </w:r>
    </w:p>
    <w:p w14:paraId="7F6F91B8" w14:textId="67C4B0E0" w:rsidR="00841BAC" w:rsidRDefault="00841BAC" w:rsidP="00841BAC">
      <w:pPr>
        <w:spacing w:before="0" w:after="160"/>
        <w:ind w:left="720" w:hanging="720"/>
        <w:rPr>
          <w:rFonts w:eastAsia="Aptos" w:cs="Arial"/>
          <w:noProof/>
          <w:sz w:val="22"/>
          <w:lang w:val="en-US"/>
        </w:rPr>
      </w:pPr>
      <w:r w:rsidRPr="00841BAC">
        <w:rPr>
          <w:rFonts w:eastAsia="Aptos" w:cs="Arial"/>
          <w:noProof/>
          <w:sz w:val="22"/>
          <w:lang w:val="en-US"/>
        </w:rPr>
        <w:t xml:space="preserve">Dunst, C. J. (2022c). Systematic review and meta-analysis of the relationships between the adequacy of family resources and parenting stress. </w:t>
      </w:r>
      <w:r w:rsidRPr="00841BAC">
        <w:rPr>
          <w:rFonts w:eastAsia="Aptos" w:cs="Arial"/>
          <w:i/>
          <w:noProof/>
          <w:sz w:val="22"/>
          <w:lang w:val="en-US"/>
        </w:rPr>
        <w:t>International Journal of Health and Psychology Research</w:t>
      </w:r>
      <w:r w:rsidRPr="00841BAC">
        <w:rPr>
          <w:rFonts w:eastAsia="Aptos" w:cs="Arial"/>
          <w:noProof/>
          <w:sz w:val="22"/>
          <w:lang w:val="en-US"/>
        </w:rPr>
        <w:t>,</w:t>
      </w:r>
      <w:r w:rsidRPr="00841BAC">
        <w:rPr>
          <w:rFonts w:eastAsia="Aptos" w:cs="Arial"/>
          <w:i/>
          <w:noProof/>
          <w:sz w:val="22"/>
          <w:lang w:val="en-US"/>
        </w:rPr>
        <w:t xml:space="preserve"> 10</w:t>
      </w:r>
      <w:r w:rsidRPr="00841BAC">
        <w:rPr>
          <w:rFonts w:eastAsia="Aptos" w:cs="Arial"/>
          <w:noProof/>
          <w:sz w:val="22"/>
          <w:lang w:val="en-US"/>
        </w:rPr>
        <w:t xml:space="preserve">(1), 18-30. </w:t>
      </w:r>
      <w:hyperlink r:id="rId217" w:history="1">
        <w:r w:rsidR="00475584" w:rsidRPr="00326476">
          <w:rPr>
            <w:rStyle w:val="Hyperlink"/>
            <w:rFonts w:eastAsia="Aptos" w:cs="Arial"/>
            <w:noProof/>
            <w:sz w:val="22"/>
            <w:lang w:val="en-US"/>
          </w:rPr>
          <w:t>https://tudr.org/id/eprint/85</w:t>
        </w:r>
      </w:hyperlink>
      <w:r w:rsidRPr="00841BAC">
        <w:rPr>
          <w:rFonts w:eastAsia="Aptos" w:cs="Arial"/>
          <w:noProof/>
          <w:sz w:val="22"/>
          <w:lang w:val="en-US"/>
        </w:rPr>
        <w:t xml:space="preserve"> </w:t>
      </w:r>
    </w:p>
    <w:p w14:paraId="308696C9" w14:textId="77777777" w:rsidR="00475584" w:rsidRPr="00841BAC" w:rsidRDefault="00475584" w:rsidP="00841BAC">
      <w:pPr>
        <w:spacing w:before="0" w:after="160"/>
        <w:ind w:left="720" w:hanging="720"/>
        <w:rPr>
          <w:rFonts w:eastAsia="Aptos" w:cs="Arial"/>
          <w:noProof/>
          <w:sz w:val="22"/>
          <w:lang w:val="en-US"/>
        </w:rPr>
      </w:pPr>
    </w:p>
    <w:p w14:paraId="3A8E7756" w14:textId="77777777" w:rsidR="00EA546F" w:rsidRDefault="00EA546F" w:rsidP="00EA546F">
      <w:pPr>
        <w:spacing w:before="0" w:after="160"/>
        <w:ind w:left="720" w:hanging="720"/>
        <w:rPr>
          <w:rFonts w:eastAsia="Aptos" w:cs="Arial"/>
          <w:noProof/>
          <w:sz w:val="22"/>
          <w:lang w:val="en-US"/>
        </w:rPr>
      </w:pPr>
      <w:r w:rsidRPr="00EA546F">
        <w:rPr>
          <w:rFonts w:eastAsia="Aptos" w:cs="Arial"/>
          <w:noProof/>
          <w:sz w:val="22"/>
          <w:lang w:val="en-US"/>
        </w:rPr>
        <w:t xml:space="preserve">Dunst, C. J., Bruder, M. B., &amp; Espe-Sherwindt, M. (2014). Family Capacity-Building in Early Childhood Intervention: Do Context and Setting Matter? </w:t>
      </w:r>
      <w:r w:rsidRPr="00EA546F">
        <w:rPr>
          <w:rFonts w:eastAsia="Aptos" w:cs="Arial"/>
          <w:i/>
          <w:noProof/>
          <w:sz w:val="22"/>
          <w:lang w:val="en-US"/>
        </w:rPr>
        <w:t>School Community Journal</w:t>
      </w:r>
      <w:r w:rsidRPr="00EA546F">
        <w:rPr>
          <w:rFonts w:eastAsia="Aptos" w:cs="Arial"/>
          <w:noProof/>
          <w:sz w:val="22"/>
          <w:lang w:val="en-US"/>
        </w:rPr>
        <w:t>,</w:t>
      </w:r>
      <w:r w:rsidRPr="00EA546F">
        <w:rPr>
          <w:rFonts w:eastAsia="Aptos" w:cs="Arial"/>
          <w:i/>
          <w:noProof/>
          <w:sz w:val="22"/>
          <w:lang w:val="en-US"/>
        </w:rPr>
        <w:t xml:space="preserve"> 24</w:t>
      </w:r>
      <w:r w:rsidRPr="00EA546F">
        <w:rPr>
          <w:rFonts w:eastAsia="Aptos" w:cs="Arial"/>
          <w:noProof/>
          <w:sz w:val="22"/>
          <w:lang w:val="en-US"/>
        </w:rPr>
        <w:t xml:space="preserve">(1), 37-48. </w:t>
      </w:r>
    </w:p>
    <w:p w14:paraId="147CF18F" w14:textId="77777777" w:rsidR="00475584" w:rsidRPr="00EA546F" w:rsidRDefault="00475584" w:rsidP="00EA546F">
      <w:pPr>
        <w:spacing w:before="0" w:after="160"/>
        <w:ind w:left="720" w:hanging="720"/>
        <w:rPr>
          <w:rFonts w:eastAsia="Aptos" w:cs="Arial"/>
          <w:noProof/>
          <w:sz w:val="22"/>
          <w:lang w:val="en-US"/>
        </w:rPr>
      </w:pPr>
    </w:p>
    <w:p w14:paraId="6C995104" w14:textId="74A4ADDE" w:rsidR="00C603B8" w:rsidRPr="00C603B8" w:rsidRDefault="00C603B8" w:rsidP="00C603B8">
      <w:pPr>
        <w:spacing w:before="0" w:after="160"/>
        <w:ind w:left="720" w:hanging="720"/>
        <w:rPr>
          <w:rFonts w:eastAsia="Aptos" w:cs="Arial"/>
          <w:noProof/>
          <w:sz w:val="22"/>
          <w:lang w:val="en-US"/>
        </w:rPr>
      </w:pPr>
      <w:r w:rsidRPr="00C603B8">
        <w:rPr>
          <w:rFonts w:eastAsia="Aptos" w:cs="Arial"/>
          <w:noProof/>
          <w:sz w:val="22"/>
          <w:lang w:val="en-US"/>
        </w:rPr>
        <w:t xml:space="preserve">Dunst, C. J., Bruder, M. B., Maude, S. P., Schnurr, M., Van Polen, A., Clark, G. F., Winslow, A., &amp; Gethmann, D. (2020). Predictors of Practitioners' Use of Recommended Early Childhood Intervention Practices. </w:t>
      </w:r>
      <w:r w:rsidRPr="00C603B8">
        <w:rPr>
          <w:rFonts w:eastAsia="Aptos" w:cs="Arial"/>
          <w:i/>
          <w:noProof/>
          <w:sz w:val="22"/>
          <w:lang w:val="en-US"/>
        </w:rPr>
        <w:t>International Education Studies</w:t>
      </w:r>
      <w:r w:rsidRPr="00C603B8">
        <w:rPr>
          <w:rFonts w:eastAsia="Aptos" w:cs="Arial"/>
          <w:noProof/>
          <w:sz w:val="22"/>
          <w:lang w:val="en-US"/>
        </w:rPr>
        <w:t>,</w:t>
      </w:r>
      <w:r w:rsidRPr="00C603B8">
        <w:rPr>
          <w:rFonts w:eastAsia="Aptos" w:cs="Arial"/>
          <w:i/>
          <w:noProof/>
          <w:sz w:val="22"/>
          <w:lang w:val="en-US"/>
        </w:rPr>
        <w:t xml:space="preserve"> 13</w:t>
      </w:r>
      <w:r w:rsidRPr="00C603B8">
        <w:rPr>
          <w:rFonts w:eastAsia="Aptos" w:cs="Arial"/>
          <w:noProof/>
          <w:sz w:val="22"/>
          <w:lang w:val="en-US"/>
        </w:rPr>
        <w:t xml:space="preserve">(9), 36-47. </w:t>
      </w:r>
      <w:hyperlink r:id="rId218" w:history="1">
        <w:r w:rsidR="0054349C" w:rsidRPr="00326476">
          <w:rPr>
            <w:rStyle w:val="Hyperlink"/>
            <w:rFonts w:eastAsia="Aptos" w:cs="Arial"/>
            <w:noProof/>
            <w:sz w:val="22"/>
            <w:lang w:val="en-US"/>
          </w:rPr>
          <w:t>https://doi.org/10.5539/ies.v13n9p36</w:t>
        </w:r>
      </w:hyperlink>
      <w:r w:rsidR="0054349C">
        <w:rPr>
          <w:rFonts w:eastAsia="Aptos" w:cs="Arial"/>
          <w:noProof/>
          <w:sz w:val="22"/>
          <w:lang w:val="en-US"/>
        </w:rPr>
        <w:t xml:space="preserve"> </w:t>
      </w:r>
      <w:r w:rsidRPr="00C603B8">
        <w:rPr>
          <w:rFonts w:eastAsia="Aptos" w:cs="Arial"/>
          <w:noProof/>
          <w:sz w:val="22"/>
          <w:lang w:val="en-US"/>
        </w:rPr>
        <w:t xml:space="preserve"> </w:t>
      </w:r>
    </w:p>
    <w:p w14:paraId="50C604EE" w14:textId="77777777" w:rsidR="00C603B8" w:rsidRPr="00C603B8" w:rsidRDefault="00C603B8" w:rsidP="00C603B8">
      <w:pPr>
        <w:spacing w:before="0" w:after="0"/>
        <w:ind w:left="720" w:hanging="720"/>
        <w:rPr>
          <w:rFonts w:eastAsia="Aptos" w:cs="Arial"/>
          <w:noProof/>
          <w:sz w:val="22"/>
          <w:lang w:val="en-US"/>
        </w:rPr>
      </w:pPr>
      <w:r w:rsidRPr="00C603B8">
        <w:rPr>
          <w:rFonts w:eastAsia="Aptos" w:cs="Arial"/>
          <w:noProof/>
          <w:sz w:val="22"/>
          <w:lang w:val="en-US"/>
        </w:rPr>
        <w:tab/>
      </w:r>
    </w:p>
    <w:p w14:paraId="57B80FAD" w14:textId="77777777" w:rsidR="00C603B8" w:rsidRPr="00C603B8" w:rsidRDefault="00C603B8" w:rsidP="00C603B8">
      <w:pPr>
        <w:spacing w:before="0" w:after="160"/>
        <w:ind w:left="720" w:hanging="720"/>
        <w:rPr>
          <w:rFonts w:eastAsia="Aptos" w:cs="Arial"/>
          <w:noProof/>
          <w:sz w:val="22"/>
          <w:lang w:val="en-US"/>
        </w:rPr>
      </w:pPr>
      <w:r w:rsidRPr="00C603B8">
        <w:rPr>
          <w:rFonts w:eastAsia="Aptos" w:cs="Arial"/>
          <w:noProof/>
          <w:sz w:val="22"/>
          <w:lang w:val="en-US"/>
        </w:rPr>
        <w:t xml:space="preserve">Dunst, C. J., Bruder, M. B., Trivette, C. M., &amp; Hamby, D. W. (2006). Everyday activity settings, natural learning environments, and early intervention practices. </w:t>
      </w:r>
      <w:r w:rsidRPr="00C603B8">
        <w:rPr>
          <w:rFonts w:eastAsia="Aptos" w:cs="Arial"/>
          <w:i/>
          <w:noProof/>
          <w:sz w:val="22"/>
          <w:lang w:val="en-US"/>
        </w:rPr>
        <w:t>Journal of Policy and Practice in Intellectual Disabilities</w:t>
      </w:r>
      <w:r w:rsidRPr="00C603B8">
        <w:rPr>
          <w:rFonts w:eastAsia="Aptos" w:cs="Arial"/>
          <w:noProof/>
          <w:sz w:val="22"/>
          <w:lang w:val="en-US"/>
        </w:rPr>
        <w:t>,</w:t>
      </w:r>
      <w:r w:rsidRPr="00C603B8">
        <w:rPr>
          <w:rFonts w:eastAsia="Aptos" w:cs="Arial"/>
          <w:i/>
          <w:noProof/>
          <w:sz w:val="22"/>
          <w:lang w:val="en-US"/>
        </w:rPr>
        <w:t xml:space="preserve"> 3</w:t>
      </w:r>
      <w:r w:rsidRPr="00C603B8">
        <w:rPr>
          <w:rFonts w:eastAsia="Aptos" w:cs="Arial"/>
          <w:noProof/>
          <w:sz w:val="22"/>
          <w:lang w:val="en-US"/>
        </w:rPr>
        <w:t xml:space="preserve">(1), 3-10. </w:t>
      </w:r>
    </w:p>
    <w:p w14:paraId="4B3E4B4B" w14:textId="77777777" w:rsidR="00C603B8" w:rsidRPr="00C603B8" w:rsidRDefault="00C603B8" w:rsidP="00C603B8">
      <w:pPr>
        <w:spacing w:before="0" w:after="0"/>
        <w:ind w:left="720" w:hanging="720"/>
        <w:rPr>
          <w:rFonts w:eastAsia="Aptos" w:cs="Arial"/>
          <w:noProof/>
          <w:sz w:val="22"/>
          <w:lang w:val="en-US"/>
        </w:rPr>
      </w:pPr>
      <w:r w:rsidRPr="00C603B8">
        <w:rPr>
          <w:rFonts w:eastAsia="Aptos" w:cs="Arial"/>
          <w:noProof/>
          <w:sz w:val="22"/>
          <w:lang w:val="en-US"/>
        </w:rPr>
        <w:tab/>
      </w:r>
    </w:p>
    <w:p w14:paraId="2FDB6838" w14:textId="77777777" w:rsidR="00C603B8" w:rsidRPr="00C603B8" w:rsidRDefault="00C603B8" w:rsidP="00C603B8">
      <w:pPr>
        <w:spacing w:before="0" w:after="160"/>
        <w:ind w:left="720" w:hanging="720"/>
        <w:rPr>
          <w:rFonts w:eastAsia="Aptos" w:cs="Arial"/>
          <w:noProof/>
          <w:sz w:val="22"/>
          <w:lang w:val="en-US"/>
        </w:rPr>
      </w:pPr>
      <w:r w:rsidRPr="00C603B8">
        <w:rPr>
          <w:rFonts w:eastAsia="Aptos" w:cs="Arial"/>
          <w:noProof/>
          <w:sz w:val="22"/>
          <w:lang w:val="en-US"/>
        </w:rPr>
        <w:t xml:space="preserve">Dunst, C. J., &amp; Espe-Sherwindt, M. (2016). Family-centered practices in early childhood intervention. In B. Reichow, B. Boyd, E. Barton, &amp; S. L. Odom (Eds.), </w:t>
      </w:r>
      <w:r w:rsidRPr="00C603B8">
        <w:rPr>
          <w:rFonts w:eastAsia="Aptos" w:cs="Arial"/>
          <w:i/>
          <w:noProof/>
          <w:sz w:val="22"/>
          <w:lang w:val="en-US"/>
        </w:rPr>
        <w:t>Handbook of early childhood special education</w:t>
      </w:r>
      <w:r w:rsidRPr="00C603B8">
        <w:rPr>
          <w:rFonts w:eastAsia="Aptos" w:cs="Arial"/>
          <w:noProof/>
          <w:sz w:val="22"/>
          <w:lang w:val="en-US"/>
        </w:rPr>
        <w:t xml:space="preserve"> (pp. 37-55). New York: Springer. </w:t>
      </w:r>
    </w:p>
    <w:p w14:paraId="0F39FC5F" w14:textId="77777777" w:rsidR="00C603B8" w:rsidRPr="00C603B8" w:rsidRDefault="00C603B8" w:rsidP="00C603B8">
      <w:pPr>
        <w:spacing w:before="0" w:after="0"/>
        <w:ind w:left="720" w:hanging="720"/>
        <w:rPr>
          <w:rFonts w:eastAsia="Aptos" w:cs="Arial"/>
          <w:noProof/>
          <w:sz w:val="22"/>
          <w:lang w:val="en-US"/>
        </w:rPr>
      </w:pPr>
      <w:r w:rsidRPr="00C603B8">
        <w:rPr>
          <w:rFonts w:eastAsia="Aptos" w:cs="Arial"/>
          <w:noProof/>
          <w:sz w:val="22"/>
          <w:lang w:val="en-US"/>
        </w:rPr>
        <w:tab/>
      </w:r>
    </w:p>
    <w:p w14:paraId="3E937BB0" w14:textId="77777777" w:rsidR="00C603B8" w:rsidRDefault="00C603B8" w:rsidP="00C603B8">
      <w:pPr>
        <w:spacing w:before="0" w:after="160"/>
        <w:ind w:left="720" w:hanging="720"/>
        <w:rPr>
          <w:rFonts w:eastAsia="Aptos" w:cs="Arial"/>
          <w:noProof/>
          <w:sz w:val="22"/>
          <w:lang w:val="en-US"/>
        </w:rPr>
      </w:pPr>
      <w:r w:rsidRPr="00C603B8">
        <w:rPr>
          <w:rFonts w:eastAsia="Aptos" w:cs="Arial"/>
          <w:noProof/>
          <w:sz w:val="22"/>
          <w:lang w:val="en-US"/>
        </w:rPr>
        <w:t xml:space="preserve">Dunst, C. J., &amp; Espe-Sherwindt, M. (2017). Contemporary early intervention models, research, and practice for infants and toddlers with disabilities and delays. In J. M. Kauffman, D. P. Hallahan, &amp; C. P. Pullen (Eds.), </w:t>
      </w:r>
      <w:r w:rsidRPr="00C603B8">
        <w:rPr>
          <w:rFonts w:eastAsia="Aptos" w:cs="Arial"/>
          <w:i/>
          <w:noProof/>
          <w:sz w:val="22"/>
          <w:lang w:val="en-US"/>
        </w:rPr>
        <w:t>Handbook of special education</w:t>
      </w:r>
      <w:r w:rsidRPr="00C603B8">
        <w:rPr>
          <w:rFonts w:eastAsia="Aptos" w:cs="Arial"/>
          <w:noProof/>
          <w:sz w:val="22"/>
          <w:lang w:val="en-US"/>
        </w:rPr>
        <w:t xml:space="preserve"> (pp. 831-849). New York: Routledge. </w:t>
      </w:r>
    </w:p>
    <w:p w14:paraId="74C501D3" w14:textId="77777777" w:rsidR="00475584" w:rsidRPr="00C603B8" w:rsidRDefault="00475584" w:rsidP="00C603B8">
      <w:pPr>
        <w:spacing w:before="0" w:after="160"/>
        <w:ind w:left="720" w:hanging="720"/>
        <w:rPr>
          <w:rFonts w:eastAsia="Aptos" w:cs="Arial"/>
          <w:noProof/>
          <w:sz w:val="22"/>
          <w:lang w:val="en-US"/>
        </w:rPr>
      </w:pPr>
    </w:p>
    <w:p w14:paraId="11F36D56" w14:textId="77777777" w:rsidR="00456CB2" w:rsidRDefault="00456CB2" w:rsidP="00456CB2">
      <w:pPr>
        <w:spacing w:before="0" w:after="160"/>
        <w:ind w:left="720" w:hanging="720"/>
        <w:rPr>
          <w:rFonts w:eastAsia="Aptos" w:cs="Arial"/>
          <w:noProof/>
          <w:sz w:val="22"/>
          <w:lang w:val="en-US"/>
        </w:rPr>
      </w:pPr>
      <w:r w:rsidRPr="00456CB2">
        <w:rPr>
          <w:rFonts w:eastAsia="Aptos" w:cs="Arial"/>
          <w:noProof/>
          <w:sz w:val="22"/>
          <w:lang w:val="en-US"/>
        </w:rPr>
        <w:t xml:space="preserve">Dunst, C. J., Hamby, D. W., Wilson, L. L., Espe-Sherwindt, M., &amp; Nelson, D. E. (2017). Practitioner-informed improvements to early childhood intervention performance checklists and practice guides. </w:t>
      </w:r>
      <w:r w:rsidRPr="00456CB2">
        <w:rPr>
          <w:rFonts w:eastAsia="Aptos" w:cs="Arial"/>
          <w:i/>
          <w:noProof/>
          <w:sz w:val="22"/>
          <w:lang w:val="en-US"/>
        </w:rPr>
        <w:t>REiD (Research and Evaluation in Education)</w:t>
      </w:r>
      <w:r w:rsidRPr="00456CB2">
        <w:rPr>
          <w:rFonts w:eastAsia="Aptos" w:cs="Arial"/>
          <w:noProof/>
          <w:sz w:val="22"/>
          <w:lang w:val="en-US"/>
        </w:rPr>
        <w:t>,</w:t>
      </w:r>
      <w:r w:rsidRPr="00456CB2">
        <w:rPr>
          <w:rFonts w:eastAsia="Aptos" w:cs="Arial"/>
          <w:i/>
          <w:noProof/>
          <w:sz w:val="22"/>
          <w:lang w:val="en-US"/>
        </w:rPr>
        <w:t xml:space="preserve"> 3</w:t>
      </w:r>
      <w:r w:rsidRPr="00456CB2">
        <w:rPr>
          <w:rFonts w:eastAsia="Aptos" w:cs="Arial"/>
          <w:noProof/>
          <w:sz w:val="22"/>
          <w:lang w:val="en-US"/>
        </w:rPr>
        <w:t xml:space="preserve">(1), 12-27. </w:t>
      </w:r>
    </w:p>
    <w:p w14:paraId="3F63CEA1" w14:textId="77777777" w:rsidR="00475584" w:rsidRPr="00456CB2" w:rsidRDefault="00475584" w:rsidP="00456CB2">
      <w:pPr>
        <w:spacing w:before="0" w:after="160"/>
        <w:ind w:left="720" w:hanging="720"/>
        <w:rPr>
          <w:rFonts w:eastAsia="Aptos" w:cs="Arial"/>
          <w:noProof/>
          <w:sz w:val="22"/>
          <w:lang w:val="en-US"/>
        </w:rPr>
      </w:pPr>
    </w:p>
    <w:p w14:paraId="0D23C780" w14:textId="5DAF81E7" w:rsidR="00B03061" w:rsidRPr="00B03061" w:rsidRDefault="00B03061" w:rsidP="00B03061">
      <w:pPr>
        <w:spacing w:before="0" w:after="160"/>
        <w:ind w:left="720" w:hanging="720"/>
        <w:rPr>
          <w:rFonts w:eastAsia="Aptos" w:cs="Arial"/>
          <w:noProof/>
          <w:sz w:val="22"/>
          <w:lang w:val="en-US"/>
        </w:rPr>
      </w:pPr>
      <w:r w:rsidRPr="00B03061">
        <w:rPr>
          <w:rFonts w:eastAsia="Aptos" w:cs="Arial"/>
          <w:noProof/>
          <w:sz w:val="22"/>
          <w:lang w:val="en-US"/>
        </w:rPr>
        <w:t xml:space="preserve">Dunst, C. J., &amp; Leet, H. E. (1987). Measuring the adequacy of resources in households with young children. </w:t>
      </w:r>
      <w:r w:rsidRPr="00B03061">
        <w:rPr>
          <w:rFonts w:eastAsia="Aptos" w:cs="Arial"/>
          <w:i/>
          <w:noProof/>
          <w:sz w:val="22"/>
          <w:lang w:val="en-US"/>
        </w:rPr>
        <w:t>Child: care, health and development</w:t>
      </w:r>
      <w:r w:rsidRPr="00B03061">
        <w:rPr>
          <w:rFonts w:eastAsia="Aptos" w:cs="Arial"/>
          <w:noProof/>
          <w:sz w:val="22"/>
          <w:lang w:val="en-US"/>
        </w:rPr>
        <w:t>,</w:t>
      </w:r>
      <w:r w:rsidRPr="00B03061">
        <w:rPr>
          <w:rFonts w:eastAsia="Aptos" w:cs="Arial"/>
          <w:i/>
          <w:noProof/>
          <w:sz w:val="22"/>
          <w:lang w:val="en-US"/>
        </w:rPr>
        <w:t xml:space="preserve"> 13</w:t>
      </w:r>
      <w:r w:rsidRPr="00B03061">
        <w:rPr>
          <w:rFonts w:eastAsia="Aptos" w:cs="Arial"/>
          <w:noProof/>
          <w:sz w:val="22"/>
          <w:lang w:val="en-US"/>
        </w:rPr>
        <w:t xml:space="preserve">(2), 111-125. </w:t>
      </w:r>
      <w:hyperlink r:id="rId219" w:history="1">
        <w:r w:rsidR="0054349C" w:rsidRPr="00326476">
          <w:rPr>
            <w:rStyle w:val="Hyperlink"/>
            <w:rFonts w:eastAsia="Aptos" w:cs="Arial"/>
            <w:noProof/>
            <w:sz w:val="22"/>
            <w:lang w:val="en-US"/>
          </w:rPr>
          <w:t>https://doi.org/10.1111/j.1365-2214.1987.tb00528.x</w:t>
        </w:r>
      </w:hyperlink>
      <w:r w:rsidR="0054349C">
        <w:rPr>
          <w:rFonts w:eastAsia="Aptos" w:cs="Arial"/>
          <w:noProof/>
          <w:sz w:val="22"/>
          <w:lang w:val="en-US"/>
        </w:rPr>
        <w:t xml:space="preserve"> </w:t>
      </w:r>
      <w:r w:rsidRPr="00B03061">
        <w:rPr>
          <w:rFonts w:eastAsia="Aptos" w:cs="Arial"/>
          <w:noProof/>
          <w:sz w:val="22"/>
          <w:lang w:val="en-US"/>
        </w:rPr>
        <w:t xml:space="preserve"> </w:t>
      </w:r>
    </w:p>
    <w:p w14:paraId="30A9288E" w14:textId="77777777" w:rsidR="00B03061" w:rsidRPr="00B03061" w:rsidRDefault="00B03061" w:rsidP="00B03061">
      <w:pPr>
        <w:spacing w:before="0" w:after="0"/>
        <w:ind w:left="720" w:hanging="720"/>
        <w:rPr>
          <w:rFonts w:eastAsia="Aptos" w:cs="Arial"/>
          <w:noProof/>
          <w:sz w:val="22"/>
          <w:lang w:val="en-US"/>
        </w:rPr>
      </w:pPr>
      <w:r w:rsidRPr="00B03061">
        <w:rPr>
          <w:rFonts w:eastAsia="Aptos" w:cs="Arial"/>
          <w:noProof/>
          <w:sz w:val="22"/>
          <w:lang w:val="en-US"/>
        </w:rPr>
        <w:tab/>
      </w:r>
    </w:p>
    <w:p w14:paraId="6485AC1F" w14:textId="77777777" w:rsidR="00B03061" w:rsidRDefault="00B03061" w:rsidP="00B03061">
      <w:pPr>
        <w:spacing w:before="0" w:after="160"/>
        <w:ind w:left="720" w:hanging="720"/>
        <w:rPr>
          <w:rFonts w:eastAsia="Aptos" w:cs="Arial"/>
          <w:noProof/>
          <w:sz w:val="22"/>
          <w:lang w:val="en-US"/>
        </w:rPr>
      </w:pPr>
      <w:r w:rsidRPr="00B03061">
        <w:rPr>
          <w:rFonts w:eastAsia="Aptos" w:cs="Arial"/>
          <w:noProof/>
          <w:sz w:val="22"/>
          <w:lang w:val="en-US"/>
        </w:rPr>
        <w:t xml:space="preserve">Dunst, C. J., Raab, M., Embler, D., &amp; Roberts, K. (2018). Developing Evidence-Informed Early Childhood Intervention E-Learning Lessons, Performance Checklists and Practice Guides. </w:t>
      </w:r>
      <w:r w:rsidRPr="00B03061">
        <w:rPr>
          <w:rFonts w:eastAsia="Aptos" w:cs="Arial"/>
          <w:i/>
          <w:noProof/>
          <w:sz w:val="22"/>
          <w:lang w:val="en-US"/>
        </w:rPr>
        <w:t>Journal of Education and e-Learning Research</w:t>
      </w:r>
      <w:r w:rsidRPr="00B03061">
        <w:rPr>
          <w:rFonts w:eastAsia="Aptos" w:cs="Arial"/>
          <w:noProof/>
          <w:sz w:val="22"/>
          <w:lang w:val="en-US"/>
        </w:rPr>
        <w:t>,</w:t>
      </w:r>
      <w:r w:rsidRPr="00B03061">
        <w:rPr>
          <w:rFonts w:eastAsia="Aptos" w:cs="Arial"/>
          <w:i/>
          <w:noProof/>
          <w:sz w:val="22"/>
          <w:lang w:val="en-US"/>
        </w:rPr>
        <w:t xml:space="preserve"> 5</w:t>
      </w:r>
      <w:r w:rsidRPr="00B03061">
        <w:rPr>
          <w:rFonts w:eastAsia="Aptos" w:cs="Arial"/>
          <w:noProof/>
          <w:sz w:val="22"/>
          <w:lang w:val="en-US"/>
        </w:rPr>
        <w:t xml:space="preserve">(4), 242-248. </w:t>
      </w:r>
    </w:p>
    <w:p w14:paraId="60A5ABF2" w14:textId="77777777" w:rsidR="009030BA" w:rsidRPr="00B03061" w:rsidRDefault="009030BA" w:rsidP="00B03061">
      <w:pPr>
        <w:spacing w:before="0" w:after="160"/>
        <w:ind w:left="720" w:hanging="720"/>
        <w:rPr>
          <w:rFonts w:eastAsia="Aptos" w:cs="Arial"/>
          <w:noProof/>
          <w:sz w:val="22"/>
          <w:lang w:val="en-US"/>
        </w:rPr>
      </w:pPr>
    </w:p>
    <w:p w14:paraId="59ACE60C" w14:textId="77777777" w:rsidR="001F2527" w:rsidRPr="001F2527" w:rsidRDefault="001F2527" w:rsidP="001F2527">
      <w:pPr>
        <w:spacing w:before="0" w:after="160"/>
        <w:ind w:left="720" w:hanging="720"/>
        <w:rPr>
          <w:rFonts w:eastAsia="Aptos" w:cs="Arial"/>
          <w:noProof/>
          <w:sz w:val="22"/>
          <w:lang w:val="en-US"/>
        </w:rPr>
      </w:pPr>
      <w:r w:rsidRPr="001F2527">
        <w:rPr>
          <w:rFonts w:eastAsia="Aptos" w:cs="Arial"/>
          <w:noProof/>
          <w:sz w:val="22"/>
          <w:lang w:val="en-US"/>
        </w:rPr>
        <w:t xml:space="preserve">Dunst, C. J., Raab, M., &amp; Trivette, C. M. (2012). Characteristics of naturalistic language intervention strategies. </w:t>
      </w:r>
      <w:r w:rsidRPr="001F2527">
        <w:rPr>
          <w:rFonts w:eastAsia="Aptos" w:cs="Arial"/>
          <w:i/>
          <w:noProof/>
          <w:sz w:val="22"/>
          <w:lang w:val="en-US"/>
        </w:rPr>
        <w:t>Journal of Speech-Language Pathology &amp; Applied Behavior Analysis</w:t>
      </w:r>
      <w:r w:rsidRPr="001F2527">
        <w:rPr>
          <w:rFonts w:eastAsia="Aptos" w:cs="Arial"/>
          <w:noProof/>
          <w:sz w:val="22"/>
          <w:lang w:val="en-US"/>
        </w:rPr>
        <w:t>,</w:t>
      </w:r>
      <w:r w:rsidRPr="001F2527">
        <w:rPr>
          <w:rFonts w:eastAsia="Aptos" w:cs="Arial"/>
          <w:i/>
          <w:noProof/>
          <w:sz w:val="22"/>
          <w:lang w:val="en-US"/>
        </w:rPr>
        <w:t xml:space="preserve"> 5</w:t>
      </w:r>
      <w:r w:rsidRPr="001F2527">
        <w:rPr>
          <w:rFonts w:eastAsia="Aptos" w:cs="Arial"/>
          <w:noProof/>
          <w:sz w:val="22"/>
          <w:lang w:val="en-US"/>
        </w:rPr>
        <w:t xml:space="preserve">(3-4), 8-16. </w:t>
      </w:r>
    </w:p>
    <w:p w14:paraId="5902310D" w14:textId="77777777" w:rsidR="001F2527" w:rsidRPr="001F2527" w:rsidRDefault="001F2527" w:rsidP="001F2527">
      <w:pPr>
        <w:spacing w:before="0" w:after="0"/>
        <w:ind w:left="720" w:hanging="720"/>
        <w:rPr>
          <w:rFonts w:eastAsia="Aptos" w:cs="Arial"/>
          <w:noProof/>
          <w:sz w:val="22"/>
          <w:lang w:val="en-US"/>
        </w:rPr>
      </w:pPr>
      <w:r w:rsidRPr="001F2527">
        <w:rPr>
          <w:rFonts w:eastAsia="Aptos" w:cs="Arial"/>
          <w:noProof/>
          <w:sz w:val="22"/>
          <w:lang w:val="en-US"/>
        </w:rPr>
        <w:tab/>
      </w:r>
    </w:p>
    <w:p w14:paraId="44209FA2" w14:textId="77777777" w:rsidR="001F2527" w:rsidRDefault="001F2527" w:rsidP="001F2527">
      <w:pPr>
        <w:spacing w:before="0" w:after="160"/>
        <w:ind w:left="720" w:hanging="720"/>
        <w:rPr>
          <w:rFonts w:eastAsia="Aptos" w:cs="Arial"/>
          <w:noProof/>
          <w:sz w:val="22"/>
          <w:lang w:val="en-US"/>
        </w:rPr>
      </w:pPr>
      <w:r w:rsidRPr="001F2527">
        <w:rPr>
          <w:rFonts w:eastAsia="Aptos" w:cs="Arial"/>
          <w:noProof/>
          <w:sz w:val="22"/>
          <w:lang w:val="en-US"/>
        </w:rPr>
        <w:t xml:space="preserve">Dunst, C. J., Sukkar, H., &amp; Kirkby, J. (2016). Contributions of family systems and family-centred practices for informing improvements in early childhood intervention. In </w:t>
      </w:r>
      <w:r w:rsidRPr="001F2527">
        <w:rPr>
          <w:rFonts w:eastAsia="Aptos" w:cs="Arial"/>
          <w:i/>
          <w:noProof/>
          <w:sz w:val="22"/>
          <w:lang w:val="en-US"/>
        </w:rPr>
        <w:t>Early Childhood Intervention</w:t>
      </w:r>
      <w:r w:rsidRPr="001F2527">
        <w:rPr>
          <w:rFonts w:eastAsia="Aptos" w:cs="Arial"/>
          <w:noProof/>
          <w:sz w:val="22"/>
          <w:lang w:val="en-US"/>
        </w:rPr>
        <w:t xml:space="preserve"> (pp. 255-272). Routledge. </w:t>
      </w:r>
    </w:p>
    <w:p w14:paraId="14F664DE" w14:textId="77777777" w:rsidR="009030BA" w:rsidRPr="001F2527" w:rsidRDefault="009030BA" w:rsidP="001F2527">
      <w:pPr>
        <w:spacing w:before="0" w:after="160"/>
        <w:ind w:left="720" w:hanging="720"/>
        <w:rPr>
          <w:rFonts w:eastAsia="Aptos" w:cs="Arial"/>
          <w:noProof/>
          <w:sz w:val="22"/>
          <w:lang w:val="en-US"/>
        </w:rPr>
      </w:pPr>
    </w:p>
    <w:p w14:paraId="2D6B6AFB" w14:textId="77777777" w:rsidR="00BE60DE" w:rsidRPr="00BE60DE" w:rsidRDefault="00BE60DE" w:rsidP="00BE60DE">
      <w:pPr>
        <w:spacing w:before="0" w:after="160"/>
        <w:ind w:left="720" w:hanging="720"/>
        <w:rPr>
          <w:rFonts w:eastAsia="Aptos" w:cs="Arial"/>
          <w:noProof/>
          <w:sz w:val="22"/>
          <w:lang w:val="en-US"/>
        </w:rPr>
      </w:pPr>
      <w:r w:rsidRPr="00BE60DE">
        <w:rPr>
          <w:rFonts w:eastAsia="Aptos" w:cs="Arial"/>
          <w:noProof/>
          <w:sz w:val="22"/>
          <w:lang w:val="en-US"/>
        </w:rPr>
        <w:t xml:space="preserve">Dunst, C. J., &amp; Trivette, C. M. (2010). Family-centered helpgiving practices, parent-professional partnerships, and parent, family, and child outcomes. In </w:t>
      </w:r>
      <w:r w:rsidRPr="00BE60DE">
        <w:rPr>
          <w:rFonts w:eastAsia="Aptos" w:cs="Arial"/>
          <w:i/>
          <w:noProof/>
          <w:sz w:val="22"/>
          <w:lang w:val="en-US"/>
        </w:rPr>
        <w:t>Handbook of school-family partnerships</w:t>
      </w:r>
      <w:r w:rsidRPr="00BE60DE">
        <w:rPr>
          <w:rFonts w:eastAsia="Aptos" w:cs="Arial"/>
          <w:noProof/>
          <w:sz w:val="22"/>
          <w:lang w:val="en-US"/>
        </w:rPr>
        <w:t xml:space="preserve"> (pp. 362-379). Routledge. </w:t>
      </w:r>
    </w:p>
    <w:p w14:paraId="0CF3E95E" w14:textId="77777777" w:rsidR="00BE60DE" w:rsidRPr="00BE60DE" w:rsidRDefault="00BE60DE" w:rsidP="00BE60DE">
      <w:pPr>
        <w:spacing w:before="0" w:after="0"/>
        <w:ind w:left="720" w:hanging="720"/>
        <w:rPr>
          <w:rFonts w:eastAsia="Aptos" w:cs="Arial"/>
          <w:noProof/>
          <w:sz w:val="22"/>
          <w:lang w:val="en-US"/>
        </w:rPr>
      </w:pPr>
      <w:r w:rsidRPr="00BE60DE">
        <w:rPr>
          <w:rFonts w:eastAsia="Aptos" w:cs="Arial"/>
          <w:noProof/>
          <w:sz w:val="22"/>
          <w:lang w:val="en-US"/>
        </w:rPr>
        <w:tab/>
      </w:r>
    </w:p>
    <w:p w14:paraId="044C67E2" w14:textId="77777777" w:rsidR="00BE60DE" w:rsidRPr="00BE60DE" w:rsidRDefault="00BE60DE" w:rsidP="00BE60DE">
      <w:pPr>
        <w:spacing w:before="0" w:after="160"/>
        <w:ind w:left="720" w:hanging="720"/>
        <w:rPr>
          <w:rFonts w:eastAsia="Aptos" w:cs="Arial"/>
          <w:noProof/>
          <w:sz w:val="22"/>
          <w:lang w:val="en-US"/>
        </w:rPr>
      </w:pPr>
      <w:r w:rsidRPr="00BE60DE">
        <w:rPr>
          <w:rFonts w:eastAsia="Aptos" w:cs="Arial"/>
          <w:noProof/>
          <w:sz w:val="22"/>
          <w:lang w:val="en-US"/>
        </w:rPr>
        <w:t xml:space="preserve">Dunst, C. J., &amp; Trivette, C. M. (2019). Capacity-building family-systems intervention practices. </w:t>
      </w:r>
      <w:r w:rsidRPr="00BE60DE">
        <w:rPr>
          <w:rFonts w:eastAsia="Aptos" w:cs="Arial"/>
          <w:i/>
          <w:noProof/>
          <w:sz w:val="22"/>
          <w:lang w:val="en-US"/>
        </w:rPr>
        <w:t>Journal of Family Social Work</w:t>
      </w:r>
      <w:r w:rsidRPr="00BE60DE">
        <w:rPr>
          <w:rFonts w:eastAsia="Aptos" w:cs="Arial"/>
          <w:noProof/>
          <w:sz w:val="22"/>
          <w:lang w:val="en-US"/>
        </w:rPr>
        <w:t>,</w:t>
      </w:r>
      <w:r w:rsidRPr="00BE60DE">
        <w:rPr>
          <w:rFonts w:eastAsia="Aptos" w:cs="Arial"/>
          <w:i/>
          <w:noProof/>
          <w:sz w:val="22"/>
          <w:lang w:val="en-US"/>
        </w:rPr>
        <w:t xml:space="preserve"> 12</w:t>
      </w:r>
      <w:r w:rsidRPr="00BE60DE">
        <w:rPr>
          <w:rFonts w:eastAsia="Aptos" w:cs="Arial"/>
          <w:noProof/>
          <w:sz w:val="22"/>
          <w:lang w:val="en-US"/>
        </w:rPr>
        <w:t xml:space="preserve">(2), 119–143. </w:t>
      </w:r>
    </w:p>
    <w:p w14:paraId="023A0D71" w14:textId="77777777" w:rsidR="00BE60DE" w:rsidRPr="00BE60DE" w:rsidRDefault="00BE60DE" w:rsidP="00BE60DE">
      <w:pPr>
        <w:spacing w:before="0" w:after="0"/>
        <w:ind w:left="720" w:hanging="720"/>
        <w:rPr>
          <w:rFonts w:eastAsia="Aptos" w:cs="Arial"/>
          <w:noProof/>
          <w:sz w:val="22"/>
          <w:lang w:val="en-US"/>
        </w:rPr>
      </w:pPr>
      <w:r w:rsidRPr="00BE60DE">
        <w:rPr>
          <w:rFonts w:eastAsia="Aptos" w:cs="Arial"/>
          <w:noProof/>
          <w:sz w:val="22"/>
          <w:lang w:val="en-US"/>
        </w:rPr>
        <w:tab/>
      </w:r>
    </w:p>
    <w:p w14:paraId="08224E58" w14:textId="046195F8" w:rsidR="00BE60DE" w:rsidRPr="00BE60DE" w:rsidRDefault="00BE60DE" w:rsidP="00BE60DE">
      <w:pPr>
        <w:spacing w:before="0" w:after="160"/>
        <w:ind w:left="720" w:hanging="720"/>
        <w:rPr>
          <w:rFonts w:eastAsia="Aptos" w:cs="Arial"/>
          <w:noProof/>
          <w:sz w:val="22"/>
          <w:lang w:val="en-US"/>
        </w:rPr>
      </w:pPr>
      <w:r w:rsidRPr="00BE60DE">
        <w:rPr>
          <w:rFonts w:eastAsia="Aptos" w:cs="Arial"/>
          <w:noProof/>
          <w:sz w:val="22"/>
          <w:lang w:val="en-US"/>
        </w:rPr>
        <w:t>Dunst, C. J., Trivette, C. M., &amp; Hamby, D. W. (2007). Meta</w:t>
      </w:r>
      <w:r w:rsidRPr="00BE60DE">
        <w:rPr>
          <w:rFonts w:ascii="Cambria Math" w:eastAsia="Aptos" w:hAnsi="Cambria Math" w:cs="Cambria Math"/>
          <w:noProof/>
          <w:sz w:val="22"/>
          <w:lang w:val="en-US"/>
        </w:rPr>
        <w:t>‐</w:t>
      </w:r>
      <w:r w:rsidRPr="00BE60DE">
        <w:rPr>
          <w:rFonts w:eastAsia="Aptos" w:cs="Arial"/>
          <w:noProof/>
          <w:sz w:val="22"/>
          <w:lang w:val="en-US"/>
        </w:rPr>
        <w:t>analysis of family</w:t>
      </w:r>
      <w:r w:rsidRPr="00BE60DE">
        <w:rPr>
          <w:rFonts w:ascii="Cambria Math" w:eastAsia="Aptos" w:hAnsi="Cambria Math" w:cs="Cambria Math"/>
          <w:noProof/>
          <w:sz w:val="22"/>
          <w:lang w:val="en-US"/>
        </w:rPr>
        <w:t>‐</w:t>
      </w:r>
      <w:r w:rsidRPr="00BE60DE">
        <w:rPr>
          <w:rFonts w:eastAsia="Aptos" w:cs="Arial"/>
          <w:noProof/>
          <w:sz w:val="22"/>
          <w:lang w:val="en-US"/>
        </w:rPr>
        <w:t xml:space="preserve">centered helpgiving practices research. </w:t>
      </w:r>
      <w:r w:rsidRPr="00BE60DE">
        <w:rPr>
          <w:rFonts w:eastAsia="Aptos" w:cs="Arial"/>
          <w:i/>
          <w:noProof/>
          <w:sz w:val="22"/>
          <w:lang w:val="en-US"/>
        </w:rPr>
        <w:t>Mental retardation and developmental disabilities research reviews</w:t>
      </w:r>
      <w:r w:rsidRPr="00BE60DE">
        <w:rPr>
          <w:rFonts w:eastAsia="Aptos" w:cs="Arial"/>
          <w:noProof/>
          <w:sz w:val="22"/>
          <w:lang w:val="en-US"/>
        </w:rPr>
        <w:t>,</w:t>
      </w:r>
      <w:r w:rsidRPr="00BE60DE">
        <w:rPr>
          <w:rFonts w:eastAsia="Aptos" w:cs="Arial"/>
          <w:i/>
          <w:noProof/>
          <w:sz w:val="22"/>
          <w:lang w:val="en-US"/>
        </w:rPr>
        <w:t xml:space="preserve"> 13</w:t>
      </w:r>
      <w:r w:rsidRPr="00BE60DE">
        <w:rPr>
          <w:rFonts w:eastAsia="Aptos" w:cs="Arial"/>
          <w:noProof/>
          <w:sz w:val="22"/>
          <w:lang w:val="en-US"/>
        </w:rPr>
        <w:t xml:space="preserve">(4), 370-378. </w:t>
      </w:r>
      <w:hyperlink r:id="rId220" w:history="1">
        <w:r w:rsidR="0054349C" w:rsidRPr="00326476">
          <w:rPr>
            <w:rStyle w:val="Hyperlink"/>
            <w:rFonts w:eastAsia="Aptos" w:cs="Arial"/>
            <w:noProof/>
            <w:sz w:val="22"/>
            <w:lang w:val="en-US"/>
          </w:rPr>
          <w:t>https://doi.org/10.1002/mrdd.20176</w:t>
        </w:r>
      </w:hyperlink>
      <w:r w:rsidR="0054349C">
        <w:rPr>
          <w:rFonts w:eastAsia="Aptos" w:cs="Arial"/>
          <w:noProof/>
          <w:sz w:val="22"/>
          <w:lang w:val="en-US"/>
        </w:rPr>
        <w:t xml:space="preserve"> </w:t>
      </w:r>
      <w:r w:rsidRPr="00BE60DE">
        <w:rPr>
          <w:rFonts w:eastAsia="Aptos" w:cs="Arial"/>
          <w:noProof/>
          <w:sz w:val="22"/>
          <w:lang w:val="en-US"/>
        </w:rPr>
        <w:t xml:space="preserve"> </w:t>
      </w:r>
    </w:p>
    <w:p w14:paraId="2724327B" w14:textId="77777777" w:rsidR="00BE60DE" w:rsidRPr="00BE60DE" w:rsidRDefault="00BE60DE" w:rsidP="00BE60DE">
      <w:pPr>
        <w:spacing w:before="0" w:after="0"/>
        <w:ind w:left="720" w:hanging="720"/>
        <w:rPr>
          <w:rFonts w:eastAsia="Aptos" w:cs="Arial"/>
          <w:noProof/>
          <w:sz w:val="22"/>
          <w:lang w:val="en-US"/>
        </w:rPr>
      </w:pPr>
      <w:r w:rsidRPr="00BE60DE">
        <w:rPr>
          <w:rFonts w:eastAsia="Aptos" w:cs="Arial"/>
          <w:noProof/>
          <w:sz w:val="22"/>
          <w:lang w:val="en-US"/>
        </w:rPr>
        <w:tab/>
      </w:r>
    </w:p>
    <w:p w14:paraId="32B15F1C" w14:textId="6A5D316A" w:rsidR="00BE60DE" w:rsidRDefault="00BE60DE" w:rsidP="00BE60DE">
      <w:pPr>
        <w:spacing w:before="0" w:after="160"/>
        <w:ind w:left="720" w:hanging="720"/>
        <w:rPr>
          <w:rFonts w:eastAsia="Aptos" w:cs="Arial"/>
          <w:noProof/>
          <w:sz w:val="22"/>
          <w:lang w:val="en-US"/>
        </w:rPr>
      </w:pPr>
      <w:r w:rsidRPr="00BE60DE">
        <w:rPr>
          <w:rFonts w:eastAsia="Aptos" w:cs="Arial"/>
          <w:noProof/>
          <w:sz w:val="22"/>
          <w:lang w:val="en-US"/>
        </w:rPr>
        <w:t>Dunst, C. J., Trivette, C. M., &amp; Hamby, D. W. (2012). Meta</w:t>
      </w:r>
      <w:r w:rsidRPr="00BE60DE">
        <w:rPr>
          <w:rFonts w:ascii="Cambria Math" w:eastAsia="Aptos" w:hAnsi="Cambria Math" w:cs="Cambria Math"/>
          <w:noProof/>
          <w:sz w:val="22"/>
          <w:lang w:val="en-US"/>
        </w:rPr>
        <w:t>‐</w:t>
      </w:r>
      <w:r w:rsidRPr="00BE60DE">
        <w:rPr>
          <w:rFonts w:eastAsia="Aptos" w:cs="Arial"/>
          <w:noProof/>
          <w:sz w:val="22"/>
          <w:lang w:val="en-US"/>
        </w:rPr>
        <w:t xml:space="preserve">analysis of studies incorporating the interests of young children with autism spectrum disorders into early intervention practices. </w:t>
      </w:r>
      <w:r w:rsidRPr="00BE60DE">
        <w:rPr>
          <w:rFonts w:eastAsia="Aptos" w:cs="Arial"/>
          <w:i/>
          <w:noProof/>
          <w:sz w:val="22"/>
          <w:lang w:val="en-US"/>
        </w:rPr>
        <w:t>Autism research and treatment</w:t>
      </w:r>
      <w:r w:rsidRPr="00BE60DE">
        <w:rPr>
          <w:rFonts w:eastAsia="Aptos" w:cs="Arial"/>
          <w:noProof/>
          <w:sz w:val="22"/>
          <w:lang w:val="en-US"/>
        </w:rPr>
        <w:t>,</w:t>
      </w:r>
      <w:r w:rsidRPr="00BE60DE">
        <w:rPr>
          <w:rFonts w:eastAsia="Aptos" w:cs="Arial"/>
          <w:i/>
          <w:noProof/>
          <w:sz w:val="22"/>
          <w:lang w:val="en-US"/>
        </w:rPr>
        <w:t xml:space="preserve"> 2012</w:t>
      </w:r>
      <w:r w:rsidRPr="00BE60DE">
        <w:rPr>
          <w:rFonts w:eastAsia="Aptos" w:cs="Arial"/>
          <w:noProof/>
          <w:sz w:val="22"/>
          <w:lang w:val="en-US"/>
        </w:rPr>
        <w:t xml:space="preserve">(1), 462531. </w:t>
      </w:r>
      <w:hyperlink r:id="rId221" w:history="1">
        <w:r w:rsidR="009030BA" w:rsidRPr="00326476">
          <w:rPr>
            <w:rStyle w:val="Hyperlink"/>
            <w:rFonts w:eastAsia="Aptos" w:cs="Arial"/>
            <w:noProof/>
            <w:sz w:val="22"/>
            <w:lang w:val="en-US"/>
          </w:rPr>
          <w:t>https://doi.org/10.1155/2012/462531</w:t>
        </w:r>
      </w:hyperlink>
      <w:r w:rsidRPr="00BE60DE">
        <w:rPr>
          <w:rFonts w:eastAsia="Aptos" w:cs="Arial"/>
          <w:noProof/>
          <w:sz w:val="22"/>
          <w:lang w:val="en-US"/>
        </w:rPr>
        <w:t xml:space="preserve"> </w:t>
      </w:r>
    </w:p>
    <w:p w14:paraId="5EAD91DE" w14:textId="77777777" w:rsidR="009030BA" w:rsidRPr="00BE60DE" w:rsidRDefault="009030BA" w:rsidP="00BE60DE">
      <w:pPr>
        <w:spacing w:before="0" w:after="160"/>
        <w:ind w:left="720" w:hanging="720"/>
        <w:rPr>
          <w:rFonts w:eastAsia="Aptos" w:cs="Arial"/>
          <w:noProof/>
          <w:sz w:val="22"/>
          <w:lang w:val="en-US"/>
        </w:rPr>
      </w:pPr>
    </w:p>
    <w:p w14:paraId="7CAD0E01" w14:textId="466F441F" w:rsidR="00A762C7" w:rsidRDefault="00A762C7" w:rsidP="00A762C7">
      <w:pPr>
        <w:spacing w:before="0" w:after="160"/>
        <w:ind w:left="720" w:hanging="720"/>
        <w:rPr>
          <w:rFonts w:eastAsia="Aptos" w:cs="Arial"/>
          <w:noProof/>
          <w:sz w:val="22"/>
          <w:lang w:val="en-US"/>
        </w:rPr>
      </w:pPr>
      <w:r w:rsidRPr="00A762C7">
        <w:rPr>
          <w:rFonts w:eastAsia="Aptos" w:cs="Arial"/>
          <w:noProof/>
          <w:sz w:val="22"/>
          <w:lang w:val="en-US"/>
        </w:rPr>
        <w:t xml:space="preserve">Durlak, J. A. (2016). Programme implementation in social and emotional learning: basic issues and research findings. </w:t>
      </w:r>
      <w:r w:rsidRPr="00A762C7">
        <w:rPr>
          <w:rFonts w:eastAsia="Aptos" w:cs="Arial"/>
          <w:i/>
          <w:noProof/>
          <w:sz w:val="22"/>
          <w:lang w:val="en-US"/>
        </w:rPr>
        <w:t>Cambridge Journal of Education</w:t>
      </w:r>
      <w:r w:rsidRPr="00A762C7">
        <w:rPr>
          <w:rFonts w:eastAsia="Aptos" w:cs="Arial"/>
          <w:noProof/>
          <w:sz w:val="22"/>
          <w:lang w:val="en-US"/>
        </w:rPr>
        <w:t>,</w:t>
      </w:r>
      <w:r w:rsidRPr="00A762C7">
        <w:rPr>
          <w:rFonts w:eastAsia="Aptos" w:cs="Arial"/>
          <w:i/>
          <w:noProof/>
          <w:sz w:val="22"/>
          <w:lang w:val="en-US"/>
        </w:rPr>
        <w:t xml:space="preserve"> 46</w:t>
      </w:r>
      <w:r w:rsidRPr="00A762C7">
        <w:rPr>
          <w:rFonts w:eastAsia="Aptos" w:cs="Arial"/>
          <w:noProof/>
          <w:sz w:val="22"/>
          <w:lang w:val="en-US"/>
        </w:rPr>
        <w:t xml:space="preserve">(3), 333-345. </w:t>
      </w:r>
      <w:hyperlink r:id="rId222" w:history="1">
        <w:r w:rsidR="009030BA" w:rsidRPr="00326476">
          <w:rPr>
            <w:rStyle w:val="Hyperlink"/>
            <w:rFonts w:eastAsia="Aptos" w:cs="Arial"/>
            <w:noProof/>
            <w:sz w:val="22"/>
            <w:lang w:val="en-US"/>
          </w:rPr>
          <w:t>https://doi.org/10.1080/0305764X.2016.1142504</w:t>
        </w:r>
      </w:hyperlink>
      <w:r w:rsidRPr="00A762C7">
        <w:rPr>
          <w:rFonts w:eastAsia="Aptos" w:cs="Arial"/>
          <w:noProof/>
          <w:sz w:val="22"/>
          <w:lang w:val="en-US"/>
        </w:rPr>
        <w:t xml:space="preserve"> </w:t>
      </w:r>
    </w:p>
    <w:p w14:paraId="7A4F2E7D" w14:textId="77777777" w:rsidR="009030BA" w:rsidRPr="00A762C7" w:rsidRDefault="009030BA" w:rsidP="00A762C7">
      <w:pPr>
        <w:spacing w:before="0" w:after="160"/>
        <w:ind w:left="720" w:hanging="720"/>
        <w:rPr>
          <w:rFonts w:eastAsia="Aptos" w:cs="Arial"/>
          <w:noProof/>
          <w:sz w:val="22"/>
          <w:lang w:val="en-US"/>
        </w:rPr>
      </w:pPr>
    </w:p>
    <w:p w14:paraId="71A53F95" w14:textId="1B43EDCE" w:rsidR="00627716" w:rsidRPr="00627716" w:rsidRDefault="00627716" w:rsidP="00627716">
      <w:pPr>
        <w:spacing w:before="0" w:after="160"/>
        <w:ind w:left="720" w:hanging="720"/>
        <w:rPr>
          <w:rFonts w:eastAsia="Aptos" w:cs="Arial"/>
          <w:noProof/>
          <w:sz w:val="22"/>
          <w:lang w:val="en-US"/>
        </w:rPr>
      </w:pPr>
      <w:r w:rsidRPr="00627716">
        <w:rPr>
          <w:rFonts w:eastAsia="Aptos" w:cs="Arial"/>
          <w:noProof/>
          <w:sz w:val="22"/>
          <w:lang w:val="en-US"/>
        </w:rPr>
        <w:t xml:space="preserve">Dwyer, P. (2022). The neurodiversity approach (es): What are they and what do they mean for researchers? </w:t>
      </w:r>
      <w:r w:rsidRPr="00627716">
        <w:rPr>
          <w:rFonts w:eastAsia="Aptos" w:cs="Arial"/>
          <w:i/>
          <w:noProof/>
          <w:sz w:val="22"/>
          <w:lang w:val="en-US"/>
        </w:rPr>
        <w:t>Human development</w:t>
      </w:r>
      <w:r w:rsidRPr="00627716">
        <w:rPr>
          <w:rFonts w:eastAsia="Aptos" w:cs="Arial"/>
          <w:noProof/>
          <w:sz w:val="22"/>
          <w:lang w:val="en-US"/>
        </w:rPr>
        <w:t>,</w:t>
      </w:r>
      <w:r w:rsidRPr="00627716">
        <w:rPr>
          <w:rFonts w:eastAsia="Aptos" w:cs="Arial"/>
          <w:i/>
          <w:noProof/>
          <w:sz w:val="22"/>
          <w:lang w:val="en-US"/>
        </w:rPr>
        <w:t xml:space="preserve"> 66</w:t>
      </w:r>
      <w:r w:rsidRPr="00627716">
        <w:rPr>
          <w:rFonts w:eastAsia="Aptos" w:cs="Arial"/>
          <w:noProof/>
          <w:sz w:val="22"/>
          <w:lang w:val="en-US"/>
        </w:rPr>
        <w:t xml:space="preserve">(2), 73-92. </w:t>
      </w:r>
      <w:hyperlink r:id="rId223" w:history="1">
        <w:r w:rsidR="0054349C" w:rsidRPr="00326476">
          <w:rPr>
            <w:rStyle w:val="Hyperlink"/>
            <w:rFonts w:eastAsia="Aptos" w:cs="Arial"/>
            <w:noProof/>
            <w:sz w:val="22"/>
            <w:lang w:val="en-US"/>
          </w:rPr>
          <w:t>https://doi.org/10.1159/000523723</w:t>
        </w:r>
      </w:hyperlink>
      <w:r w:rsidR="0054349C">
        <w:rPr>
          <w:rFonts w:eastAsia="Aptos" w:cs="Arial"/>
          <w:noProof/>
          <w:sz w:val="22"/>
          <w:lang w:val="en-US"/>
        </w:rPr>
        <w:t xml:space="preserve"> </w:t>
      </w:r>
      <w:r w:rsidRPr="00627716">
        <w:rPr>
          <w:rFonts w:eastAsia="Aptos" w:cs="Arial"/>
          <w:noProof/>
          <w:sz w:val="22"/>
          <w:lang w:val="en-US"/>
        </w:rPr>
        <w:t xml:space="preserve"> </w:t>
      </w:r>
    </w:p>
    <w:p w14:paraId="6B8520C7" w14:textId="77777777" w:rsidR="00627716" w:rsidRPr="00627716" w:rsidRDefault="00627716" w:rsidP="00627716">
      <w:pPr>
        <w:spacing w:before="0" w:after="0"/>
        <w:ind w:left="720" w:hanging="720"/>
        <w:rPr>
          <w:rFonts w:eastAsia="Aptos" w:cs="Arial"/>
          <w:noProof/>
          <w:sz w:val="22"/>
          <w:lang w:val="en-US"/>
        </w:rPr>
      </w:pPr>
      <w:r w:rsidRPr="00627716">
        <w:rPr>
          <w:rFonts w:eastAsia="Aptos" w:cs="Arial"/>
          <w:noProof/>
          <w:sz w:val="22"/>
          <w:lang w:val="en-US"/>
        </w:rPr>
        <w:tab/>
      </w:r>
    </w:p>
    <w:p w14:paraId="6D4750A0" w14:textId="77777777" w:rsidR="00627716" w:rsidRPr="00627716" w:rsidRDefault="00627716" w:rsidP="00627716">
      <w:pPr>
        <w:spacing w:before="0" w:after="160"/>
        <w:ind w:left="720" w:hanging="720"/>
        <w:rPr>
          <w:rFonts w:eastAsia="Aptos" w:cs="Arial"/>
          <w:noProof/>
          <w:sz w:val="22"/>
          <w:lang w:val="en-US"/>
        </w:rPr>
      </w:pPr>
      <w:r w:rsidRPr="00627716">
        <w:rPr>
          <w:rFonts w:eastAsia="Aptos" w:cs="Arial"/>
          <w:noProof/>
          <w:sz w:val="22"/>
          <w:lang w:val="en-US"/>
        </w:rPr>
        <w:t xml:space="preserve">Dykas, M. J., &amp; Cassidy, J. (2013). The first bonding experience: The basics of infant-caregiver attachment. In C. Hazan &amp; M. I. Campa (Eds.), </w:t>
      </w:r>
      <w:r w:rsidRPr="00627716">
        <w:rPr>
          <w:rFonts w:eastAsia="Aptos" w:cs="Arial"/>
          <w:i/>
          <w:noProof/>
          <w:sz w:val="22"/>
          <w:lang w:val="en-US"/>
        </w:rPr>
        <w:t>Human bonding: The science of affectional ties</w:t>
      </w:r>
      <w:r w:rsidRPr="00627716">
        <w:rPr>
          <w:rFonts w:eastAsia="Aptos" w:cs="Arial"/>
          <w:noProof/>
          <w:sz w:val="22"/>
          <w:lang w:val="en-US"/>
        </w:rPr>
        <w:t xml:space="preserve"> (pp. 11-40). New York: The Guilford Press. </w:t>
      </w:r>
    </w:p>
    <w:p w14:paraId="63ECFE56" w14:textId="77777777" w:rsidR="00627716" w:rsidRPr="00627716" w:rsidRDefault="00627716" w:rsidP="00627716">
      <w:pPr>
        <w:spacing w:before="0" w:after="0"/>
        <w:ind w:left="720" w:hanging="720"/>
        <w:rPr>
          <w:rFonts w:eastAsia="Aptos" w:cs="Arial"/>
          <w:noProof/>
          <w:sz w:val="22"/>
          <w:lang w:val="en-US"/>
        </w:rPr>
      </w:pPr>
      <w:r w:rsidRPr="00627716">
        <w:rPr>
          <w:rFonts w:eastAsia="Aptos" w:cs="Arial"/>
          <w:noProof/>
          <w:sz w:val="22"/>
          <w:lang w:val="en-US"/>
        </w:rPr>
        <w:tab/>
      </w:r>
    </w:p>
    <w:p w14:paraId="15E61EF5" w14:textId="77777777" w:rsidR="00627716" w:rsidRPr="00627716" w:rsidRDefault="00627716" w:rsidP="00627716">
      <w:pPr>
        <w:spacing w:before="0" w:after="160"/>
        <w:ind w:left="720" w:hanging="720"/>
        <w:rPr>
          <w:rFonts w:eastAsia="Aptos" w:cs="Arial"/>
          <w:noProof/>
          <w:sz w:val="22"/>
          <w:lang w:val="en-US"/>
        </w:rPr>
      </w:pPr>
      <w:r w:rsidRPr="00627716">
        <w:rPr>
          <w:rFonts w:eastAsia="Aptos" w:cs="Arial"/>
          <w:noProof/>
          <w:sz w:val="22"/>
          <w:lang w:val="en-US"/>
        </w:rPr>
        <w:t xml:space="preserve">Dykens, E. M. (2005). Happiness, well-being, and character strengths: Outcomes for families and siblings of persons with mental retardation. </w:t>
      </w:r>
      <w:r w:rsidRPr="00627716">
        <w:rPr>
          <w:rFonts w:eastAsia="Aptos" w:cs="Arial"/>
          <w:i/>
          <w:noProof/>
          <w:sz w:val="22"/>
          <w:lang w:val="en-US"/>
        </w:rPr>
        <w:t>Mental retardation</w:t>
      </w:r>
      <w:r w:rsidRPr="00627716">
        <w:rPr>
          <w:rFonts w:eastAsia="Aptos" w:cs="Arial"/>
          <w:noProof/>
          <w:sz w:val="22"/>
          <w:lang w:val="en-US"/>
        </w:rPr>
        <w:t>,</w:t>
      </w:r>
      <w:r w:rsidRPr="00627716">
        <w:rPr>
          <w:rFonts w:eastAsia="Aptos" w:cs="Arial"/>
          <w:i/>
          <w:noProof/>
          <w:sz w:val="22"/>
          <w:lang w:val="en-US"/>
        </w:rPr>
        <w:t xml:space="preserve"> 43</w:t>
      </w:r>
      <w:r w:rsidRPr="00627716">
        <w:rPr>
          <w:rFonts w:eastAsia="Aptos" w:cs="Arial"/>
          <w:noProof/>
          <w:sz w:val="22"/>
          <w:lang w:val="en-US"/>
        </w:rPr>
        <w:t xml:space="preserve">(5), 360-364. </w:t>
      </w:r>
    </w:p>
    <w:p w14:paraId="383E5E31" w14:textId="77777777" w:rsidR="00627716" w:rsidRPr="00627716" w:rsidRDefault="00627716" w:rsidP="00627716">
      <w:pPr>
        <w:spacing w:before="0" w:after="0"/>
        <w:ind w:left="720" w:hanging="720"/>
        <w:rPr>
          <w:rFonts w:eastAsia="Aptos" w:cs="Arial"/>
          <w:noProof/>
          <w:sz w:val="22"/>
          <w:lang w:val="en-US"/>
        </w:rPr>
      </w:pPr>
      <w:r w:rsidRPr="00627716">
        <w:rPr>
          <w:rFonts w:eastAsia="Aptos" w:cs="Arial"/>
          <w:noProof/>
          <w:sz w:val="22"/>
          <w:lang w:val="en-US"/>
        </w:rPr>
        <w:tab/>
      </w:r>
    </w:p>
    <w:p w14:paraId="4BB058B0" w14:textId="77777777" w:rsidR="00627716" w:rsidRDefault="00627716" w:rsidP="00627716">
      <w:pPr>
        <w:spacing w:before="0" w:after="160"/>
        <w:ind w:left="720" w:hanging="720"/>
        <w:rPr>
          <w:rFonts w:eastAsia="Aptos" w:cs="Arial"/>
          <w:noProof/>
          <w:sz w:val="22"/>
          <w:lang w:val="en-US"/>
        </w:rPr>
      </w:pPr>
      <w:r w:rsidRPr="00627716">
        <w:rPr>
          <w:rFonts w:eastAsia="Aptos" w:cs="Arial"/>
          <w:noProof/>
          <w:sz w:val="22"/>
          <w:lang w:val="en-US"/>
        </w:rPr>
        <w:t xml:space="preserve">Dykens, E. M. (2006). Toward a positive psychology of mental retardation. </w:t>
      </w:r>
      <w:r w:rsidRPr="00627716">
        <w:rPr>
          <w:rFonts w:eastAsia="Aptos" w:cs="Arial"/>
          <w:i/>
          <w:noProof/>
          <w:sz w:val="22"/>
          <w:lang w:val="en-US"/>
        </w:rPr>
        <w:t>American Journal of Orthopsychiatry</w:t>
      </w:r>
      <w:r w:rsidRPr="00627716">
        <w:rPr>
          <w:rFonts w:eastAsia="Aptos" w:cs="Arial"/>
          <w:noProof/>
          <w:sz w:val="22"/>
          <w:lang w:val="en-US"/>
        </w:rPr>
        <w:t>,</w:t>
      </w:r>
      <w:r w:rsidRPr="00627716">
        <w:rPr>
          <w:rFonts w:eastAsia="Aptos" w:cs="Arial"/>
          <w:i/>
          <w:noProof/>
          <w:sz w:val="22"/>
          <w:lang w:val="en-US"/>
        </w:rPr>
        <w:t xml:space="preserve"> 76</w:t>
      </w:r>
      <w:r w:rsidRPr="00627716">
        <w:rPr>
          <w:rFonts w:eastAsia="Aptos" w:cs="Arial"/>
          <w:noProof/>
          <w:sz w:val="22"/>
          <w:lang w:val="en-US"/>
        </w:rPr>
        <w:t xml:space="preserve">(2), 185-193. </w:t>
      </w:r>
    </w:p>
    <w:p w14:paraId="7FE3A38A" w14:textId="77777777" w:rsidR="009030BA" w:rsidRPr="00627716" w:rsidRDefault="009030BA" w:rsidP="00627716">
      <w:pPr>
        <w:spacing w:before="0" w:after="160"/>
        <w:ind w:left="720" w:hanging="720"/>
        <w:rPr>
          <w:rFonts w:eastAsia="Aptos" w:cs="Arial"/>
          <w:noProof/>
          <w:sz w:val="22"/>
          <w:lang w:val="en-US"/>
        </w:rPr>
      </w:pPr>
    </w:p>
    <w:p w14:paraId="0A604AA6" w14:textId="2E5C002E" w:rsidR="003B5FFB" w:rsidRDefault="003B5FFB" w:rsidP="003B5FFB">
      <w:pPr>
        <w:spacing w:before="0" w:after="160"/>
        <w:ind w:left="720" w:hanging="720"/>
        <w:rPr>
          <w:rFonts w:eastAsia="Aptos" w:cs="Arial"/>
          <w:noProof/>
          <w:sz w:val="22"/>
          <w:lang w:val="en-US"/>
        </w:rPr>
      </w:pPr>
      <w:r w:rsidRPr="003B5FFB">
        <w:rPr>
          <w:rFonts w:eastAsia="Aptos" w:cs="Arial"/>
          <w:noProof/>
          <w:sz w:val="22"/>
          <w:lang w:val="en-US"/>
        </w:rPr>
        <w:t xml:space="preserve">Dyson, A., Hertzman, C., Roberts, H., Tunstill, J., &amp; Vaghri, Z. (2009). </w:t>
      </w:r>
      <w:r w:rsidRPr="003B5FFB">
        <w:rPr>
          <w:rFonts w:eastAsia="Aptos" w:cs="Arial"/>
          <w:i/>
          <w:noProof/>
          <w:sz w:val="22"/>
          <w:lang w:val="en-US"/>
        </w:rPr>
        <w:t>Childhood development, education and health inequalities</w:t>
      </w:r>
      <w:r w:rsidRPr="003B5FFB">
        <w:rPr>
          <w:rFonts w:eastAsia="Aptos" w:cs="Arial"/>
          <w:noProof/>
          <w:sz w:val="22"/>
          <w:lang w:val="en-US"/>
        </w:rPr>
        <w:t xml:space="preserve">. London, UK: Global Health Equity Group, Department of Epidemiology and Public Health, University College London. Retrieved 6 September, 2024 from </w:t>
      </w:r>
      <w:hyperlink r:id="rId224" w:history="1">
        <w:r w:rsidR="00B90E1A" w:rsidRPr="00326476">
          <w:rPr>
            <w:rStyle w:val="Hyperlink"/>
            <w:rFonts w:eastAsia="Aptos" w:cs="Arial"/>
            <w:noProof/>
            <w:sz w:val="22"/>
            <w:lang w:val="en-US"/>
          </w:rPr>
          <w:t>http://www.ucl.ac.uk/gheg/marmotreview/consultation/Early_years_and_education_report</w:t>
        </w:r>
      </w:hyperlink>
    </w:p>
    <w:p w14:paraId="2621AA13" w14:textId="77777777" w:rsidR="00B90E1A" w:rsidRPr="003B5FFB" w:rsidRDefault="00B90E1A" w:rsidP="003B5FFB">
      <w:pPr>
        <w:spacing w:before="0" w:after="160"/>
        <w:ind w:left="720" w:hanging="720"/>
        <w:rPr>
          <w:rFonts w:eastAsia="Aptos" w:cs="Arial"/>
          <w:noProof/>
          <w:sz w:val="22"/>
          <w:lang w:val="en-US"/>
        </w:rPr>
      </w:pPr>
    </w:p>
    <w:p w14:paraId="0D70ECB8" w14:textId="4A6E2443" w:rsidR="006B7AF6" w:rsidRPr="007E27D1" w:rsidRDefault="006B7AF6" w:rsidP="006B7AF6">
      <w:pPr>
        <w:pStyle w:val="EndNoteBibliography"/>
        <w:ind w:left="720" w:hanging="720"/>
      </w:pPr>
      <w:r w:rsidRPr="00B90E1A">
        <w:t xml:space="preserve">Eapen, V., Walter, A., Guan, J., Descallar, J., Axelsson, E., Einfeld, S., Eastwood, J., Murphy, E., Beasley, D., Silove, N., Dissanayake, C., Woolfenden, S., Williams, K., Jalaludin, B., &amp; 'Watch Me Grow' study group. (2017). Maternal help-seeking for child developmental concerns: Associations with socio-demographic factors. </w:t>
      </w:r>
      <w:r w:rsidRPr="00B90E1A">
        <w:rPr>
          <w:i/>
        </w:rPr>
        <w:t>Journal of Paediatrics and Child Health</w:t>
      </w:r>
      <w:r w:rsidRPr="00B90E1A">
        <w:t>,</w:t>
      </w:r>
      <w:r w:rsidRPr="00B90E1A">
        <w:rPr>
          <w:i/>
        </w:rPr>
        <w:t xml:space="preserve"> 53</w:t>
      </w:r>
      <w:r w:rsidRPr="00B90E1A">
        <w:t xml:space="preserve">(10), 963-969. </w:t>
      </w:r>
      <w:hyperlink r:id="rId225" w:history="1">
        <w:r w:rsidR="0054349C" w:rsidRPr="00326476">
          <w:rPr>
            <w:rStyle w:val="Hyperlink"/>
          </w:rPr>
          <w:t>https://doi.org/10.1111/jpc.13607</w:t>
        </w:r>
      </w:hyperlink>
      <w:r w:rsidR="0054349C">
        <w:t xml:space="preserve"> </w:t>
      </w:r>
      <w:r w:rsidRPr="007E27D1">
        <w:t xml:space="preserve"> </w:t>
      </w:r>
    </w:p>
    <w:p w14:paraId="5D394B64" w14:textId="77777777" w:rsidR="006B7AF6" w:rsidRDefault="006B7AF6" w:rsidP="0030178D">
      <w:pPr>
        <w:pStyle w:val="EndNoteBibliography"/>
        <w:spacing w:after="0"/>
        <w:ind w:left="720" w:hanging="720"/>
      </w:pPr>
    </w:p>
    <w:p w14:paraId="600AF068" w14:textId="3DA0F172" w:rsidR="003C36B5" w:rsidRDefault="003C36B5" w:rsidP="003C36B5">
      <w:pPr>
        <w:spacing w:before="0" w:after="160"/>
        <w:ind w:left="720" w:hanging="720"/>
        <w:rPr>
          <w:rFonts w:eastAsia="Aptos" w:cs="Arial"/>
          <w:noProof/>
          <w:sz w:val="22"/>
          <w:lang w:val="en-US"/>
        </w:rPr>
      </w:pPr>
      <w:r w:rsidRPr="003C36B5">
        <w:rPr>
          <w:rFonts w:eastAsia="Aptos" w:cs="Arial"/>
          <w:noProof/>
          <w:sz w:val="22"/>
          <w:lang w:val="en-US"/>
        </w:rPr>
        <w:t xml:space="preserve">Early Childhood Intervention Australia. (2016). </w:t>
      </w:r>
      <w:r w:rsidRPr="003C36B5">
        <w:rPr>
          <w:rFonts w:eastAsia="Aptos" w:cs="Arial"/>
          <w:i/>
          <w:noProof/>
          <w:sz w:val="22"/>
          <w:lang w:val="en-US"/>
        </w:rPr>
        <w:t>National Guidelines for Best Practice in Early Childhood Intervention</w:t>
      </w:r>
      <w:r w:rsidRPr="003C36B5">
        <w:rPr>
          <w:rFonts w:eastAsia="Aptos" w:cs="Arial"/>
          <w:noProof/>
          <w:sz w:val="22"/>
          <w:lang w:val="en-US"/>
        </w:rPr>
        <w:t xml:space="preserve">. Sydney, NSW: Early Childhood Intervention Australia. </w:t>
      </w:r>
      <w:hyperlink r:id="rId226" w:history="1">
        <w:r w:rsidR="00071D47" w:rsidRPr="00326476">
          <w:rPr>
            <w:rStyle w:val="Hyperlink"/>
            <w:rFonts w:eastAsia="Aptos" w:cs="Arial"/>
            <w:noProof/>
            <w:sz w:val="22"/>
            <w:lang w:val="en-US"/>
          </w:rPr>
          <w:t>https://www.flipsnack.com/earlychildhoodintervention/ecia-national-guidelines-bestpractice-in-eci/full-view.html</w:t>
        </w:r>
      </w:hyperlink>
    </w:p>
    <w:p w14:paraId="2351760C" w14:textId="77777777" w:rsidR="00071D47" w:rsidRPr="003C36B5" w:rsidRDefault="00071D47" w:rsidP="003C36B5">
      <w:pPr>
        <w:spacing w:before="0" w:after="160"/>
        <w:ind w:left="720" w:hanging="720"/>
        <w:rPr>
          <w:rFonts w:eastAsia="Aptos" w:cs="Arial"/>
          <w:noProof/>
          <w:sz w:val="22"/>
          <w:lang w:val="en-US"/>
        </w:rPr>
      </w:pPr>
    </w:p>
    <w:p w14:paraId="20561AEF" w14:textId="77777777" w:rsidR="005321DB" w:rsidRPr="005321DB" w:rsidRDefault="005321DB" w:rsidP="005321DB">
      <w:pPr>
        <w:spacing w:before="0" w:after="160"/>
        <w:ind w:left="720" w:hanging="720"/>
        <w:rPr>
          <w:rFonts w:eastAsia="Aptos" w:cs="Arial"/>
          <w:noProof/>
          <w:sz w:val="22"/>
          <w:lang w:val="en-US"/>
        </w:rPr>
      </w:pPr>
      <w:r w:rsidRPr="005321DB">
        <w:rPr>
          <w:rFonts w:eastAsia="Aptos" w:cs="Arial"/>
          <w:noProof/>
          <w:sz w:val="22"/>
          <w:lang w:val="en-US"/>
        </w:rPr>
        <w:t xml:space="preserve">Early Childhood Intervention Australia. (2018). </w:t>
      </w:r>
      <w:r w:rsidRPr="005321DB">
        <w:rPr>
          <w:rFonts w:eastAsia="Aptos" w:cs="Arial"/>
          <w:i/>
          <w:noProof/>
          <w:sz w:val="22"/>
          <w:lang w:val="en-US"/>
        </w:rPr>
        <w:t>Best Practice in Early Childhood Intervention</w:t>
      </w:r>
      <w:r w:rsidRPr="005321DB">
        <w:rPr>
          <w:rFonts w:eastAsia="Aptos" w:cs="Arial"/>
          <w:noProof/>
          <w:sz w:val="22"/>
          <w:lang w:val="en-US"/>
        </w:rPr>
        <w:t xml:space="preserve">.  </w:t>
      </w:r>
    </w:p>
    <w:p w14:paraId="2DD3B032" w14:textId="55B845BF" w:rsidR="0030178D" w:rsidRPr="00075790" w:rsidRDefault="0030178D" w:rsidP="0030178D">
      <w:pPr>
        <w:pStyle w:val="EndNoteBibliography"/>
        <w:spacing w:after="0"/>
        <w:ind w:left="720" w:hanging="720"/>
      </w:pPr>
    </w:p>
    <w:p w14:paraId="455B6088" w14:textId="167FED3C" w:rsidR="007B3AA1" w:rsidRDefault="007B3AA1" w:rsidP="007B3AA1">
      <w:pPr>
        <w:spacing w:before="0" w:after="160"/>
        <w:ind w:left="720" w:hanging="720"/>
        <w:rPr>
          <w:rFonts w:eastAsia="Aptos" w:cs="Arial"/>
          <w:noProof/>
          <w:sz w:val="22"/>
          <w:lang w:val="en-US"/>
        </w:rPr>
      </w:pPr>
      <w:r w:rsidRPr="007B3AA1">
        <w:rPr>
          <w:rFonts w:eastAsia="Aptos" w:cs="Arial"/>
          <w:noProof/>
          <w:sz w:val="22"/>
          <w:lang w:val="en-US"/>
        </w:rPr>
        <w:t xml:space="preserve">Early Childhood Intervention Australia (NSW). (2014a). </w:t>
      </w:r>
      <w:r w:rsidRPr="007B3AA1">
        <w:rPr>
          <w:rFonts w:eastAsia="Aptos" w:cs="Arial"/>
          <w:i/>
          <w:noProof/>
          <w:sz w:val="22"/>
          <w:lang w:val="en-US"/>
        </w:rPr>
        <w:t>Inclusive Practices: Family Feedback Form.</w:t>
      </w:r>
      <w:r w:rsidRPr="007B3AA1">
        <w:rPr>
          <w:rFonts w:eastAsia="Aptos" w:cs="Arial"/>
          <w:noProof/>
          <w:sz w:val="22"/>
          <w:lang w:val="en-US"/>
        </w:rPr>
        <w:t xml:space="preserve"> North Rocks, NSW: Early Childhood Intervention Australia (New South Wales). Retrieved September 6, 2024,  </w:t>
      </w:r>
      <w:hyperlink r:id="rId227" w:history="1">
        <w:r w:rsidR="00071D47" w:rsidRPr="00326476">
          <w:rPr>
            <w:rStyle w:val="Hyperlink"/>
            <w:rFonts w:eastAsia="Aptos" w:cs="Arial"/>
            <w:noProof/>
            <w:sz w:val="22"/>
            <w:lang w:val="en-US"/>
          </w:rPr>
          <w:t>https://www.flipsnack.com/earlychildhoodintervention/ecia-inclusion-tool-family-feedback-form/full-view.html</w:t>
        </w:r>
      </w:hyperlink>
    </w:p>
    <w:p w14:paraId="2F159E41" w14:textId="77777777" w:rsidR="00071D47" w:rsidRPr="007B3AA1" w:rsidRDefault="00071D47" w:rsidP="007B3AA1">
      <w:pPr>
        <w:spacing w:before="0" w:after="160"/>
        <w:ind w:left="720" w:hanging="720"/>
        <w:rPr>
          <w:rFonts w:eastAsia="Aptos" w:cs="Arial"/>
          <w:noProof/>
          <w:sz w:val="22"/>
          <w:lang w:val="en-US"/>
        </w:rPr>
      </w:pPr>
    </w:p>
    <w:p w14:paraId="5EC12B91" w14:textId="6EAC51FB" w:rsidR="00C978C9" w:rsidRDefault="00C978C9" w:rsidP="00C978C9">
      <w:pPr>
        <w:spacing w:before="0" w:after="160"/>
        <w:ind w:left="720" w:hanging="720"/>
        <w:rPr>
          <w:rFonts w:eastAsia="Aptos" w:cs="Arial"/>
          <w:noProof/>
          <w:sz w:val="22"/>
          <w:lang w:val="en-US"/>
        </w:rPr>
      </w:pPr>
      <w:r w:rsidRPr="00C978C9">
        <w:rPr>
          <w:rFonts w:eastAsia="Aptos" w:cs="Arial"/>
          <w:noProof/>
          <w:sz w:val="22"/>
          <w:lang w:val="en-US"/>
        </w:rPr>
        <w:t xml:space="preserve">Early Childhood Intervention Australia (NSW). (2014b). </w:t>
      </w:r>
      <w:r w:rsidRPr="00C978C9">
        <w:rPr>
          <w:rFonts w:eastAsia="Aptos" w:cs="Arial"/>
          <w:i/>
          <w:noProof/>
          <w:sz w:val="22"/>
          <w:lang w:val="en-US"/>
        </w:rPr>
        <w:t>Self-reflection on inclusive practices: A tool for early childhood intervention practitioners</w:t>
      </w:r>
      <w:r w:rsidRPr="00C978C9">
        <w:rPr>
          <w:rFonts w:eastAsia="Aptos" w:cs="Arial"/>
          <w:noProof/>
          <w:sz w:val="22"/>
          <w:lang w:val="en-US"/>
        </w:rPr>
        <w:t xml:space="preserve">. North Rocks, NSW: Early Childhood Intervention Australia (New South Wales). Retrieved September 6, 2024,  </w:t>
      </w:r>
      <w:hyperlink r:id="rId228" w:history="1">
        <w:r w:rsidR="00071D47" w:rsidRPr="00326476">
          <w:rPr>
            <w:rStyle w:val="Hyperlink"/>
            <w:rFonts w:eastAsia="Aptos" w:cs="Arial"/>
            <w:noProof/>
            <w:sz w:val="22"/>
            <w:lang w:val="en-US"/>
          </w:rPr>
          <w:t>https://www.flipsnack.com/earlychildhoodintervention/ecia-inclusion-self-reflection-tool/full-view.html</w:t>
        </w:r>
      </w:hyperlink>
    </w:p>
    <w:p w14:paraId="5E95BF31" w14:textId="77777777" w:rsidR="00071D47" w:rsidRPr="00C978C9" w:rsidRDefault="00071D47" w:rsidP="00C978C9">
      <w:pPr>
        <w:spacing w:before="0" w:after="160"/>
        <w:ind w:left="720" w:hanging="720"/>
        <w:rPr>
          <w:rFonts w:eastAsia="Aptos" w:cs="Arial"/>
          <w:noProof/>
          <w:sz w:val="22"/>
          <w:lang w:val="en-US"/>
        </w:rPr>
      </w:pPr>
    </w:p>
    <w:p w14:paraId="262BC640" w14:textId="01299735" w:rsidR="00C051DE" w:rsidRDefault="00C051DE" w:rsidP="00C051DE">
      <w:pPr>
        <w:spacing w:before="0" w:after="160"/>
        <w:ind w:left="720" w:hanging="720"/>
        <w:rPr>
          <w:rFonts w:eastAsia="Aptos" w:cs="Arial"/>
          <w:noProof/>
          <w:sz w:val="22"/>
          <w:lang w:val="en-US"/>
        </w:rPr>
      </w:pPr>
      <w:r w:rsidRPr="00C051DE">
        <w:rPr>
          <w:rFonts w:eastAsia="Aptos" w:cs="Arial"/>
          <w:noProof/>
          <w:sz w:val="22"/>
          <w:lang w:val="en-US"/>
        </w:rPr>
        <w:t xml:space="preserve">Early Childhood Technical Assistance Centre. (2024). </w:t>
      </w:r>
      <w:r w:rsidRPr="00C051DE">
        <w:rPr>
          <w:rFonts w:eastAsia="Aptos" w:cs="Arial"/>
          <w:i/>
          <w:noProof/>
          <w:sz w:val="22"/>
          <w:lang w:val="en-US"/>
        </w:rPr>
        <w:t>Outcomes</w:t>
      </w:r>
      <w:r w:rsidRPr="00C051DE">
        <w:rPr>
          <w:rFonts w:eastAsia="Aptos" w:cs="Arial"/>
          <w:noProof/>
          <w:sz w:val="22"/>
          <w:lang w:val="en-US"/>
        </w:rPr>
        <w:t xml:space="preserve">.  Retrieved September 6, 2024,  </w:t>
      </w:r>
      <w:hyperlink r:id="rId229" w:history="1">
        <w:r w:rsidR="00071D47" w:rsidRPr="00326476">
          <w:rPr>
            <w:rStyle w:val="Hyperlink"/>
            <w:rFonts w:eastAsia="Aptos" w:cs="Arial"/>
            <w:noProof/>
            <w:sz w:val="22"/>
            <w:lang w:val="en-US"/>
          </w:rPr>
          <w:t>https://ectacenter.org/outcomes.asp</w:t>
        </w:r>
      </w:hyperlink>
    </w:p>
    <w:p w14:paraId="114DC557" w14:textId="77777777" w:rsidR="00071D47" w:rsidRPr="00C051DE" w:rsidRDefault="00071D47" w:rsidP="00C051DE">
      <w:pPr>
        <w:spacing w:before="0" w:after="160"/>
        <w:ind w:left="720" w:hanging="720"/>
        <w:rPr>
          <w:rFonts w:eastAsia="Aptos" w:cs="Arial"/>
          <w:noProof/>
          <w:sz w:val="22"/>
          <w:lang w:val="en-US"/>
        </w:rPr>
      </w:pPr>
    </w:p>
    <w:p w14:paraId="6513F621" w14:textId="77777777" w:rsidR="00767FCD" w:rsidRDefault="00767FCD" w:rsidP="00767FCD">
      <w:pPr>
        <w:spacing w:before="0" w:after="160"/>
        <w:ind w:left="720" w:hanging="720"/>
        <w:rPr>
          <w:rFonts w:eastAsia="Aptos" w:cs="Arial"/>
          <w:noProof/>
          <w:sz w:val="22"/>
          <w:lang w:val="en-US"/>
        </w:rPr>
      </w:pPr>
      <w:r w:rsidRPr="00767FCD">
        <w:rPr>
          <w:rFonts w:eastAsia="Aptos" w:cs="Arial"/>
          <w:noProof/>
          <w:sz w:val="22"/>
          <w:lang w:val="en-US"/>
        </w:rPr>
        <w:t xml:space="preserve">Edwards, A., Brebner, C., McCormack, P., &amp; MacDougall, C. (2017). The early intervention message: Perspectives of parents of children with autism spectrum disorder. </w:t>
      </w:r>
      <w:r w:rsidRPr="00767FCD">
        <w:rPr>
          <w:rFonts w:eastAsia="Aptos" w:cs="Arial"/>
          <w:i/>
          <w:noProof/>
          <w:sz w:val="22"/>
          <w:lang w:val="en-US"/>
        </w:rPr>
        <w:t>Child: care, health and development</w:t>
      </w:r>
      <w:r w:rsidRPr="00767FCD">
        <w:rPr>
          <w:rFonts w:eastAsia="Aptos" w:cs="Arial"/>
          <w:noProof/>
          <w:sz w:val="22"/>
          <w:lang w:val="en-US"/>
        </w:rPr>
        <w:t>,</w:t>
      </w:r>
      <w:r w:rsidRPr="00767FCD">
        <w:rPr>
          <w:rFonts w:eastAsia="Aptos" w:cs="Arial"/>
          <w:i/>
          <w:noProof/>
          <w:sz w:val="22"/>
          <w:lang w:val="en-US"/>
        </w:rPr>
        <w:t xml:space="preserve"> 43</w:t>
      </w:r>
      <w:r w:rsidRPr="00767FCD">
        <w:rPr>
          <w:rFonts w:eastAsia="Aptos" w:cs="Arial"/>
          <w:noProof/>
          <w:sz w:val="22"/>
          <w:lang w:val="en-US"/>
        </w:rPr>
        <w:t xml:space="preserve">(2), 202-210. </w:t>
      </w:r>
    </w:p>
    <w:p w14:paraId="50C91CCB" w14:textId="77777777" w:rsidR="00071D47" w:rsidRPr="00767FCD" w:rsidRDefault="00071D47" w:rsidP="00767FCD">
      <w:pPr>
        <w:spacing w:before="0" w:after="160"/>
        <w:ind w:left="720" w:hanging="720"/>
        <w:rPr>
          <w:rFonts w:eastAsia="Aptos" w:cs="Arial"/>
          <w:noProof/>
          <w:sz w:val="22"/>
          <w:lang w:val="en-US"/>
        </w:rPr>
      </w:pPr>
    </w:p>
    <w:p w14:paraId="10971732" w14:textId="77777777" w:rsidR="000F33DF" w:rsidRDefault="000F33DF" w:rsidP="000F33DF">
      <w:pPr>
        <w:spacing w:before="0" w:after="160"/>
        <w:ind w:left="720" w:hanging="720"/>
        <w:rPr>
          <w:rFonts w:eastAsia="Aptos" w:cs="Arial"/>
          <w:noProof/>
          <w:sz w:val="22"/>
          <w:lang w:val="en-US"/>
        </w:rPr>
      </w:pPr>
      <w:r w:rsidRPr="000F33DF">
        <w:rPr>
          <w:rFonts w:eastAsia="Aptos" w:cs="Arial"/>
          <w:noProof/>
          <w:sz w:val="22"/>
          <w:lang w:val="en-US"/>
        </w:rPr>
        <w:t xml:space="preserve">Edwards, B., &amp; Bromfield, L. M. (2009). Neighborhood influences on young children's conduct problems and pro-social behavior: Evidence from an Australian national sample. </w:t>
      </w:r>
      <w:r w:rsidRPr="000F33DF">
        <w:rPr>
          <w:rFonts w:eastAsia="Aptos" w:cs="Arial"/>
          <w:i/>
          <w:noProof/>
          <w:sz w:val="22"/>
          <w:lang w:val="en-US"/>
        </w:rPr>
        <w:t>Children and Youth Services Review</w:t>
      </w:r>
      <w:r w:rsidRPr="000F33DF">
        <w:rPr>
          <w:rFonts w:eastAsia="Aptos" w:cs="Arial"/>
          <w:noProof/>
          <w:sz w:val="22"/>
          <w:lang w:val="en-US"/>
        </w:rPr>
        <w:t>,</w:t>
      </w:r>
      <w:r w:rsidRPr="000F33DF">
        <w:rPr>
          <w:rFonts w:eastAsia="Aptos" w:cs="Arial"/>
          <w:i/>
          <w:noProof/>
          <w:sz w:val="22"/>
          <w:lang w:val="en-US"/>
        </w:rPr>
        <w:t xml:space="preserve"> 31</w:t>
      </w:r>
      <w:r w:rsidRPr="000F33DF">
        <w:rPr>
          <w:rFonts w:eastAsia="Aptos" w:cs="Arial"/>
          <w:noProof/>
          <w:sz w:val="22"/>
          <w:lang w:val="en-US"/>
        </w:rPr>
        <w:t xml:space="preserve">(3), 317-324. </w:t>
      </w:r>
    </w:p>
    <w:p w14:paraId="271E6714" w14:textId="77777777" w:rsidR="00071D47" w:rsidRPr="000F33DF" w:rsidRDefault="00071D47" w:rsidP="000F33DF">
      <w:pPr>
        <w:spacing w:before="0" w:after="160"/>
        <w:ind w:left="720" w:hanging="720"/>
        <w:rPr>
          <w:rFonts w:eastAsia="Aptos" w:cs="Arial"/>
          <w:noProof/>
          <w:sz w:val="22"/>
          <w:lang w:val="en-US"/>
        </w:rPr>
      </w:pPr>
    </w:p>
    <w:p w14:paraId="1515ED58" w14:textId="77777777" w:rsidR="00E16A30" w:rsidRDefault="00E16A30" w:rsidP="00E16A30">
      <w:pPr>
        <w:spacing w:before="0" w:after="160"/>
        <w:ind w:left="720" w:hanging="720"/>
        <w:rPr>
          <w:rFonts w:eastAsia="Aptos" w:cs="Arial"/>
          <w:noProof/>
          <w:sz w:val="22"/>
          <w:lang w:val="en-US"/>
        </w:rPr>
      </w:pPr>
      <w:r w:rsidRPr="00E16A30">
        <w:rPr>
          <w:rFonts w:eastAsia="Aptos" w:cs="Arial"/>
          <w:noProof/>
          <w:sz w:val="22"/>
          <w:lang w:val="en-US"/>
        </w:rPr>
        <w:t xml:space="preserve">Edwards, J. K., Young, A., &amp; Nikels, H. (2016). </w:t>
      </w:r>
      <w:r w:rsidRPr="00E16A30">
        <w:rPr>
          <w:rFonts w:eastAsia="Aptos" w:cs="Arial"/>
          <w:i/>
          <w:noProof/>
          <w:sz w:val="22"/>
          <w:lang w:val="en-US"/>
        </w:rPr>
        <w:t>Handbook of strengths-based clinical practices: Finding common factors</w:t>
      </w:r>
      <w:r w:rsidRPr="00E16A30">
        <w:rPr>
          <w:rFonts w:eastAsia="Aptos" w:cs="Arial"/>
          <w:noProof/>
          <w:sz w:val="22"/>
          <w:lang w:val="en-US"/>
        </w:rPr>
        <w:t xml:space="preserve">. Routledge. </w:t>
      </w:r>
    </w:p>
    <w:p w14:paraId="7721357E" w14:textId="77777777" w:rsidR="00071D47" w:rsidRPr="00E16A30" w:rsidRDefault="00071D47" w:rsidP="00E16A30">
      <w:pPr>
        <w:spacing w:before="0" w:after="160"/>
        <w:ind w:left="720" w:hanging="720"/>
        <w:rPr>
          <w:rFonts w:eastAsia="Aptos" w:cs="Arial"/>
          <w:noProof/>
          <w:sz w:val="22"/>
          <w:lang w:val="en-US"/>
        </w:rPr>
      </w:pPr>
    </w:p>
    <w:p w14:paraId="6991136C" w14:textId="77777777" w:rsidR="006E3A0F" w:rsidRDefault="006E3A0F" w:rsidP="006E3A0F">
      <w:pPr>
        <w:spacing w:before="0" w:after="160"/>
        <w:ind w:left="720" w:hanging="720"/>
        <w:rPr>
          <w:rFonts w:eastAsia="Aptos" w:cs="Arial"/>
          <w:noProof/>
          <w:sz w:val="22"/>
          <w:lang w:val="en-US"/>
        </w:rPr>
      </w:pPr>
      <w:r w:rsidRPr="006E3A0F">
        <w:rPr>
          <w:rFonts w:eastAsia="Aptos" w:cs="Arial"/>
          <w:noProof/>
          <w:sz w:val="22"/>
          <w:lang w:val="en-US"/>
        </w:rPr>
        <w:t xml:space="preserve">Edwards, M., &amp; Schippers, A. P. (2024). Expanding the quality of life paradigm: Contributions from the field of disability studies. </w:t>
      </w:r>
      <w:r w:rsidRPr="006E3A0F">
        <w:rPr>
          <w:rFonts w:eastAsia="Aptos" w:cs="Arial"/>
          <w:i/>
          <w:noProof/>
          <w:sz w:val="22"/>
          <w:lang w:val="en-US"/>
        </w:rPr>
        <w:t>Journal of Policy and Practice in Intellectual Disabilities</w:t>
      </w:r>
      <w:r w:rsidRPr="006E3A0F">
        <w:rPr>
          <w:rFonts w:eastAsia="Aptos" w:cs="Arial"/>
          <w:noProof/>
          <w:sz w:val="22"/>
          <w:lang w:val="en-US"/>
        </w:rPr>
        <w:t>,</w:t>
      </w:r>
      <w:r w:rsidRPr="006E3A0F">
        <w:rPr>
          <w:rFonts w:eastAsia="Aptos" w:cs="Arial"/>
          <w:i/>
          <w:noProof/>
          <w:sz w:val="22"/>
          <w:lang w:val="en-US"/>
        </w:rPr>
        <w:t xml:space="preserve"> 21</w:t>
      </w:r>
      <w:r w:rsidRPr="006E3A0F">
        <w:rPr>
          <w:rFonts w:eastAsia="Aptos" w:cs="Arial"/>
          <w:noProof/>
          <w:sz w:val="22"/>
          <w:lang w:val="en-US"/>
        </w:rPr>
        <w:t xml:space="preserve">(1), e12483. </w:t>
      </w:r>
    </w:p>
    <w:p w14:paraId="13F7F537" w14:textId="77777777" w:rsidR="00071D47" w:rsidRPr="006E3A0F" w:rsidRDefault="00071D47" w:rsidP="006E3A0F">
      <w:pPr>
        <w:spacing w:before="0" w:after="160"/>
        <w:ind w:left="720" w:hanging="720"/>
        <w:rPr>
          <w:rFonts w:eastAsia="Aptos" w:cs="Arial"/>
          <w:noProof/>
          <w:sz w:val="22"/>
          <w:lang w:val="en-US"/>
        </w:rPr>
      </w:pPr>
    </w:p>
    <w:p w14:paraId="74F1650F" w14:textId="61B5F8FB" w:rsidR="00127BA5" w:rsidRDefault="00127BA5" w:rsidP="00127BA5">
      <w:pPr>
        <w:spacing w:before="0" w:after="160"/>
        <w:ind w:left="720" w:hanging="720"/>
        <w:rPr>
          <w:rFonts w:eastAsia="Aptos" w:cs="Arial"/>
          <w:noProof/>
          <w:sz w:val="22"/>
          <w:lang w:val="en-US"/>
        </w:rPr>
      </w:pPr>
      <w:r w:rsidRPr="00127BA5">
        <w:rPr>
          <w:rFonts w:eastAsia="Aptos" w:cs="Arial"/>
          <w:noProof/>
          <w:sz w:val="22"/>
          <w:lang w:val="en-US"/>
        </w:rPr>
        <w:t xml:space="preserve">Eisenstat, D. D., Goldowitz, D., Oberlander, T. F., &amp; Yager, J. Y. (2023). </w:t>
      </w:r>
      <w:r w:rsidRPr="00127BA5">
        <w:rPr>
          <w:rFonts w:eastAsia="Aptos" w:cs="Arial"/>
          <w:i/>
          <w:noProof/>
          <w:sz w:val="22"/>
          <w:lang w:val="en-US"/>
        </w:rPr>
        <w:t>Neurodevelopmental Pediatrics: Genetic and Environmental Influences</w:t>
      </w:r>
      <w:r w:rsidRPr="00127BA5">
        <w:rPr>
          <w:rFonts w:eastAsia="Aptos" w:cs="Arial"/>
          <w:noProof/>
          <w:sz w:val="22"/>
          <w:lang w:val="en-US"/>
        </w:rPr>
        <w:t xml:space="preserve">. Springer Nature. </w:t>
      </w:r>
    </w:p>
    <w:p w14:paraId="13C2BCB6" w14:textId="77777777" w:rsidR="003D017C" w:rsidRPr="00127BA5" w:rsidRDefault="003D017C" w:rsidP="00127BA5">
      <w:pPr>
        <w:spacing w:before="0" w:after="160"/>
        <w:ind w:left="720" w:hanging="720"/>
        <w:rPr>
          <w:rFonts w:eastAsia="Aptos" w:cs="Arial"/>
          <w:noProof/>
          <w:sz w:val="22"/>
          <w:lang w:val="en-US"/>
        </w:rPr>
      </w:pPr>
    </w:p>
    <w:p w14:paraId="2E98DAF8" w14:textId="5146540D" w:rsidR="00F955D0" w:rsidRPr="00F955D0" w:rsidRDefault="00F955D0" w:rsidP="00F955D0">
      <w:pPr>
        <w:spacing w:before="0" w:after="160"/>
        <w:ind w:left="720" w:hanging="720"/>
        <w:rPr>
          <w:rFonts w:eastAsia="Aptos" w:cs="Arial"/>
          <w:noProof/>
          <w:sz w:val="22"/>
          <w:lang w:val="en-US"/>
        </w:rPr>
      </w:pPr>
      <w:r w:rsidRPr="00F955D0">
        <w:rPr>
          <w:rFonts w:eastAsia="Aptos" w:cs="Arial"/>
          <w:noProof/>
          <w:sz w:val="22"/>
          <w:lang w:val="en-US"/>
        </w:rPr>
        <w:t xml:space="preserve">Elek, C., Gubhaju, L., Lloyd-Johnsen, C., Eades, S., &amp; Goldfeld, S. (2020). Can early childhood education programs support positive outcomes for Indigenous children? A systematic review of the international literature. </w:t>
      </w:r>
      <w:r w:rsidRPr="00F955D0">
        <w:rPr>
          <w:rFonts w:eastAsia="Aptos" w:cs="Arial"/>
          <w:i/>
          <w:noProof/>
          <w:sz w:val="22"/>
          <w:lang w:val="en-US"/>
        </w:rPr>
        <w:t>Educational Research Review</w:t>
      </w:r>
      <w:r w:rsidRPr="00F955D0">
        <w:rPr>
          <w:rFonts w:eastAsia="Aptos" w:cs="Arial"/>
          <w:noProof/>
          <w:sz w:val="22"/>
          <w:lang w:val="en-US"/>
        </w:rPr>
        <w:t>,</w:t>
      </w:r>
      <w:r w:rsidRPr="00F955D0">
        <w:rPr>
          <w:rFonts w:eastAsia="Aptos" w:cs="Arial"/>
          <w:i/>
          <w:noProof/>
          <w:sz w:val="22"/>
          <w:lang w:val="en-US"/>
        </w:rPr>
        <w:t xml:space="preserve"> 31</w:t>
      </w:r>
      <w:r w:rsidRPr="00F955D0">
        <w:rPr>
          <w:rFonts w:eastAsia="Aptos" w:cs="Arial"/>
          <w:noProof/>
          <w:sz w:val="22"/>
          <w:lang w:val="en-US"/>
        </w:rPr>
        <w:t xml:space="preserve">, 100363. </w:t>
      </w:r>
      <w:hyperlink r:id="rId230" w:history="1">
        <w:r w:rsidR="0054349C" w:rsidRPr="00326476">
          <w:rPr>
            <w:rStyle w:val="Hyperlink"/>
            <w:rFonts w:eastAsia="Aptos" w:cs="Arial"/>
            <w:noProof/>
            <w:sz w:val="22"/>
            <w:lang w:val="en-US"/>
          </w:rPr>
          <w:t>https://www.sciencedirect.com/science/article/pii/S1747938X19304889</w:t>
        </w:r>
      </w:hyperlink>
      <w:r w:rsidR="0054349C">
        <w:rPr>
          <w:rFonts w:eastAsia="Aptos" w:cs="Arial"/>
          <w:noProof/>
          <w:sz w:val="22"/>
          <w:lang w:val="en-US"/>
        </w:rPr>
        <w:t xml:space="preserve"> </w:t>
      </w:r>
      <w:r w:rsidRPr="00F955D0">
        <w:rPr>
          <w:rFonts w:eastAsia="Aptos" w:cs="Arial"/>
          <w:noProof/>
          <w:sz w:val="22"/>
          <w:lang w:val="en-US"/>
        </w:rPr>
        <w:t xml:space="preserve"> </w:t>
      </w:r>
    </w:p>
    <w:p w14:paraId="39152992" w14:textId="77777777" w:rsidR="00F955D0" w:rsidRPr="00F955D0" w:rsidRDefault="00F955D0" w:rsidP="00F955D0">
      <w:pPr>
        <w:spacing w:before="0" w:after="0"/>
        <w:ind w:left="720" w:hanging="720"/>
        <w:rPr>
          <w:rFonts w:eastAsia="Aptos" w:cs="Arial"/>
          <w:noProof/>
          <w:sz w:val="22"/>
          <w:lang w:val="en-US"/>
        </w:rPr>
      </w:pPr>
      <w:r w:rsidRPr="00F955D0">
        <w:rPr>
          <w:rFonts w:eastAsia="Aptos" w:cs="Arial"/>
          <w:noProof/>
          <w:sz w:val="22"/>
          <w:lang w:val="en-US"/>
        </w:rPr>
        <w:tab/>
      </w:r>
    </w:p>
    <w:p w14:paraId="7BE898D5" w14:textId="77777777" w:rsidR="00F955D0" w:rsidRPr="00F955D0" w:rsidRDefault="00F955D0" w:rsidP="00F955D0">
      <w:pPr>
        <w:spacing w:before="0" w:after="160"/>
        <w:ind w:left="720" w:hanging="720"/>
        <w:rPr>
          <w:rFonts w:eastAsia="Aptos" w:cs="Arial"/>
          <w:noProof/>
          <w:sz w:val="22"/>
          <w:lang w:val="en-US"/>
        </w:rPr>
      </w:pPr>
      <w:r w:rsidRPr="00F955D0">
        <w:rPr>
          <w:rFonts w:eastAsia="Aptos" w:cs="Arial"/>
          <w:noProof/>
          <w:sz w:val="22"/>
          <w:lang w:val="en-US"/>
        </w:rPr>
        <w:t xml:space="preserve">Ellis, W., Dietz, W. H., &amp; Chen, K.-L. D. (2022). Community resilience: a dynamic model for public health 3.0. </w:t>
      </w:r>
      <w:r w:rsidRPr="00F955D0">
        <w:rPr>
          <w:rFonts w:eastAsia="Aptos" w:cs="Arial"/>
          <w:i/>
          <w:noProof/>
          <w:sz w:val="22"/>
          <w:lang w:val="en-US"/>
        </w:rPr>
        <w:t>Journal of Public Health Management and Practice</w:t>
      </w:r>
      <w:r w:rsidRPr="00F955D0">
        <w:rPr>
          <w:rFonts w:eastAsia="Aptos" w:cs="Arial"/>
          <w:noProof/>
          <w:sz w:val="22"/>
          <w:lang w:val="en-US"/>
        </w:rPr>
        <w:t>,</w:t>
      </w:r>
      <w:r w:rsidRPr="00F955D0">
        <w:rPr>
          <w:rFonts w:eastAsia="Aptos" w:cs="Arial"/>
          <w:i/>
          <w:noProof/>
          <w:sz w:val="22"/>
          <w:lang w:val="en-US"/>
        </w:rPr>
        <w:t xml:space="preserve"> 28</w:t>
      </w:r>
      <w:r w:rsidRPr="00F955D0">
        <w:rPr>
          <w:rFonts w:eastAsia="Aptos" w:cs="Arial"/>
          <w:noProof/>
          <w:sz w:val="22"/>
          <w:lang w:val="en-US"/>
        </w:rPr>
        <w:t xml:space="preserve">(Supplement 1), S18-S26. </w:t>
      </w:r>
    </w:p>
    <w:p w14:paraId="253C1892" w14:textId="77777777" w:rsidR="00F955D0" w:rsidRPr="00F955D0" w:rsidRDefault="00F955D0" w:rsidP="00F955D0">
      <w:pPr>
        <w:spacing w:before="0" w:after="0"/>
        <w:ind w:left="720" w:hanging="720"/>
        <w:rPr>
          <w:rFonts w:eastAsia="Aptos" w:cs="Arial"/>
          <w:noProof/>
          <w:sz w:val="22"/>
          <w:lang w:val="en-US"/>
        </w:rPr>
      </w:pPr>
      <w:r w:rsidRPr="00F955D0">
        <w:rPr>
          <w:rFonts w:eastAsia="Aptos" w:cs="Arial"/>
          <w:noProof/>
          <w:sz w:val="22"/>
          <w:lang w:val="en-US"/>
        </w:rPr>
        <w:tab/>
      </w:r>
    </w:p>
    <w:p w14:paraId="0D874FD1" w14:textId="745528EB" w:rsidR="00F955D0" w:rsidRDefault="00F955D0" w:rsidP="00F955D0">
      <w:pPr>
        <w:spacing w:before="0" w:after="160"/>
        <w:ind w:left="720" w:hanging="720"/>
        <w:rPr>
          <w:rFonts w:eastAsia="Aptos" w:cs="Arial"/>
          <w:noProof/>
          <w:sz w:val="22"/>
          <w:lang w:val="en-US"/>
        </w:rPr>
      </w:pPr>
      <w:r w:rsidRPr="00F955D0">
        <w:rPr>
          <w:rFonts w:eastAsia="Aptos" w:cs="Arial"/>
          <w:noProof/>
          <w:sz w:val="22"/>
          <w:lang w:val="en-US"/>
        </w:rPr>
        <w:t xml:space="preserve">Emerson, L., Fox, S., &amp; Smith, C. (2015). </w:t>
      </w:r>
      <w:r w:rsidRPr="00F955D0">
        <w:rPr>
          <w:rFonts w:eastAsia="Aptos" w:cs="Arial"/>
          <w:i/>
          <w:noProof/>
          <w:sz w:val="22"/>
          <w:lang w:val="en-US"/>
        </w:rPr>
        <w:t>Good Beginnings: Getting it right in the early years. Review of the evidence on the importance of a healthy start to life and on interventions to promote good beginnings.</w:t>
      </w:r>
      <w:r w:rsidRPr="00F955D0">
        <w:rPr>
          <w:rFonts w:eastAsia="Aptos" w:cs="Arial"/>
          <w:noProof/>
          <w:sz w:val="22"/>
          <w:lang w:val="en-US"/>
        </w:rPr>
        <w:t xml:space="preserve"> Lowitja Institute. Retrieved 6 September, 2024 from </w:t>
      </w:r>
      <w:hyperlink r:id="rId231" w:history="1">
        <w:r w:rsidR="009030BA" w:rsidRPr="00326476">
          <w:rPr>
            <w:rStyle w:val="Hyperlink"/>
            <w:rFonts w:eastAsia="Aptos" w:cs="Arial"/>
            <w:noProof/>
            <w:sz w:val="22"/>
            <w:lang w:val="en-US"/>
          </w:rPr>
          <w:t>https://www.lowitja.org.au/wp-content/uploads/2023/05/Early-Childhood-web.pdf</w:t>
        </w:r>
      </w:hyperlink>
    </w:p>
    <w:p w14:paraId="4C93419E" w14:textId="77777777" w:rsidR="009030BA" w:rsidRPr="00F955D0" w:rsidRDefault="009030BA" w:rsidP="00F955D0">
      <w:pPr>
        <w:spacing w:before="0" w:after="160"/>
        <w:ind w:left="720" w:hanging="720"/>
        <w:rPr>
          <w:rFonts w:eastAsia="Aptos" w:cs="Arial"/>
          <w:noProof/>
          <w:sz w:val="22"/>
          <w:lang w:val="en-US"/>
        </w:rPr>
      </w:pPr>
    </w:p>
    <w:p w14:paraId="51984043" w14:textId="6596ACB0" w:rsidR="001C0541" w:rsidRPr="001C0541" w:rsidRDefault="001C0541" w:rsidP="001C0541">
      <w:pPr>
        <w:spacing w:before="0" w:after="160"/>
        <w:ind w:left="720" w:hanging="720"/>
        <w:rPr>
          <w:rFonts w:eastAsia="Aptos" w:cs="Arial"/>
          <w:noProof/>
          <w:sz w:val="22"/>
          <w:lang w:val="en-US"/>
        </w:rPr>
      </w:pPr>
      <w:r w:rsidRPr="001C0541">
        <w:rPr>
          <w:rFonts w:eastAsia="Aptos" w:cs="Arial"/>
          <w:noProof/>
          <w:sz w:val="22"/>
          <w:lang w:val="en-US"/>
        </w:rPr>
        <w:t xml:space="preserve">Engelstad, A.-M., Holingue, C., &amp; Landa, R. J. (2020). Early Achievements for Education Settings: An Embedded Teacher-Implemented Social Communication Intervention for Preschoolers With Autism Spectrum Disorder. </w:t>
      </w:r>
      <w:r w:rsidRPr="001C0541">
        <w:rPr>
          <w:rFonts w:eastAsia="Aptos" w:cs="Arial"/>
          <w:i/>
          <w:noProof/>
          <w:sz w:val="22"/>
          <w:lang w:val="en-US"/>
        </w:rPr>
        <w:t>Perspectives of the ASHA Special Interest Groups</w:t>
      </w:r>
      <w:r w:rsidRPr="001C0541">
        <w:rPr>
          <w:rFonts w:eastAsia="Aptos" w:cs="Arial"/>
          <w:noProof/>
          <w:sz w:val="22"/>
          <w:lang w:val="en-US"/>
        </w:rPr>
        <w:t>,</w:t>
      </w:r>
      <w:r w:rsidRPr="001C0541">
        <w:rPr>
          <w:rFonts w:eastAsia="Aptos" w:cs="Arial"/>
          <w:i/>
          <w:noProof/>
          <w:sz w:val="22"/>
          <w:lang w:val="en-US"/>
        </w:rPr>
        <w:t xml:space="preserve"> 5</w:t>
      </w:r>
      <w:r w:rsidRPr="001C0541">
        <w:rPr>
          <w:rFonts w:eastAsia="Aptos" w:cs="Arial"/>
          <w:noProof/>
          <w:sz w:val="22"/>
          <w:lang w:val="en-US"/>
        </w:rPr>
        <w:t xml:space="preserve">(3), 582-601. </w:t>
      </w:r>
      <w:hyperlink r:id="rId232" w:history="1">
        <w:r w:rsidR="0054349C" w:rsidRPr="00326476">
          <w:rPr>
            <w:rStyle w:val="Hyperlink"/>
            <w:rFonts w:eastAsia="Aptos" w:cs="Arial"/>
            <w:noProof/>
            <w:sz w:val="22"/>
            <w:lang w:val="en-US"/>
          </w:rPr>
          <w:t>https://doi.org/10.1044/2020_PERSP-19-00155</w:t>
        </w:r>
      </w:hyperlink>
      <w:r w:rsidR="0054349C">
        <w:rPr>
          <w:rFonts w:eastAsia="Aptos" w:cs="Arial"/>
          <w:noProof/>
          <w:sz w:val="22"/>
          <w:lang w:val="en-US"/>
        </w:rPr>
        <w:t xml:space="preserve"> </w:t>
      </w:r>
      <w:r w:rsidRPr="001C0541">
        <w:rPr>
          <w:rFonts w:eastAsia="Aptos" w:cs="Arial"/>
          <w:noProof/>
          <w:sz w:val="22"/>
          <w:lang w:val="en-US"/>
        </w:rPr>
        <w:t xml:space="preserve"> </w:t>
      </w:r>
    </w:p>
    <w:p w14:paraId="58E61A5D" w14:textId="77777777" w:rsidR="001C0541" w:rsidRPr="001C0541" w:rsidRDefault="001C0541" w:rsidP="001C0541">
      <w:pPr>
        <w:spacing w:before="0" w:after="0"/>
        <w:ind w:left="720" w:hanging="720"/>
        <w:rPr>
          <w:rFonts w:eastAsia="Aptos" w:cs="Arial"/>
          <w:noProof/>
          <w:sz w:val="22"/>
          <w:lang w:val="en-US"/>
        </w:rPr>
      </w:pPr>
      <w:r w:rsidRPr="001C0541">
        <w:rPr>
          <w:rFonts w:eastAsia="Aptos" w:cs="Arial"/>
          <w:noProof/>
          <w:sz w:val="22"/>
          <w:lang w:val="en-US"/>
        </w:rPr>
        <w:tab/>
      </w:r>
    </w:p>
    <w:p w14:paraId="58621035" w14:textId="77777777" w:rsidR="00C46422" w:rsidRPr="00C46422" w:rsidRDefault="00C46422" w:rsidP="00C46422">
      <w:pPr>
        <w:spacing w:before="0" w:after="160"/>
        <w:ind w:left="720" w:hanging="720"/>
        <w:rPr>
          <w:rFonts w:eastAsia="Aptos" w:cs="Arial"/>
          <w:noProof/>
          <w:sz w:val="22"/>
          <w:lang w:val="en-US"/>
        </w:rPr>
      </w:pPr>
      <w:r w:rsidRPr="00C46422">
        <w:rPr>
          <w:rFonts w:eastAsia="Aptos" w:cs="Arial"/>
          <w:noProof/>
          <w:sz w:val="22"/>
          <w:lang w:val="en-US"/>
        </w:rPr>
        <w:t xml:space="preserve">Ensher, G., &amp; Clark, D. (2011). </w:t>
      </w:r>
      <w:r w:rsidRPr="00C46422">
        <w:rPr>
          <w:rFonts w:eastAsia="Aptos" w:cs="Arial"/>
          <w:i/>
          <w:noProof/>
          <w:sz w:val="22"/>
          <w:lang w:val="en-US"/>
        </w:rPr>
        <w:t xml:space="preserve">Relationship-centered practices in early childhood: Working with families, infants, and young children at risk </w:t>
      </w:r>
      <w:r w:rsidRPr="00C46422">
        <w:rPr>
          <w:rFonts w:eastAsia="Aptos" w:cs="Arial"/>
          <w:noProof/>
          <w:sz w:val="22"/>
          <w:lang w:val="en-US"/>
        </w:rPr>
        <w:t xml:space="preserve">Baltimore, MD: Paul H. Brooks Publishing Co. . </w:t>
      </w:r>
    </w:p>
    <w:p w14:paraId="451494B9" w14:textId="77777777" w:rsidR="00C46422" w:rsidRPr="00C46422" w:rsidRDefault="00C46422" w:rsidP="00C46422">
      <w:pPr>
        <w:spacing w:before="0" w:after="0"/>
        <w:ind w:left="720" w:hanging="720"/>
        <w:rPr>
          <w:rFonts w:eastAsia="Aptos" w:cs="Arial"/>
          <w:noProof/>
          <w:sz w:val="22"/>
          <w:lang w:val="en-US"/>
        </w:rPr>
      </w:pPr>
      <w:r w:rsidRPr="00C46422">
        <w:rPr>
          <w:rFonts w:eastAsia="Aptos" w:cs="Arial"/>
          <w:noProof/>
          <w:sz w:val="22"/>
          <w:lang w:val="en-US"/>
        </w:rPr>
        <w:tab/>
      </w:r>
    </w:p>
    <w:p w14:paraId="419A6462" w14:textId="69A9F34F" w:rsidR="00C46422" w:rsidRPr="00C46422" w:rsidRDefault="00C46422" w:rsidP="00C46422">
      <w:pPr>
        <w:spacing w:before="0" w:after="160"/>
        <w:ind w:left="720" w:hanging="720"/>
        <w:rPr>
          <w:rFonts w:eastAsia="Aptos" w:cs="Arial"/>
          <w:noProof/>
          <w:sz w:val="22"/>
          <w:lang w:val="en-US"/>
        </w:rPr>
      </w:pPr>
      <w:r w:rsidRPr="00C46422">
        <w:rPr>
          <w:rFonts w:eastAsia="Aptos" w:cs="Arial"/>
          <w:noProof/>
          <w:sz w:val="22"/>
          <w:lang w:val="en-US"/>
        </w:rPr>
        <w:t xml:space="preserve">Epley, P., Gotto IV, G. S., Summers, J. A., Brotherson, M. J., Turnbull, A. P., &amp; Friend, A. (2010). Supporting families of young children with disabilities: Examining the role of administrative structures. </w:t>
      </w:r>
      <w:r w:rsidRPr="00C46422">
        <w:rPr>
          <w:rFonts w:eastAsia="Aptos" w:cs="Arial"/>
          <w:i/>
          <w:noProof/>
          <w:sz w:val="22"/>
          <w:lang w:val="en-US"/>
        </w:rPr>
        <w:t>Topics in Early Childhood Special Education</w:t>
      </w:r>
      <w:r w:rsidRPr="00C46422">
        <w:rPr>
          <w:rFonts w:eastAsia="Aptos" w:cs="Arial"/>
          <w:noProof/>
          <w:sz w:val="22"/>
          <w:lang w:val="en-US"/>
        </w:rPr>
        <w:t>,</w:t>
      </w:r>
      <w:r w:rsidRPr="00C46422">
        <w:rPr>
          <w:rFonts w:eastAsia="Aptos" w:cs="Arial"/>
          <w:i/>
          <w:noProof/>
          <w:sz w:val="22"/>
          <w:lang w:val="en-US"/>
        </w:rPr>
        <w:t xml:space="preserve"> 30</w:t>
      </w:r>
      <w:r w:rsidRPr="00C46422">
        <w:rPr>
          <w:rFonts w:eastAsia="Aptos" w:cs="Arial"/>
          <w:noProof/>
          <w:sz w:val="22"/>
          <w:lang w:val="en-US"/>
        </w:rPr>
        <w:t xml:space="preserve">(1), 20-31. </w:t>
      </w:r>
      <w:hyperlink r:id="rId233" w:history="1">
        <w:r w:rsidR="0054349C" w:rsidRPr="00C46422">
          <w:rPr>
            <w:rStyle w:val="Hyperlink"/>
            <w:rFonts w:eastAsia="Aptos" w:cs="Arial"/>
            <w:noProof/>
            <w:sz w:val="22"/>
            <w:lang w:val="en-US"/>
          </w:rPr>
          <w:t>https://doi.org/10.1177/0271121410363400</w:t>
        </w:r>
      </w:hyperlink>
      <w:r w:rsidR="0054349C">
        <w:rPr>
          <w:rFonts w:eastAsia="Aptos" w:cs="Arial"/>
          <w:noProof/>
          <w:sz w:val="22"/>
          <w:lang w:val="en-US"/>
        </w:rPr>
        <w:t xml:space="preserve"> </w:t>
      </w:r>
      <w:r w:rsidRPr="00C46422">
        <w:rPr>
          <w:rFonts w:eastAsia="Aptos" w:cs="Arial"/>
          <w:noProof/>
          <w:sz w:val="22"/>
          <w:lang w:val="en-US"/>
        </w:rPr>
        <w:t xml:space="preserve"> </w:t>
      </w:r>
    </w:p>
    <w:p w14:paraId="5B09E203" w14:textId="77777777" w:rsidR="00C46422" w:rsidRPr="00C46422" w:rsidRDefault="00C46422" w:rsidP="00C46422">
      <w:pPr>
        <w:spacing w:before="0" w:after="0"/>
        <w:ind w:left="720" w:hanging="720"/>
        <w:rPr>
          <w:rFonts w:eastAsia="Aptos" w:cs="Arial"/>
          <w:noProof/>
          <w:sz w:val="22"/>
          <w:lang w:val="en-US"/>
        </w:rPr>
      </w:pPr>
      <w:r w:rsidRPr="00C46422">
        <w:rPr>
          <w:rFonts w:eastAsia="Aptos" w:cs="Arial"/>
          <w:noProof/>
          <w:sz w:val="22"/>
          <w:lang w:val="en-US"/>
        </w:rPr>
        <w:tab/>
      </w:r>
    </w:p>
    <w:p w14:paraId="253061D6" w14:textId="674AA7AF" w:rsidR="00C46422" w:rsidRPr="00C46422" w:rsidRDefault="00C46422" w:rsidP="00C46422">
      <w:pPr>
        <w:spacing w:before="0" w:after="160"/>
        <w:ind w:left="720" w:hanging="720"/>
        <w:rPr>
          <w:rFonts w:eastAsia="Aptos" w:cs="Arial"/>
          <w:noProof/>
          <w:sz w:val="22"/>
          <w:lang w:val="en-US"/>
        </w:rPr>
      </w:pPr>
      <w:r w:rsidRPr="00C46422">
        <w:rPr>
          <w:rFonts w:eastAsia="Aptos" w:cs="Arial"/>
          <w:noProof/>
          <w:sz w:val="22"/>
          <w:lang w:val="en-US"/>
        </w:rPr>
        <w:t xml:space="preserve">Epley, P., Summers, J. A., &amp; Turnbull, A. (2010). Characteristics and trends in family-centered conceptualizations. </w:t>
      </w:r>
      <w:r w:rsidRPr="00C46422">
        <w:rPr>
          <w:rFonts w:eastAsia="Aptos" w:cs="Arial"/>
          <w:i/>
          <w:noProof/>
          <w:sz w:val="22"/>
          <w:lang w:val="en-US"/>
        </w:rPr>
        <w:t>Journal of Family Social Work</w:t>
      </w:r>
      <w:r w:rsidRPr="00C46422">
        <w:rPr>
          <w:rFonts w:eastAsia="Aptos" w:cs="Arial"/>
          <w:noProof/>
          <w:sz w:val="22"/>
          <w:lang w:val="en-US"/>
        </w:rPr>
        <w:t xml:space="preserve">(3), 269-285. </w:t>
      </w:r>
      <w:hyperlink r:id="rId234" w:history="1">
        <w:r w:rsidR="0054349C" w:rsidRPr="00C46422">
          <w:rPr>
            <w:rStyle w:val="Hyperlink"/>
            <w:rFonts w:eastAsia="Aptos" w:cs="Arial"/>
            <w:noProof/>
            <w:sz w:val="22"/>
            <w:lang w:val="en-US"/>
          </w:rPr>
          <w:t>https://doi.org/10.1080/10522150903514017</w:t>
        </w:r>
      </w:hyperlink>
      <w:r w:rsidR="0054349C">
        <w:rPr>
          <w:rFonts w:eastAsia="Aptos" w:cs="Arial"/>
          <w:noProof/>
          <w:sz w:val="22"/>
          <w:lang w:val="en-US"/>
        </w:rPr>
        <w:t xml:space="preserve"> </w:t>
      </w:r>
      <w:r w:rsidRPr="00C46422">
        <w:rPr>
          <w:rFonts w:eastAsia="Aptos" w:cs="Arial"/>
          <w:noProof/>
          <w:sz w:val="22"/>
          <w:lang w:val="en-US"/>
        </w:rPr>
        <w:t xml:space="preserve"> </w:t>
      </w:r>
    </w:p>
    <w:p w14:paraId="4C2612ED" w14:textId="77777777" w:rsidR="00C46422" w:rsidRPr="00C46422" w:rsidRDefault="00C46422" w:rsidP="00C46422">
      <w:pPr>
        <w:spacing w:before="0" w:after="0"/>
        <w:ind w:left="720" w:hanging="720"/>
        <w:rPr>
          <w:rFonts w:eastAsia="Aptos" w:cs="Arial"/>
          <w:noProof/>
          <w:sz w:val="22"/>
          <w:lang w:val="en-US"/>
        </w:rPr>
      </w:pPr>
      <w:r w:rsidRPr="00C46422">
        <w:rPr>
          <w:rFonts w:eastAsia="Aptos" w:cs="Arial"/>
          <w:noProof/>
          <w:sz w:val="22"/>
          <w:lang w:val="en-US"/>
        </w:rPr>
        <w:tab/>
      </w:r>
    </w:p>
    <w:p w14:paraId="6BB0F32C" w14:textId="5D1479C3" w:rsidR="00C46422" w:rsidRDefault="00C46422" w:rsidP="00C46422">
      <w:pPr>
        <w:spacing w:before="0" w:after="160"/>
        <w:ind w:left="720" w:hanging="720"/>
        <w:rPr>
          <w:rFonts w:eastAsia="Aptos" w:cs="Arial"/>
          <w:noProof/>
          <w:sz w:val="22"/>
          <w:lang w:val="en-US"/>
        </w:rPr>
      </w:pPr>
      <w:r w:rsidRPr="00C46422">
        <w:rPr>
          <w:rFonts w:eastAsia="Aptos" w:cs="Arial"/>
          <w:noProof/>
          <w:sz w:val="22"/>
          <w:lang w:val="en-US"/>
        </w:rPr>
        <w:t xml:space="preserve">Epley, P. H., Summers, J. A., &amp; Turnbull, A. P. (2010). Family outcomes of early intervention: Families’ perceptions of need, services, and outcomes. </w:t>
      </w:r>
      <w:r w:rsidRPr="00C46422">
        <w:rPr>
          <w:rFonts w:eastAsia="Aptos" w:cs="Arial"/>
          <w:i/>
          <w:noProof/>
          <w:sz w:val="22"/>
          <w:lang w:val="en-US"/>
        </w:rPr>
        <w:t>Journal of Early Intervention</w:t>
      </w:r>
      <w:r w:rsidRPr="00C46422">
        <w:rPr>
          <w:rFonts w:eastAsia="Aptos" w:cs="Arial"/>
          <w:noProof/>
          <w:sz w:val="22"/>
          <w:lang w:val="en-US"/>
        </w:rPr>
        <w:t>,</w:t>
      </w:r>
      <w:r w:rsidRPr="00C46422">
        <w:rPr>
          <w:rFonts w:eastAsia="Aptos" w:cs="Arial"/>
          <w:i/>
          <w:noProof/>
          <w:sz w:val="22"/>
          <w:lang w:val="en-US"/>
        </w:rPr>
        <w:t xml:space="preserve"> 33</w:t>
      </w:r>
      <w:r w:rsidRPr="00C46422">
        <w:rPr>
          <w:rFonts w:eastAsia="Aptos" w:cs="Arial"/>
          <w:noProof/>
          <w:sz w:val="22"/>
          <w:lang w:val="en-US"/>
        </w:rPr>
        <w:t xml:space="preserve">(3), 201-219. </w:t>
      </w:r>
      <w:hyperlink r:id="rId235" w:history="1">
        <w:r w:rsidRPr="00C46422">
          <w:rPr>
            <w:rStyle w:val="Hyperlink"/>
            <w:rFonts w:eastAsia="Aptos" w:cs="Arial"/>
            <w:noProof/>
            <w:sz w:val="22"/>
            <w:lang w:val="en-US"/>
          </w:rPr>
          <w:t>https://doi.org/10.1177/1053815111425929</w:t>
        </w:r>
      </w:hyperlink>
      <w:r w:rsidRPr="00C46422">
        <w:rPr>
          <w:rFonts w:eastAsia="Aptos" w:cs="Arial"/>
          <w:noProof/>
          <w:sz w:val="22"/>
          <w:lang w:val="en-US"/>
        </w:rPr>
        <w:t xml:space="preserve"> </w:t>
      </w:r>
    </w:p>
    <w:p w14:paraId="7C38AD77" w14:textId="77777777" w:rsidR="00C46422" w:rsidRPr="00C46422" w:rsidRDefault="00C46422" w:rsidP="00C46422">
      <w:pPr>
        <w:spacing w:before="0" w:after="160"/>
        <w:ind w:left="720" w:hanging="720"/>
        <w:rPr>
          <w:rFonts w:eastAsia="Aptos" w:cs="Arial"/>
          <w:noProof/>
          <w:sz w:val="22"/>
          <w:lang w:val="en-US"/>
        </w:rPr>
      </w:pPr>
    </w:p>
    <w:p w14:paraId="239C8B23" w14:textId="58E0A44D" w:rsidR="003172D7" w:rsidRDefault="003172D7" w:rsidP="003172D7">
      <w:pPr>
        <w:spacing w:before="0" w:after="160"/>
        <w:ind w:left="720" w:hanging="720"/>
        <w:rPr>
          <w:rFonts w:eastAsia="Aptos" w:cs="Arial"/>
          <w:noProof/>
          <w:sz w:val="22"/>
          <w:lang w:val="en-US"/>
        </w:rPr>
      </w:pPr>
      <w:r w:rsidRPr="003172D7">
        <w:rPr>
          <w:rFonts w:eastAsia="Aptos" w:cs="Arial"/>
          <w:noProof/>
          <w:sz w:val="22"/>
          <w:lang w:val="en-US"/>
        </w:rPr>
        <w:t xml:space="preserve">Erwin, E. J., Maude, S. P., Palmer, S. B., Summers, J. A., Brotherson, M. J., Haines, S. J., Stroup-Rentier, V., Zheng, Y., &amp; Peck, N. F. (2016). Fostering the foundations of self-determination in early childhood: A process for enhancing child outcomes across home and school. </w:t>
      </w:r>
      <w:r w:rsidRPr="003172D7">
        <w:rPr>
          <w:rFonts w:eastAsia="Aptos" w:cs="Arial"/>
          <w:i/>
          <w:noProof/>
          <w:sz w:val="22"/>
          <w:lang w:val="en-US"/>
        </w:rPr>
        <w:t>Early Childhood Education Journal</w:t>
      </w:r>
      <w:r w:rsidRPr="003172D7">
        <w:rPr>
          <w:rFonts w:eastAsia="Aptos" w:cs="Arial"/>
          <w:noProof/>
          <w:sz w:val="22"/>
          <w:lang w:val="en-US"/>
        </w:rPr>
        <w:t>,</w:t>
      </w:r>
      <w:r w:rsidRPr="003172D7">
        <w:rPr>
          <w:rFonts w:eastAsia="Aptos" w:cs="Arial"/>
          <w:i/>
          <w:noProof/>
          <w:sz w:val="22"/>
          <w:lang w:val="en-US"/>
        </w:rPr>
        <w:t xml:space="preserve"> 44</w:t>
      </w:r>
      <w:r w:rsidRPr="003172D7">
        <w:rPr>
          <w:rFonts w:eastAsia="Aptos" w:cs="Arial"/>
          <w:noProof/>
          <w:sz w:val="22"/>
          <w:lang w:val="en-US"/>
        </w:rPr>
        <w:t xml:space="preserve">, 325-333. </w:t>
      </w:r>
      <w:hyperlink r:id="rId236" w:history="1">
        <w:r w:rsidR="0013462F" w:rsidRPr="00326476">
          <w:rPr>
            <w:rStyle w:val="Hyperlink"/>
            <w:rFonts w:eastAsia="Aptos" w:cs="Arial"/>
            <w:noProof/>
            <w:sz w:val="22"/>
            <w:lang w:val="en-US"/>
          </w:rPr>
          <w:t>https://doi.org/10.1007/s10643-015-0710-9</w:t>
        </w:r>
      </w:hyperlink>
      <w:r w:rsidRPr="003172D7">
        <w:rPr>
          <w:rFonts w:eastAsia="Aptos" w:cs="Arial"/>
          <w:noProof/>
          <w:sz w:val="22"/>
          <w:lang w:val="en-US"/>
        </w:rPr>
        <w:t xml:space="preserve"> </w:t>
      </w:r>
    </w:p>
    <w:p w14:paraId="4A8C4671" w14:textId="77777777" w:rsidR="0013462F" w:rsidRPr="003172D7" w:rsidRDefault="0013462F" w:rsidP="003172D7">
      <w:pPr>
        <w:spacing w:before="0" w:after="160"/>
        <w:ind w:left="720" w:hanging="720"/>
        <w:rPr>
          <w:rFonts w:eastAsia="Aptos" w:cs="Arial"/>
          <w:noProof/>
          <w:sz w:val="22"/>
          <w:lang w:val="en-US"/>
        </w:rPr>
      </w:pPr>
    </w:p>
    <w:p w14:paraId="1980EFC6" w14:textId="16AA803F" w:rsidR="00FE043E" w:rsidRPr="00FE043E" w:rsidRDefault="00FE043E" w:rsidP="00FE043E">
      <w:pPr>
        <w:spacing w:before="0" w:after="160"/>
        <w:ind w:left="720" w:hanging="720"/>
        <w:rPr>
          <w:rFonts w:eastAsia="Aptos" w:cs="Arial"/>
          <w:noProof/>
          <w:sz w:val="22"/>
          <w:lang w:val="en-US"/>
        </w:rPr>
      </w:pPr>
      <w:r w:rsidRPr="00FE043E">
        <w:rPr>
          <w:rFonts w:eastAsia="Aptos" w:cs="Arial"/>
          <w:noProof/>
          <w:sz w:val="22"/>
          <w:lang w:val="en-US"/>
        </w:rPr>
        <w:t xml:space="preserve">Espe-Sherwindt, M., &amp; Serrano, A. M. (2020). “I felt alone”: The importance of social support for early intervention. </w:t>
      </w:r>
      <w:r w:rsidRPr="00FE043E">
        <w:rPr>
          <w:rFonts w:eastAsia="Aptos" w:cs="Arial"/>
          <w:i/>
          <w:noProof/>
          <w:sz w:val="22"/>
          <w:lang w:val="en-US"/>
        </w:rPr>
        <w:t>Education</w:t>
      </w:r>
      <w:r w:rsidRPr="00FE043E">
        <w:rPr>
          <w:rFonts w:eastAsia="Aptos" w:cs="Arial"/>
          <w:noProof/>
          <w:sz w:val="22"/>
          <w:lang w:val="en-US"/>
        </w:rPr>
        <w:t>,</w:t>
      </w:r>
      <w:r w:rsidRPr="00FE043E">
        <w:rPr>
          <w:rFonts w:eastAsia="Aptos" w:cs="Arial"/>
          <w:i/>
          <w:noProof/>
          <w:sz w:val="22"/>
          <w:lang w:val="en-US"/>
        </w:rPr>
        <w:t xml:space="preserve"> 43</w:t>
      </w:r>
      <w:r w:rsidRPr="00FE043E">
        <w:rPr>
          <w:rFonts w:eastAsia="Aptos" w:cs="Arial"/>
          <w:noProof/>
          <w:sz w:val="22"/>
          <w:lang w:val="en-US"/>
        </w:rPr>
        <w:t xml:space="preserve">(1). </w:t>
      </w:r>
      <w:hyperlink r:id="rId237" w:history="1">
        <w:r w:rsidR="0054349C" w:rsidRPr="00326476">
          <w:rPr>
            <w:rStyle w:val="Hyperlink"/>
            <w:rFonts w:eastAsia="Aptos" w:cs="Arial"/>
            <w:noProof/>
            <w:sz w:val="22"/>
            <w:lang w:val="en-US"/>
          </w:rPr>
          <w:t>https://doi.org/10.15448/1981-2582.2020.1.35476</w:t>
        </w:r>
      </w:hyperlink>
      <w:r w:rsidR="0054349C">
        <w:rPr>
          <w:rFonts w:eastAsia="Aptos" w:cs="Arial"/>
          <w:noProof/>
          <w:sz w:val="22"/>
          <w:lang w:val="en-US"/>
        </w:rPr>
        <w:t xml:space="preserve"> </w:t>
      </w:r>
      <w:r w:rsidRPr="00FE043E">
        <w:rPr>
          <w:rFonts w:eastAsia="Aptos" w:cs="Arial"/>
          <w:noProof/>
          <w:sz w:val="22"/>
          <w:lang w:val="en-US"/>
        </w:rPr>
        <w:t xml:space="preserve"> </w:t>
      </w:r>
    </w:p>
    <w:p w14:paraId="027B2FB6" w14:textId="77777777" w:rsidR="00FE043E" w:rsidRPr="00FE043E" w:rsidRDefault="00FE043E" w:rsidP="00FE043E">
      <w:pPr>
        <w:spacing w:before="0" w:after="0"/>
        <w:ind w:left="720" w:hanging="720"/>
        <w:rPr>
          <w:rFonts w:eastAsia="Aptos" w:cs="Arial"/>
          <w:noProof/>
          <w:sz w:val="22"/>
          <w:lang w:val="en-US"/>
        </w:rPr>
      </w:pPr>
      <w:r w:rsidRPr="00FE043E">
        <w:rPr>
          <w:rFonts w:eastAsia="Aptos" w:cs="Arial"/>
          <w:noProof/>
          <w:sz w:val="22"/>
          <w:lang w:val="en-US"/>
        </w:rPr>
        <w:tab/>
      </w:r>
    </w:p>
    <w:p w14:paraId="4AE2161C" w14:textId="02061BF2" w:rsidR="00FE043E" w:rsidRPr="00FE043E" w:rsidRDefault="00FE043E" w:rsidP="00FE043E">
      <w:pPr>
        <w:spacing w:before="0" w:after="160"/>
        <w:ind w:left="720" w:hanging="720"/>
        <w:rPr>
          <w:rFonts w:eastAsia="Aptos" w:cs="Arial"/>
          <w:noProof/>
          <w:sz w:val="22"/>
          <w:lang w:val="en-US"/>
        </w:rPr>
      </w:pPr>
      <w:r w:rsidRPr="00FE043E">
        <w:rPr>
          <w:rFonts w:eastAsia="Aptos" w:cs="Arial"/>
          <w:noProof/>
          <w:sz w:val="22"/>
          <w:lang w:val="en-US"/>
        </w:rPr>
        <w:t>Espe</w:t>
      </w:r>
      <w:r w:rsidRPr="00FE043E">
        <w:rPr>
          <w:rFonts w:ascii="Cambria Math" w:eastAsia="Aptos" w:hAnsi="Cambria Math" w:cs="Cambria Math"/>
          <w:noProof/>
          <w:sz w:val="22"/>
          <w:lang w:val="en-US"/>
        </w:rPr>
        <w:t>‐</w:t>
      </w:r>
      <w:r w:rsidRPr="00FE043E">
        <w:rPr>
          <w:rFonts w:eastAsia="Aptos" w:cs="Arial"/>
          <w:noProof/>
          <w:sz w:val="22"/>
          <w:lang w:val="en-US"/>
        </w:rPr>
        <w:t>Sherwindt, M. (2008). Family</w:t>
      </w:r>
      <w:r w:rsidRPr="00FE043E">
        <w:rPr>
          <w:rFonts w:ascii="Cambria Math" w:eastAsia="Aptos" w:hAnsi="Cambria Math" w:cs="Cambria Math"/>
          <w:noProof/>
          <w:sz w:val="22"/>
          <w:lang w:val="en-US"/>
        </w:rPr>
        <w:t>‐</w:t>
      </w:r>
      <w:r w:rsidRPr="00FE043E">
        <w:rPr>
          <w:rFonts w:eastAsia="Aptos" w:cs="Arial"/>
          <w:noProof/>
          <w:sz w:val="22"/>
          <w:lang w:val="en-US"/>
        </w:rPr>
        <w:t xml:space="preserve">centred practice: Collaboration, competency and evidence. </w:t>
      </w:r>
      <w:r w:rsidRPr="00FE043E">
        <w:rPr>
          <w:rFonts w:eastAsia="Aptos" w:cs="Arial"/>
          <w:i/>
          <w:noProof/>
          <w:sz w:val="22"/>
          <w:lang w:val="en-US"/>
        </w:rPr>
        <w:t>Support for learning</w:t>
      </w:r>
      <w:r w:rsidRPr="00FE043E">
        <w:rPr>
          <w:rFonts w:eastAsia="Aptos" w:cs="Arial"/>
          <w:noProof/>
          <w:sz w:val="22"/>
          <w:lang w:val="en-US"/>
        </w:rPr>
        <w:t>,</w:t>
      </w:r>
      <w:r w:rsidRPr="00FE043E">
        <w:rPr>
          <w:rFonts w:eastAsia="Aptos" w:cs="Arial"/>
          <w:i/>
          <w:noProof/>
          <w:sz w:val="22"/>
          <w:lang w:val="en-US"/>
        </w:rPr>
        <w:t xml:space="preserve"> 23</w:t>
      </w:r>
      <w:r w:rsidRPr="00FE043E">
        <w:rPr>
          <w:rFonts w:eastAsia="Aptos" w:cs="Arial"/>
          <w:noProof/>
          <w:sz w:val="22"/>
          <w:lang w:val="en-US"/>
        </w:rPr>
        <w:t xml:space="preserve">(3), 136-143. </w:t>
      </w:r>
      <w:hyperlink r:id="rId238" w:history="1">
        <w:r w:rsidR="0054349C" w:rsidRPr="00326476">
          <w:rPr>
            <w:rStyle w:val="Hyperlink"/>
            <w:rFonts w:eastAsia="Aptos" w:cs="Arial"/>
            <w:noProof/>
            <w:sz w:val="22"/>
            <w:lang w:val="en-US"/>
          </w:rPr>
          <w:t>https://doi.org/10.1111/j.1467-9604.2008.00384.x</w:t>
        </w:r>
      </w:hyperlink>
      <w:r w:rsidR="0054349C">
        <w:rPr>
          <w:rFonts w:eastAsia="Aptos" w:cs="Arial"/>
          <w:noProof/>
          <w:sz w:val="22"/>
          <w:lang w:val="en-US"/>
        </w:rPr>
        <w:t xml:space="preserve"> </w:t>
      </w:r>
      <w:r w:rsidRPr="00FE043E">
        <w:rPr>
          <w:rFonts w:eastAsia="Aptos" w:cs="Arial"/>
          <w:noProof/>
          <w:sz w:val="22"/>
          <w:lang w:val="en-US"/>
        </w:rPr>
        <w:t xml:space="preserve"> </w:t>
      </w:r>
      <w:r w:rsidR="0054349C">
        <w:rPr>
          <w:rFonts w:eastAsia="Aptos" w:cs="Arial"/>
          <w:noProof/>
          <w:sz w:val="22"/>
          <w:lang w:val="en-US"/>
        </w:rPr>
        <w:t xml:space="preserve"> </w:t>
      </w:r>
    </w:p>
    <w:p w14:paraId="5E770478" w14:textId="77777777" w:rsidR="00FE043E" w:rsidRPr="00FE043E" w:rsidRDefault="00FE043E" w:rsidP="00FE043E">
      <w:pPr>
        <w:spacing w:before="0" w:after="0"/>
        <w:ind w:left="720" w:hanging="720"/>
        <w:rPr>
          <w:rFonts w:eastAsia="Aptos" w:cs="Arial"/>
          <w:noProof/>
          <w:sz w:val="22"/>
          <w:lang w:val="en-US"/>
        </w:rPr>
      </w:pPr>
      <w:r w:rsidRPr="00FE043E">
        <w:rPr>
          <w:rFonts w:eastAsia="Aptos" w:cs="Arial"/>
          <w:noProof/>
          <w:sz w:val="22"/>
          <w:lang w:val="en-US"/>
        </w:rPr>
        <w:tab/>
      </w:r>
    </w:p>
    <w:p w14:paraId="16F34756" w14:textId="77777777" w:rsidR="00FE043E" w:rsidRDefault="00FE043E" w:rsidP="00FE043E">
      <w:pPr>
        <w:spacing w:before="0" w:after="160"/>
        <w:ind w:left="720" w:hanging="720"/>
        <w:rPr>
          <w:rFonts w:eastAsia="Aptos" w:cs="Arial"/>
          <w:noProof/>
          <w:sz w:val="22"/>
          <w:lang w:val="en-US"/>
        </w:rPr>
      </w:pPr>
      <w:r w:rsidRPr="00FE043E">
        <w:rPr>
          <w:rFonts w:eastAsia="Aptos" w:cs="Arial"/>
          <w:noProof/>
          <w:sz w:val="22"/>
          <w:lang w:val="en-US"/>
        </w:rPr>
        <w:t xml:space="preserve">Este, D. (2013). Culturally sensitive family-centred practice. In B. Trute &amp; D. Hiebert-Murphy (Eds.), </w:t>
      </w:r>
      <w:r w:rsidRPr="00FE043E">
        <w:rPr>
          <w:rFonts w:eastAsia="Aptos" w:cs="Arial"/>
          <w:i/>
          <w:noProof/>
          <w:sz w:val="22"/>
          <w:lang w:val="en-US"/>
        </w:rPr>
        <w:t>Partnering with parents: Family-centred practice in children's services.</w:t>
      </w:r>
      <w:r w:rsidRPr="00FE043E">
        <w:rPr>
          <w:rFonts w:eastAsia="Aptos" w:cs="Arial"/>
          <w:noProof/>
          <w:sz w:val="22"/>
          <w:lang w:val="en-US"/>
        </w:rPr>
        <w:t xml:space="preserve"> Toronto, Canada: University of Toronto Press. </w:t>
      </w:r>
    </w:p>
    <w:p w14:paraId="3F82A689" w14:textId="77777777" w:rsidR="0013462F" w:rsidRPr="00FE043E" w:rsidRDefault="0013462F" w:rsidP="00FE043E">
      <w:pPr>
        <w:spacing w:before="0" w:after="160"/>
        <w:ind w:left="720" w:hanging="720"/>
        <w:rPr>
          <w:rFonts w:eastAsia="Aptos" w:cs="Arial"/>
          <w:noProof/>
          <w:sz w:val="22"/>
          <w:lang w:val="en-US"/>
        </w:rPr>
      </w:pPr>
    </w:p>
    <w:p w14:paraId="71658E82" w14:textId="34E11CFB" w:rsidR="00C009DD" w:rsidRPr="00C009DD" w:rsidRDefault="00C009DD" w:rsidP="00C009DD">
      <w:pPr>
        <w:spacing w:before="0" w:after="160"/>
        <w:ind w:left="720" w:hanging="720"/>
        <w:rPr>
          <w:rFonts w:eastAsia="Aptos" w:cs="Arial"/>
          <w:noProof/>
          <w:sz w:val="22"/>
          <w:lang w:val="en-US"/>
        </w:rPr>
      </w:pPr>
      <w:r w:rsidRPr="00C009DD">
        <w:rPr>
          <w:rFonts w:eastAsia="Aptos" w:cs="Arial"/>
          <w:noProof/>
          <w:sz w:val="22"/>
          <w:lang w:val="en-US"/>
        </w:rPr>
        <w:t xml:space="preserve">European Agency for Development in Special Needs Education. (2011). </w:t>
      </w:r>
      <w:r w:rsidRPr="00C009DD">
        <w:rPr>
          <w:rFonts w:eastAsia="Aptos" w:cs="Arial"/>
          <w:i/>
          <w:noProof/>
          <w:sz w:val="22"/>
          <w:lang w:val="en-US"/>
        </w:rPr>
        <w:t>Early childhood intervention (ECI) key policy messages</w:t>
      </w:r>
      <w:r w:rsidRPr="00C009DD">
        <w:rPr>
          <w:rFonts w:eastAsia="Aptos" w:cs="Arial"/>
          <w:noProof/>
          <w:sz w:val="22"/>
          <w:lang w:val="en-US"/>
        </w:rPr>
        <w:t xml:space="preserve">.  Retrieved September 6, 2024,  </w:t>
      </w:r>
      <w:hyperlink r:id="rId239" w:history="1">
        <w:r w:rsidR="0054349C" w:rsidRPr="00326476">
          <w:rPr>
            <w:rStyle w:val="Hyperlink"/>
            <w:rFonts w:eastAsia="Aptos" w:cs="Arial"/>
            <w:noProof/>
            <w:sz w:val="22"/>
            <w:lang w:val="en-US"/>
          </w:rPr>
          <w:t>https://www.european-agency.org/sites/default/files/eci-key-policy-messages_en.pdf</w:t>
        </w:r>
      </w:hyperlink>
      <w:r w:rsidR="0054349C">
        <w:rPr>
          <w:rFonts w:eastAsia="Aptos" w:cs="Arial"/>
          <w:noProof/>
          <w:sz w:val="22"/>
          <w:lang w:val="en-US"/>
        </w:rPr>
        <w:t xml:space="preserve"> </w:t>
      </w:r>
    </w:p>
    <w:p w14:paraId="601910C1" w14:textId="77777777" w:rsidR="00C009DD" w:rsidRPr="00C009DD" w:rsidRDefault="00C009DD" w:rsidP="00C009DD">
      <w:pPr>
        <w:spacing w:before="0" w:after="0"/>
        <w:ind w:left="720" w:hanging="720"/>
        <w:rPr>
          <w:rFonts w:eastAsia="Aptos" w:cs="Arial"/>
          <w:noProof/>
          <w:sz w:val="22"/>
          <w:lang w:val="en-US"/>
        </w:rPr>
      </w:pPr>
      <w:r w:rsidRPr="00C009DD">
        <w:rPr>
          <w:rFonts w:eastAsia="Aptos" w:cs="Arial"/>
          <w:noProof/>
          <w:sz w:val="22"/>
          <w:lang w:val="en-US"/>
        </w:rPr>
        <w:tab/>
      </w:r>
    </w:p>
    <w:p w14:paraId="3CA4B2E0" w14:textId="1CFBA231" w:rsidR="00C009DD" w:rsidRPr="00C009DD" w:rsidRDefault="00C009DD" w:rsidP="00C009DD">
      <w:pPr>
        <w:spacing w:before="0" w:after="160"/>
        <w:ind w:left="720" w:hanging="720"/>
        <w:rPr>
          <w:rFonts w:eastAsia="Aptos" w:cs="Arial"/>
          <w:noProof/>
          <w:sz w:val="22"/>
          <w:lang w:val="en-US"/>
        </w:rPr>
      </w:pPr>
      <w:r w:rsidRPr="00C009DD">
        <w:rPr>
          <w:rFonts w:eastAsia="Aptos" w:cs="Arial"/>
          <w:noProof/>
          <w:sz w:val="22"/>
          <w:lang w:val="en-US"/>
        </w:rPr>
        <w:t xml:space="preserve">European Agency for Special Needs and Inclusive Education. (2017a). </w:t>
      </w:r>
      <w:r w:rsidRPr="00C009DD">
        <w:rPr>
          <w:rFonts w:eastAsia="Aptos" w:cs="Arial"/>
          <w:i/>
          <w:noProof/>
          <w:sz w:val="22"/>
          <w:lang w:val="en-US"/>
        </w:rPr>
        <w:t>Inclusive Early Childhood Education Environment Self-Reflection Tool</w:t>
      </w:r>
      <w:r w:rsidRPr="00C009DD">
        <w:rPr>
          <w:rFonts w:eastAsia="Aptos" w:cs="Arial"/>
          <w:noProof/>
          <w:sz w:val="22"/>
          <w:lang w:val="en-US"/>
        </w:rPr>
        <w:t xml:space="preserve">. Odense, Denmark: European Agency for Special Needs and Inclusive Education. Retrieved 6 September, 2024 from </w:t>
      </w:r>
      <w:hyperlink r:id="rId240" w:history="1">
        <w:r w:rsidR="0054349C" w:rsidRPr="00326476">
          <w:rPr>
            <w:rStyle w:val="Hyperlink"/>
            <w:rFonts w:eastAsia="Aptos" w:cs="Arial"/>
            <w:noProof/>
            <w:sz w:val="22"/>
            <w:lang w:val="en-US"/>
          </w:rPr>
          <w:t>https://www.european-agency.org/resources/publications/inclusive-early-childhood-education-environment-self-reflection-tool</w:t>
        </w:r>
      </w:hyperlink>
      <w:r w:rsidR="0054349C">
        <w:rPr>
          <w:rFonts w:eastAsia="Aptos" w:cs="Arial"/>
          <w:noProof/>
          <w:sz w:val="22"/>
          <w:lang w:val="en-US"/>
        </w:rPr>
        <w:t xml:space="preserve"> </w:t>
      </w:r>
    </w:p>
    <w:p w14:paraId="156F1165" w14:textId="77777777" w:rsidR="00C009DD" w:rsidRPr="00C009DD" w:rsidRDefault="00C009DD" w:rsidP="00C009DD">
      <w:pPr>
        <w:spacing w:before="0" w:after="0"/>
        <w:ind w:left="720" w:hanging="720"/>
        <w:rPr>
          <w:rFonts w:eastAsia="Aptos" w:cs="Arial"/>
          <w:noProof/>
          <w:sz w:val="22"/>
          <w:lang w:val="en-US"/>
        </w:rPr>
      </w:pPr>
      <w:r w:rsidRPr="00C009DD">
        <w:rPr>
          <w:rFonts w:eastAsia="Aptos" w:cs="Arial"/>
          <w:noProof/>
          <w:sz w:val="22"/>
          <w:lang w:val="en-US"/>
        </w:rPr>
        <w:tab/>
      </w:r>
    </w:p>
    <w:p w14:paraId="60FB173F" w14:textId="433B00D0" w:rsidR="00C009DD" w:rsidRPr="00C009DD" w:rsidRDefault="00C009DD" w:rsidP="00C009DD">
      <w:pPr>
        <w:spacing w:before="0" w:after="160"/>
        <w:ind w:left="720" w:hanging="720"/>
        <w:rPr>
          <w:rFonts w:eastAsia="Aptos" w:cs="Arial"/>
          <w:noProof/>
          <w:sz w:val="22"/>
          <w:lang w:val="en-US"/>
        </w:rPr>
      </w:pPr>
      <w:r w:rsidRPr="00C009DD">
        <w:rPr>
          <w:rFonts w:eastAsia="Aptos" w:cs="Arial"/>
          <w:noProof/>
          <w:sz w:val="22"/>
          <w:lang w:val="en-US"/>
        </w:rPr>
        <w:t xml:space="preserve">European Agency for Special Needs and Inclusive Education. (2017b). </w:t>
      </w:r>
      <w:r w:rsidRPr="00C009DD">
        <w:rPr>
          <w:rFonts w:eastAsia="Aptos" w:cs="Arial"/>
          <w:i/>
          <w:noProof/>
          <w:sz w:val="22"/>
          <w:lang w:val="en-US"/>
        </w:rPr>
        <w:t>Inclusive early childhood education. New insights and tools. Final summary report</w:t>
      </w:r>
      <w:r w:rsidRPr="00C009DD">
        <w:rPr>
          <w:rFonts w:eastAsia="Aptos" w:cs="Arial"/>
          <w:noProof/>
          <w:sz w:val="22"/>
          <w:lang w:val="en-US"/>
        </w:rPr>
        <w:t xml:space="preserve">. Odense, Denmark.: European Agency for Special Needs and Inclusive Education. Retrieved 6 September, 2024 from </w:t>
      </w:r>
      <w:hyperlink r:id="rId241" w:history="1">
        <w:r w:rsidR="0054349C" w:rsidRPr="00326476">
          <w:rPr>
            <w:rStyle w:val="Hyperlink"/>
            <w:rFonts w:eastAsia="Aptos" w:cs="Arial"/>
            <w:noProof/>
            <w:sz w:val="22"/>
            <w:lang w:val="en-US"/>
          </w:rPr>
          <w:t>https://www.european-agency.org/resources/publications/inclusive-early-childhood-education-new-insights-and-tools-final-summary</w:t>
        </w:r>
      </w:hyperlink>
      <w:r w:rsidR="0054349C">
        <w:rPr>
          <w:rFonts w:eastAsia="Aptos" w:cs="Arial"/>
          <w:noProof/>
          <w:sz w:val="22"/>
          <w:lang w:val="en-US"/>
        </w:rPr>
        <w:t xml:space="preserve"> </w:t>
      </w:r>
    </w:p>
    <w:p w14:paraId="1BB7B7A3" w14:textId="77777777" w:rsidR="00C009DD" w:rsidRPr="00C009DD" w:rsidRDefault="00C009DD" w:rsidP="00C009DD">
      <w:pPr>
        <w:spacing w:before="0" w:after="0"/>
        <w:ind w:left="720" w:hanging="720"/>
        <w:rPr>
          <w:rFonts w:eastAsia="Aptos" w:cs="Arial"/>
          <w:noProof/>
          <w:sz w:val="22"/>
          <w:lang w:val="en-US"/>
        </w:rPr>
      </w:pPr>
      <w:r w:rsidRPr="00C009DD">
        <w:rPr>
          <w:rFonts w:eastAsia="Aptos" w:cs="Arial"/>
          <w:noProof/>
          <w:sz w:val="22"/>
          <w:lang w:val="en-US"/>
        </w:rPr>
        <w:tab/>
      </w:r>
    </w:p>
    <w:p w14:paraId="720CA355" w14:textId="02AD137A" w:rsidR="00C009DD" w:rsidRDefault="00C009DD" w:rsidP="00C009DD">
      <w:pPr>
        <w:spacing w:before="0" w:after="160"/>
        <w:ind w:left="720" w:hanging="720"/>
        <w:rPr>
          <w:rFonts w:eastAsia="Aptos" w:cs="Arial"/>
          <w:noProof/>
          <w:sz w:val="22"/>
          <w:lang w:val="en-US"/>
        </w:rPr>
      </w:pPr>
      <w:r w:rsidRPr="00C009DD">
        <w:rPr>
          <w:rFonts w:eastAsia="Aptos" w:cs="Arial"/>
          <w:noProof/>
          <w:sz w:val="22"/>
          <w:lang w:val="en-US"/>
        </w:rPr>
        <w:t xml:space="preserve">European Agency for Special Needs and Inclusive Education. (2017c). </w:t>
      </w:r>
      <w:r w:rsidRPr="00C009DD">
        <w:rPr>
          <w:rFonts w:eastAsia="Aptos" w:cs="Arial"/>
          <w:i/>
          <w:noProof/>
          <w:sz w:val="22"/>
          <w:lang w:val="en-US"/>
        </w:rPr>
        <w:t>Inclusive early childhood education: Literature review</w:t>
      </w:r>
      <w:r w:rsidRPr="00C009DD">
        <w:rPr>
          <w:rFonts w:eastAsia="Aptos" w:cs="Arial"/>
          <w:noProof/>
          <w:sz w:val="22"/>
          <w:lang w:val="en-US"/>
        </w:rPr>
        <w:t xml:space="preserve">. Odense, Denmark: European Agency for Special Needs and Inclusive Education. Retrieved 6 September, 2024 from </w:t>
      </w:r>
      <w:hyperlink r:id="rId242" w:history="1">
        <w:r w:rsidR="00304173" w:rsidRPr="00326476">
          <w:rPr>
            <w:rStyle w:val="Hyperlink"/>
            <w:rFonts w:eastAsia="Aptos" w:cs="Arial"/>
            <w:noProof/>
            <w:sz w:val="22"/>
            <w:lang w:val="en-US"/>
          </w:rPr>
          <w:t>https://www.european-agency.org/resources/publications/inclusive-early-childhood-education-literature-review</w:t>
        </w:r>
      </w:hyperlink>
    </w:p>
    <w:p w14:paraId="0E36BE3D" w14:textId="77777777" w:rsidR="00304173" w:rsidRPr="00C009DD" w:rsidRDefault="00304173" w:rsidP="0013462F">
      <w:pPr>
        <w:spacing w:before="0" w:after="160"/>
        <w:ind w:left="1440" w:hanging="720"/>
        <w:rPr>
          <w:rFonts w:eastAsia="Aptos" w:cs="Arial"/>
          <w:noProof/>
          <w:sz w:val="22"/>
          <w:lang w:val="en-US"/>
        </w:rPr>
      </w:pPr>
    </w:p>
    <w:p w14:paraId="05FE1721" w14:textId="53E60029" w:rsidR="00910C40" w:rsidRPr="00910C40" w:rsidRDefault="00910C40" w:rsidP="00910C40">
      <w:pPr>
        <w:spacing w:before="0" w:after="160"/>
        <w:ind w:left="720" w:hanging="720"/>
        <w:rPr>
          <w:rFonts w:eastAsia="Aptos" w:cs="Arial"/>
          <w:noProof/>
          <w:sz w:val="22"/>
          <w:lang w:val="en-US"/>
        </w:rPr>
      </w:pPr>
      <w:r w:rsidRPr="00910C40">
        <w:rPr>
          <w:rFonts w:eastAsia="Aptos" w:cs="Arial"/>
          <w:noProof/>
          <w:sz w:val="22"/>
          <w:lang w:val="en-US"/>
        </w:rPr>
        <w:t xml:space="preserve">European Agency for Special Needs and Inclusive Education. (2022a). </w:t>
      </w:r>
      <w:r w:rsidRPr="00910C40">
        <w:rPr>
          <w:rFonts w:eastAsia="Aptos" w:cs="Arial"/>
          <w:i/>
          <w:noProof/>
          <w:sz w:val="22"/>
          <w:lang w:val="en-US"/>
        </w:rPr>
        <w:t>Agency Position on Inclusive Education Systems</w:t>
      </w:r>
      <w:r w:rsidRPr="00910C40">
        <w:rPr>
          <w:rFonts w:eastAsia="Aptos" w:cs="Arial"/>
          <w:noProof/>
          <w:sz w:val="22"/>
          <w:lang w:val="en-US"/>
        </w:rPr>
        <w:t xml:space="preserve">. Odense, Denmark: European Agency for Special Needs and Inclusive Education. Retrieved 6 September, 2024 from </w:t>
      </w:r>
      <w:hyperlink r:id="rId243" w:history="1">
        <w:r w:rsidR="0054349C" w:rsidRPr="00326476">
          <w:rPr>
            <w:rStyle w:val="Hyperlink"/>
            <w:rFonts w:eastAsia="Aptos" w:cs="Arial"/>
            <w:noProof/>
            <w:sz w:val="22"/>
            <w:lang w:val="en-US"/>
          </w:rPr>
          <w:t>https://www.european-agency.org/resources/publications/agency-position-inclusive-education-systems-second-edition</w:t>
        </w:r>
      </w:hyperlink>
      <w:r w:rsidR="0054349C">
        <w:rPr>
          <w:rFonts w:eastAsia="Aptos" w:cs="Arial"/>
          <w:noProof/>
          <w:sz w:val="22"/>
          <w:lang w:val="en-US"/>
        </w:rPr>
        <w:t xml:space="preserve"> </w:t>
      </w:r>
    </w:p>
    <w:p w14:paraId="7FC9F080" w14:textId="77777777" w:rsidR="00910C40" w:rsidRPr="00910C40" w:rsidRDefault="00910C40" w:rsidP="00910C40">
      <w:pPr>
        <w:spacing w:before="0" w:after="0"/>
        <w:ind w:left="720" w:hanging="720"/>
        <w:rPr>
          <w:rFonts w:eastAsia="Aptos" w:cs="Arial"/>
          <w:noProof/>
          <w:sz w:val="22"/>
          <w:lang w:val="en-US"/>
        </w:rPr>
      </w:pPr>
      <w:r w:rsidRPr="00910C40">
        <w:rPr>
          <w:rFonts w:eastAsia="Aptos" w:cs="Arial"/>
          <w:noProof/>
          <w:sz w:val="22"/>
          <w:lang w:val="en-US"/>
        </w:rPr>
        <w:tab/>
      </w:r>
    </w:p>
    <w:p w14:paraId="011C6274" w14:textId="151D5B1A" w:rsidR="00910C40" w:rsidRDefault="00910C40" w:rsidP="00910C40">
      <w:pPr>
        <w:spacing w:before="0" w:after="160"/>
        <w:ind w:left="720" w:hanging="720"/>
        <w:rPr>
          <w:rFonts w:eastAsia="Aptos" w:cs="Arial"/>
          <w:noProof/>
          <w:sz w:val="22"/>
          <w:lang w:val="en-US"/>
        </w:rPr>
      </w:pPr>
      <w:r w:rsidRPr="00910C40">
        <w:rPr>
          <w:rFonts w:eastAsia="Aptos" w:cs="Arial"/>
          <w:noProof/>
          <w:sz w:val="22"/>
          <w:lang w:val="en-US"/>
        </w:rPr>
        <w:t xml:space="preserve">European Agency for Special Needs and Inclusive Education. (2022b). </w:t>
      </w:r>
      <w:r w:rsidRPr="00910C40">
        <w:rPr>
          <w:rFonts w:eastAsia="Aptos" w:cs="Arial"/>
          <w:i/>
          <w:noProof/>
          <w:sz w:val="22"/>
          <w:lang w:val="en-US"/>
        </w:rPr>
        <w:t>Voices into action – the voices of learners and their families in educational decision-making: Literature review</w:t>
      </w:r>
      <w:r w:rsidRPr="00910C40">
        <w:rPr>
          <w:rFonts w:eastAsia="Aptos" w:cs="Arial"/>
          <w:noProof/>
          <w:sz w:val="22"/>
          <w:lang w:val="en-US"/>
        </w:rPr>
        <w:t xml:space="preserve">. Odense, Denmark: European Agency for Special Needs and Inclusive Education. Retrieved 6 September, 2024 from </w:t>
      </w:r>
      <w:hyperlink r:id="rId244" w:history="1">
        <w:r w:rsidR="00304173" w:rsidRPr="00326476">
          <w:rPr>
            <w:rStyle w:val="Hyperlink"/>
            <w:rFonts w:eastAsia="Aptos" w:cs="Arial"/>
            <w:noProof/>
            <w:sz w:val="22"/>
            <w:lang w:val="en-US"/>
          </w:rPr>
          <w:t>https://www.european-agency.org/resources/publications/voices-action-literature-review</w:t>
        </w:r>
      </w:hyperlink>
    </w:p>
    <w:p w14:paraId="22B22DE0" w14:textId="77777777" w:rsidR="00304173" w:rsidRPr="00910C40" w:rsidRDefault="00304173" w:rsidP="00910C40">
      <w:pPr>
        <w:spacing w:before="0" w:after="160"/>
        <w:ind w:left="720" w:hanging="720"/>
        <w:rPr>
          <w:rFonts w:eastAsia="Aptos" w:cs="Arial"/>
          <w:noProof/>
          <w:sz w:val="22"/>
          <w:lang w:val="en-US"/>
        </w:rPr>
      </w:pPr>
    </w:p>
    <w:p w14:paraId="42EBAB5E" w14:textId="6963B23E" w:rsidR="00EC742D" w:rsidRPr="00EC742D" w:rsidRDefault="00EC742D" w:rsidP="00EC742D">
      <w:pPr>
        <w:spacing w:before="0" w:after="160"/>
        <w:ind w:left="720" w:hanging="720"/>
        <w:rPr>
          <w:rFonts w:eastAsia="Aptos" w:cs="Arial"/>
          <w:noProof/>
          <w:sz w:val="22"/>
          <w:lang w:val="en-US"/>
        </w:rPr>
      </w:pPr>
      <w:r w:rsidRPr="00EC742D">
        <w:rPr>
          <w:rFonts w:eastAsia="Aptos" w:cs="Arial"/>
          <w:noProof/>
          <w:sz w:val="22"/>
          <w:lang w:val="en-US"/>
        </w:rPr>
        <w:t xml:space="preserve">European Association of Service Providers. (2020). </w:t>
      </w:r>
      <w:r w:rsidRPr="00EC742D">
        <w:rPr>
          <w:rFonts w:eastAsia="Aptos" w:cs="Arial"/>
          <w:i/>
          <w:noProof/>
          <w:sz w:val="22"/>
          <w:lang w:val="en-US"/>
        </w:rPr>
        <w:t>Early childhood intervention in Europe: How can the European Union support children with disabilities from the very first step?</w:t>
      </w:r>
      <w:r w:rsidRPr="00EC742D">
        <w:rPr>
          <w:rFonts w:eastAsia="Aptos" w:cs="Arial"/>
          <w:noProof/>
          <w:sz w:val="22"/>
          <w:lang w:val="en-US"/>
        </w:rPr>
        <w:t xml:space="preserve">  Retrieved September 6, 2024,  </w:t>
      </w:r>
      <w:hyperlink r:id="rId245" w:history="1">
        <w:r w:rsidR="0054349C" w:rsidRPr="00326476">
          <w:rPr>
            <w:rStyle w:val="Hyperlink"/>
            <w:rFonts w:eastAsia="Aptos" w:cs="Arial"/>
            <w:noProof/>
            <w:sz w:val="22"/>
            <w:lang w:val="en-US"/>
          </w:rPr>
          <w:t>https://easpd.eu/fileadmin/user_upload/Publications/easpd_2020_es_report.pdf</w:t>
        </w:r>
      </w:hyperlink>
      <w:r w:rsidR="0054349C">
        <w:rPr>
          <w:rFonts w:eastAsia="Aptos" w:cs="Arial"/>
          <w:noProof/>
          <w:sz w:val="22"/>
          <w:lang w:val="en-US"/>
        </w:rPr>
        <w:t xml:space="preserve"> </w:t>
      </w:r>
    </w:p>
    <w:p w14:paraId="661A04B8" w14:textId="77777777" w:rsidR="00EC742D" w:rsidRPr="00EC742D" w:rsidRDefault="00EC742D" w:rsidP="00EC742D">
      <w:pPr>
        <w:spacing w:before="0" w:after="0"/>
        <w:ind w:left="720" w:hanging="720"/>
        <w:rPr>
          <w:rFonts w:eastAsia="Aptos" w:cs="Arial"/>
          <w:noProof/>
          <w:sz w:val="22"/>
          <w:lang w:val="en-US"/>
        </w:rPr>
      </w:pPr>
      <w:r w:rsidRPr="00EC742D">
        <w:rPr>
          <w:rFonts w:eastAsia="Aptos" w:cs="Arial"/>
          <w:noProof/>
          <w:sz w:val="22"/>
          <w:lang w:val="en-US"/>
        </w:rPr>
        <w:tab/>
      </w:r>
    </w:p>
    <w:p w14:paraId="0F34034E" w14:textId="5575394C" w:rsidR="00EC742D" w:rsidRDefault="00EC742D" w:rsidP="00EC742D">
      <w:pPr>
        <w:spacing w:before="0" w:after="160"/>
        <w:ind w:left="720" w:hanging="720"/>
        <w:rPr>
          <w:rFonts w:eastAsia="Aptos" w:cs="Arial"/>
          <w:noProof/>
          <w:sz w:val="22"/>
          <w:lang w:val="en-US"/>
        </w:rPr>
      </w:pPr>
      <w:r w:rsidRPr="00EC742D">
        <w:rPr>
          <w:rFonts w:eastAsia="Aptos" w:cs="Arial"/>
          <w:noProof/>
          <w:sz w:val="22"/>
          <w:lang w:val="en-US"/>
        </w:rPr>
        <w:t xml:space="preserve">Fabbri, L. M., Boyd, C., Boschetto, P., Rabe, K. F., Buist, A. S., Yawn, B., Leff, B., Kent, D. M., &amp; Schünemann, H. J. (2012). How to integrate multiple comorbidities in guideline development: Article 10 in Integrating and coordinating efforts in COPD guideline development. An official ATS/ERS workshop report. </w:t>
      </w:r>
      <w:r w:rsidRPr="00EC742D">
        <w:rPr>
          <w:rFonts w:eastAsia="Aptos" w:cs="Arial"/>
          <w:i/>
          <w:noProof/>
          <w:sz w:val="22"/>
          <w:lang w:val="en-US"/>
        </w:rPr>
        <w:t>Proceedings of the American Thoracic Society</w:t>
      </w:r>
      <w:r w:rsidRPr="00EC742D">
        <w:rPr>
          <w:rFonts w:eastAsia="Aptos" w:cs="Arial"/>
          <w:noProof/>
          <w:sz w:val="22"/>
          <w:lang w:val="en-US"/>
        </w:rPr>
        <w:t>,</w:t>
      </w:r>
      <w:r w:rsidRPr="00EC742D">
        <w:rPr>
          <w:rFonts w:eastAsia="Aptos" w:cs="Arial"/>
          <w:i/>
          <w:noProof/>
          <w:sz w:val="22"/>
          <w:lang w:val="en-US"/>
        </w:rPr>
        <w:t xml:space="preserve"> 9</w:t>
      </w:r>
      <w:r w:rsidRPr="00EC742D">
        <w:rPr>
          <w:rFonts w:eastAsia="Aptos" w:cs="Arial"/>
          <w:noProof/>
          <w:sz w:val="22"/>
          <w:lang w:val="en-US"/>
        </w:rPr>
        <w:t xml:space="preserve">(5), 274-281. </w:t>
      </w:r>
      <w:hyperlink r:id="rId246" w:history="1">
        <w:r w:rsidR="0013462F" w:rsidRPr="00326476">
          <w:rPr>
            <w:rStyle w:val="Hyperlink"/>
            <w:rFonts w:eastAsia="Aptos" w:cs="Arial"/>
            <w:noProof/>
            <w:sz w:val="22"/>
            <w:lang w:val="en-US"/>
          </w:rPr>
          <w:t>https://doi.org/10.1513/pats.201208-063ST</w:t>
        </w:r>
      </w:hyperlink>
      <w:r w:rsidRPr="00EC742D">
        <w:rPr>
          <w:rFonts w:eastAsia="Aptos" w:cs="Arial"/>
          <w:noProof/>
          <w:sz w:val="22"/>
          <w:lang w:val="en-US"/>
        </w:rPr>
        <w:t xml:space="preserve"> </w:t>
      </w:r>
    </w:p>
    <w:p w14:paraId="522EC4B5" w14:textId="77777777" w:rsidR="0013462F" w:rsidRPr="00EC742D" w:rsidRDefault="0013462F" w:rsidP="00EC742D">
      <w:pPr>
        <w:spacing w:before="0" w:after="160"/>
        <w:ind w:left="720" w:hanging="720"/>
        <w:rPr>
          <w:rFonts w:eastAsia="Aptos" w:cs="Arial"/>
          <w:noProof/>
          <w:sz w:val="22"/>
          <w:lang w:val="en-US"/>
        </w:rPr>
      </w:pPr>
    </w:p>
    <w:p w14:paraId="2A9CB1FD" w14:textId="2C5CF487" w:rsidR="002D74A6" w:rsidRPr="002D74A6" w:rsidRDefault="002D74A6" w:rsidP="002D74A6">
      <w:pPr>
        <w:spacing w:before="0" w:after="160"/>
        <w:ind w:left="720" w:hanging="720"/>
        <w:rPr>
          <w:rFonts w:eastAsia="Aptos" w:cs="Arial"/>
          <w:noProof/>
          <w:sz w:val="22"/>
          <w:lang w:val="en-US"/>
        </w:rPr>
      </w:pPr>
      <w:r w:rsidRPr="002D74A6">
        <w:rPr>
          <w:rFonts w:eastAsia="Aptos" w:cs="Arial"/>
          <w:noProof/>
          <w:sz w:val="22"/>
          <w:lang w:val="en-US"/>
        </w:rPr>
        <w:t xml:space="preserve">Federation of Ethnic Communities’ Councils of Australia (FECCA). (2019). </w:t>
      </w:r>
      <w:r w:rsidRPr="002D74A6">
        <w:rPr>
          <w:rFonts w:eastAsia="Aptos" w:cs="Arial"/>
          <w:i/>
          <w:noProof/>
          <w:sz w:val="22"/>
          <w:lang w:val="en-US"/>
        </w:rPr>
        <w:t>Cultural Competence in Australia: A Guide.</w:t>
      </w:r>
      <w:r w:rsidRPr="002D74A6">
        <w:rPr>
          <w:rFonts w:eastAsia="Aptos" w:cs="Arial"/>
          <w:noProof/>
          <w:sz w:val="22"/>
          <w:lang w:val="en-US"/>
        </w:rPr>
        <w:t xml:space="preserve"> Deakin, ACT: Federation of Ethnic Communities’ Councils of Australia. Retrieved September 6, 2024, </w:t>
      </w:r>
      <w:hyperlink r:id="rId247" w:history="1">
        <w:r w:rsidR="0054349C" w:rsidRPr="00326476">
          <w:rPr>
            <w:rStyle w:val="Hyperlink"/>
            <w:rFonts w:eastAsia="Aptos" w:cs="Arial"/>
            <w:noProof/>
            <w:sz w:val="22"/>
            <w:lang w:val="en-US"/>
          </w:rPr>
          <w:t>https://fecca.org.au/wp-content/uploads/2019/05/Cultural-Competence-in-Australia-A-Guide.pdf</w:t>
        </w:r>
      </w:hyperlink>
      <w:r w:rsidR="0054349C">
        <w:rPr>
          <w:rFonts w:eastAsia="Aptos" w:cs="Arial"/>
          <w:noProof/>
          <w:sz w:val="22"/>
          <w:lang w:val="en-US"/>
        </w:rPr>
        <w:t xml:space="preserve"> </w:t>
      </w:r>
    </w:p>
    <w:p w14:paraId="5864EEE1" w14:textId="77777777" w:rsidR="002D74A6" w:rsidRPr="002D74A6" w:rsidRDefault="002D74A6" w:rsidP="002D74A6">
      <w:pPr>
        <w:spacing w:before="0" w:after="0"/>
        <w:ind w:left="720" w:hanging="720"/>
        <w:rPr>
          <w:rFonts w:eastAsia="Aptos" w:cs="Arial"/>
          <w:noProof/>
          <w:sz w:val="22"/>
          <w:lang w:val="en-US"/>
        </w:rPr>
      </w:pPr>
      <w:r w:rsidRPr="002D74A6">
        <w:rPr>
          <w:rFonts w:eastAsia="Aptos" w:cs="Arial"/>
          <w:noProof/>
          <w:sz w:val="22"/>
          <w:lang w:val="en-US"/>
        </w:rPr>
        <w:tab/>
      </w:r>
    </w:p>
    <w:p w14:paraId="332D21E1" w14:textId="77777777" w:rsidR="002D74A6" w:rsidRPr="002D74A6" w:rsidRDefault="002D74A6" w:rsidP="002D74A6">
      <w:pPr>
        <w:spacing w:before="0" w:after="160"/>
        <w:ind w:left="720" w:hanging="720"/>
        <w:rPr>
          <w:rFonts w:eastAsia="Aptos" w:cs="Arial"/>
          <w:noProof/>
          <w:sz w:val="22"/>
          <w:lang w:val="en-US"/>
        </w:rPr>
      </w:pPr>
      <w:r w:rsidRPr="002D74A6">
        <w:rPr>
          <w:rFonts w:eastAsia="Aptos" w:cs="Arial"/>
          <w:noProof/>
          <w:sz w:val="22"/>
          <w:lang w:val="en-US"/>
        </w:rPr>
        <w:t xml:space="preserve">Feldman, J. S., &amp; Olson, S. L. (2021). Supportive maternal and paternal caregiving and the children’s emerging effortful control abilities. </w:t>
      </w:r>
      <w:r w:rsidRPr="002D74A6">
        <w:rPr>
          <w:rFonts w:eastAsia="Aptos" w:cs="Arial"/>
          <w:i/>
          <w:noProof/>
          <w:sz w:val="22"/>
          <w:lang w:val="en-US"/>
        </w:rPr>
        <w:t>Journal of Child and Family Studies</w:t>
      </w:r>
      <w:r w:rsidRPr="002D74A6">
        <w:rPr>
          <w:rFonts w:eastAsia="Aptos" w:cs="Arial"/>
          <w:noProof/>
          <w:sz w:val="22"/>
          <w:lang w:val="en-US"/>
        </w:rPr>
        <w:t>,</w:t>
      </w:r>
      <w:r w:rsidRPr="002D74A6">
        <w:rPr>
          <w:rFonts w:eastAsia="Aptos" w:cs="Arial"/>
          <w:i/>
          <w:noProof/>
          <w:sz w:val="22"/>
          <w:lang w:val="en-US"/>
        </w:rPr>
        <w:t xml:space="preserve"> 30</w:t>
      </w:r>
      <w:r w:rsidRPr="002D74A6">
        <w:rPr>
          <w:rFonts w:eastAsia="Aptos" w:cs="Arial"/>
          <w:noProof/>
          <w:sz w:val="22"/>
          <w:lang w:val="en-US"/>
        </w:rPr>
        <w:t xml:space="preserve">, 894-904. </w:t>
      </w:r>
    </w:p>
    <w:p w14:paraId="1E7455DE" w14:textId="2834E27D" w:rsidR="0030178D" w:rsidRPr="00075790" w:rsidRDefault="0030178D" w:rsidP="0030178D">
      <w:pPr>
        <w:pStyle w:val="EndNoteBibliography"/>
        <w:spacing w:after="0"/>
        <w:ind w:left="720" w:hanging="720"/>
      </w:pPr>
    </w:p>
    <w:p w14:paraId="487F6DD1" w14:textId="296C92A3" w:rsidR="00835C48" w:rsidRPr="00835C48" w:rsidRDefault="00835C48" w:rsidP="00835C48">
      <w:pPr>
        <w:spacing w:before="0" w:after="160"/>
        <w:ind w:left="720" w:hanging="720"/>
        <w:rPr>
          <w:rFonts w:eastAsia="Aptos" w:cs="Arial"/>
          <w:noProof/>
          <w:sz w:val="22"/>
          <w:lang w:val="en-US"/>
        </w:rPr>
      </w:pPr>
      <w:r w:rsidRPr="00835C48">
        <w:rPr>
          <w:rFonts w:eastAsia="Aptos" w:cs="Arial"/>
          <w:noProof/>
          <w:sz w:val="22"/>
          <w:lang w:val="en-US"/>
        </w:rPr>
        <w:t xml:space="preserve">Feldman, R. (2012a). Bio-behavioral synchrony: A model for integrating biological and microsocial behavioral processes in the study of parenting. </w:t>
      </w:r>
      <w:r w:rsidRPr="00835C48">
        <w:rPr>
          <w:rFonts w:eastAsia="Aptos" w:cs="Arial"/>
          <w:i/>
          <w:noProof/>
          <w:sz w:val="22"/>
          <w:lang w:val="en-US"/>
        </w:rPr>
        <w:t>Parenting</w:t>
      </w:r>
      <w:r w:rsidRPr="00835C48">
        <w:rPr>
          <w:rFonts w:eastAsia="Aptos" w:cs="Arial"/>
          <w:noProof/>
          <w:sz w:val="22"/>
          <w:lang w:val="en-US"/>
        </w:rPr>
        <w:t>,</w:t>
      </w:r>
      <w:r w:rsidRPr="00835C48">
        <w:rPr>
          <w:rFonts w:eastAsia="Aptos" w:cs="Arial"/>
          <w:i/>
          <w:noProof/>
          <w:sz w:val="22"/>
          <w:lang w:val="en-US"/>
        </w:rPr>
        <w:t xml:space="preserve"> 12</w:t>
      </w:r>
      <w:r w:rsidRPr="00835C48">
        <w:rPr>
          <w:rFonts w:eastAsia="Aptos" w:cs="Arial"/>
          <w:noProof/>
          <w:sz w:val="22"/>
          <w:lang w:val="en-US"/>
        </w:rPr>
        <w:t xml:space="preserve">(2-3), 154-164. </w:t>
      </w:r>
      <w:hyperlink r:id="rId248" w:history="1">
        <w:r w:rsidR="0054349C" w:rsidRPr="00326476">
          <w:rPr>
            <w:rStyle w:val="Hyperlink"/>
            <w:rFonts w:eastAsia="Aptos" w:cs="Arial"/>
            <w:noProof/>
            <w:sz w:val="22"/>
            <w:lang w:val="en-US"/>
          </w:rPr>
          <w:t>https://doi.org/10.1080/15295192.2012.683342</w:t>
        </w:r>
      </w:hyperlink>
      <w:r w:rsidR="0054349C">
        <w:rPr>
          <w:rFonts w:eastAsia="Aptos" w:cs="Arial"/>
          <w:noProof/>
          <w:sz w:val="22"/>
          <w:lang w:val="en-US"/>
        </w:rPr>
        <w:t xml:space="preserve"> </w:t>
      </w:r>
      <w:r w:rsidRPr="00835C48">
        <w:rPr>
          <w:rFonts w:eastAsia="Aptos" w:cs="Arial"/>
          <w:noProof/>
          <w:sz w:val="22"/>
          <w:lang w:val="en-US"/>
        </w:rPr>
        <w:t xml:space="preserve"> </w:t>
      </w:r>
    </w:p>
    <w:p w14:paraId="5BA4C357" w14:textId="77777777" w:rsidR="00835C48" w:rsidRPr="00835C48" w:rsidRDefault="00835C48" w:rsidP="0013462F">
      <w:pPr>
        <w:spacing w:before="0" w:after="0"/>
        <w:rPr>
          <w:rFonts w:eastAsia="Aptos" w:cs="Arial"/>
          <w:noProof/>
          <w:sz w:val="22"/>
          <w:lang w:val="en-US"/>
        </w:rPr>
      </w:pPr>
      <w:r w:rsidRPr="00835C48">
        <w:rPr>
          <w:rFonts w:eastAsia="Aptos" w:cs="Arial"/>
          <w:noProof/>
          <w:sz w:val="22"/>
          <w:lang w:val="en-US"/>
        </w:rPr>
        <w:tab/>
      </w:r>
    </w:p>
    <w:p w14:paraId="5AE6C755" w14:textId="078D9268" w:rsidR="00835C48" w:rsidRPr="00835C48" w:rsidRDefault="00835C48" w:rsidP="00835C48">
      <w:pPr>
        <w:spacing w:before="0" w:after="160"/>
        <w:ind w:left="720" w:hanging="720"/>
        <w:rPr>
          <w:rFonts w:eastAsia="Aptos" w:cs="Arial"/>
          <w:noProof/>
          <w:sz w:val="22"/>
          <w:lang w:val="en-US"/>
        </w:rPr>
      </w:pPr>
      <w:r w:rsidRPr="00835C48">
        <w:rPr>
          <w:rFonts w:eastAsia="Aptos" w:cs="Arial"/>
          <w:noProof/>
          <w:sz w:val="22"/>
          <w:lang w:val="en-US"/>
        </w:rPr>
        <w:t xml:space="preserve">Feldman, R. (2012b). Parent-infant synchrony: A biobehavioral model of mutual influences in the formation of affiliative bonds. </w:t>
      </w:r>
      <w:r w:rsidRPr="00835C48">
        <w:rPr>
          <w:rFonts w:eastAsia="Aptos" w:cs="Arial"/>
          <w:i/>
          <w:noProof/>
          <w:sz w:val="22"/>
          <w:lang w:val="en-US"/>
        </w:rPr>
        <w:t>Monographs of the Society for Research in Child Development</w:t>
      </w:r>
      <w:r w:rsidRPr="00835C48">
        <w:rPr>
          <w:rFonts w:eastAsia="Aptos" w:cs="Arial"/>
          <w:noProof/>
          <w:sz w:val="22"/>
          <w:lang w:val="en-US"/>
        </w:rPr>
        <w:t>,</w:t>
      </w:r>
      <w:r w:rsidRPr="00835C48">
        <w:rPr>
          <w:rFonts w:eastAsia="Aptos" w:cs="Arial"/>
          <w:i/>
          <w:noProof/>
          <w:sz w:val="22"/>
          <w:lang w:val="en-US"/>
        </w:rPr>
        <w:t xml:space="preserve"> 77</w:t>
      </w:r>
      <w:r w:rsidRPr="00835C48">
        <w:rPr>
          <w:rFonts w:eastAsia="Aptos" w:cs="Arial"/>
          <w:noProof/>
          <w:sz w:val="22"/>
          <w:lang w:val="en-US"/>
        </w:rPr>
        <w:t xml:space="preserve">(2), 42-51. </w:t>
      </w:r>
      <w:hyperlink r:id="rId249" w:history="1">
        <w:r w:rsidR="0054349C" w:rsidRPr="00326476">
          <w:rPr>
            <w:rStyle w:val="Hyperlink"/>
            <w:rFonts w:eastAsia="Aptos" w:cs="Arial"/>
            <w:noProof/>
            <w:sz w:val="22"/>
            <w:lang w:val="en-US"/>
          </w:rPr>
          <w:t>https://doi.org/10.1111/j.1540-5834.2011.00660.x</w:t>
        </w:r>
      </w:hyperlink>
      <w:r w:rsidR="0054349C">
        <w:rPr>
          <w:rFonts w:eastAsia="Aptos" w:cs="Arial"/>
          <w:noProof/>
          <w:sz w:val="22"/>
          <w:lang w:val="en-US"/>
        </w:rPr>
        <w:t xml:space="preserve"> </w:t>
      </w:r>
      <w:r w:rsidRPr="00835C48">
        <w:rPr>
          <w:rFonts w:eastAsia="Aptos" w:cs="Arial"/>
          <w:noProof/>
          <w:sz w:val="22"/>
          <w:lang w:val="en-US"/>
        </w:rPr>
        <w:t xml:space="preserve"> </w:t>
      </w:r>
    </w:p>
    <w:p w14:paraId="6279E2D7" w14:textId="77777777" w:rsidR="00835C48" w:rsidRPr="00835C48" w:rsidRDefault="00835C48" w:rsidP="00835C48">
      <w:pPr>
        <w:spacing w:before="0" w:after="0"/>
        <w:ind w:left="720" w:hanging="720"/>
        <w:rPr>
          <w:rFonts w:eastAsia="Aptos" w:cs="Arial"/>
          <w:noProof/>
          <w:sz w:val="22"/>
          <w:lang w:val="en-US"/>
        </w:rPr>
      </w:pPr>
      <w:r w:rsidRPr="00835C48">
        <w:rPr>
          <w:rFonts w:eastAsia="Aptos" w:cs="Arial"/>
          <w:noProof/>
          <w:sz w:val="22"/>
          <w:lang w:val="en-US"/>
        </w:rPr>
        <w:tab/>
      </w:r>
    </w:p>
    <w:p w14:paraId="79003F93" w14:textId="77777777" w:rsidR="00835C48" w:rsidRDefault="00835C48" w:rsidP="00835C48">
      <w:pPr>
        <w:spacing w:before="0" w:after="160"/>
        <w:ind w:left="720" w:hanging="720"/>
        <w:rPr>
          <w:rFonts w:eastAsia="Aptos" w:cs="Arial"/>
          <w:noProof/>
          <w:sz w:val="22"/>
          <w:lang w:val="en-US"/>
        </w:rPr>
      </w:pPr>
      <w:r w:rsidRPr="00835C48">
        <w:rPr>
          <w:rFonts w:eastAsia="Aptos" w:cs="Arial"/>
          <w:noProof/>
          <w:sz w:val="22"/>
          <w:lang w:val="en-US"/>
        </w:rPr>
        <w:t xml:space="preserve">Fialka, J. M., Feldman, A. K., &amp; Mikus, K. C. (2012). </w:t>
      </w:r>
      <w:r w:rsidRPr="00835C48">
        <w:rPr>
          <w:rFonts w:eastAsia="Aptos" w:cs="Arial"/>
          <w:i/>
          <w:noProof/>
          <w:sz w:val="22"/>
          <w:lang w:val="en-US"/>
        </w:rPr>
        <w:t>Parents and professionals partnering for children with disabilities: A dance that matters</w:t>
      </w:r>
      <w:r w:rsidRPr="00835C48">
        <w:rPr>
          <w:rFonts w:eastAsia="Aptos" w:cs="Arial"/>
          <w:noProof/>
          <w:sz w:val="22"/>
          <w:lang w:val="en-US"/>
        </w:rPr>
        <w:t xml:space="preserve">. Thousand Oaks, CA: Corwin Press. </w:t>
      </w:r>
    </w:p>
    <w:p w14:paraId="07A97AA0" w14:textId="77777777" w:rsidR="0013462F" w:rsidRPr="00835C48" w:rsidRDefault="0013462F" w:rsidP="00835C48">
      <w:pPr>
        <w:spacing w:before="0" w:after="160"/>
        <w:ind w:left="720" w:hanging="720"/>
        <w:rPr>
          <w:rFonts w:eastAsia="Aptos" w:cs="Arial"/>
          <w:noProof/>
          <w:sz w:val="22"/>
          <w:lang w:val="en-US"/>
        </w:rPr>
      </w:pPr>
    </w:p>
    <w:p w14:paraId="60DBC8C5" w14:textId="77777777" w:rsidR="00FA061E" w:rsidRPr="00FA061E" w:rsidRDefault="00FA061E" w:rsidP="00FA061E">
      <w:pPr>
        <w:spacing w:before="0" w:after="160"/>
        <w:ind w:left="720" w:hanging="720"/>
        <w:rPr>
          <w:rFonts w:eastAsia="Aptos" w:cs="Arial"/>
          <w:noProof/>
          <w:sz w:val="22"/>
          <w:lang w:val="en-US"/>
        </w:rPr>
      </w:pPr>
      <w:r w:rsidRPr="00FA061E">
        <w:rPr>
          <w:rFonts w:eastAsia="Aptos" w:cs="Arial"/>
          <w:noProof/>
          <w:sz w:val="22"/>
          <w:lang w:val="en-US"/>
        </w:rPr>
        <w:t xml:space="preserve">Fisher, C. (2021). 'TRAK' my development: An adaptation of the ages and stages questionnaire for Aboriginal children. </w:t>
      </w:r>
      <w:r w:rsidRPr="00FA061E">
        <w:rPr>
          <w:rFonts w:eastAsia="Aptos" w:cs="Arial"/>
          <w:i/>
          <w:noProof/>
          <w:sz w:val="22"/>
          <w:lang w:val="en-US"/>
        </w:rPr>
        <w:t>Australian Journal of Child and Family Health Nursing</w:t>
      </w:r>
      <w:r w:rsidRPr="00FA061E">
        <w:rPr>
          <w:rFonts w:eastAsia="Aptos" w:cs="Arial"/>
          <w:noProof/>
          <w:sz w:val="22"/>
          <w:lang w:val="en-US"/>
        </w:rPr>
        <w:t>,</w:t>
      </w:r>
      <w:r w:rsidRPr="00FA061E">
        <w:rPr>
          <w:rFonts w:eastAsia="Aptos" w:cs="Arial"/>
          <w:i/>
          <w:noProof/>
          <w:sz w:val="22"/>
          <w:lang w:val="en-US"/>
        </w:rPr>
        <w:t xml:space="preserve"> 18</w:t>
      </w:r>
      <w:r w:rsidRPr="00FA061E">
        <w:rPr>
          <w:rFonts w:eastAsia="Aptos" w:cs="Arial"/>
          <w:noProof/>
          <w:sz w:val="22"/>
          <w:lang w:val="en-US"/>
        </w:rPr>
        <w:t xml:space="preserve">(1), 11-14. </w:t>
      </w:r>
    </w:p>
    <w:p w14:paraId="6AB20E99" w14:textId="77777777" w:rsidR="00FA061E" w:rsidRPr="00FA061E" w:rsidRDefault="00FA061E" w:rsidP="00FA061E">
      <w:pPr>
        <w:spacing w:before="0" w:after="0"/>
        <w:ind w:left="720" w:hanging="720"/>
        <w:rPr>
          <w:rFonts w:eastAsia="Aptos" w:cs="Arial"/>
          <w:noProof/>
          <w:sz w:val="22"/>
          <w:lang w:val="en-US"/>
        </w:rPr>
      </w:pPr>
      <w:r w:rsidRPr="00FA061E">
        <w:rPr>
          <w:rFonts w:eastAsia="Aptos" w:cs="Arial"/>
          <w:noProof/>
          <w:sz w:val="22"/>
          <w:lang w:val="en-US"/>
        </w:rPr>
        <w:tab/>
      </w:r>
    </w:p>
    <w:p w14:paraId="4BE6E60A" w14:textId="77777777" w:rsidR="00FA061E" w:rsidRPr="00FA061E" w:rsidRDefault="00FA061E" w:rsidP="00FA061E">
      <w:pPr>
        <w:spacing w:before="0" w:after="160"/>
        <w:ind w:left="720" w:hanging="720"/>
        <w:rPr>
          <w:rFonts w:eastAsia="Aptos" w:cs="Arial"/>
          <w:noProof/>
          <w:sz w:val="22"/>
          <w:lang w:val="en-US"/>
        </w:rPr>
      </w:pPr>
      <w:r w:rsidRPr="00FA061E">
        <w:rPr>
          <w:rFonts w:eastAsia="Aptos" w:cs="Arial"/>
          <w:noProof/>
          <w:sz w:val="22"/>
          <w:lang w:val="en-US"/>
        </w:rPr>
        <w:t xml:space="preserve">Fisher, K. R., Edwards, R., Gleeson, R., Purcal, C., Sitek, T., Dinning, B., Laragy, C., D’aegher, L., &amp; Thompson, D. (2010). Effectiveness of individual funding approaches for disability support. </w:t>
      </w:r>
      <w:r w:rsidRPr="00FA061E">
        <w:rPr>
          <w:rFonts w:eastAsia="Aptos" w:cs="Arial"/>
          <w:i/>
          <w:noProof/>
          <w:sz w:val="22"/>
          <w:lang w:val="en-US"/>
        </w:rPr>
        <w:t>FaHCSIA Occasional Paper</w:t>
      </w:r>
      <w:r w:rsidRPr="00FA061E">
        <w:rPr>
          <w:rFonts w:eastAsia="Aptos" w:cs="Arial"/>
          <w:noProof/>
          <w:sz w:val="22"/>
          <w:lang w:val="en-US"/>
        </w:rPr>
        <w:t xml:space="preserve">(29). </w:t>
      </w:r>
    </w:p>
    <w:p w14:paraId="7413DB08" w14:textId="77777777" w:rsidR="00FA061E" w:rsidRPr="00FA061E" w:rsidRDefault="00FA061E" w:rsidP="00FA061E">
      <w:pPr>
        <w:spacing w:before="0" w:after="0"/>
        <w:ind w:left="720" w:hanging="720"/>
        <w:rPr>
          <w:rFonts w:eastAsia="Aptos" w:cs="Arial"/>
          <w:noProof/>
          <w:sz w:val="22"/>
          <w:lang w:val="en-US"/>
        </w:rPr>
      </w:pPr>
      <w:r w:rsidRPr="00FA061E">
        <w:rPr>
          <w:rFonts w:eastAsia="Aptos" w:cs="Arial"/>
          <w:noProof/>
          <w:sz w:val="22"/>
          <w:lang w:val="en-US"/>
        </w:rPr>
        <w:tab/>
      </w:r>
    </w:p>
    <w:p w14:paraId="38C6B419" w14:textId="77777777" w:rsidR="00FA061E" w:rsidRDefault="00FA061E" w:rsidP="00FA061E">
      <w:pPr>
        <w:spacing w:before="0" w:after="160"/>
        <w:ind w:left="720" w:hanging="720"/>
        <w:rPr>
          <w:rFonts w:eastAsia="Aptos" w:cs="Arial"/>
          <w:noProof/>
          <w:sz w:val="22"/>
          <w:lang w:val="en-US"/>
        </w:rPr>
      </w:pPr>
      <w:r w:rsidRPr="00FA061E">
        <w:rPr>
          <w:rFonts w:eastAsia="Aptos" w:cs="Arial"/>
          <w:noProof/>
          <w:sz w:val="22"/>
          <w:lang w:val="en-US"/>
        </w:rPr>
        <w:t xml:space="preserve">Fisher, K. R., &amp; Purcal, C. (2010). Effectiveness of individual funding for disability support. </w:t>
      </w:r>
      <w:r w:rsidRPr="00FA061E">
        <w:rPr>
          <w:rFonts w:eastAsia="Aptos" w:cs="Arial"/>
          <w:i/>
          <w:noProof/>
          <w:sz w:val="22"/>
          <w:lang w:val="en-US"/>
        </w:rPr>
        <w:t>SPRC Newsletter</w:t>
      </w:r>
      <w:r w:rsidRPr="00FA061E">
        <w:rPr>
          <w:rFonts w:eastAsia="Aptos" w:cs="Arial"/>
          <w:noProof/>
          <w:sz w:val="22"/>
          <w:lang w:val="en-US"/>
        </w:rPr>
        <w:t xml:space="preserve">(105), 4-7. </w:t>
      </w:r>
    </w:p>
    <w:p w14:paraId="0AE9EEF0" w14:textId="77777777" w:rsidR="00A33948" w:rsidRPr="00FA061E" w:rsidRDefault="00A33948" w:rsidP="00FA061E">
      <w:pPr>
        <w:spacing w:before="0" w:after="160"/>
        <w:ind w:left="720" w:hanging="720"/>
        <w:rPr>
          <w:rFonts w:eastAsia="Aptos" w:cs="Arial"/>
          <w:noProof/>
          <w:sz w:val="22"/>
          <w:lang w:val="en-US"/>
        </w:rPr>
      </w:pPr>
    </w:p>
    <w:p w14:paraId="2284926D" w14:textId="2749B5DC" w:rsidR="00A14D19" w:rsidRPr="00A14D19" w:rsidRDefault="00A14D19" w:rsidP="00A14D19">
      <w:pPr>
        <w:spacing w:before="0" w:after="160"/>
        <w:ind w:left="720" w:hanging="720"/>
        <w:rPr>
          <w:rFonts w:eastAsia="Aptos" w:cs="Arial"/>
          <w:noProof/>
          <w:sz w:val="22"/>
          <w:lang w:val="en-US"/>
        </w:rPr>
      </w:pPr>
      <w:r w:rsidRPr="00A14D19">
        <w:rPr>
          <w:rFonts w:eastAsia="Aptos" w:cs="Arial"/>
          <w:noProof/>
          <w:sz w:val="22"/>
          <w:lang w:val="en-US"/>
        </w:rPr>
        <w:t xml:space="preserve">Fitzpatrick, J. P., Latimer, J., Olson, H. C., Carter, M., Oscar, J., Lucas, B. R., Doney, R., Salter, C., Try, J., Hawkes, G., Fitzpatrick, E., Hand, M., Watkins, R. E., Tsang, T. W., Bower, C., Ferreira, M. L., Boulton, J., &amp; Elliott, E. J. (2017). Prevalence and profile of Neurodevelopment and Fetal Alcohol Spectrum Disorder (FASD) amongst Australian Aboriginal children living in remote communities. </w:t>
      </w:r>
      <w:r w:rsidRPr="00A14D19">
        <w:rPr>
          <w:rFonts w:eastAsia="Aptos" w:cs="Arial"/>
          <w:i/>
          <w:noProof/>
          <w:sz w:val="22"/>
          <w:lang w:val="en-US"/>
        </w:rPr>
        <w:t>Research in developmental disabilities</w:t>
      </w:r>
      <w:r w:rsidRPr="00A14D19">
        <w:rPr>
          <w:rFonts w:eastAsia="Aptos" w:cs="Arial"/>
          <w:noProof/>
          <w:sz w:val="22"/>
          <w:lang w:val="en-US"/>
        </w:rPr>
        <w:t>,</w:t>
      </w:r>
      <w:r w:rsidRPr="00A14D19">
        <w:rPr>
          <w:rFonts w:eastAsia="Aptos" w:cs="Arial"/>
          <w:i/>
          <w:noProof/>
          <w:sz w:val="22"/>
          <w:lang w:val="en-US"/>
        </w:rPr>
        <w:t xml:space="preserve"> 65</w:t>
      </w:r>
      <w:r w:rsidRPr="00A14D19">
        <w:rPr>
          <w:rFonts w:eastAsia="Aptos" w:cs="Arial"/>
          <w:noProof/>
          <w:sz w:val="22"/>
          <w:lang w:val="en-US"/>
        </w:rPr>
        <w:t xml:space="preserve">(1873-3379), 114–126. </w:t>
      </w:r>
      <w:hyperlink r:id="rId250" w:history="1">
        <w:r w:rsidR="0054349C" w:rsidRPr="00326476">
          <w:rPr>
            <w:rStyle w:val="Hyperlink"/>
            <w:rFonts w:eastAsia="Aptos" w:cs="Arial"/>
            <w:noProof/>
            <w:sz w:val="22"/>
            <w:lang w:val="en-US"/>
          </w:rPr>
          <w:t>https://doi.org/10.1016/j.ridd.2017.04.001</w:t>
        </w:r>
      </w:hyperlink>
      <w:r w:rsidR="0054349C">
        <w:rPr>
          <w:rFonts w:eastAsia="Aptos" w:cs="Arial"/>
          <w:noProof/>
          <w:sz w:val="22"/>
          <w:lang w:val="en-US"/>
        </w:rPr>
        <w:t xml:space="preserve"> </w:t>
      </w:r>
      <w:r w:rsidRPr="00A14D19">
        <w:rPr>
          <w:rFonts w:eastAsia="Aptos" w:cs="Arial"/>
          <w:noProof/>
          <w:sz w:val="22"/>
          <w:lang w:val="en-US"/>
        </w:rPr>
        <w:t xml:space="preserve"> </w:t>
      </w:r>
    </w:p>
    <w:p w14:paraId="05B05025" w14:textId="410CE978" w:rsidR="0030178D" w:rsidRPr="00075790" w:rsidRDefault="0030178D" w:rsidP="0030178D">
      <w:pPr>
        <w:pStyle w:val="EndNoteBibliography"/>
        <w:spacing w:after="0"/>
        <w:ind w:left="720" w:hanging="720"/>
      </w:pPr>
    </w:p>
    <w:p w14:paraId="665E5C22" w14:textId="2B22CEB2" w:rsidR="003A6E40" w:rsidRDefault="003A6E40" w:rsidP="003A6E40">
      <w:pPr>
        <w:spacing w:before="0" w:after="160"/>
        <w:ind w:left="720" w:hanging="720"/>
        <w:rPr>
          <w:rFonts w:eastAsia="Aptos" w:cs="Arial"/>
          <w:noProof/>
          <w:sz w:val="22"/>
          <w:lang w:val="en-US"/>
        </w:rPr>
      </w:pPr>
      <w:r w:rsidRPr="003A6E40">
        <w:rPr>
          <w:rFonts w:eastAsia="Aptos" w:cs="Arial"/>
          <w:noProof/>
          <w:sz w:val="22"/>
          <w:lang w:val="en-US"/>
        </w:rPr>
        <w:t xml:space="preserve">Fixsen, A. A., Aijaz, M., Fixsen, D. L., Burks, E., &amp; Schultes, M.-T. (2021). </w:t>
      </w:r>
      <w:r w:rsidRPr="003A6E40">
        <w:rPr>
          <w:rFonts w:eastAsia="Aptos" w:cs="Arial"/>
          <w:i/>
          <w:noProof/>
          <w:sz w:val="22"/>
          <w:lang w:val="en-US"/>
        </w:rPr>
        <w:t>Implementation frameworks: An analysis</w:t>
      </w:r>
      <w:r w:rsidRPr="003A6E40">
        <w:rPr>
          <w:rFonts w:eastAsia="Aptos" w:cs="Arial"/>
          <w:noProof/>
          <w:sz w:val="22"/>
          <w:lang w:val="en-US"/>
        </w:rPr>
        <w:t xml:space="preserve">. Chapel Hill, NC: Active Implementation Research Network. Retrieved 6 September, 2024 from </w:t>
      </w:r>
      <w:hyperlink r:id="rId251" w:history="1">
        <w:r w:rsidR="00A33948" w:rsidRPr="00326476">
          <w:rPr>
            <w:rStyle w:val="Hyperlink"/>
            <w:rFonts w:eastAsia="Aptos" w:cs="Arial"/>
            <w:noProof/>
            <w:sz w:val="22"/>
            <w:lang w:val="en-US"/>
          </w:rPr>
          <w:t>https://www.activeimplementation.org/s/AIRN-AFixsen-FrameworksAnalysis-2021.pdf</w:t>
        </w:r>
      </w:hyperlink>
    </w:p>
    <w:p w14:paraId="17B85110" w14:textId="77777777" w:rsidR="00A33948" w:rsidRPr="003A6E40" w:rsidRDefault="00A33948" w:rsidP="003A6E40">
      <w:pPr>
        <w:spacing w:before="0" w:after="160"/>
        <w:ind w:left="720" w:hanging="720"/>
        <w:rPr>
          <w:rFonts w:eastAsia="Aptos" w:cs="Arial"/>
          <w:noProof/>
          <w:sz w:val="22"/>
          <w:lang w:val="en-US"/>
        </w:rPr>
      </w:pPr>
    </w:p>
    <w:p w14:paraId="78E7A51B" w14:textId="77777777" w:rsidR="00F33350" w:rsidRPr="00F33350" w:rsidRDefault="00F33350" w:rsidP="00F33350">
      <w:pPr>
        <w:spacing w:before="0" w:after="160"/>
        <w:ind w:left="720" w:hanging="720"/>
        <w:rPr>
          <w:rFonts w:eastAsia="Aptos" w:cs="Arial"/>
          <w:noProof/>
          <w:sz w:val="22"/>
          <w:lang w:val="en-US"/>
        </w:rPr>
      </w:pPr>
      <w:r w:rsidRPr="00F33350">
        <w:rPr>
          <w:rFonts w:eastAsia="Aptos" w:cs="Arial"/>
          <w:noProof/>
          <w:sz w:val="22"/>
          <w:lang w:val="en-US"/>
        </w:rPr>
        <w:t xml:space="preserve">Fixsen, D. (2005). </w:t>
      </w:r>
      <w:r w:rsidRPr="00F33350">
        <w:rPr>
          <w:rFonts w:eastAsia="Aptos" w:cs="Arial"/>
          <w:i/>
          <w:noProof/>
          <w:sz w:val="22"/>
          <w:lang w:val="en-US"/>
        </w:rPr>
        <w:t>Implementation research: A synthesis of the literature</w:t>
      </w:r>
      <w:r w:rsidRPr="00F33350">
        <w:rPr>
          <w:rFonts w:eastAsia="Aptos" w:cs="Arial"/>
          <w:noProof/>
          <w:sz w:val="22"/>
          <w:lang w:val="en-US"/>
        </w:rPr>
        <w:t xml:space="preserve">. Tampa, FL: University of South Florida, Louis de la Parte Florida Mental Health Research Institute, The National Implementation Research Network. </w:t>
      </w:r>
    </w:p>
    <w:p w14:paraId="69B5E422" w14:textId="77777777" w:rsidR="00F33350" w:rsidRPr="00F33350" w:rsidRDefault="00F33350" w:rsidP="00F33350">
      <w:pPr>
        <w:spacing w:before="0" w:after="0"/>
        <w:ind w:left="720" w:hanging="720"/>
        <w:rPr>
          <w:rFonts w:eastAsia="Aptos" w:cs="Arial"/>
          <w:noProof/>
          <w:sz w:val="22"/>
          <w:lang w:val="en-US"/>
        </w:rPr>
      </w:pPr>
      <w:r w:rsidRPr="00F33350">
        <w:rPr>
          <w:rFonts w:eastAsia="Aptos" w:cs="Arial"/>
          <w:noProof/>
          <w:sz w:val="22"/>
          <w:lang w:val="en-US"/>
        </w:rPr>
        <w:tab/>
      </w:r>
    </w:p>
    <w:p w14:paraId="01FDD8C7" w14:textId="3A78504B" w:rsidR="00F33350" w:rsidRPr="00F33350" w:rsidRDefault="00F33350" w:rsidP="00F33350">
      <w:pPr>
        <w:spacing w:before="0" w:after="160"/>
        <w:ind w:left="720" w:hanging="720"/>
        <w:rPr>
          <w:rFonts w:eastAsia="Aptos" w:cs="Arial"/>
          <w:noProof/>
          <w:sz w:val="22"/>
          <w:lang w:val="en-US"/>
        </w:rPr>
      </w:pPr>
      <w:r w:rsidRPr="00F33350">
        <w:rPr>
          <w:rFonts w:eastAsia="Aptos" w:cs="Arial"/>
          <w:noProof/>
          <w:sz w:val="22"/>
          <w:lang w:val="en-US"/>
        </w:rPr>
        <w:t xml:space="preserve">Fixsen, D., Blase, K., Metz, A., &amp; Van Dyke, M. (2013). Statewide implementation of evidence-based programs. </w:t>
      </w:r>
      <w:r w:rsidRPr="00F33350">
        <w:rPr>
          <w:rFonts w:eastAsia="Aptos" w:cs="Arial"/>
          <w:i/>
          <w:noProof/>
          <w:sz w:val="22"/>
          <w:lang w:val="en-US"/>
        </w:rPr>
        <w:t>Exceptional Children</w:t>
      </w:r>
      <w:r w:rsidRPr="00F33350">
        <w:rPr>
          <w:rFonts w:eastAsia="Aptos" w:cs="Arial"/>
          <w:noProof/>
          <w:sz w:val="22"/>
          <w:lang w:val="en-US"/>
        </w:rPr>
        <w:t>,</w:t>
      </w:r>
      <w:r w:rsidRPr="00F33350">
        <w:rPr>
          <w:rFonts w:eastAsia="Aptos" w:cs="Arial"/>
          <w:i/>
          <w:noProof/>
          <w:sz w:val="22"/>
          <w:lang w:val="en-US"/>
        </w:rPr>
        <w:t xml:space="preserve"> 79</w:t>
      </w:r>
      <w:r w:rsidRPr="00F33350">
        <w:rPr>
          <w:rFonts w:eastAsia="Aptos" w:cs="Arial"/>
          <w:noProof/>
          <w:sz w:val="22"/>
          <w:lang w:val="en-US"/>
        </w:rPr>
        <w:t xml:space="preserve">(2), 213-230. </w:t>
      </w:r>
      <w:hyperlink r:id="rId252" w:history="1">
        <w:r w:rsidR="0054349C" w:rsidRPr="00326476">
          <w:rPr>
            <w:rStyle w:val="Hyperlink"/>
            <w:rFonts w:eastAsia="Aptos" w:cs="Arial"/>
            <w:noProof/>
            <w:sz w:val="22"/>
            <w:lang w:val="en-US"/>
          </w:rPr>
          <w:t>https://doi.org/10.1177/001440291307900206</w:t>
        </w:r>
      </w:hyperlink>
      <w:r w:rsidR="0054349C">
        <w:rPr>
          <w:rFonts w:eastAsia="Aptos" w:cs="Arial"/>
          <w:noProof/>
          <w:sz w:val="22"/>
          <w:lang w:val="en-US"/>
        </w:rPr>
        <w:t xml:space="preserve"> </w:t>
      </w:r>
      <w:r w:rsidRPr="00F33350">
        <w:rPr>
          <w:rFonts w:eastAsia="Aptos" w:cs="Arial"/>
          <w:noProof/>
          <w:sz w:val="22"/>
          <w:lang w:val="en-US"/>
        </w:rPr>
        <w:t xml:space="preserve"> </w:t>
      </w:r>
    </w:p>
    <w:p w14:paraId="0271F767" w14:textId="77777777" w:rsidR="00F33350" w:rsidRPr="00F33350" w:rsidRDefault="00F33350" w:rsidP="00F33350">
      <w:pPr>
        <w:spacing w:before="0" w:after="0"/>
        <w:ind w:left="720" w:hanging="720"/>
        <w:rPr>
          <w:rFonts w:eastAsia="Aptos" w:cs="Arial"/>
          <w:noProof/>
          <w:sz w:val="22"/>
          <w:lang w:val="en-US"/>
        </w:rPr>
      </w:pPr>
      <w:r w:rsidRPr="00F33350">
        <w:rPr>
          <w:rFonts w:eastAsia="Aptos" w:cs="Arial"/>
          <w:noProof/>
          <w:sz w:val="22"/>
          <w:lang w:val="en-US"/>
        </w:rPr>
        <w:tab/>
      </w:r>
    </w:p>
    <w:p w14:paraId="692CEB3B" w14:textId="6303E633" w:rsidR="00F33350" w:rsidRDefault="00F33350" w:rsidP="00F33350">
      <w:pPr>
        <w:spacing w:before="0" w:after="160"/>
        <w:ind w:left="720" w:hanging="720"/>
        <w:rPr>
          <w:rFonts w:eastAsia="Aptos" w:cs="Arial"/>
          <w:noProof/>
          <w:sz w:val="22"/>
          <w:lang w:val="en-US"/>
        </w:rPr>
      </w:pPr>
      <w:r w:rsidRPr="00F33350">
        <w:rPr>
          <w:rFonts w:eastAsia="Aptos" w:cs="Arial"/>
          <w:noProof/>
          <w:sz w:val="22"/>
          <w:lang w:val="en-US"/>
        </w:rPr>
        <w:t xml:space="preserve">Fixsen, D. L., Blasé, K. A., &amp; Van Dyke, M. K. (2019). </w:t>
      </w:r>
      <w:r w:rsidRPr="00F33350">
        <w:rPr>
          <w:rFonts w:eastAsia="Aptos" w:cs="Arial"/>
          <w:i/>
          <w:noProof/>
          <w:sz w:val="22"/>
          <w:lang w:val="en-US"/>
        </w:rPr>
        <w:t>Implementation practice and science.</w:t>
      </w:r>
      <w:r w:rsidRPr="00F33350">
        <w:rPr>
          <w:rFonts w:eastAsia="Aptos" w:cs="Arial"/>
          <w:noProof/>
          <w:sz w:val="22"/>
          <w:lang w:val="en-US"/>
        </w:rPr>
        <w:t xml:space="preserve"> Chapel Hill, NC: Active Implementation Research Network. Retrieved 6 September, 2024 from </w:t>
      </w:r>
      <w:hyperlink r:id="rId253" w:history="1">
        <w:r w:rsidR="0013462F" w:rsidRPr="00326476">
          <w:rPr>
            <w:rStyle w:val="Hyperlink"/>
            <w:rFonts w:eastAsia="Aptos" w:cs="Arial"/>
            <w:noProof/>
            <w:sz w:val="22"/>
            <w:lang w:val="en-US"/>
          </w:rPr>
          <w:t>https://nirn.fpg.unc.edu/sites/nirn.fpg.unc.edu/files/resources/NIRN-Briefs-1-ActiveImplementationPracticeAndScience-10-07-2016.pdf</w:t>
        </w:r>
      </w:hyperlink>
    </w:p>
    <w:p w14:paraId="7E47F9D3" w14:textId="77777777" w:rsidR="0013462F" w:rsidRPr="00F33350" w:rsidRDefault="0013462F" w:rsidP="00F33350">
      <w:pPr>
        <w:spacing w:before="0" w:after="160"/>
        <w:ind w:left="720" w:hanging="720"/>
        <w:rPr>
          <w:rFonts w:eastAsia="Aptos" w:cs="Arial"/>
          <w:noProof/>
          <w:sz w:val="22"/>
          <w:lang w:val="en-US"/>
        </w:rPr>
      </w:pPr>
    </w:p>
    <w:p w14:paraId="5A059A44" w14:textId="77777777" w:rsidR="0005018E" w:rsidRPr="0005018E" w:rsidRDefault="0005018E" w:rsidP="0005018E">
      <w:pPr>
        <w:spacing w:before="0" w:after="160"/>
        <w:ind w:left="720" w:hanging="720"/>
        <w:rPr>
          <w:rFonts w:eastAsia="Aptos" w:cs="Arial"/>
          <w:noProof/>
          <w:sz w:val="22"/>
          <w:lang w:val="en-US"/>
        </w:rPr>
      </w:pPr>
      <w:r w:rsidRPr="0005018E">
        <w:rPr>
          <w:rFonts w:eastAsia="Aptos" w:cs="Arial"/>
          <w:noProof/>
          <w:sz w:val="22"/>
          <w:lang w:val="en-US"/>
        </w:rPr>
        <w:t xml:space="preserve">Flaherty, E. M., &amp; Masters Glidden, L. (2000). Positive adjustment in parents rearing children with Down syndrome. </w:t>
      </w:r>
      <w:r w:rsidRPr="0005018E">
        <w:rPr>
          <w:rFonts w:eastAsia="Aptos" w:cs="Arial"/>
          <w:i/>
          <w:noProof/>
          <w:sz w:val="22"/>
          <w:lang w:val="en-US"/>
        </w:rPr>
        <w:t>Early Education and Development</w:t>
      </w:r>
      <w:r w:rsidRPr="0005018E">
        <w:rPr>
          <w:rFonts w:eastAsia="Aptos" w:cs="Arial"/>
          <w:noProof/>
          <w:sz w:val="22"/>
          <w:lang w:val="en-US"/>
        </w:rPr>
        <w:t>,</w:t>
      </w:r>
      <w:r w:rsidRPr="0005018E">
        <w:rPr>
          <w:rFonts w:eastAsia="Aptos" w:cs="Arial"/>
          <w:i/>
          <w:noProof/>
          <w:sz w:val="22"/>
          <w:lang w:val="en-US"/>
        </w:rPr>
        <w:t xml:space="preserve"> 11</w:t>
      </w:r>
      <w:r w:rsidRPr="0005018E">
        <w:rPr>
          <w:rFonts w:eastAsia="Aptos" w:cs="Arial"/>
          <w:noProof/>
          <w:sz w:val="22"/>
          <w:lang w:val="en-US"/>
        </w:rPr>
        <w:t xml:space="preserve">(4), 407-422. </w:t>
      </w:r>
    </w:p>
    <w:p w14:paraId="23FC1772" w14:textId="77777777" w:rsidR="0005018E" w:rsidRPr="0005018E" w:rsidRDefault="0005018E" w:rsidP="0005018E">
      <w:pPr>
        <w:spacing w:before="0" w:after="0"/>
        <w:ind w:left="720" w:hanging="720"/>
        <w:rPr>
          <w:rFonts w:eastAsia="Aptos" w:cs="Arial"/>
          <w:noProof/>
          <w:sz w:val="22"/>
          <w:lang w:val="en-US"/>
        </w:rPr>
      </w:pPr>
      <w:r w:rsidRPr="0005018E">
        <w:rPr>
          <w:rFonts w:eastAsia="Aptos" w:cs="Arial"/>
          <w:noProof/>
          <w:sz w:val="22"/>
          <w:lang w:val="en-US"/>
        </w:rPr>
        <w:tab/>
      </w:r>
    </w:p>
    <w:p w14:paraId="191C23BE" w14:textId="5A4A03ED" w:rsidR="0005018E" w:rsidRPr="0005018E" w:rsidRDefault="0005018E" w:rsidP="0005018E">
      <w:pPr>
        <w:spacing w:before="0" w:after="160"/>
        <w:ind w:left="720" w:hanging="720"/>
        <w:rPr>
          <w:rFonts w:eastAsia="Aptos" w:cs="Arial"/>
          <w:noProof/>
          <w:sz w:val="22"/>
          <w:lang w:val="en-US"/>
        </w:rPr>
      </w:pPr>
      <w:r w:rsidRPr="0005018E">
        <w:rPr>
          <w:rFonts w:eastAsia="Aptos" w:cs="Arial"/>
          <w:noProof/>
          <w:sz w:val="22"/>
          <w:lang w:val="en-US"/>
        </w:rPr>
        <w:t>Fletcher</w:t>
      </w:r>
      <w:r w:rsidRPr="0005018E">
        <w:rPr>
          <w:rFonts w:ascii="Cambria Math" w:eastAsia="Aptos" w:hAnsi="Cambria Math" w:cs="Cambria Math"/>
          <w:noProof/>
          <w:sz w:val="22"/>
          <w:lang w:val="en-US"/>
        </w:rPr>
        <w:t>‐</w:t>
      </w:r>
      <w:r w:rsidRPr="0005018E">
        <w:rPr>
          <w:rFonts w:eastAsia="Aptos" w:cs="Arial"/>
          <w:noProof/>
          <w:sz w:val="22"/>
          <w:lang w:val="en-US"/>
        </w:rPr>
        <w:t xml:space="preserve">Watson, S. (2022). Transdiagnostic research and the neurodiversity paradigm: commentary on the transdiagnostic revolution in neurodevelopmental disorders by Astle et al. </w:t>
      </w:r>
      <w:r w:rsidRPr="0005018E">
        <w:rPr>
          <w:rFonts w:eastAsia="Aptos" w:cs="Arial"/>
          <w:i/>
          <w:noProof/>
          <w:sz w:val="22"/>
          <w:lang w:val="en-US"/>
        </w:rPr>
        <w:t>Journal of Child Psychology and Psychiatry</w:t>
      </w:r>
      <w:r w:rsidRPr="0005018E">
        <w:rPr>
          <w:rFonts w:eastAsia="Aptos" w:cs="Arial"/>
          <w:noProof/>
          <w:sz w:val="22"/>
          <w:lang w:val="en-US"/>
        </w:rPr>
        <w:t>,</w:t>
      </w:r>
      <w:r w:rsidRPr="0005018E">
        <w:rPr>
          <w:rFonts w:eastAsia="Aptos" w:cs="Arial"/>
          <w:i/>
          <w:noProof/>
          <w:sz w:val="22"/>
          <w:lang w:val="en-US"/>
        </w:rPr>
        <w:t xml:space="preserve"> 63</w:t>
      </w:r>
      <w:r w:rsidRPr="0005018E">
        <w:rPr>
          <w:rFonts w:eastAsia="Aptos" w:cs="Arial"/>
          <w:noProof/>
          <w:sz w:val="22"/>
          <w:lang w:val="en-US"/>
        </w:rPr>
        <w:t xml:space="preserve">(4), 418-420. </w:t>
      </w:r>
      <w:hyperlink r:id="rId254" w:history="1">
        <w:r w:rsidR="0054349C" w:rsidRPr="00326476">
          <w:rPr>
            <w:rStyle w:val="Hyperlink"/>
            <w:rFonts w:eastAsia="Aptos" w:cs="Arial"/>
            <w:noProof/>
            <w:sz w:val="22"/>
            <w:lang w:val="en-US"/>
          </w:rPr>
          <w:t>https://doi.org/10.1111/jcpp.13589</w:t>
        </w:r>
      </w:hyperlink>
      <w:r w:rsidR="0054349C">
        <w:rPr>
          <w:rFonts w:eastAsia="Aptos" w:cs="Arial"/>
          <w:noProof/>
          <w:sz w:val="22"/>
          <w:lang w:val="en-US"/>
        </w:rPr>
        <w:t xml:space="preserve"> </w:t>
      </w:r>
      <w:r w:rsidRPr="0005018E">
        <w:rPr>
          <w:rFonts w:eastAsia="Aptos" w:cs="Arial"/>
          <w:noProof/>
          <w:sz w:val="22"/>
          <w:lang w:val="en-US"/>
        </w:rPr>
        <w:t xml:space="preserve"> </w:t>
      </w:r>
    </w:p>
    <w:p w14:paraId="6793F3C2" w14:textId="77777777" w:rsidR="0005018E" w:rsidRPr="0005018E" w:rsidRDefault="0005018E" w:rsidP="0005018E">
      <w:pPr>
        <w:spacing w:before="0" w:after="0"/>
        <w:ind w:left="720" w:hanging="720"/>
        <w:rPr>
          <w:rFonts w:eastAsia="Aptos" w:cs="Arial"/>
          <w:noProof/>
          <w:sz w:val="22"/>
          <w:lang w:val="en-US"/>
        </w:rPr>
      </w:pPr>
      <w:r w:rsidRPr="0005018E">
        <w:rPr>
          <w:rFonts w:eastAsia="Aptos" w:cs="Arial"/>
          <w:noProof/>
          <w:sz w:val="22"/>
          <w:lang w:val="en-US"/>
        </w:rPr>
        <w:tab/>
      </w:r>
    </w:p>
    <w:p w14:paraId="31FB3B1C" w14:textId="77777777" w:rsidR="0005018E" w:rsidRDefault="0005018E" w:rsidP="0005018E">
      <w:pPr>
        <w:spacing w:before="0" w:after="160"/>
        <w:ind w:left="720" w:hanging="720"/>
        <w:rPr>
          <w:rFonts w:eastAsia="Aptos" w:cs="Arial"/>
          <w:noProof/>
          <w:sz w:val="22"/>
          <w:lang w:val="en-US"/>
        </w:rPr>
      </w:pPr>
      <w:r w:rsidRPr="0005018E">
        <w:rPr>
          <w:rFonts w:eastAsia="Aptos" w:cs="Arial"/>
          <w:noProof/>
          <w:sz w:val="22"/>
          <w:lang w:val="en-US"/>
        </w:rPr>
        <w:t xml:space="preserve">Fonagy, P., Cottrell, D., Phillips, J., Bevington, D., Glaser, D., &amp; Allison, E. (2014). </w:t>
      </w:r>
      <w:r w:rsidRPr="0005018E">
        <w:rPr>
          <w:rFonts w:eastAsia="Aptos" w:cs="Arial"/>
          <w:i/>
          <w:noProof/>
          <w:sz w:val="22"/>
          <w:lang w:val="en-US"/>
        </w:rPr>
        <w:t>What works for whom?: a critical review of treatments for children and adolescents</w:t>
      </w:r>
      <w:r w:rsidRPr="0005018E">
        <w:rPr>
          <w:rFonts w:eastAsia="Aptos" w:cs="Arial"/>
          <w:noProof/>
          <w:sz w:val="22"/>
          <w:lang w:val="en-US"/>
        </w:rPr>
        <w:t xml:space="preserve"> (2nd ed.). New York: Guildford Press. </w:t>
      </w:r>
    </w:p>
    <w:p w14:paraId="698BCE42" w14:textId="77777777" w:rsidR="0013462F" w:rsidRPr="0005018E" w:rsidRDefault="0013462F" w:rsidP="0005018E">
      <w:pPr>
        <w:spacing w:before="0" w:after="160"/>
        <w:ind w:left="720" w:hanging="720"/>
        <w:rPr>
          <w:rFonts w:eastAsia="Aptos" w:cs="Arial"/>
          <w:noProof/>
          <w:sz w:val="22"/>
          <w:lang w:val="en-US"/>
        </w:rPr>
      </w:pPr>
    </w:p>
    <w:p w14:paraId="610C5E86" w14:textId="77777777" w:rsidR="00FA4B3B" w:rsidRPr="00FA4B3B" w:rsidRDefault="00FA4B3B" w:rsidP="00FA4B3B">
      <w:pPr>
        <w:spacing w:before="0" w:after="160"/>
        <w:ind w:left="720" w:hanging="720"/>
        <w:rPr>
          <w:rFonts w:eastAsia="Aptos" w:cs="Arial"/>
          <w:noProof/>
          <w:sz w:val="22"/>
          <w:lang w:val="en-US"/>
        </w:rPr>
      </w:pPr>
      <w:r w:rsidRPr="00FA4B3B">
        <w:rPr>
          <w:rFonts w:eastAsia="Aptos" w:cs="Arial"/>
          <w:noProof/>
          <w:sz w:val="22"/>
          <w:lang w:val="en-US"/>
        </w:rPr>
        <w:t>Fordham, L., Gibson, F., &amp; Bowes, J. (2012). Information and professional support: Key factors in the provision of family</w:t>
      </w:r>
      <w:r w:rsidRPr="00FA4B3B">
        <w:rPr>
          <w:rFonts w:ascii="Cambria Math" w:eastAsia="Aptos" w:hAnsi="Cambria Math" w:cs="Cambria Math"/>
          <w:noProof/>
          <w:sz w:val="22"/>
          <w:lang w:val="en-US"/>
        </w:rPr>
        <w:t>‐</w:t>
      </w:r>
      <w:r w:rsidRPr="00FA4B3B">
        <w:rPr>
          <w:rFonts w:eastAsia="Aptos" w:cs="Arial"/>
          <w:noProof/>
          <w:sz w:val="22"/>
          <w:lang w:val="en-US"/>
        </w:rPr>
        <w:t xml:space="preserve">centred early childhood intervention services. </w:t>
      </w:r>
      <w:r w:rsidRPr="00FA4B3B">
        <w:rPr>
          <w:rFonts w:eastAsia="Aptos" w:cs="Arial"/>
          <w:i/>
          <w:noProof/>
          <w:sz w:val="22"/>
          <w:lang w:val="en-US"/>
        </w:rPr>
        <w:t>Child: care, health and development</w:t>
      </w:r>
      <w:r w:rsidRPr="00FA4B3B">
        <w:rPr>
          <w:rFonts w:eastAsia="Aptos" w:cs="Arial"/>
          <w:noProof/>
          <w:sz w:val="22"/>
          <w:lang w:val="en-US"/>
        </w:rPr>
        <w:t>,</w:t>
      </w:r>
      <w:r w:rsidRPr="00FA4B3B">
        <w:rPr>
          <w:rFonts w:eastAsia="Aptos" w:cs="Arial"/>
          <w:i/>
          <w:noProof/>
          <w:sz w:val="22"/>
          <w:lang w:val="en-US"/>
        </w:rPr>
        <w:t xml:space="preserve"> 38</w:t>
      </w:r>
      <w:r w:rsidRPr="00FA4B3B">
        <w:rPr>
          <w:rFonts w:eastAsia="Aptos" w:cs="Arial"/>
          <w:noProof/>
          <w:sz w:val="22"/>
          <w:lang w:val="en-US"/>
        </w:rPr>
        <w:t xml:space="preserve">(5), 647-653. </w:t>
      </w:r>
    </w:p>
    <w:p w14:paraId="32932BD3" w14:textId="77777777" w:rsidR="00FA4B3B" w:rsidRPr="00FA4B3B" w:rsidRDefault="00FA4B3B" w:rsidP="00FA4B3B">
      <w:pPr>
        <w:spacing w:before="0" w:after="0"/>
        <w:ind w:left="720" w:hanging="720"/>
        <w:rPr>
          <w:rFonts w:eastAsia="Aptos" w:cs="Arial"/>
          <w:noProof/>
          <w:sz w:val="22"/>
          <w:lang w:val="en-US"/>
        </w:rPr>
      </w:pPr>
      <w:r w:rsidRPr="00FA4B3B">
        <w:rPr>
          <w:rFonts w:eastAsia="Aptos" w:cs="Arial"/>
          <w:noProof/>
          <w:sz w:val="22"/>
          <w:lang w:val="en-US"/>
        </w:rPr>
        <w:tab/>
      </w:r>
    </w:p>
    <w:p w14:paraId="5304FBC4" w14:textId="77777777" w:rsidR="00FA4B3B" w:rsidRPr="00FA4B3B" w:rsidRDefault="00FA4B3B" w:rsidP="00FA4B3B">
      <w:pPr>
        <w:spacing w:before="0" w:after="160"/>
        <w:ind w:left="720" w:hanging="720"/>
        <w:rPr>
          <w:rFonts w:eastAsia="Aptos" w:cs="Arial"/>
          <w:noProof/>
          <w:sz w:val="22"/>
          <w:lang w:val="en-US"/>
        </w:rPr>
      </w:pPr>
      <w:r w:rsidRPr="00FA4B3B">
        <w:rPr>
          <w:rFonts w:eastAsia="Aptos" w:cs="Arial"/>
          <w:noProof/>
          <w:sz w:val="22"/>
          <w:lang w:val="en-US"/>
        </w:rPr>
        <w:t xml:space="preserve">Fordham, L., &amp; Johnston, C. (2014). Family-centred practice for inclusive early years education. In </w:t>
      </w:r>
      <w:r w:rsidRPr="00FA4B3B">
        <w:rPr>
          <w:rFonts w:eastAsia="Aptos" w:cs="Arial"/>
          <w:i/>
          <w:noProof/>
          <w:sz w:val="22"/>
          <w:lang w:val="en-US"/>
        </w:rPr>
        <w:t>Inclusive education in the early years: Right from the start</w:t>
      </w:r>
      <w:r w:rsidRPr="00FA4B3B">
        <w:rPr>
          <w:rFonts w:eastAsia="Aptos" w:cs="Arial"/>
          <w:noProof/>
          <w:sz w:val="22"/>
          <w:lang w:val="en-US"/>
        </w:rPr>
        <w:t xml:space="preserve"> (pp. 171-188). Oxford University Press. </w:t>
      </w:r>
    </w:p>
    <w:p w14:paraId="013B7E4D" w14:textId="77777777" w:rsidR="00FA4B3B" w:rsidRPr="00FA4B3B" w:rsidRDefault="00FA4B3B" w:rsidP="00FA4B3B">
      <w:pPr>
        <w:spacing w:before="0" w:after="0"/>
        <w:ind w:left="720" w:hanging="720"/>
        <w:rPr>
          <w:rFonts w:eastAsia="Aptos" w:cs="Arial"/>
          <w:noProof/>
          <w:sz w:val="22"/>
          <w:lang w:val="en-US"/>
        </w:rPr>
      </w:pPr>
      <w:r w:rsidRPr="00FA4B3B">
        <w:rPr>
          <w:rFonts w:eastAsia="Aptos" w:cs="Arial"/>
          <w:noProof/>
          <w:sz w:val="22"/>
          <w:lang w:val="en-US"/>
        </w:rPr>
        <w:tab/>
      </w:r>
    </w:p>
    <w:p w14:paraId="6268F942" w14:textId="4F73BB20" w:rsidR="00FA4B3B" w:rsidRDefault="00FA4B3B" w:rsidP="00FA4B3B">
      <w:pPr>
        <w:spacing w:before="0" w:after="160"/>
        <w:ind w:left="720" w:hanging="720"/>
        <w:rPr>
          <w:rFonts w:eastAsia="Aptos" w:cs="Arial"/>
          <w:noProof/>
          <w:sz w:val="22"/>
          <w:lang w:val="en-US"/>
        </w:rPr>
      </w:pPr>
      <w:r w:rsidRPr="00FA4B3B">
        <w:rPr>
          <w:rFonts w:eastAsia="Aptos" w:cs="Arial"/>
          <w:noProof/>
          <w:sz w:val="22"/>
          <w:lang w:val="en-US"/>
        </w:rPr>
        <w:t xml:space="preserve">Forlin, C. I., Chambers, D. J., Loreman, T., Deppler, J., &amp; Sharma, U. (2013). </w:t>
      </w:r>
      <w:r w:rsidRPr="00FA4B3B">
        <w:rPr>
          <w:rFonts w:eastAsia="Aptos" w:cs="Arial"/>
          <w:i/>
          <w:noProof/>
          <w:sz w:val="22"/>
          <w:lang w:val="en-US"/>
        </w:rPr>
        <w:t>Inclusive education for students with disability: A review of the best evidence in relation to theory and practice</w:t>
      </w:r>
      <w:r w:rsidRPr="00FA4B3B">
        <w:rPr>
          <w:rFonts w:eastAsia="Aptos" w:cs="Arial"/>
          <w:noProof/>
          <w:sz w:val="22"/>
          <w:lang w:val="en-US"/>
        </w:rPr>
        <w:t xml:space="preserve">. Canberra, ACT: Australian Research Alliance for Children and Youth (ARACY). Retrieved 6 September, 2024 from </w:t>
      </w:r>
      <w:hyperlink r:id="rId255" w:history="1">
        <w:r w:rsidR="0013462F" w:rsidRPr="00326476">
          <w:rPr>
            <w:rStyle w:val="Hyperlink"/>
            <w:rFonts w:eastAsia="Aptos" w:cs="Arial"/>
            <w:noProof/>
            <w:sz w:val="22"/>
            <w:lang w:val="en-US"/>
          </w:rPr>
          <w:t>https://www.aracy.org.au/publications-resources/command/download_file/id/246/filename/Inclusive_education_for_students_with_disability_-_A_review_of_the_best_evidence_in_relation_to_theory_and_practice.pdf</w:t>
        </w:r>
      </w:hyperlink>
    </w:p>
    <w:p w14:paraId="613C2C40" w14:textId="77777777" w:rsidR="0013462F" w:rsidRPr="00FA4B3B" w:rsidRDefault="0013462F" w:rsidP="00FA4B3B">
      <w:pPr>
        <w:spacing w:before="0" w:after="160"/>
        <w:ind w:left="720" w:hanging="720"/>
        <w:rPr>
          <w:rFonts w:eastAsia="Aptos" w:cs="Arial"/>
          <w:noProof/>
          <w:sz w:val="22"/>
          <w:lang w:val="en-US"/>
        </w:rPr>
      </w:pPr>
    </w:p>
    <w:p w14:paraId="37C93B05" w14:textId="148229D1" w:rsidR="0006727B" w:rsidRPr="0006727B" w:rsidRDefault="0006727B" w:rsidP="0006727B">
      <w:pPr>
        <w:spacing w:before="0" w:after="160"/>
        <w:ind w:left="720" w:hanging="720"/>
        <w:rPr>
          <w:rFonts w:eastAsia="Aptos" w:cs="Arial"/>
          <w:noProof/>
          <w:sz w:val="22"/>
          <w:lang w:val="en-US"/>
        </w:rPr>
      </w:pPr>
      <w:r w:rsidRPr="0006727B">
        <w:rPr>
          <w:rFonts w:eastAsia="Aptos" w:cs="Arial"/>
          <w:noProof/>
          <w:sz w:val="22"/>
          <w:lang w:val="en-US"/>
        </w:rPr>
        <w:t xml:space="preserve">Forsingdal, S., St John, W., Miller, V., Harvey, A., &amp; Wearne, P. (2013). Goal setting with mothers in child development services. </w:t>
      </w:r>
      <w:r w:rsidRPr="0006727B">
        <w:rPr>
          <w:rFonts w:eastAsia="Aptos" w:cs="Arial"/>
          <w:i/>
          <w:noProof/>
          <w:sz w:val="22"/>
          <w:lang w:val="en-US"/>
        </w:rPr>
        <w:t>Child: care, health and development</w:t>
      </w:r>
      <w:r w:rsidRPr="0006727B">
        <w:rPr>
          <w:rFonts w:eastAsia="Aptos" w:cs="Arial"/>
          <w:noProof/>
          <w:sz w:val="22"/>
          <w:lang w:val="en-US"/>
        </w:rPr>
        <w:t>,</w:t>
      </w:r>
      <w:r w:rsidRPr="0006727B">
        <w:rPr>
          <w:rFonts w:eastAsia="Aptos" w:cs="Arial"/>
          <w:i/>
          <w:noProof/>
          <w:sz w:val="22"/>
          <w:lang w:val="en-US"/>
        </w:rPr>
        <w:t xml:space="preserve"> 40</w:t>
      </w:r>
      <w:r w:rsidRPr="0006727B">
        <w:rPr>
          <w:rFonts w:eastAsia="Aptos" w:cs="Arial"/>
          <w:noProof/>
          <w:sz w:val="22"/>
          <w:lang w:val="en-US"/>
        </w:rPr>
        <w:t xml:space="preserve">(4), 587-596. </w:t>
      </w:r>
      <w:hyperlink r:id="rId256" w:history="1">
        <w:r w:rsidR="0054349C" w:rsidRPr="00326476">
          <w:rPr>
            <w:rStyle w:val="Hyperlink"/>
            <w:rFonts w:eastAsia="Aptos" w:cs="Arial"/>
            <w:noProof/>
            <w:sz w:val="22"/>
            <w:lang w:val="en-US"/>
          </w:rPr>
          <w:t>https://doi.org/10.1111/cch.12075</w:t>
        </w:r>
      </w:hyperlink>
      <w:r w:rsidR="0054349C">
        <w:rPr>
          <w:rFonts w:eastAsia="Aptos" w:cs="Arial"/>
          <w:noProof/>
          <w:sz w:val="22"/>
          <w:lang w:val="en-US"/>
        </w:rPr>
        <w:t xml:space="preserve"> </w:t>
      </w:r>
      <w:r w:rsidRPr="0006727B">
        <w:rPr>
          <w:rFonts w:eastAsia="Aptos" w:cs="Arial"/>
          <w:noProof/>
          <w:sz w:val="22"/>
          <w:lang w:val="en-US"/>
        </w:rPr>
        <w:t xml:space="preserve"> </w:t>
      </w:r>
    </w:p>
    <w:p w14:paraId="3DE9FB8B" w14:textId="77777777" w:rsidR="0006727B" w:rsidRPr="0006727B" w:rsidRDefault="0006727B" w:rsidP="0006727B">
      <w:pPr>
        <w:spacing w:before="0" w:after="0"/>
        <w:ind w:left="720" w:hanging="720"/>
        <w:rPr>
          <w:rFonts w:eastAsia="Aptos" w:cs="Arial"/>
          <w:noProof/>
          <w:sz w:val="22"/>
          <w:lang w:val="en-US"/>
        </w:rPr>
      </w:pPr>
      <w:r w:rsidRPr="0006727B">
        <w:rPr>
          <w:rFonts w:eastAsia="Aptos" w:cs="Arial"/>
          <w:noProof/>
          <w:sz w:val="22"/>
          <w:lang w:val="en-US"/>
        </w:rPr>
        <w:tab/>
      </w:r>
    </w:p>
    <w:p w14:paraId="5463DD56" w14:textId="77777777" w:rsidR="0006727B" w:rsidRPr="0006727B" w:rsidRDefault="0006727B" w:rsidP="0006727B">
      <w:pPr>
        <w:spacing w:before="0" w:after="160"/>
        <w:ind w:left="720" w:hanging="720"/>
        <w:rPr>
          <w:rFonts w:eastAsia="Aptos" w:cs="Arial"/>
          <w:noProof/>
          <w:sz w:val="22"/>
          <w:lang w:val="en-US"/>
        </w:rPr>
      </w:pPr>
      <w:r w:rsidRPr="0006727B">
        <w:rPr>
          <w:rFonts w:eastAsia="Aptos" w:cs="Arial"/>
          <w:noProof/>
          <w:sz w:val="22"/>
          <w:lang w:val="en-US"/>
        </w:rPr>
        <w:t xml:space="preserve">Forster, J. (2017). Development of community-based services for children with disabilities and their families. In </w:t>
      </w:r>
      <w:r w:rsidRPr="0006727B">
        <w:rPr>
          <w:rFonts w:eastAsia="Aptos" w:cs="Arial"/>
          <w:i/>
          <w:noProof/>
          <w:sz w:val="22"/>
          <w:lang w:val="en-US"/>
        </w:rPr>
        <w:t>Early Childhood Intervention: Working with Families of Young Children with Special Needs</w:t>
      </w:r>
      <w:r w:rsidRPr="0006727B">
        <w:rPr>
          <w:rFonts w:eastAsia="Aptos" w:cs="Arial"/>
          <w:noProof/>
          <w:sz w:val="22"/>
          <w:lang w:val="en-US"/>
        </w:rPr>
        <w:t xml:space="preserve"> (pp. 159-179). London and New York: Routledge. </w:t>
      </w:r>
    </w:p>
    <w:p w14:paraId="162EFDEB" w14:textId="77777777" w:rsidR="0006727B" w:rsidRPr="0006727B" w:rsidRDefault="0006727B" w:rsidP="0006727B">
      <w:pPr>
        <w:spacing w:before="0" w:after="0"/>
        <w:ind w:left="720" w:hanging="720"/>
        <w:rPr>
          <w:rFonts w:eastAsia="Aptos" w:cs="Arial"/>
          <w:noProof/>
          <w:sz w:val="22"/>
          <w:lang w:val="en-US"/>
        </w:rPr>
      </w:pPr>
      <w:r w:rsidRPr="0006727B">
        <w:rPr>
          <w:rFonts w:eastAsia="Aptos" w:cs="Arial"/>
          <w:noProof/>
          <w:sz w:val="22"/>
          <w:lang w:val="en-US"/>
        </w:rPr>
        <w:tab/>
      </w:r>
    </w:p>
    <w:p w14:paraId="23CFD366" w14:textId="64D1AE0A" w:rsidR="0006727B" w:rsidRDefault="0006727B" w:rsidP="0006727B">
      <w:pPr>
        <w:spacing w:before="0" w:after="160"/>
        <w:ind w:left="720" w:hanging="720"/>
        <w:rPr>
          <w:rFonts w:eastAsia="Aptos" w:cs="Arial"/>
          <w:noProof/>
          <w:sz w:val="22"/>
          <w:lang w:val="en-US"/>
        </w:rPr>
      </w:pPr>
      <w:r w:rsidRPr="0006727B">
        <w:rPr>
          <w:rFonts w:eastAsia="Aptos" w:cs="Arial"/>
          <w:noProof/>
          <w:sz w:val="22"/>
          <w:lang w:val="en-US"/>
        </w:rPr>
        <w:t>Fortune, A., Perkins, E., Paize, F., Palanisami, B., &amp; Gladstone, M. (2023). Managing mothers' and fathers' uncertainty during their journey through early neurodevelopmental follow</w:t>
      </w:r>
      <w:r w:rsidRPr="0006727B">
        <w:rPr>
          <w:rFonts w:ascii="Cambria Math" w:eastAsia="Aptos" w:hAnsi="Cambria Math" w:cs="Cambria Math"/>
          <w:noProof/>
          <w:sz w:val="22"/>
          <w:lang w:val="en-US"/>
        </w:rPr>
        <w:t>‐</w:t>
      </w:r>
      <w:r w:rsidRPr="0006727B">
        <w:rPr>
          <w:rFonts w:eastAsia="Aptos" w:cs="Arial"/>
          <w:noProof/>
          <w:sz w:val="22"/>
          <w:lang w:val="en-US"/>
        </w:rPr>
        <w:t>up for their high</w:t>
      </w:r>
      <w:r w:rsidRPr="0006727B">
        <w:rPr>
          <w:rFonts w:ascii="Cambria Math" w:eastAsia="Aptos" w:hAnsi="Cambria Math" w:cs="Cambria Math"/>
          <w:noProof/>
          <w:sz w:val="22"/>
          <w:lang w:val="en-US"/>
        </w:rPr>
        <w:t>‐</w:t>
      </w:r>
      <w:r w:rsidRPr="0006727B">
        <w:rPr>
          <w:rFonts w:eastAsia="Aptos" w:cs="Arial"/>
          <w:noProof/>
          <w:sz w:val="22"/>
          <w:lang w:val="en-US"/>
        </w:rPr>
        <w:t xml:space="preserve">risk infants—A qualitative account. </w:t>
      </w:r>
      <w:r w:rsidRPr="0006727B">
        <w:rPr>
          <w:rFonts w:eastAsia="Aptos" w:cs="Arial"/>
          <w:i/>
          <w:noProof/>
          <w:sz w:val="22"/>
          <w:lang w:val="en-US"/>
        </w:rPr>
        <w:t>Child: care, health and development</w:t>
      </w:r>
      <w:r w:rsidRPr="0006727B">
        <w:rPr>
          <w:rFonts w:eastAsia="Aptos" w:cs="Arial"/>
          <w:noProof/>
          <w:sz w:val="22"/>
          <w:lang w:val="en-US"/>
        </w:rPr>
        <w:t>,</w:t>
      </w:r>
      <w:r w:rsidRPr="0006727B">
        <w:rPr>
          <w:rFonts w:eastAsia="Aptos" w:cs="Arial"/>
          <w:i/>
          <w:noProof/>
          <w:sz w:val="22"/>
          <w:lang w:val="en-US"/>
        </w:rPr>
        <w:t xml:space="preserve"> 50</w:t>
      </w:r>
      <w:r w:rsidRPr="0006727B">
        <w:rPr>
          <w:rFonts w:eastAsia="Aptos" w:cs="Arial"/>
          <w:noProof/>
          <w:sz w:val="22"/>
          <w:lang w:val="en-US"/>
        </w:rPr>
        <w:t xml:space="preserve">(1), e13168. </w:t>
      </w:r>
      <w:hyperlink r:id="rId257" w:history="1">
        <w:r w:rsidR="0013462F" w:rsidRPr="00326476">
          <w:rPr>
            <w:rStyle w:val="Hyperlink"/>
            <w:rFonts w:eastAsia="Aptos" w:cs="Arial"/>
            <w:noProof/>
            <w:sz w:val="22"/>
            <w:lang w:val="en-US"/>
          </w:rPr>
          <w:t>https://doi.org/10.1111/cch.13168</w:t>
        </w:r>
      </w:hyperlink>
      <w:r w:rsidRPr="0006727B">
        <w:rPr>
          <w:rFonts w:eastAsia="Aptos" w:cs="Arial"/>
          <w:noProof/>
          <w:sz w:val="22"/>
          <w:lang w:val="en-US"/>
        </w:rPr>
        <w:t xml:space="preserve"> </w:t>
      </w:r>
    </w:p>
    <w:p w14:paraId="19293027" w14:textId="77777777" w:rsidR="0013462F" w:rsidRPr="0006727B" w:rsidRDefault="0013462F" w:rsidP="0006727B">
      <w:pPr>
        <w:spacing w:before="0" w:after="160"/>
        <w:ind w:left="720" w:hanging="720"/>
        <w:rPr>
          <w:rFonts w:eastAsia="Aptos" w:cs="Arial"/>
          <w:noProof/>
          <w:sz w:val="22"/>
          <w:lang w:val="en-US"/>
        </w:rPr>
      </w:pPr>
    </w:p>
    <w:p w14:paraId="6A3B918D" w14:textId="4C5D45E0" w:rsidR="00E91047" w:rsidRPr="00E91047" w:rsidRDefault="00E91047" w:rsidP="00E91047">
      <w:pPr>
        <w:spacing w:before="0" w:after="160"/>
        <w:ind w:left="720" w:hanging="720"/>
        <w:rPr>
          <w:rFonts w:eastAsia="Aptos" w:cs="Arial"/>
          <w:noProof/>
          <w:sz w:val="22"/>
          <w:lang w:val="en-US"/>
        </w:rPr>
      </w:pPr>
      <w:r w:rsidRPr="00E91047">
        <w:rPr>
          <w:rFonts w:eastAsia="Aptos" w:cs="Arial"/>
          <w:noProof/>
          <w:sz w:val="22"/>
          <w:lang w:val="en-US"/>
        </w:rPr>
        <w:t xml:space="preserve">Fox, L. (2017). </w:t>
      </w:r>
      <w:r w:rsidRPr="00E91047">
        <w:rPr>
          <w:rFonts w:eastAsia="Aptos" w:cs="Arial"/>
          <w:i/>
          <w:noProof/>
          <w:sz w:val="22"/>
          <w:lang w:val="en-US"/>
        </w:rPr>
        <w:t>Supporting Practitioners in their Implementation of Recommended Practices: Using Practice Based Coaching</w:t>
      </w:r>
      <w:r w:rsidRPr="00E91047">
        <w:rPr>
          <w:rFonts w:eastAsia="Aptos" w:cs="Arial"/>
          <w:noProof/>
          <w:sz w:val="22"/>
          <w:lang w:val="en-US"/>
        </w:rPr>
        <w:t xml:space="preserve">. Chapel Hill, North Carolina: Early Childhood Technical Assistance (ECTA) Centre, FPG Child Development Institute, University of North Carolina at Chapel Hill. Retrieved September 6, 2024,  </w:t>
      </w:r>
      <w:hyperlink r:id="rId258" w:history="1">
        <w:r w:rsidR="0054349C" w:rsidRPr="00326476">
          <w:rPr>
            <w:rStyle w:val="Hyperlink"/>
            <w:rFonts w:eastAsia="Aptos" w:cs="Arial"/>
            <w:noProof/>
            <w:sz w:val="22"/>
            <w:lang w:val="en-US"/>
          </w:rPr>
          <w:t>https://ectacenter.org/~calls/2017/learninglab-supporting.asp</w:t>
        </w:r>
      </w:hyperlink>
      <w:r w:rsidR="0054349C">
        <w:rPr>
          <w:rFonts w:eastAsia="Aptos" w:cs="Arial"/>
          <w:noProof/>
          <w:sz w:val="22"/>
          <w:lang w:val="en-US"/>
        </w:rPr>
        <w:t xml:space="preserve"> </w:t>
      </w:r>
    </w:p>
    <w:p w14:paraId="0A4BC48A" w14:textId="77777777" w:rsidR="00E91047" w:rsidRPr="00E91047" w:rsidRDefault="00E91047" w:rsidP="00E91047">
      <w:pPr>
        <w:spacing w:before="0" w:after="0"/>
        <w:ind w:left="720" w:hanging="720"/>
        <w:rPr>
          <w:rFonts w:eastAsia="Aptos" w:cs="Arial"/>
          <w:noProof/>
          <w:sz w:val="22"/>
          <w:lang w:val="en-US"/>
        </w:rPr>
      </w:pPr>
      <w:r w:rsidRPr="00E91047">
        <w:rPr>
          <w:rFonts w:eastAsia="Aptos" w:cs="Arial"/>
          <w:noProof/>
          <w:sz w:val="22"/>
          <w:lang w:val="en-US"/>
        </w:rPr>
        <w:tab/>
      </w:r>
    </w:p>
    <w:p w14:paraId="17BF8E58" w14:textId="77777777" w:rsidR="00E91047" w:rsidRDefault="00E91047" w:rsidP="00E91047">
      <w:pPr>
        <w:spacing w:before="0" w:after="160"/>
        <w:ind w:left="720" w:hanging="720"/>
        <w:rPr>
          <w:rFonts w:eastAsia="Aptos" w:cs="Arial"/>
          <w:noProof/>
          <w:sz w:val="22"/>
          <w:lang w:val="en-US"/>
        </w:rPr>
      </w:pPr>
      <w:r w:rsidRPr="00E91047">
        <w:rPr>
          <w:rFonts w:eastAsia="Aptos" w:cs="Arial"/>
          <w:noProof/>
          <w:sz w:val="22"/>
          <w:lang w:val="en-US"/>
        </w:rPr>
        <w:t xml:space="preserve">Fox, S. E., Levitt, P., &amp; Nelson III, C. A. (2010). How the timing and quality of early experiences influence the development of brain architecture. </w:t>
      </w:r>
      <w:r w:rsidRPr="00E91047">
        <w:rPr>
          <w:rFonts w:eastAsia="Aptos" w:cs="Arial"/>
          <w:i/>
          <w:noProof/>
          <w:sz w:val="22"/>
          <w:lang w:val="en-US"/>
        </w:rPr>
        <w:t>Child development</w:t>
      </w:r>
      <w:r w:rsidRPr="00E91047">
        <w:rPr>
          <w:rFonts w:eastAsia="Aptos" w:cs="Arial"/>
          <w:noProof/>
          <w:sz w:val="22"/>
          <w:lang w:val="en-US"/>
        </w:rPr>
        <w:t>,</w:t>
      </w:r>
      <w:r w:rsidRPr="00E91047">
        <w:rPr>
          <w:rFonts w:eastAsia="Aptos" w:cs="Arial"/>
          <w:i/>
          <w:noProof/>
          <w:sz w:val="22"/>
          <w:lang w:val="en-US"/>
        </w:rPr>
        <w:t xml:space="preserve"> 81</w:t>
      </w:r>
      <w:r w:rsidRPr="00E91047">
        <w:rPr>
          <w:rFonts w:eastAsia="Aptos" w:cs="Arial"/>
          <w:noProof/>
          <w:sz w:val="22"/>
          <w:lang w:val="en-US"/>
        </w:rPr>
        <w:t xml:space="preserve">(1), 28-40. </w:t>
      </w:r>
    </w:p>
    <w:p w14:paraId="760FABC9" w14:textId="77777777" w:rsidR="0013462F" w:rsidRPr="00E91047" w:rsidRDefault="0013462F" w:rsidP="00E91047">
      <w:pPr>
        <w:spacing w:before="0" w:after="160"/>
        <w:ind w:left="720" w:hanging="720"/>
        <w:rPr>
          <w:rFonts w:eastAsia="Aptos" w:cs="Arial"/>
          <w:noProof/>
          <w:sz w:val="22"/>
          <w:lang w:val="en-US"/>
        </w:rPr>
      </w:pPr>
    </w:p>
    <w:p w14:paraId="2D762D28" w14:textId="77777777" w:rsidR="004A0BE2" w:rsidRDefault="004A0BE2" w:rsidP="004A0BE2">
      <w:pPr>
        <w:spacing w:before="0" w:after="160"/>
        <w:ind w:left="720" w:hanging="720"/>
        <w:rPr>
          <w:rFonts w:eastAsia="Aptos" w:cs="Arial"/>
          <w:noProof/>
          <w:sz w:val="22"/>
          <w:lang w:val="en-US"/>
        </w:rPr>
      </w:pPr>
      <w:r w:rsidRPr="004A0BE2">
        <w:rPr>
          <w:rFonts w:eastAsia="Aptos" w:cs="Arial"/>
          <w:noProof/>
          <w:sz w:val="22"/>
          <w:lang w:val="en-US"/>
        </w:rPr>
        <w:t xml:space="preserve">Frankel, E. B., Underwood, K., &amp; Goldstein, P. (2017). Early intervention for young children. In I. B. M.L. Wehmeyer, M. Percy, W.L. Alan Fung, and K.A. Shogren (Ed.), </w:t>
      </w:r>
      <w:r w:rsidRPr="004A0BE2">
        <w:rPr>
          <w:rFonts w:eastAsia="Aptos" w:cs="Arial"/>
          <w:i/>
          <w:noProof/>
          <w:sz w:val="22"/>
          <w:lang w:val="en-US"/>
        </w:rPr>
        <w:t>A comprehensive guide to intellectual and developmental disabilities</w:t>
      </w:r>
      <w:r w:rsidRPr="004A0BE2">
        <w:rPr>
          <w:rFonts w:eastAsia="Aptos" w:cs="Arial"/>
          <w:noProof/>
          <w:sz w:val="22"/>
          <w:lang w:val="en-US"/>
        </w:rPr>
        <w:t xml:space="preserve"> (2nd ed.). Baltimore, MD: Paul H Brookes Publishing Co. </w:t>
      </w:r>
    </w:p>
    <w:p w14:paraId="140021C0" w14:textId="77777777" w:rsidR="0013462F" w:rsidRPr="004A0BE2" w:rsidRDefault="0013462F" w:rsidP="004A0BE2">
      <w:pPr>
        <w:spacing w:before="0" w:after="160"/>
        <w:ind w:left="720" w:hanging="720"/>
        <w:rPr>
          <w:rFonts w:eastAsia="Aptos" w:cs="Arial"/>
          <w:noProof/>
          <w:sz w:val="22"/>
          <w:lang w:val="en-US"/>
        </w:rPr>
      </w:pPr>
    </w:p>
    <w:p w14:paraId="75FFACAE" w14:textId="08EAA1B1" w:rsidR="007F4A7D" w:rsidRPr="007F4A7D" w:rsidRDefault="007F4A7D" w:rsidP="007F4A7D">
      <w:pPr>
        <w:spacing w:before="0" w:after="160"/>
        <w:ind w:left="720" w:hanging="720"/>
        <w:rPr>
          <w:rFonts w:eastAsia="Aptos" w:cs="Arial"/>
          <w:noProof/>
          <w:sz w:val="22"/>
          <w:lang w:val="en-US"/>
        </w:rPr>
      </w:pPr>
      <w:r w:rsidRPr="007F4A7D">
        <w:rPr>
          <w:rFonts w:eastAsia="Aptos" w:cs="Arial"/>
          <w:noProof/>
          <w:sz w:val="22"/>
          <w:lang w:val="en-US"/>
        </w:rPr>
        <w:t xml:space="preserve">Frantz, R., Hansen, S. G., Squires, J., &amp; Machalicek, W. (2018). Families as partners: Supporting family resiliency through early intervention. </w:t>
      </w:r>
      <w:r w:rsidRPr="007F4A7D">
        <w:rPr>
          <w:rFonts w:eastAsia="Aptos" w:cs="Arial"/>
          <w:i/>
          <w:noProof/>
          <w:sz w:val="22"/>
          <w:lang w:val="en-US"/>
        </w:rPr>
        <w:t>Infants &amp; Young Children</w:t>
      </w:r>
      <w:r w:rsidRPr="007F4A7D">
        <w:rPr>
          <w:rFonts w:eastAsia="Aptos" w:cs="Arial"/>
          <w:noProof/>
          <w:sz w:val="22"/>
          <w:lang w:val="en-US"/>
        </w:rPr>
        <w:t>,</w:t>
      </w:r>
      <w:r w:rsidRPr="007F4A7D">
        <w:rPr>
          <w:rFonts w:eastAsia="Aptos" w:cs="Arial"/>
          <w:i/>
          <w:noProof/>
          <w:sz w:val="22"/>
          <w:lang w:val="en-US"/>
        </w:rPr>
        <w:t xml:space="preserve"> 31</w:t>
      </w:r>
      <w:r w:rsidRPr="007F4A7D">
        <w:rPr>
          <w:rFonts w:eastAsia="Aptos" w:cs="Arial"/>
          <w:noProof/>
          <w:sz w:val="22"/>
          <w:lang w:val="en-US"/>
        </w:rPr>
        <w:t xml:space="preserve">(1), 3-19. </w:t>
      </w:r>
      <w:hyperlink r:id="rId259" w:history="1">
        <w:r w:rsidR="0054349C" w:rsidRPr="00326476">
          <w:rPr>
            <w:rStyle w:val="Hyperlink"/>
            <w:rFonts w:eastAsia="Aptos" w:cs="Arial"/>
            <w:noProof/>
            <w:sz w:val="22"/>
            <w:lang w:val="en-US"/>
          </w:rPr>
          <w:t>https://doi.org/10.1097/IYC.0000000000000109</w:t>
        </w:r>
      </w:hyperlink>
      <w:r w:rsidR="0054349C">
        <w:rPr>
          <w:rFonts w:eastAsia="Aptos" w:cs="Arial"/>
          <w:noProof/>
          <w:sz w:val="22"/>
          <w:lang w:val="en-US"/>
        </w:rPr>
        <w:t xml:space="preserve"> </w:t>
      </w:r>
      <w:r w:rsidRPr="007F4A7D">
        <w:rPr>
          <w:rFonts w:eastAsia="Aptos" w:cs="Arial"/>
          <w:noProof/>
          <w:sz w:val="22"/>
          <w:lang w:val="en-US"/>
        </w:rPr>
        <w:t xml:space="preserve"> </w:t>
      </w:r>
    </w:p>
    <w:p w14:paraId="6C90916F" w14:textId="77777777" w:rsidR="007F4A7D" w:rsidRPr="007F4A7D" w:rsidRDefault="007F4A7D" w:rsidP="007F4A7D">
      <w:pPr>
        <w:spacing w:before="0" w:after="0"/>
        <w:ind w:left="720" w:hanging="720"/>
        <w:rPr>
          <w:rFonts w:eastAsia="Aptos" w:cs="Arial"/>
          <w:noProof/>
          <w:sz w:val="22"/>
          <w:lang w:val="en-US"/>
        </w:rPr>
      </w:pPr>
      <w:r w:rsidRPr="007F4A7D">
        <w:rPr>
          <w:rFonts w:eastAsia="Aptos" w:cs="Arial"/>
          <w:noProof/>
          <w:sz w:val="22"/>
          <w:lang w:val="en-US"/>
        </w:rPr>
        <w:tab/>
      </w:r>
    </w:p>
    <w:p w14:paraId="012843D8" w14:textId="73866064" w:rsidR="007F4A7D" w:rsidRPr="007F4A7D" w:rsidRDefault="007F4A7D" w:rsidP="007F4A7D">
      <w:pPr>
        <w:spacing w:before="0" w:after="160"/>
        <w:ind w:left="720" w:hanging="720"/>
        <w:rPr>
          <w:rFonts w:eastAsia="Aptos" w:cs="Arial"/>
          <w:noProof/>
          <w:sz w:val="22"/>
          <w:lang w:val="en-US"/>
        </w:rPr>
      </w:pPr>
      <w:r w:rsidRPr="007F4A7D">
        <w:rPr>
          <w:rFonts w:eastAsia="Aptos" w:cs="Arial"/>
          <w:noProof/>
          <w:sz w:val="22"/>
          <w:lang w:val="en-US"/>
        </w:rPr>
        <w:t xml:space="preserve">Friedman, E. M., Karlamangla, A. S., Gruenewald, T. L., Koretz, B., &amp; Seeman, T. E. (2015). Early life adversity and adult biological risk profiles. </w:t>
      </w:r>
      <w:r w:rsidRPr="007F4A7D">
        <w:rPr>
          <w:rFonts w:eastAsia="Aptos" w:cs="Arial"/>
          <w:i/>
          <w:noProof/>
          <w:sz w:val="22"/>
          <w:lang w:val="en-US"/>
        </w:rPr>
        <w:t>Psychosomatic medicine</w:t>
      </w:r>
      <w:r w:rsidRPr="007F4A7D">
        <w:rPr>
          <w:rFonts w:eastAsia="Aptos" w:cs="Arial"/>
          <w:noProof/>
          <w:sz w:val="22"/>
          <w:lang w:val="en-US"/>
        </w:rPr>
        <w:t>,</w:t>
      </w:r>
      <w:r w:rsidRPr="007F4A7D">
        <w:rPr>
          <w:rFonts w:eastAsia="Aptos" w:cs="Arial"/>
          <w:i/>
          <w:noProof/>
          <w:sz w:val="22"/>
          <w:lang w:val="en-US"/>
        </w:rPr>
        <w:t xml:space="preserve"> 77</w:t>
      </w:r>
      <w:r w:rsidRPr="007F4A7D">
        <w:rPr>
          <w:rFonts w:eastAsia="Aptos" w:cs="Arial"/>
          <w:noProof/>
          <w:sz w:val="22"/>
          <w:lang w:val="en-US"/>
        </w:rPr>
        <w:t xml:space="preserve">(2), 176-185. </w:t>
      </w:r>
      <w:hyperlink r:id="rId260" w:history="1">
        <w:r w:rsidR="0054349C" w:rsidRPr="00326476">
          <w:rPr>
            <w:rStyle w:val="Hyperlink"/>
            <w:rFonts w:eastAsia="Aptos" w:cs="Arial"/>
            <w:noProof/>
            <w:sz w:val="22"/>
            <w:lang w:val="en-US"/>
          </w:rPr>
          <w:t>https://doi.org/10.1097/PSY.0000000000000147</w:t>
        </w:r>
      </w:hyperlink>
      <w:r w:rsidR="0054349C">
        <w:rPr>
          <w:rFonts w:eastAsia="Aptos" w:cs="Arial"/>
          <w:noProof/>
          <w:sz w:val="22"/>
          <w:lang w:val="en-US"/>
        </w:rPr>
        <w:t xml:space="preserve"> </w:t>
      </w:r>
      <w:r w:rsidRPr="007F4A7D">
        <w:rPr>
          <w:rFonts w:eastAsia="Aptos" w:cs="Arial"/>
          <w:noProof/>
          <w:sz w:val="22"/>
          <w:lang w:val="en-US"/>
        </w:rPr>
        <w:t xml:space="preserve"> </w:t>
      </w:r>
    </w:p>
    <w:p w14:paraId="00BF53F8" w14:textId="77777777" w:rsidR="007F4A7D" w:rsidRPr="007F4A7D" w:rsidRDefault="007F4A7D" w:rsidP="007F4A7D">
      <w:pPr>
        <w:spacing w:before="0" w:after="0"/>
        <w:ind w:left="720" w:hanging="720"/>
        <w:rPr>
          <w:rFonts w:eastAsia="Aptos" w:cs="Arial"/>
          <w:noProof/>
          <w:sz w:val="22"/>
          <w:lang w:val="en-US"/>
        </w:rPr>
      </w:pPr>
      <w:r w:rsidRPr="007F4A7D">
        <w:rPr>
          <w:rFonts w:eastAsia="Aptos" w:cs="Arial"/>
          <w:noProof/>
          <w:sz w:val="22"/>
          <w:lang w:val="en-US"/>
        </w:rPr>
        <w:tab/>
      </w:r>
    </w:p>
    <w:p w14:paraId="470501CC" w14:textId="77777777" w:rsidR="007F4A7D" w:rsidRPr="007F4A7D" w:rsidRDefault="007F4A7D" w:rsidP="007F4A7D">
      <w:pPr>
        <w:spacing w:before="0" w:after="160"/>
        <w:ind w:left="720" w:hanging="720"/>
        <w:rPr>
          <w:rFonts w:eastAsia="Aptos" w:cs="Arial"/>
          <w:noProof/>
          <w:sz w:val="22"/>
          <w:lang w:val="en-US"/>
        </w:rPr>
      </w:pPr>
      <w:r w:rsidRPr="008D0DBC">
        <w:rPr>
          <w:rFonts w:eastAsia="Aptos" w:cs="Arial"/>
          <w:noProof/>
          <w:sz w:val="22"/>
          <w:lang w:val="en-US"/>
        </w:rPr>
        <w:t xml:space="preserve">Galor, O. (2022). </w:t>
      </w:r>
      <w:r w:rsidRPr="008D0DBC">
        <w:rPr>
          <w:rFonts w:eastAsia="Aptos" w:cs="Arial"/>
          <w:i/>
          <w:noProof/>
          <w:sz w:val="22"/>
          <w:lang w:val="en-US"/>
        </w:rPr>
        <w:t>The journey of humanity: The origins of wealth and inequality</w:t>
      </w:r>
      <w:r w:rsidRPr="008D0DBC">
        <w:rPr>
          <w:rFonts w:eastAsia="Aptos" w:cs="Arial"/>
          <w:noProof/>
          <w:sz w:val="22"/>
          <w:lang w:val="en-US"/>
        </w:rPr>
        <w:t>. London, UK: Penguin.</w:t>
      </w:r>
      <w:r w:rsidRPr="007F4A7D">
        <w:rPr>
          <w:rFonts w:eastAsia="Aptos" w:cs="Arial"/>
          <w:noProof/>
          <w:sz w:val="22"/>
          <w:lang w:val="en-US"/>
        </w:rPr>
        <w:t xml:space="preserve"> </w:t>
      </w:r>
    </w:p>
    <w:p w14:paraId="7A0C2E99" w14:textId="77777777" w:rsidR="008D0DBC" w:rsidRPr="00075790" w:rsidRDefault="008D0DBC" w:rsidP="00090188">
      <w:pPr>
        <w:pStyle w:val="EndNoteBibliography"/>
        <w:spacing w:after="0"/>
        <w:ind w:left="1440" w:hanging="720"/>
      </w:pPr>
    </w:p>
    <w:p w14:paraId="2AEA028C" w14:textId="77777777" w:rsidR="00A033BD" w:rsidRPr="00A033BD" w:rsidRDefault="00A033BD" w:rsidP="00A033BD">
      <w:pPr>
        <w:spacing w:before="0" w:after="160"/>
        <w:ind w:left="720" w:hanging="720"/>
        <w:rPr>
          <w:rFonts w:eastAsia="Aptos" w:cs="Arial"/>
          <w:noProof/>
          <w:sz w:val="22"/>
          <w:lang w:val="en-US"/>
        </w:rPr>
      </w:pPr>
      <w:r w:rsidRPr="00A033BD">
        <w:rPr>
          <w:rFonts w:eastAsia="Aptos" w:cs="Arial"/>
          <w:noProof/>
          <w:sz w:val="22"/>
          <w:lang w:val="en-US"/>
        </w:rPr>
        <w:t xml:space="preserve">García-Grau, P., McWilliam, R., Bull, K., &amp; Foster, J. (2022). Good goals matter: Functional child goals, family goals, and parent perceptions of difference in performance. </w:t>
      </w:r>
      <w:r w:rsidRPr="00A033BD">
        <w:rPr>
          <w:rFonts w:eastAsia="Aptos" w:cs="Arial"/>
          <w:i/>
          <w:noProof/>
          <w:sz w:val="22"/>
          <w:lang w:val="en-US"/>
        </w:rPr>
        <w:t>Infants &amp; Young Children</w:t>
      </w:r>
      <w:r w:rsidRPr="00A033BD">
        <w:rPr>
          <w:rFonts w:eastAsia="Aptos" w:cs="Arial"/>
          <w:noProof/>
          <w:sz w:val="22"/>
          <w:lang w:val="en-US"/>
        </w:rPr>
        <w:t>,</w:t>
      </w:r>
      <w:r w:rsidRPr="00A033BD">
        <w:rPr>
          <w:rFonts w:eastAsia="Aptos" w:cs="Arial"/>
          <w:i/>
          <w:noProof/>
          <w:sz w:val="22"/>
          <w:lang w:val="en-US"/>
        </w:rPr>
        <w:t xml:space="preserve"> 35</w:t>
      </w:r>
      <w:r w:rsidRPr="00A033BD">
        <w:rPr>
          <w:rFonts w:eastAsia="Aptos" w:cs="Arial"/>
          <w:noProof/>
          <w:sz w:val="22"/>
          <w:lang w:val="en-US"/>
        </w:rPr>
        <w:t xml:space="preserve">(2), 106-119. </w:t>
      </w:r>
    </w:p>
    <w:p w14:paraId="6E706FC0" w14:textId="77777777" w:rsidR="00A033BD" w:rsidRPr="00A033BD" w:rsidRDefault="00A033BD" w:rsidP="00A033BD">
      <w:pPr>
        <w:spacing w:before="0" w:after="0"/>
        <w:ind w:left="720" w:hanging="720"/>
        <w:rPr>
          <w:rFonts w:eastAsia="Aptos" w:cs="Arial"/>
          <w:noProof/>
          <w:sz w:val="22"/>
          <w:lang w:val="en-US"/>
        </w:rPr>
      </w:pPr>
      <w:r w:rsidRPr="00A033BD">
        <w:rPr>
          <w:rFonts w:eastAsia="Aptos" w:cs="Arial"/>
          <w:noProof/>
          <w:sz w:val="22"/>
          <w:lang w:val="en-US"/>
        </w:rPr>
        <w:tab/>
      </w:r>
    </w:p>
    <w:p w14:paraId="6A7C101C" w14:textId="39A19C32" w:rsidR="00A033BD" w:rsidRDefault="00A033BD" w:rsidP="00A033BD">
      <w:pPr>
        <w:spacing w:before="0" w:after="160"/>
        <w:ind w:left="720" w:hanging="720"/>
        <w:rPr>
          <w:rFonts w:eastAsia="Aptos" w:cs="Arial"/>
          <w:noProof/>
          <w:sz w:val="22"/>
          <w:lang w:val="en-US"/>
        </w:rPr>
      </w:pPr>
      <w:r w:rsidRPr="00A033BD">
        <w:rPr>
          <w:rFonts w:eastAsia="Aptos" w:cs="Arial"/>
          <w:noProof/>
          <w:sz w:val="22"/>
          <w:lang w:val="en-US"/>
        </w:rPr>
        <w:t>García</w:t>
      </w:r>
      <w:r w:rsidRPr="00A033BD">
        <w:rPr>
          <w:rFonts w:ascii="Cambria Math" w:eastAsia="Aptos" w:hAnsi="Cambria Math" w:cs="Cambria Math"/>
          <w:noProof/>
          <w:sz w:val="22"/>
          <w:lang w:val="en-US"/>
        </w:rPr>
        <w:t>‐</w:t>
      </w:r>
      <w:r w:rsidRPr="00A033BD">
        <w:rPr>
          <w:rFonts w:eastAsia="Aptos" w:cs="Arial"/>
          <w:noProof/>
          <w:sz w:val="22"/>
          <w:lang w:val="en-US"/>
        </w:rPr>
        <w:t>Ventura, S., Mas, J. M., Balcells</w:t>
      </w:r>
      <w:r w:rsidRPr="00A033BD">
        <w:rPr>
          <w:rFonts w:ascii="Cambria Math" w:eastAsia="Aptos" w:hAnsi="Cambria Math" w:cs="Cambria Math"/>
          <w:noProof/>
          <w:sz w:val="22"/>
          <w:lang w:val="en-US"/>
        </w:rPr>
        <w:t>‐</w:t>
      </w:r>
      <w:r w:rsidRPr="00A033BD">
        <w:rPr>
          <w:rFonts w:eastAsia="Aptos" w:cs="Arial"/>
          <w:noProof/>
          <w:sz w:val="22"/>
          <w:lang w:val="en-US"/>
        </w:rPr>
        <w:t>Balcells, A., &amp; Giné, C. (2021). Family</w:t>
      </w:r>
      <w:r w:rsidRPr="00A033BD">
        <w:rPr>
          <w:rFonts w:ascii="Cambria Math" w:eastAsia="Aptos" w:hAnsi="Cambria Math" w:cs="Cambria Math"/>
          <w:noProof/>
          <w:sz w:val="22"/>
          <w:lang w:val="en-US"/>
        </w:rPr>
        <w:t>‐</w:t>
      </w:r>
      <w:r w:rsidRPr="00A033BD">
        <w:rPr>
          <w:rFonts w:eastAsia="Aptos" w:cs="Arial"/>
          <w:noProof/>
          <w:sz w:val="22"/>
          <w:lang w:val="en-US"/>
        </w:rPr>
        <w:t xml:space="preserve">centred early intervention: Comparing practitioners' actual and desired practices. </w:t>
      </w:r>
      <w:r w:rsidRPr="00A033BD">
        <w:rPr>
          <w:rFonts w:eastAsia="Aptos" w:cs="Arial"/>
          <w:i/>
          <w:noProof/>
          <w:sz w:val="22"/>
          <w:lang w:val="en-US"/>
        </w:rPr>
        <w:t>Child: care, health and development</w:t>
      </w:r>
      <w:r w:rsidRPr="00A033BD">
        <w:rPr>
          <w:rFonts w:eastAsia="Aptos" w:cs="Arial"/>
          <w:noProof/>
          <w:sz w:val="22"/>
          <w:lang w:val="en-US"/>
        </w:rPr>
        <w:t>,</w:t>
      </w:r>
      <w:r w:rsidRPr="00A033BD">
        <w:rPr>
          <w:rFonts w:eastAsia="Aptos" w:cs="Arial"/>
          <w:i/>
          <w:noProof/>
          <w:sz w:val="22"/>
          <w:lang w:val="en-US"/>
        </w:rPr>
        <w:t xml:space="preserve"> 47</w:t>
      </w:r>
      <w:r w:rsidRPr="00A033BD">
        <w:rPr>
          <w:rFonts w:eastAsia="Aptos" w:cs="Arial"/>
          <w:noProof/>
          <w:sz w:val="22"/>
          <w:lang w:val="en-US"/>
        </w:rPr>
        <w:t xml:space="preserve">(2), 218-227. </w:t>
      </w:r>
      <w:hyperlink r:id="rId261" w:history="1">
        <w:r w:rsidR="0013462F" w:rsidRPr="00326476">
          <w:rPr>
            <w:rStyle w:val="Hyperlink"/>
            <w:rFonts w:eastAsia="Aptos" w:cs="Arial"/>
            <w:noProof/>
            <w:sz w:val="22"/>
            <w:lang w:val="en-US"/>
          </w:rPr>
          <w:t>https://doi.org/10.1111/cch.12834</w:t>
        </w:r>
      </w:hyperlink>
      <w:r w:rsidRPr="00A033BD">
        <w:rPr>
          <w:rFonts w:eastAsia="Aptos" w:cs="Arial"/>
          <w:noProof/>
          <w:sz w:val="22"/>
          <w:lang w:val="en-US"/>
        </w:rPr>
        <w:t xml:space="preserve"> </w:t>
      </w:r>
    </w:p>
    <w:p w14:paraId="5E5EECF1" w14:textId="77777777" w:rsidR="0013462F" w:rsidRPr="00A033BD" w:rsidRDefault="0013462F" w:rsidP="00A033BD">
      <w:pPr>
        <w:spacing w:before="0" w:after="160"/>
        <w:ind w:left="720" w:hanging="720"/>
        <w:rPr>
          <w:rFonts w:eastAsia="Aptos" w:cs="Arial"/>
          <w:noProof/>
          <w:sz w:val="22"/>
          <w:lang w:val="en-US"/>
        </w:rPr>
      </w:pPr>
    </w:p>
    <w:p w14:paraId="31EC08FF" w14:textId="725AAB60" w:rsidR="008B3403" w:rsidRPr="008B3403" w:rsidRDefault="008B3403" w:rsidP="008B3403">
      <w:pPr>
        <w:spacing w:before="0" w:after="160"/>
        <w:ind w:left="720" w:hanging="720"/>
        <w:rPr>
          <w:rFonts w:eastAsia="Aptos" w:cs="Arial"/>
          <w:noProof/>
          <w:sz w:val="22"/>
          <w:lang w:val="en-US"/>
        </w:rPr>
      </w:pPr>
      <w:r w:rsidRPr="008B3403">
        <w:rPr>
          <w:rFonts w:eastAsia="Aptos" w:cs="Arial"/>
          <w:noProof/>
          <w:sz w:val="22"/>
          <w:lang w:val="en-US"/>
        </w:rPr>
        <w:t xml:space="preserve">Garner, A., &amp; Yogman, M. (2021). Preventing childhood toxic stress: partnering with families and communities to promote relational health. </w:t>
      </w:r>
      <w:r w:rsidRPr="008B3403">
        <w:rPr>
          <w:rFonts w:eastAsia="Aptos" w:cs="Arial"/>
          <w:i/>
          <w:noProof/>
          <w:sz w:val="22"/>
          <w:lang w:val="en-US"/>
        </w:rPr>
        <w:t>Pediatrics</w:t>
      </w:r>
      <w:r w:rsidRPr="008B3403">
        <w:rPr>
          <w:rFonts w:eastAsia="Aptos" w:cs="Arial"/>
          <w:noProof/>
          <w:sz w:val="22"/>
          <w:lang w:val="en-US"/>
        </w:rPr>
        <w:t>,</w:t>
      </w:r>
      <w:r w:rsidRPr="008B3403">
        <w:rPr>
          <w:rFonts w:eastAsia="Aptos" w:cs="Arial"/>
          <w:i/>
          <w:noProof/>
          <w:sz w:val="22"/>
          <w:lang w:val="en-US"/>
        </w:rPr>
        <w:t xml:space="preserve"> 148</w:t>
      </w:r>
      <w:r w:rsidRPr="008B3403">
        <w:rPr>
          <w:rFonts w:eastAsia="Aptos" w:cs="Arial"/>
          <w:noProof/>
          <w:sz w:val="22"/>
          <w:lang w:val="en-US"/>
        </w:rPr>
        <w:t xml:space="preserve">(2), e2021052582. </w:t>
      </w:r>
      <w:hyperlink r:id="rId262" w:history="1">
        <w:r w:rsidR="0054349C" w:rsidRPr="00326476">
          <w:rPr>
            <w:rStyle w:val="Hyperlink"/>
            <w:rFonts w:eastAsia="Aptos" w:cs="Arial"/>
            <w:noProof/>
            <w:sz w:val="22"/>
            <w:lang w:val="en-US"/>
          </w:rPr>
          <w:t>https://doi.org/10.1542/peds.2021-052582</w:t>
        </w:r>
      </w:hyperlink>
      <w:r w:rsidR="0054349C">
        <w:rPr>
          <w:rFonts w:eastAsia="Aptos" w:cs="Arial"/>
          <w:noProof/>
          <w:sz w:val="22"/>
          <w:lang w:val="en-US"/>
        </w:rPr>
        <w:t xml:space="preserve"> </w:t>
      </w:r>
      <w:r w:rsidRPr="008B3403">
        <w:rPr>
          <w:rFonts w:eastAsia="Aptos" w:cs="Arial"/>
          <w:noProof/>
          <w:sz w:val="22"/>
          <w:lang w:val="en-US"/>
        </w:rPr>
        <w:t xml:space="preserve"> </w:t>
      </w:r>
    </w:p>
    <w:p w14:paraId="4721E00D" w14:textId="77777777" w:rsidR="008B3403" w:rsidRPr="008B3403" w:rsidRDefault="008B3403" w:rsidP="008B3403">
      <w:pPr>
        <w:spacing w:before="0" w:after="0"/>
        <w:ind w:left="720" w:hanging="720"/>
        <w:rPr>
          <w:rFonts w:eastAsia="Aptos" w:cs="Arial"/>
          <w:noProof/>
          <w:sz w:val="22"/>
          <w:lang w:val="en-US"/>
        </w:rPr>
      </w:pPr>
      <w:r w:rsidRPr="008B3403">
        <w:rPr>
          <w:rFonts w:eastAsia="Aptos" w:cs="Arial"/>
          <w:noProof/>
          <w:sz w:val="22"/>
          <w:lang w:val="en-US"/>
        </w:rPr>
        <w:tab/>
      </w:r>
    </w:p>
    <w:p w14:paraId="799D1C26" w14:textId="03015411" w:rsidR="008B3403" w:rsidRPr="008B3403" w:rsidRDefault="008B3403" w:rsidP="008B3403">
      <w:pPr>
        <w:spacing w:before="0" w:after="160"/>
        <w:ind w:left="720" w:hanging="720"/>
        <w:rPr>
          <w:rFonts w:eastAsia="Aptos" w:cs="Arial"/>
          <w:noProof/>
          <w:sz w:val="22"/>
          <w:lang w:val="en-US"/>
        </w:rPr>
      </w:pPr>
      <w:r w:rsidRPr="008B3403">
        <w:rPr>
          <w:rFonts w:eastAsia="Aptos" w:cs="Arial"/>
          <w:noProof/>
          <w:sz w:val="22"/>
          <w:lang w:val="en-US"/>
        </w:rPr>
        <w:t xml:space="preserve">Garrood, A., Bjornstad, G., Borek, A., Gillett, A., Lloyd, J., Brand, S., Tarrant, M., Ball, S., Hawton, A., &amp; McDonald, A. (2023). Healthy parent carers: Acceptability and practicability of online delivery and learning through implementation by delivery partner organisations. </w:t>
      </w:r>
      <w:r w:rsidRPr="008B3403">
        <w:rPr>
          <w:rFonts w:eastAsia="Aptos" w:cs="Arial"/>
          <w:i/>
          <w:noProof/>
          <w:sz w:val="22"/>
          <w:lang w:val="en-US"/>
        </w:rPr>
        <w:t>Health Expectations</w:t>
      </w:r>
      <w:r w:rsidRPr="008B3403">
        <w:rPr>
          <w:rFonts w:eastAsia="Aptos" w:cs="Arial"/>
          <w:noProof/>
          <w:sz w:val="22"/>
          <w:lang w:val="en-US"/>
        </w:rPr>
        <w:t>,</w:t>
      </w:r>
      <w:r w:rsidRPr="008B3403">
        <w:rPr>
          <w:rFonts w:eastAsia="Aptos" w:cs="Arial"/>
          <w:i/>
          <w:noProof/>
          <w:sz w:val="22"/>
          <w:lang w:val="en-US"/>
        </w:rPr>
        <w:t xml:space="preserve"> 26</w:t>
      </w:r>
      <w:r w:rsidRPr="008B3403">
        <w:rPr>
          <w:rFonts w:eastAsia="Aptos" w:cs="Arial"/>
          <w:noProof/>
          <w:sz w:val="22"/>
          <w:lang w:val="en-US"/>
        </w:rPr>
        <w:t xml:space="preserve">(5), 2050-2063. </w:t>
      </w:r>
      <w:hyperlink r:id="rId263" w:history="1">
        <w:r w:rsidR="0054349C" w:rsidRPr="00326476">
          <w:rPr>
            <w:rStyle w:val="Hyperlink"/>
            <w:rFonts w:eastAsia="Aptos" w:cs="Arial"/>
            <w:noProof/>
            <w:sz w:val="22"/>
            <w:lang w:val="en-US"/>
          </w:rPr>
          <w:t>https://doi.org/10.1111/hex.13812</w:t>
        </w:r>
      </w:hyperlink>
      <w:r w:rsidR="0054349C">
        <w:rPr>
          <w:rFonts w:eastAsia="Aptos" w:cs="Arial"/>
          <w:noProof/>
          <w:sz w:val="22"/>
          <w:lang w:val="en-US"/>
        </w:rPr>
        <w:t xml:space="preserve"> </w:t>
      </w:r>
      <w:r w:rsidRPr="008B3403">
        <w:rPr>
          <w:rFonts w:eastAsia="Aptos" w:cs="Arial"/>
          <w:noProof/>
          <w:sz w:val="22"/>
          <w:lang w:val="en-US"/>
        </w:rPr>
        <w:t xml:space="preserve"> </w:t>
      </w:r>
    </w:p>
    <w:p w14:paraId="1B4DDE4F" w14:textId="77777777" w:rsidR="008B3403" w:rsidRPr="008B3403" w:rsidRDefault="008B3403" w:rsidP="008B3403">
      <w:pPr>
        <w:spacing w:before="0" w:after="0"/>
        <w:ind w:left="720" w:hanging="720"/>
        <w:rPr>
          <w:rFonts w:eastAsia="Aptos" w:cs="Arial"/>
          <w:noProof/>
          <w:sz w:val="22"/>
          <w:lang w:val="en-US"/>
        </w:rPr>
      </w:pPr>
      <w:r w:rsidRPr="008B3403">
        <w:rPr>
          <w:rFonts w:eastAsia="Aptos" w:cs="Arial"/>
          <w:noProof/>
          <w:sz w:val="22"/>
          <w:lang w:val="en-US"/>
        </w:rPr>
        <w:tab/>
      </w:r>
    </w:p>
    <w:p w14:paraId="155643F5" w14:textId="54B64C96" w:rsidR="008B3403" w:rsidRPr="008B3403" w:rsidRDefault="008B3403" w:rsidP="008B3403">
      <w:pPr>
        <w:spacing w:before="0" w:after="160"/>
        <w:ind w:left="720" w:hanging="720"/>
        <w:rPr>
          <w:rFonts w:eastAsia="Aptos" w:cs="Arial"/>
          <w:noProof/>
          <w:sz w:val="22"/>
          <w:lang w:val="en-US"/>
        </w:rPr>
      </w:pPr>
      <w:r w:rsidRPr="008B3403">
        <w:rPr>
          <w:rFonts w:eastAsia="Aptos" w:cs="Arial"/>
          <w:noProof/>
          <w:sz w:val="22"/>
          <w:lang w:val="en-US"/>
        </w:rPr>
        <w:t xml:space="preserve">Gavidia-Payne, S. (2020). Implementation of Australia's national disability insurance scheme: Experiences of families of young children with disabilities. </w:t>
      </w:r>
      <w:r w:rsidRPr="008B3403">
        <w:rPr>
          <w:rFonts w:eastAsia="Aptos" w:cs="Arial"/>
          <w:i/>
          <w:noProof/>
          <w:sz w:val="22"/>
          <w:lang w:val="en-US"/>
        </w:rPr>
        <w:t>Infants &amp; Young Children</w:t>
      </w:r>
      <w:r w:rsidRPr="008B3403">
        <w:rPr>
          <w:rFonts w:eastAsia="Aptos" w:cs="Arial"/>
          <w:noProof/>
          <w:sz w:val="22"/>
          <w:lang w:val="en-US"/>
        </w:rPr>
        <w:t>,</w:t>
      </w:r>
      <w:r w:rsidRPr="008B3403">
        <w:rPr>
          <w:rFonts w:eastAsia="Aptos" w:cs="Arial"/>
          <w:i/>
          <w:noProof/>
          <w:sz w:val="22"/>
          <w:lang w:val="en-US"/>
        </w:rPr>
        <w:t xml:space="preserve"> 33</w:t>
      </w:r>
      <w:r w:rsidRPr="008B3403">
        <w:rPr>
          <w:rFonts w:eastAsia="Aptos" w:cs="Arial"/>
          <w:noProof/>
          <w:sz w:val="22"/>
          <w:lang w:val="en-US"/>
        </w:rPr>
        <w:t xml:space="preserve">(3), 184-194. </w:t>
      </w:r>
      <w:hyperlink r:id="rId264" w:history="1">
        <w:r w:rsidR="0054349C" w:rsidRPr="00326476">
          <w:rPr>
            <w:rStyle w:val="Hyperlink"/>
            <w:rFonts w:eastAsia="Aptos" w:cs="Arial"/>
            <w:noProof/>
            <w:sz w:val="22"/>
            <w:lang w:val="en-US"/>
          </w:rPr>
          <w:t>https://doi.org/10.1097/IYC.0000000000000169</w:t>
        </w:r>
      </w:hyperlink>
      <w:r w:rsidR="0054349C">
        <w:rPr>
          <w:rFonts w:eastAsia="Aptos" w:cs="Arial"/>
          <w:noProof/>
          <w:sz w:val="22"/>
          <w:lang w:val="en-US"/>
        </w:rPr>
        <w:t xml:space="preserve"> </w:t>
      </w:r>
      <w:r w:rsidRPr="008B3403">
        <w:rPr>
          <w:rFonts w:eastAsia="Aptos" w:cs="Arial"/>
          <w:noProof/>
          <w:sz w:val="22"/>
          <w:lang w:val="en-US"/>
        </w:rPr>
        <w:t xml:space="preserve"> </w:t>
      </w:r>
    </w:p>
    <w:p w14:paraId="2979DDE1" w14:textId="77777777" w:rsidR="008B3403" w:rsidRPr="008B3403" w:rsidRDefault="008B3403" w:rsidP="008B3403">
      <w:pPr>
        <w:spacing w:before="0" w:after="0"/>
        <w:ind w:left="720" w:hanging="720"/>
        <w:rPr>
          <w:rFonts w:eastAsia="Aptos" w:cs="Arial"/>
          <w:noProof/>
          <w:sz w:val="22"/>
          <w:lang w:val="en-US"/>
        </w:rPr>
      </w:pPr>
      <w:r w:rsidRPr="008B3403">
        <w:rPr>
          <w:rFonts w:eastAsia="Aptos" w:cs="Arial"/>
          <w:noProof/>
          <w:sz w:val="22"/>
          <w:lang w:val="en-US"/>
        </w:rPr>
        <w:tab/>
      </w:r>
    </w:p>
    <w:p w14:paraId="4341CC57" w14:textId="57A26470" w:rsidR="008B3403" w:rsidRPr="008B3403" w:rsidRDefault="008B3403" w:rsidP="008B3403">
      <w:pPr>
        <w:spacing w:before="0" w:after="160"/>
        <w:ind w:left="720" w:hanging="720"/>
        <w:rPr>
          <w:rFonts w:eastAsia="Aptos" w:cs="Arial"/>
          <w:noProof/>
          <w:sz w:val="22"/>
          <w:lang w:val="en-US"/>
        </w:rPr>
      </w:pPr>
      <w:r w:rsidRPr="008B3403">
        <w:rPr>
          <w:rFonts w:eastAsia="Aptos" w:cs="Arial"/>
          <w:noProof/>
          <w:sz w:val="22"/>
          <w:lang w:val="en-US"/>
        </w:rPr>
        <w:t xml:space="preserve">Gavidia-Payne, S., Meddis, K., &amp; Mahar, N. (2015). Correlates of child and family outcomes in an Australian community-based early childhood intervention program. </w:t>
      </w:r>
      <w:r w:rsidRPr="008B3403">
        <w:rPr>
          <w:rFonts w:eastAsia="Aptos" w:cs="Arial"/>
          <w:i/>
          <w:noProof/>
          <w:sz w:val="22"/>
          <w:lang w:val="en-US"/>
        </w:rPr>
        <w:t>Journal of Intellectual and Developmental Disability</w:t>
      </w:r>
      <w:r w:rsidRPr="008B3403">
        <w:rPr>
          <w:rFonts w:eastAsia="Aptos" w:cs="Arial"/>
          <w:noProof/>
          <w:sz w:val="22"/>
          <w:lang w:val="en-US"/>
        </w:rPr>
        <w:t>,</w:t>
      </w:r>
      <w:r w:rsidRPr="008B3403">
        <w:rPr>
          <w:rFonts w:eastAsia="Aptos" w:cs="Arial"/>
          <w:i/>
          <w:noProof/>
          <w:sz w:val="22"/>
          <w:lang w:val="en-US"/>
        </w:rPr>
        <w:t xml:space="preserve"> 40</w:t>
      </w:r>
      <w:r w:rsidRPr="008B3403">
        <w:rPr>
          <w:rFonts w:eastAsia="Aptos" w:cs="Arial"/>
          <w:noProof/>
          <w:sz w:val="22"/>
          <w:lang w:val="en-US"/>
        </w:rPr>
        <w:t xml:space="preserve">(1), 57-67. </w:t>
      </w:r>
      <w:hyperlink r:id="rId265" w:history="1">
        <w:r w:rsidR="0054349C" w:rsidRPr="00326476">
          <w:rPr>
            <w:rStyle w:val="Hyperlink"/>
            <w:rFonts w:eastAsia="Aptos" w:cs="Arial"/>
            <w:noProof/>
            <w:sz w:val="22"/>
            <w:lang w:val="en-US"/>
          </w:rPr>
          <w:t>https://doi.org/10.3109/13668250.2014.983056</w:t>
        </w:r>
      </w:hyperlink>
      <w:r w:rsidR="0054349C">
        <w:rPr>
          <w:rFonts w:eastAsia="Aptos" w:cs="Arial"/>
          <w:noProof/>
          <w:sz w:val="22"/>
          <w:lang w:val="en-US"/>
        </w:rPr>
        <w:t xml:space="preserve"> </w:t>
      </w:r>
      <w:r w:rsidRPr="008B3403">
        <w:rPr>
          <w:rFonts w:eastAsia="Aptos" w:cs="Arial"/>
          <w:noProof/>
          <w:sz w:val="22"/>
          <w:lang w:val="en-US"/>
        </w:rPr>
        <w:t xml:space="preserve"> </w:t>
      </w:r>
    </w:p>
    <w:p w14:paraId="4E490A02" w14:textId="77777777" w:rsidR="008B3403" w:rsidRPr="008B3403" w:rsidRDefault="008B3403" w:rsidP="008B3403">
      <w:pPr>
        <w:spacing w:before="0" w:after="0"/>
        <w:ind w:left="720" w:hanging="720"/>
        <w:rPr>
          <w:rFonts w:eastAsia="Aptos" w:cs="Arial"/>
          <w:noProof/>
          <w:sz w:val="22"/>
          <w:lang w:val="en-US"/>
        </w:rPr>
      </w:pPr>
      <w:r w:rsidRPr="008B3403">
        <w:rPr>
          <w:rFonts w:eastAsia="Aptos" w:cs="Arial"/>
          <w:noProof/>
          <w:sz w:val="22"/>
          <w:lang w:val="en-US"/>
        </w:rPr>
        <w:tab/>
      </w:r>
    </w:p>
    <w:p w14:paraId="6311D7D9" w14:textId="77777777" w:rsidR="008B3403" w:rsidRDefault="008B3403" w:rsidP="008B3403">
      <w:pPr>
        <w:spacing w:before="0" w:after="160"/>
        <w:ind w:left="720" w:hanging="720"/>
        <w:rPr>
          <w:rFonts w:eastAsia="Aptos" w:cs="Arial"/>
          <w:noProof/>
          <w:sz w:val="22"/>
          <w:lang w:val="en-US"/>
        </w:rPr>
      </w:pPr>
      <w:r w:rsidRPr="008B3403">
        <w:rPr>
          <w:rFonts w:eastAsia="Aptos" w:cs="Arial"/>
          <w:noProof/>
          <w:sz w:val="22"/>
          <w:lang w:val="en-US"/>
        </w:rPr>
        <w:t xml:space="preserve">Gawande, A. (2009). </w:t>
      </w:r>
      <w:r w:rsidRPr="008B3403">
        <w:rPr>
          <w:rFonts w:eastAsia="Aptos" w:cs="Arial"/>
          <w:i/>
          <w:noProof/>
          <w:sz w:val="22"/>
          <w:lang w:val="en-US"/>
        </w:rPr>
        <w:t>The checklist manifesto: How to get things right.</w:t>
      </w:r>
      <w:r w:rsidRPr="008B3403">
        <w:rPr>
          <w:rFonts w:eastAsia="Aptos" w:cs="Arial"/>
          <w:noProof/>
          <w:sz w:val="22"/>
          <w:lang w:val="en-US"/>
        </w:rPr>
        <w:t xml:space="preserve"> New York: Metropolitan Books. </w:t>
      </w:r>
    </w:p>
    <w:p w14:paraId="7CF4B553" w14:textId="77777777" w:rsidR="0013462F" w:rsidRPr="008B3403" w:rsidRDefault="0013462F" w:rsidP="008B3403">
      <w:pPr>
        <w:spacing w:before="0" w:after="160"/>
        <w:ind w:left="720" w:hanging="720"/>
        <w:rPr>
          <w:rFonts w:eastAsia="Aptos" w:cs="Arial"/>
          <w:noProof/>
          <w:sz w:val="22"/>
          <w:lang w:val="en-US"/>
        </w:rPr>
      </w:pPr>
    </w:p>
    <w:p w14:paraId="50FD25E9" w14:textId="258738D2" w:rsidR="006F1287" w:rsidRPr="006F1287" w:rsidRDefault="006F1287" w:rsidP="006F1287">
      <w:pPr>
        <w:spacing w:before="0" w:after="160"/>
        <w:ind w:left="720" w:hanging="720"/>
        <w:rPr>
          <w:rFonts w:eastAsia="Aptos" w:cs="Arial"/>
          <w:noProof/>
          <w:sz w:val="22"/>
          <w:lang w:val="en-US"/>
        </w:rPr>
      </w:pPr>
      <w:r w:rsidRPr="006F1287">
        <w:rPr>
          <w:rFonts w:eastAsia="Aptos" w:cs="Arial"/>
          <w:noProof/>
          <w:sz w:val="22"/>
          <w:lang w:val="en-US"/>
        </w:rPr>
        <w:t xml:space="preserve">Gee, D. G., &amp; Cohodes, E. M. (2021). Influences of caregiving on development: A sensitive period for biological embedding of predictability and safety cues. </w:t>
      </w:r>
      <w:r w:rsidRPr="006F1287">
        <w:rPr>
          <w:rFonts w:eastAsia="Aptos" w:cs="Arial"/>
          <w:i/>
          <w:noProof/>
          <w:sz w:val="22"/>
          <w:lang w:val="en-US"/>
        </w:rPr>
        <w:t>Current directions in psychological science</w:t>
      </w:r>
      <w:r w:rsidRPr="006F1287">
        <w:rPr>
          <w:rFonts w:eastAsia="Aptos" w:cs="Arial"/>
          <w:noProof/>
          <w:sz w:val="22"/>
          <w:lang w:val="en-US"/>
        </w:rPr>
        <w:t>,</w:t>
      </w:r>
      <w:r w:rsidRPr="006F1287">
        <w:rPr>
          <w:rFonts w:eastAsia="Aptos" w:cs="Arial"/>
          <w:i/>
          <w:noProof/>
          <w:sz w:val="22"/>
          <w:lang w:val="en-US"/>
        </w:rPr>
        <w:t xml:space="preserve"> 30</w:t>
      </w:r>
      <w:r w:rsidRPr="006F1287">
        <w:rPr>
          <w:rFonts w:eastAsia="Aptos" w:cs="Arial"/>
          <w:noProof/>
          <w:sz w:val="22"/>
          <w:lang w:val="en-US"/>
        </w:rPr>
        <w:t xml:space="preserve">(5), 376-383. </w:t>
      </w:r>
      <w:hyperlink r:id="rId266" w:history="1">
        <w:r w:rsidR="0054349C" w:rsidRPr="00326476">
          <w:rPr>
            <w:rStyle w:val="Hyperlink"/>
            <w:rFonts w:eastAsia="Aptos" w:cs="Arial"/>
            <w:noProof/>
            <w:sz w:val="22"/>
            <w:lang w:val="en-US"/>
          </w:rPr>
          <w:t>https://doi.org/10.1177/09637214211015673</w:t>
        </w:r>
      </w:hyperlink>
      <w:r w:rsidR="0054349C">
        <w:rPr>
          <w:rFonts w:eastAsia="Aptos" w:cs="Arial"/>
          <w:noProof/>
          <w:sz w:val="22"/>
          <w:lang w:val="en-US"/>
        </w:rPr>
        <w:t xml:space="preserve"> </w:t>
      </w:r>
      <w:r w:rsidRPr="006F1287">
        <w:rPr>
          <w:rFonts w:eastAsia="Aptos" w:cs="Arial"/>
          <w:noProof/>
          <w:sz w:val="22"/>
          <w:lang w:val="en-US"/>
        </w:rPr>
        <w:t xml:space="preserve"> </w:t>
      </w:r>
    </w:p>
    <w:p w14:paraId="1AA44359" w14:textId="77777777" w:rsidR="006F1287" w:rsidRPr="006F1287" w:rsidRDefault="006F1287" w:rsidP="006F1287">
      <w:pPr>
        <w:spacing w:before="0" w:after="0"/>
        <w:ind w:left="720" w:hanging="720"/>
        <w:rPr>
          <w:rFonts w:eastAsia="Aptos" w:cs="Arial"/>
          <w:noProof/>
          <w:sz w:val="22"/>
          <w:lang w:val="en-US"/>
        </w:rPr>
      </w:pPr>
      <w:r w:rsidRPr="006F1287">
        <w:rPr>
          <w:rFonts w:eastAsia="Aptos" w:cs="Arial"/>
          <w:noProof/>
          <w:sz w:val="22"/>
          <w:lang w:val="en-US"/>
        </w:rPr>
        <w:tab/>
      </w:r>
    </w:p>
    <w:p w14:paraId="2AB86FCC" w14:textId="77777777" w:rsidR="006F1287" w:rsidRPr="006F1287" w:rsidRDefault="006F1287" w:rsidP="006F1287">
      <w:pPr>
        <w:spacing w:before="0" w:after="160"/>
        <w:ind w:left="720" w:hanging="720"/>
        <w:rPr>
          <w:rFonts w:eastAsia="Aptos" w:cs="Arial"/>
          <w:noProof/>
          <w:sz w:val="22"/>
          <w:lang w:val="en-US"/>
        </w:rPr>
      </w:pPr>
      <w:r w:rsidRPr="006F1287">
        <w:rPr>
          <w:rFonts w:eastAsia="Aptos" w:cs="Arial"/>
          <w:noProof/>
          <w:sz w:val="22"/>
          <w:lang w:val="en-US"/>
        </w:rPr>
        <w:t xml:space="preserve">Gee, G., Dudgeon, P., Schultz, C., Hart, A., &amp; Kelly, K. (2014). Aboriginal and Torres Strait Islander social and emotional wellbeing. In Dudgeon. P, H. Milroy, &amp; R. Walker (Eds.), </w:t>
      </w:r>
      <w:r w:rsidRPr="006F1287">
        <w:rPr>
          <w:rFonts w:eastAsia="Aptos" w:cs="Arial"/>
          <w:i/>
          <w:noProof/>
          <w:sz w:val="22"/>
          <w:lang w:val="en-US"/>
        </w:rPr>
        <w:t>Working together: Aboriginal and Torres Strait Islander mental health and wellbeing principles and practice</w:t>
      </w:r>
      <w:r w:rsidRPr="006F1287">
        <w:rPr>
          <w:rFonts w:eastAsia="Aptos" w:cs="Arial"/>
          <w:noProof/>
          <w:sz w:val="22"/>
          <w:lang w:val="en-US"/>
        </w:rPr>
        <w:t xml:space="preserve"> (Vol. 2, pp. 55-68). Canberra, ACT: Australian Government Department of The Prime Minister and Cabinet. </w:t>
      </w:r>
    </w:p>
    <w:p w14:paraId="00A59D03" w14:textId="77777777" w:rsidR="006F1287" w:rsidRPr="006F1287" w:rsidRDefault="006F1287" w:rsidP="006F1287">
      <w:pPr>
        <w:spacing w:before="0" w:after="0"/>
        <w:ind w:left="720" w:hanging="720"/>
        <w:rPr>
          <w:rFonts w:eastAsia="Aptos" w:cs="Arial"/>
          <w:noProof/>
          <w:sz w:val="22"/>
          <w:lang w:val="en-US"/>
        </w:rPr>
      </w:pPr>
      <w:r w:rsidRPr="006F1287">
        <w:rPr>
          <w:rFonts w:eastAsia="Aptos" w:cs="Arial"/>
          <w:noProof/>
          <w:sz w:val="22"/>
          <w:lang w:val="en-US"/>
        </w:rPr>
        <w:tab/>
      </w:r>
    </w:p>
    <w:p w14:paraId="6C851C88" w14:textId="77777777" w:rsidR="006F1287" w:rsidRPr="006F1287" w:rsidRDefault="006F1287" w:rsidP="006F1287">
      <w:pPr>
        <w:spacing w:before="0" w:after="160"/>
        <w:ind w:left="720" w:hanging="720"/>
        <w:rPr>
          <w:rFonts w:eastAsia="Aptos" w:cs="Arial"/>
          <w:noProof/>
          <w:sz w:val="22"/>
          <w:lang w:val="en-US"/>
        </w:rPr>
      </w:pPr>
      <w:r w:rsidRPr="006F1287">
        <w:rPr>
          <w:rFonts w:eastAsia="Aptos" w:cs="Arial"/>
          <w:noProof/>
          <w:sz w:val="22"/>
          <w:lang w:val="en-US"/>
        </w:rPr>
        <w:t xml:space="preserve">Geldard, D., Geldard, K., &amp; Foo, R. Y. (2021). </w:t>
      </w:r>
      <w:r w:rsidRPr="006F1287">
        <w:rPr>
          <w:rFonts w:eastAsia="Aptos" w:cs="Arial"/>
          <w:i/>
          <w:noProof/>
          <w:sz w:val="22"/>
          <w:lang w:val="en-US"/>
        </w:rPr>
        <w:t>Basic personal counselling</w:t>
      </w:r>
      <w:r w:rsidRPr="006F1287">
        <w:rPr>
          <w:rFonts w:eastAsia="Aptos" w:cs="Arial"/>
          <w:noProof/>
          <w:sz w:val="22"/>
          <w:lang w:val="en-US"/>
        </w:rPr>
        <w:t xml:space="preserve"> (9th ed.). South Melbourne, VIC: Cengage Australia. </w:t>
      </w:r>
    </w:p>
    <w:p w14:paraId="7FC5C7FE" w14:textId="77777777" w:rsidR="00157793" w:rsidRPr="00157793" w:rsidRDefault="00157793" w:rsidP="00157793">
      <w:pPr>
        <w:spacing w:before="0" w:after="160"/>
        <w:ind w:left="720" w:hanging="720"/>
        <w:rPr>
          <w:rFonts w:eastAsia="Aptos" w:cs="Arial"/>
          <w:noProof/>
          <w:sz w:val="22"/>
          <w:lang w:val="en-US"/>
        </w:rPr>
      </w:pPr>
      <w:r w:rsidRPr="00157793">
        <w:rPr>
          <w:rFonts w:eastAsia="Aptos" w:cs="Arial"/>
          <w:noProof/>
          <w:sz w:val="22"/>
          <w:lang w:val="en-US"/>
        </w:rPr>
        <w:t xml:space="preserve">Gendera, S., Fisher, K. R., Robinson, S., Clements, N., &amp; Eastman, C. (2011). Evaluation of the Self Directed Support Pilot for Children and Young Adults with a Physical Disability. </w:t>
      </w:r>
      <w:r w:rsidRPr="00157793">
        <w:rPr>
          <w:rFonts w:eastAsia="Aptos" w:cs="Arial"/>
          <w:i/>
          <w:noProof/>
          <w:sz w:val="22"/>
          <w:lang w:val="en-US"/>
        </w:rPr>
        <w:t>Social Policy Research Centre Report Series</w:t>
      </w:r>
      <w:r w:rsidRPr="00157793">
        <w:rPr>
          <w:rFonts w:eastAsia="Aptos" w:cs="Arial"/>
          <w:noProof/>
          <w:sz w:val="22"/>
          <w:lang w:val="en-US"/>
        </w:rPr>
        <w:t xml:space="preserve">. </w:t>
      </w:r>
    </w:p>
    <w:p w14:paraId="619655A1" w14:textId="77777777" w:rsidR="00157793" w:rsidRPr="00157793" w:rsidRDefault="00157793" w:rsidP="00157793">
      <w:pPr>
        <w:spacing w:before="0" w:after="0"/>
        <w:ind w:left="720" w:hanging="720"/>
        <w:rPr>
          <w:rFonts w:eastAsia="Aptos" w:cs="Arial"/>
          <w:noProof/>
          <w:sz w:val="22"/>
          <w:lang w:val="en-US"/>
        </w:rPr>
      </w:pPr>
      <w:r w:rsidRPr="00157793">
        <w:rPr>
          <w:rFonts w:eastAsia="Aptos" w:cs="Arial"/>
          <w:noProof/>
          <w:sz w:val="22"/>
          <w:lang w:val="en-US"/>
        </w:rPr>
        <w:tab/>
      </w:r>
    </w:p>
    <w:p w14:paraId="5F5FF327" w14:textId="77777777" w:rsidR="00157793" w:rsidRPr="00157793" w:rsidRDefault="00157793" w:rsidP="00157793">
      <w:pPr>
        <w:spacing w:before="0" w:after="160"/>
        <w:ind w:left="720" w:hanging="720"/>
        <w:rPr>
          <w:rFonts w:eastAsia="Aptos" w:cs="Arial"/>
          <w:noProof/>
          <w:sz w:val="22"/>
          <w:lang w:val="en-US"/>
        </w:rPr>
      </w:pPr>
      <w:r w:rsidRPr="00157793">
        <w:rPr>
          <w:rFonts w:eastAsia="Aptos" w:cs="Arial"/>
          <w:noProof/>
          <w:sz w:val="22"/>
          <w:lang w:val="en-US"/>
        </w:rPr>
        <w:t xml:space="preserve">Gerhardt, S. (2014). </w:t>
      </w:r>
      <w:r w:rsidRPr="00157793">
        <w:rPr>
          <w:rFonts w:eastAsia="Aptos" w:cs="Arial"/>
          <w:i/>
          <w:noProof/>
          <w:sz w:val="22"/>
          <w:lang w:val="en-US"/>
        </w:rPr>
        <w:t>Why love matters: How affection shapes a baby's brain</w:t>
      </w:r>
      <w:r w:rsidRPr="00157793">
        <w:rPr>
          <w:rFonts w:eastAsia="Aptos" w:cs="Arial"/>
          <w:noProof/>
          <w:sz w:val="22"/>
          <w:lang w:val="en-US"/>
        </w:rPr>
        <w:t xml:space="preserve"> (2nd ed.). London, UK: Routledge. </w:t>
      </w:r>
    </w:p>
    <w:p w14:paraId="7F000E0F" w14:textId="77777777" w:rsidR="00157793" w:rsidRPr="00157793" w:rsidRDefault="00157793" w:rsidP="00157793">
      <w:pPr>
        <w:spacing w:before="0" w:after="0"/>
        <w:ind w:left="720" w:hanging="720"/>
        <w:rPr>
          <w:rFonts w:eastAsia="Aptos" w:cs="Arial"/>
          <w:noProof/>
          <w:sz w:val="22"/>
          <w:lang w:val="en-US"/>
        </w:rPr>
      </w:pPr>
      <w:r w:rsidRPr="00157793">
        <w:rPr>
          <w:rFonts w:eastAsia="Aptos" w:cs="Arial"/>
          <w:noProof/>
          <w:sz w:val="22"/>
          <w:lang w:val="en-US"/>
        </w:rPr>
        <w:tab/>
      </w:r>
    </w:p>
    <w:p w14:paraId="40284F0F" w14:textId="77777777" w:rsidR="00157793" w:rsidRPr="00157793" w:rsidRDefault="00157793" w:rsidP="00157793">
      <w:pPr>
        <w:spacing w:before="0" w:after="160"/>
        <w:ind w:left="720" w:hanging="720"/>
        <w:rPr>
          <w:rFonts w:eastAsia="Aptos" w:cs="Arial"/>
          <w:noProof/>
          <w:sz w:val="22"/>
          <w:lang w:val="en-US"/>
        </w:rPr>
      </w:pPr>
      <w:r w:rsidRPr="00157793">
        <w:rPr>
          <w:rFonts w:eastAsia="Aptos" w:cs="Arial"/>
          <w:noProof/>
          <w:sz w:val="22"/>
          <w:lang w:val="en-US"/>
        </w:rPr>
        <w:t xml:space="preserve">Geronimus, A. (2023). </w:t>
      </w:r>
      <w:r w:rsidRPr="00157793">
        <w:rPr>
          <w:rFonts w:eastAsia="Aptos" w:cs="Arial"/>
          <w:i/>
          <w:noProof/>
          <w:sz w:val="22"/>
          <w:lang w:val="en-US"/>
        </w:rPr>
        <w:t>Weathering: The extraordinary stress of ordinary life on the body in an Unjust Society</w:t>
      </w:r>
      <w:r w:rsidRPr="00157793">
        <w:rPr>
          <w:rFonts w:eastAsia="Aptos" w:cs="Arial"/>
          <w:noProof/>
          <w:sz w:val="22"/>
          <w:lang w:val="en-US"/>
        </w:rPr>
        <w:t xml:space="preserve">. London, UK: Little Brown Spark. </w:t>
      </w:r>
    </w:p>
    <w:p w14:paraId="5A1A8144" w14:textId="58621824" w:rsidR="009F37E7" w:rsidRPr="009F37E7" w:rsidRDefault="009F37E7" w:rsidP="009F37E7">
      <w:pPr>
        <w:spacing w:before="0" w:after="160"/>
        <w:ind w:left="720" w:hanging="720"/>
        <w:rPr>
          <w:rFonts w:eastAsia="Aptos" w:cs="Arial"/>
          <w:noProof/>
          <w:sz w:val="22"/>
          <w:lang w:val="en-US"/>
        </w:rPr>
      </w:pPr>
      <w:r w:rsidRPr="009F37E7">
        <w:rPr>
          <w:rFonts w:eastAsia="Aptos" w:cs="Arial"/>
          <w:noProof/>
          <w:sz w:val="22"/>
          <w:lang w:val="en-US"/>
        </w:rPr>
        <w:t xml:space="preserve">Gillberg, C., &amp; Fernell, E. (2014). Autism plus versus autism pure. </w:t>
      </w:r>
      <w:r w:rsidRPr="009F37E7">
        <w:rPr>
          <w:rFonts w:eastAsia="Aptos" w:cs="Arial"/>
          <w:i/>
          <w:noProof/>
          <w:sz w:val="22"/>
          <w:lang w:val="en-US"/>
        </w:rPr>
        <w:t>Journal of Autism and Developmental Disorders</w:t>
      </w:r>
      <w:r w:rsidRPr="009F37E7">
        <w:rPr>
          <w:rFonts w:eastAsia="Aptos" w:cs="Arial"/>
          <w:noProof/>
          <w:sz w:val="22"/>
          <w:lang w:val="en-US"/>
        </w:rPr>
        <w:t>,</w:t>
      </w:r>
      <w:r w:rsidRPr="009F37E7">
        <w:rPr>
          <w:rFonts w:eastAsia="Aptos" w:cs="Arial"/>
          <w:i/>
          <w:noProof/>
          <w:sz w:val="22"/>
          <w:lang w:val="en-US"/>
        </w:rPr>
        <w:t xml:space="preserve"> 44</w:t>
      </w:r>
      <w:r w:rsidRPr="009F37E7">
        <w:rPr>
          <w:rFonts w:eastAsia="Aptos" w:cs="Arial"/>
          <w:noProof/>
          <w:sz w:val="22"/>
          <w:lang w:val="en-US"/>
        </w:rPr>
        <w:t xml:space="preserve">(12), 3274-3276. </w:t>
      </w:r>
      <w:hyperlink r:id="rId267" w:history="1">
        <w:r w:rsidR="0054349C" w:rsidRPr="00326476">
          <w:rPr>
            <w:rStyle w:val="Hyperlink"/>
            <w:rFonts w:eastAsia="Aptos" w:cs="Arial"/>
            <w:noProof/>
            <w:sz w:val="22"/>
            <w:lang w:val="en-US"/>
          </w:rPr>
          <w:t>https://doi.org/10.1007/s10803-014-2163-1</w:t>
        </w:r>
      </w:hyperlink>
      <w:r w:rsidR="0054349C">
        <w:rPr>
          <w:rFonts w:eastAsia="Aptos" w:cs="Arial"/>
          <w:noProof/>
          <w:sz w:val="22"/>
          <w:lang w:val="en-US"/>
        </w:rPr>
        <w:t xml:space="preserve"> </w:t>
      </w:r>
      <w:r w:rsidRPr="009F37E7">
        <w:rPr>
          <w:rFonts w:eastAsia="Aptos" w:cs="Arial"/>
          <w:noProof/>
          <w:sz w:val="22"/>
          <w:lang w:val="en-US"/>
        </w:rPr>
        <w:t xml:space="preserve"> </w:t>
      </w:r>
    </w:p>
    <w:p w14:paraId="45DDF029" w14:textId="77777777" w:rsidR="009F37E7" w:rsidRPr="009F37E7" w:rsidRDefault="009F37E7" w:rsidP="009F37E7">
      <w:pPr>
        <w:spacing w:before="0" w:after="0"/>
        <w:ind w:left="720" w:hanging="720"/>
        <w:rPr>
          <w:rFonts w:eastAsia="Aptos" w:cs="Arial"/>
          <w:noProof/>
          <w:sz w:val="22"/>
          <w:lang w:val="en-US"/>
        </w:rPr>
      </w:pPr>
      <w:r w:rsidRPr="009F37E7">
        <w:rPr>
          <w:rFonts w:eastAsia="Aptos" w:cs="Arial"/>
          <w:noProof/>
          <w:sz w:val="22"/>
          <w:lang w:val="en-US"/>
        </w:rPr>
        <w:tab/>
      </w:r>
    </w:p>
    <w:p w14:paraId="6E53224B" w14:textId="2EAA4238" w:rsidR="009F37E7" w:rsidRPr="009F37E7" w:rsidRDefault="009F37E7" w:rsidP="009F37E7">
      <w:pPr>
        <w:spacing w:before="0" w:after="160"/>
        <w:ind w:left="720" w:hanging="720"/>
        <w:rPr>
          <w:rFonts w:eastAsia="Aptos" w:cs="Arial"/>
          <w:noProof/>
          <w:sz w:val="22"/>
          <w:lang w:val="en-US"/>
        </w:rPr>
      </w:pPr>
      <w:r w:rsidRPr="009F37E7">
        <w:rPr>
          <w:rFonts w:eastAsia="Aptos" w:cs="Arial"/>
          <w:noProof/>
          <w:sz w:val="22"/>
          <w:lang w:val="en-US"/>
        </w:rPr>
        <w:t xml:space="preserve">Global Research on Developmental Disabilities Collaborators. (2018). Developmental disabilities among children younger than 5 years in 195 countries and territories, 1990-2016: a systematic analysis for the Global Burden of Disease Study 2016. </w:t>
      </w:r>
      <w:r w:rsidRPr="009F37E7">
        <w:rPr>
          <w:rFonts w:eastAsia="Aptos" w:cs="Arial"/>
          <w:i/>
          <w:noProof/>
          <w:sz w:val="22"/>
          <w:lang w:val="en-US"/>
        </w:rPr>
        <w:t>Lancet Global Health</w:t>
      </w:r>
      <w:r w:rsidRPr="009F37E7">
        <w:rPr>
          <w:rFonts w:eastAsia="Aptos" w:cs="Arial"/>
          <w:noProof/>
          <w:sz w:val="22"/>
          <w:lang w:val="en-US"/>
        </w:rPr>
        <w:t>,</w:t>
      </w:r>
      <w:r w:rsidRPr="009F37E7">
        <w:rPr>
          <w:rFonts w:eastAsia="Aptos" w:cs="Arial"/>
          <w:i/>
          <w:noProof/>
          <w:sz w:val="22"/>
          <w:lang w:val="en-US"/>
        </w:rPr>
        <w:t xml:space="preserve"> 6</w:t>
      </w:r>
      <w:r w:rsidRPr="009F37E7">
        <w:rPr>
          <w:rFonts w:eastAsia="Aptos" w:cs="Arial"/>
          <w:noProof/>
          <w:sz w:val="22"/>
          <w:lang w:val="en-US"/>
        </w:rPr>
        <w:t xml:space="preserve">(10), e1100-e1121. </w:t>
      </w:r>
      <w:hyperlink r:id="rId268" w:history="1">
        <w:r w:rsidR="0054349C" w:rsidRPr="00326476">
          <w:rPr>
            <w:rStyle w:val="Hyperlink"/>
            <w:rFonts w:eastAsia="Aptos" w:cs="Arial"/>
            <w:noProof/>
            <w:sz w:val="22"/>
            <w:lang w:val="en-US"/>
          </w:rPr>
          <w:t>https://doi.org/10.1016/s2214-109x(18)30309-7</w:t>
        </w:r>
      </w:hyperlink>
      <w:r w:rsidR="0054349C">
        <w:rPr>
          <w:rFonts w:eastAsia="Aptos" w:cs="Arial"/>
          <w:noProof/>
          <w:sz w:val="22"/>
          <w:lang w:val="en-US"/>
        </w:rPr>
        <w:t xml:space="preserve"> </w:t>
      </w:r>
      <w:r w:rsidRPr="009F37E7">
        <w:rPr>
          <w:rFonts w:eastAsia="Aptos" w:cs="Arial"/>
          <w:noProof/>
          <w:sz w:val="22"/>
          <w:lang w:val="en-US"/>
        </w:rPr>
        <w:t xml:space="preserve"> </w:t>
      </w:r>
    </w:p>
    <w:p w14:paraId="06578971" w14:textId="77777777" w:rsidR="009F37E7" w:rsidRPr="009F37E7" w:rsidRDefault="009F37E7" w:rsidP="009F37E7">
      <w:pPr>
        <w:spacing w:before="0" w:after="0"/>
        <w:ind w:left="720" w:hanging="720"/>
        <w:rPr>
          <w:rFonts w:eastAsia="Aptos" w:cs="Arial"/>
          <w:noProof/>
          <w:sz w:val="22"/>
          <w:lang w:val="en-US"/>
        </w:rPr>
      </w:pPr>
      <w:r w:rsidRPr="009F37E7">
        <w:rPr>
          <w:rFonts w:eastAsia="Aptos" w:cs="Arial"/>
          <w:noProof/>
          <w:sz w:val="22"/>
          <w:lang w:val="en-US"/>
        </w:rPr>
        <w:tab/>
      </w:r>
    </w:p>
    <w:p w14:paraId="674060A2" w14:textId="36A2CD23" w:rsidR="009F37E7" w:rsidRPr="009F37E7" w:rsidRDefault="009F37E7" w:rsidP="009F37E7">
      <w:pPr>
        <w:spacing w:before="0" w:after="160"/>
        <w:ind w:left="720" w:hanging="720"/>
        <w:rPr>
          <w:rFonts w:eastAsia="Aptos" w:cs="Arial"/>
          <w:noProof/>
          <w:sz w:val="22"/>
          <w:lang w:val="en-US"/>
        </w:rPr>
      </w:pPr>
      <w:r w:rsidRPr="009F37E7">
        <w:rPr>
          <w:rFonts w:eastAsia="Aptos" w:cs="Arial"/>
          <w:noProof/>
          <w:sz w:val="22"/>
          <w:lang w:val="en-US"/>
        </w:rPr>
        <w:t xml:space="preserve">Gluckman, P. D., Buklijas, T., &amp; Hanson, M. A. (2016). The developmental origins of health and disease (DOHaD) concept: past, present, and future. In C. Rosenfeld (Ed.), </w:t>
      </w:r>
      <w:r w:rsidRPr="009F37E7">
        <w:rPr>
          <w:rFonts w:eastAsia="Aptos" w:cs="Arial"/>
          <w:i/>
          <w:noProof/>
          <w:sz w:val="22"/>
          <w:lang w:val="en-US"/>
        </w:rPr>
        <w:t>The epigenome and developmental origins of health and disease</w:t>
      </w:r>
      <w:r w:rsidRPr="009F37E7">
        <w:rPr>
          <w:rFonts w:eastAsia="Aptos" w:cs="Arial"/>
          <w:noProof/>
          <w:sz w:val="22"/>
          <w:lang w:val="en-US"/>
        </w:rPr>
        <w:t xml:space="preserve"> (pp. 1-15). London, UK: Academic Press. </w:t>
      </w:r>
      <w:hyperlink r:id="rId269" w:history="1">
        <w:r w:rsidR="0054349C" w:rsidRPr="00326476">
          <w:rPr>
            <w:rStyle w:val="Hyperlink"/>
            <w:rFonts w:eastAsia="Aptos" w:cs="Arial"/>
            <w:noProof/>
            <w:sz w:val="22"/>
            <w:lang w:val="en-US"/>
          </w:rPr>
          <w:t>https://doi.org/10.1016/B978-0-12-801383-0.00001-3</w:t>
        </w:r>
      </w:hyperlink>
      <w:r w:rsidR="0054349C">
        <w:rPr>
          <w:rFonts w:eastAsia="Aptos" w:cs="Arial"/>
          <w:noProof/>
          <w:sz w:val="22"/>
          <w:lang w:val="en-US"/>
        </w:rPr>
        <w:t xml:space="preserve"> </w:t>
      </w:r>
      <w:r w:rsidRPr="009F37E7">
        <w:rPr>
          <w:rFonts w:eastAsia="Aptos" w:cs="Arial"/>
          <w:noProof/>
          <w:sz w:val="22"/>
          <w:lang w:val="en-US"/>
        </w:rPr>
        <w:t xml:space="preserve"> </w:t>
      </w:r>
    </w:p>
    <w:p w14:paraId="2BC8039D" w14:textId="77777777" w:rsidR="009F37E7" w:rsidRPr="009F37E7" w:rsidRDefault="009F37E7" w:rsidP="009F37E7">
      <w:pPr>
        <w:spacing w:before="0" w:after="0"/>
        <w:ind w:left="720" w:hanging="720"/>
        <w:rPr>
          <w:rFonts w:eastAsia="Aptos" w:cs="Arial"/>
          <w:noProof/>
          <w:sz w:val="22"/>
          <w:lang w:val="en-US"/>
        </w:rPr>
      </w:pPr>
      <w:r w:rsidRPr="009F37E7">
        <w:rPr>
          <w:rFonts w:eastAsia="Aptos" w:cs="Arial"/>
          <w:noProof/>
          <w:sz w:val="22"/>
          <w:lang w:val="en-US"/>
        </w:rPr>
        <w:tab/>
      </w:r>
    </w:p>
    <w:p w14:paraId="333F72EE" w14:textId="4ECB4169" w:rsidR="009F37E7" w:rsidRPr="009F37E7" w:rsidRDefault="009F37E7" w:rsidP="009F37E7">
      <w:pPr>
        <w:spacing w:before="0" w:after="160"/>
        <w:ind w:left="720" w:hanging="720"/>
        <w:rPr>
          <w:rFonts w:eastAsia="Aptos" w:cs="Arial"/>
          <w:noProof/>
          <w:sz w:val="22"/>
          <w:lang w:val="en-US"/>
        </w:rPr>
      </w:pPr>
      <w:r w:rsidRPr="009F37E7">
        <w:rPr>
          <w:rFonts w:eastAsia="Aptos" w:cs="Arial"/>
          <w:noProof/>
          <w:sz w:val="22"/>
          <w:lang w:val="en-US"/>
        </w:rPr>
        <w:t xml:space="preserve">Goering, S. (2015). Rethinking disability: The social model of disability and chronic disease. </w:t>
      </w:r>
      <w:r w:rsidRPr="009F37E7">
        <w:rPr>
          <w:rFonts w:eastAsia="Aptos" w:cs="Arial"/>
          <w:i/>
          <w:noProof/>
          <w:sz w:val="22"/>
          <w:lang w:val="en-US"/>
        </w:rPr>
        <w:t>Current reviews in musculoskeletal medicine</w:t>
      </w:r>
      <w:r w:rsidRPr="009F37E7">
        <w:rPr>
          <w:rFonts w:eastAsia="Aptos" w:cs="Arial"/>
          <w:noProof/>
          <w:sz w:val="22"/>
          <w:lang w:val="en-US"/>
        </w:rPr>
        <w:t>,</w:t>
      </w:r>
      <w:r w:rsidRPr="009F37E7">
        <w:rPr>
          <w:rFonts w:eastAsia="Aptos" w:cs="Arial"/>
          <w:i/>
          <w:noProof/>
          <w:sz w:val="22"/>
          <w:lang w:val="en-US"/>
        </w:rPr>
        <w:t xml:space="preserve"> 8</w:t>
      </w:r>
      <w:r w:rsidRPr="009F37E7">
        <w:rPr>
          <w:rFonts w:eastAsia="Aptos" w:cs="Arial"/>
          <w:noProof/>
          <w:sz w:val="22"/>
          <w:lang w:val="en-US"/>
        </w:rPr>
        <w:t xml:space="preserve">(2), 134-138. </w:t>
      </w:r>
      <w:hyperlink r:id="rId270" w:history="1">
        <w:r w:rsidR="0054349C" w:rsidRPr="00326476">
          <w:rPr>
            <w:rStyle w:val="Hyperlink"/>
            <w:rFonts w:eastAsia="Aptos" w:cs="Arial"/>
            <w:noProof/>
            <w:sz w:val="22"/>
            <w:lang w:val="en-US"/>
          </w:rPr>
          <w:t>https://doi.org/10.1007/s12178-015-9273-z</w:t>
        </w:r>
      </w:hyperlink>
      <w:r w:rsidR="0054349C">
        <w:rPr>
          <w:rFonts w:eastAsia="Aptos" w:cs="Arial"/>
          <w:noProof/>
          <w:sz w:val="22"/>
          <w:lang w:val="en-US"/>
        </w:rPr>
        <w:t xml:space="preserve"> </w:t>
      </w:r>
      <w:r w:rsidRPr="009F37E7">
        <w:rPr>
          <w:rFonts w:eastAsia="Aptos" w:cs="Arial"/>
          <w:noProof/>
          <w:sz w:val="22"/>
          <w:lang w:val="en-US"/>
        </w:rPr>
        <w:t xml:space="preserve"> </w:t>
      </w:r>
    </w:p>
    <w:p w14:paraId="64CC7F71" w14:textId="0322844E" w:rsidR="0030178D" w:rsidRPr="00075790" w:rsidRDefault="0030178D" w:rsidP="0030178D">
      <w:pPr>
        <w:pStyle w:val="EndNoteBibliography"/>
        <w:spacing w:after="0"/>
        <w:ind w:left="720" w:hanging="720"/>
      </w:pPr>
    </w:p>
    <w:p w14:paraId="213F46EF" w14:textId="339342DA" w:rsidR="00B51FA3" w:rsidRPr="00B51FA3" w:rsidRDefault="00B51FA3" w:rsidP="00B51FA3">
      <w:pPr>
        <w:spacing w:before="0" w:after="160"/>
        <w:ind w:left="720" w:hanging="720"/>
        <w:rPr>
          <w:rFonts w:eastAsia="Aptos" w:cs="Arial"/>
          <w:noProof/>
          <w:sz w:val="22"/>
          <w:lang w:val="en-US"/>
        </w:rPr>
      </w:pPr>
      <w:r w:rsidRPr="00B51FA3">
        <w:rPr>
          <w:rFonts w:eastAsia="Aptos" w:cs="Arial"/>
          <w:noProof/>
          <w:sz w:val="22"/>
          <w:lang w:val="en-US"/>
        </w:rPr>
        <w:t xml:space="preserve">Goldfarb, F. D., Devine, K., Yingling, J. T., Hill, A., Moss, J., Ogburn, E. S., Roberts, R. J., Smith, M. A., &amp; Pariseau, C. (2010). Partnering with professionals: Family-centered care from the parent perspective. </w:t>
      </w:r>
      <w:r w:rsidRPr="00B51FA3">
        <w:rPr>
          <w:rFonts w:eastAsia="Aptos" w:cs="Arial"/>
          <w:i/>
          <w:noProof/>
          <w:sz w:val="22"/>
          <w:lang w:val="en-US"/>
        </w:rPr>
        <w:t>Journal of Family Social Work</w:t>
      </w:r>
      <w:r w:rsidRPr="00B51FA3">
        <w:rPr>
          <w:rFonts w:eastAsia="Aptos" w:cs="Arial"/>
          <w:noProof/>
          <w:sz w:val="22"/>
          <w:lang w:val="en-US"/>
        </w:rPr>
        <w:t>,</w:t>
      </w:r>
      <w:r w:rsidRPr="00B51FA3">
        <w:rPr>
          <w:rFonts w:eastAsia="Aptos" w:cs="Arial"/>
          <w:i/>
          <w:noProof/>
          <w:sz w:val="22"/>
          <w:lang w:val="en-US"/>
        </w:rPr>
        <w:t xml:space="preserve"> 13</w:t>
      </w:r>
      <w:r w:rsidRPr="00B51FA3">
        <w:rPr>
          <w:rFonts w:eastAsia="Aptos" w:cs="Arial"/>
          <w:noProof/>
          <w:sz w:val="22"/>
          <w:lang w:val="en-US"/>
        </w:rPr>
        <w:t xml:space="preserve">(2), 91-99. </w:t>
      </w:r>
      <w:hyperlink r:id="rId271" w:history="1">
        <w:r w:rsidR="0054349C" w:rsidRPr="00326476">
          <w:rPr>
            <w:rStyle w:val="Hyperlink"/>
            <w:rFonts w:eastAsia="Aptos" w:cs="Arial"/>
            <w:noProof/>
            <w:sz w:val="22"/>
            <w:lang w:val="en-US"/>
          </w:rPr>
          <w:t>https://doi.org/10.1080/10522150903487081</w:t>
        </w:r>
      </w:hyperlink>
      <w:r w:rsidR="0054349C">
        <w:rPr>
          <w:rFonts w:eastAsia="Aptos" w:cs="Arial"/>
          <w:noProof/>
          <w:sz w:val="22"/>
          <w:lang w:val="en-US"/>
        </w:rPr>
        <w:t xml:space="preserve"> </w:t>
      </w:r>
      <w:r w:rsidRPr="00B51FA3">
        <w:rPr>
          <w:rFonts w:eastAsia="Aptos" w:cs="Arial"/>
          <w:noProof/>
          <w:sz w:val="22"/>
          <w:lang w:val="en-US"/>
        </w:rPr>
        <w:t xml:space="preserve"> </w:t>
      </w:r>
    </w:p>
    <w:p w14:paraId="1390F513" w14:textId="77777777" w:rsidR="00B51FA3" w:rsidRPr="00B51FA3" w:rsidRDefault="00B51FA3" w:rsidP="00B51FA3">
      <w:pPr>
        <w:spacing w:before="0" w:after="0"/>
        <w:ind w:left="720" w:hanging="720"/>
        <w:rPr>
          <w:rFonts w:eastAsia="Aptos" w:cs="Arial"/>
          <w:noProof/>
          <w:sz w:val="22"/>
          <w:lang w:val="en-US"/>
        </w:rPr>
      </w:pPr>
      <w:r w:rsidRPr="00B51FA3">
        <w:rPr>
          <w:rFonts w:eastAsia="Aptos" w:cs="Arial"/>
          <w:noProof/>
          <w:sz w:val="22"/>
          <w:lang w:val="en-US"/>
        </w:rPr>
        <w:tab/>
      </w:r>
    </w:p>
    <w:p w14:paraId="3B16A0DC" w14:textId="433C87DD" w:rsidR="00B51FA3" w:rsidRPr="00B51FA3" w:rsidRDefault="00B51FA3" w:rsidP="00B51FA3">
      <w:pPr>
        <w:spacing w:before="0" w:after="160"/>
        <w:ind w:left="720" w:hanging="720"/>
        <w:rPr>
          <w:rFonts w:eastAsia="Aptos" w:cs="Arial"/>
          <w:noProof/>
          <w:sz w:val="22"/>
          <w:lang w:val="en-US"/>
        </w:rPr>
      </w:pPr>
      <w:r w:rsidRPr="00B51FA3">
        <w:rPr>
          <w:rFonts w:eastAsia="Aptos" w:cs="Arial"/>
          <w:noProof/>
          <w:sz w:val="22"/>
          <w:lang w:val="en-US"/>
        </w:rPr>
        <w:t xml:space="preserve">Goldfeld, S., Hiscock, H., &amp; Dalziel, K. (2019, 4 February). </w:t>
      </w:r>
      <w:r w:rsidRPr="00B51FA3">
        <w:rPr>
          <w:rFonts w:eastAsia="Aptos" w:cs="Arial"/>
          <w:i/>
          <w:noProof/>
          <w:sz w:val="22"/>
          <w:lang w:val="en-US"/>
        </w:rPr>
        <w:t>An unequal start: Addressing child health inequities</w:t>
      </w:r>
      <w:r w:rsidRPr="00B51FA3">
        <w:rPr>
          <w:rFonts w:eastAsia="Aptos" w:cs="Arial"/>
          <w:noProof/>
          <w:sz w:val="22"/>
          <w:lang w:val="en-US"/>
        </w:rPr>
        <w:t xml:space="preserve">. InSight: MJA. Retrieved 6 September, 2024 from </w:t>
      </w:r>
      <w:hyperlink r:id="rId272" w:history="1">
        <w:r w:rsidR="0054349C" w:rsidRPr="00326476">
          <w:rPr>
            <w:rStyle w:val="Hyperlink"/>
            <w:rFonts w:eastAsia="Aptos" w:cs="Arial"/>
            <w:noProof/>
            <w:sz w:val="22"/>
            <w:lang w:val="en-US"/>
          </w:rPr>
          <w:t>https://insightplus.mja.com.au/2019/4/an-unequal-start-addressing-child-health-inequities/</w:t>
        </w:r>
      </w:hyperlink>
      <w:r w:rsidR="0054349C">
        <w:rPr>
          <w:rFonts w:eastAsia="Aptos" w:cs="Arial"/>
          <w:noProof/>
          <w:sz w:val="22"/>
          <w:lang w:val="en-US"/>
        </w:rPr>
        <w:t xml:space="preserve"> </w:t>
      </w:r>
    </w:p>
    <w:p w14:paraId="44C629DA" w14:textId="32B278B2" w:rsidR="00C65C25" w:rsidRPr="00C65C25" w:rsidRDefault="00C65C25" w:rsidP="00C65C25">
      <w:pPr>
        <w:spacing w:before="0" w:after="160"/>
        <w:ind w:left="720" w:hanging="720"/>
        <w:rPr>
          <w:rFonts w:eastAsia="Aptos" w:cs="Arial"/>
          <w:noProof/>
          <w:sz w:val="22"/>
          <w:lang w:val="en-US"/>
        </w:rPr>
      </w:pPr>
      <w:r w:rsidRPr="00C65C25">
        <w:rPr>
          <w:rFonts w:eastAsia="Aptos" w:cs="Arial"/>
          <w:noProof/>
          <w:sz w:val="22"/>
          <w:lang w:val="en-US"/>
        </w:rPr>
        <w:t xml:space="preserve">Goldfeld, S., Moreno-Betancur, M., Guo, S., Mensah, F., O'Connor, E., Gray, S., Chong, S., Woolfenden, S., Williams, K., &amp; Kvalsvig, A. (2021). Inequities in children's reading skills: the role of home reading and preschool attendance. </w:t>
      </w:r>
      <w:r w:rsidRPr="00C65C25">
        <w:rPr>
          <w:rFonts w:eastAsia="Aptos" w:cs="Arial"/>
          <w:i/>
          <w:noProof/>
          <w:sz w:val="22"/>
          <w:lang w:val="en-US"/>
        </w:rPr>
        <w:t>Academic Pediatrics</w:t>
      </w:r>
      <w:r w:rsidRPr="00C65C25">
        <w:rPr>
          <w:rFonts w:eastAsia="Aptos" w:cs="Arial"/>
          <w:noProof/>
          <w:sz w:val="22"/>
          <w:lang w:val="en-US"/>
        </w:rPr>
        <w:t>,</w:t>
      </w:r>
      <w:r w:rsidRPr="00C65C25">
        <w:rPr>
          <w:rFonts w:eastAsia="Aptos" w:cs="Arial"/>
          <w:i/>
          <w:noProof/>
          <w:sz w:val="22"/>
          <w:lang w:val="en-US"/>
        </w:rPr>
        <w:t xml:space="preserve"> 21</w:t>
      </w:r>
      <w:r w:rsidRPr="00C65C25">
        <w:rPr>
          <w:rFonts w:eastAsia="Aptos" w:cs="Arial"/>
          <w:noProof/>
          <w:sz w:val="22"/>
          <w:lang w:val="en-US"/>
        </w:rPr>
        <w:t xml:space="preserve">(6), 1046-1054. </w:t>
      </w:r>
      <w:hyperlink r:id="rId273" w:history="1">
        <w:r w:rsidR="0054349C" w:rsidRPr="00326476">
          <w:rPr>
            <w:rStyle w:val="Hyperlink"/>
            <w:rFonts w:eastAsia="Aptos" w:cs="Arial"/>
            <w:noProof/>
            <w:sz w:val="22"/>
            <w:lang w:val="en-US"/>
          </w:rPr>
          <w:t>https://doi.org/10.1016/j.acap.2021.04.019</w:t>
        </w:r>
      </w:hyperlink>
      <w:r w:rsidR="0054349C">
        <w:rPr>
          <w:rFonts w:eastAsia="Aptos" w:cs="Arial"/>
          <w:noProof/>
          <w:sz w:val="22"/>
          <w:lang w:val="en-US"/>
        </w:rPr>
        <w:t xml:space="preserve"> </w:t>
      </w:r>
      <w:r w:rsidRPr="00C65C25">
        <w:rPr>
          <w:rFonts w:eastAsia="Aptos" w:cs="Arial"/>
          <w:noProof/>
          <w:sz w:val="22"/>
          <w:lang w:val="en-US"/>
        </w:rPr>
        <w:t xml:space="preserve"> </w:t>
      </w:r>
    </w:p>
    <w:p w14:paraId="0140580E" w14:textId="77777777" w:rsidR="00C65C25" w:rsidRPr="00C65C25" w:rsidRDefault="00C65C25" w:rsidP="00C65C25">
      <w:pPr>
        <w:spacing w:before="0" w:after="0"/>
        <w:ind w:left="720" w:hanging="720"/>
        <w:rPr>
          <w:rFonts w:eastAsia="Aptos" w:cs="Arial"/>
          <w:noProof/>
          <w:sz w:val="22"/>
          <w:lang w:val="en-US"/>
        </w:rPr>
      </w:pPr>
      <w:r w:rsidRPr="00C65C25">
        <w:rPr>
          <w:rFonts w:eastAsia="Aptos" w:cs="Arial"/>
          <w:noProof/>
          <w:sz w:val="22"/>
          <w:lang w:val="en-US"/>
        </w:rPr>
        <w:tab/>
      </w:r>
    </w:p>
    <w:p w14:paraId="1C7ECBFB" w14:textId="3D737828" w:rsidR="00C65C25" w:rsidRPr="00C65C25" w:rsidRDefault="00C65C25" w:rsidP="00C65C25">
      <w:pPr>
        <w:spacing w:before="0" w:after="160"/>
        <w:ind w:left="720" w:hanging="720"/>
        <w:rPr>
          <w:rFonts w:eastAsia="Aptos" w:cs="Arial"/>
          <w:noProof/>
          <w:sz w:val="22"/>
          <w:lang w:val="en-US"/>
        </w:rPr>
      </w:pPr>
      <w:r w:rsidRPr="00C65C25">
        <w:rPr>
          <w:rFonts w:eastAsia="Aptos" w:cs="Arial"/>
          <w:noProof/>
          <w:sz w:val="22"/>
          <w:lang w:val="en-US"/>
        </w:rPr>
        <w:t xml:space="preserve">Goldfeld, S., O’Connor, M., O’Connor, E., Chong, S., Badland, H., Woolfenden, S., Redmond, G., Williams, K., Azpitarte, F., &amp; Cloney, D. (2018). More than a snapshot in time: pathways of disadvantage over childhood. </w:t>
      </w:r>
      <w:r w:rsidRPr="00C65C25">
        <w:rPr>
          <w:rFonts w:eastAsia="Aptos" w:cs="Arial"/>
          <w:i/>
          <w:noProof/>
          <w:sz w:val="22"/>
          <w:lang w:val="en-US"/>
        </w:rPr>
        <w:t>International Journal of Epidemiology</w:t>
      </w:r>
      <w:r w:rsidRPr="00C65C25">
        <w:rPr>
          <w:rFonts w:eastAsia="Aptos" w:cs="Arial"/>
          <w:noProof/>
          <w:sz w:val="22"/>
          <w:lang w:val="en-US"/>
        </w:rPr>
        <w:t>,</w:t>
      </w:r>
      <w:r w:rsidRPr="00C65C25">
        <w:rPr>
          <w:rFonts w:eastAsia="Aptos" w:cs="Arial"/>
          <w:i/>
          <w:noProof/>
          <w:sz w:val="22"/>
          <w:lang w:val="en-US"/>
        </w:rPr>
        <w:t xml:space="preserve"> 47</w:t>
      </w:r>
      <w:r w:rsidRPr="00C65C25">
        <w:rPr>
          <w:rFonts w:eastAsia="Aptos" w:cs="Arial"/>
          <w:noProof/>
          <w:sz w:val="22"/>
          <w:lang w:val="en-US"/>
        </w:rPr>
        <w:t xml:space="preserve">(4), 1307-1316. </w:t>
      </w:r>
      <w:hyperlink r:id="rId274" w:history="1">
        <w:r w:rsidR="0054349C" w:rsidRPr="00326476">
          <w:rPr>
            <w:rStyle w:val="Hyperlink"/>
            <w:rFonts w:eastAsia="Aptos" w:cs="Arial"/>
            <w:noProof/>
            <w:sz w:val="22"/>
            <w:lang w:val="en-US"/>
          </w:rPr>
          <w:t>https://doi.org/10.1093/ije/dyy086</w:t>
        </w:r>
      </w:hyperlink>
      <w:r w:rsidR="0054349C">
        <w:rPr>
          <w:rFonts w:eastAsia="Aptos" w:cs="Arial"/>
          <w:noProof/>
          <w:sz w:val="22"/>
          <w:lang w:val="en-US"/>
        </w:rPr>
        <w:t xml:space="preserve"> </w:t>
      </w:r>
      <w:r w:rsidRPr="00C65C25">
        <w:rPr>
          <w:rFonts w:eastAsia="Aptos" w:cs="Arial"/>
          <w:noProof/>
          <w:sz w:val="22"/>
          <w:lang w:val="en-US"/>
        </w:rPr>
        <w:t xml:space="preserve"> </w:t>
      </w:r>
    </w:p>
    <w:p w14:paraId="47642D2F" w14:textId="77777777" w:rsidR="00C65C25" w:rsidRPr="00C65C25" w:rsidRDefault="00C65C25" w:rsidP="00C65C25">
      <w:pPr>
        <w:spacing w:before="0" w:after="0"/>
        <w:ind w:left="720" w:hanging="720"/>
        <w:rPr>
          <w:rFonts w:eastAsia="Aptos" w:cs="Arial"/>
          <w:noProof/>
          <w:sz w:val="22"/>
          <w:lang w:val="en-US"/>
        </w:rPr>
      </w:pPr>
      <w:r w:rsidRPr="00C65C25">
        <w:rPr>
          <w:rFonts w:eastAsia="Aptos" w:cs="Arial"/>
          <w:noProof/>
          <w:sz w:val="22"/>
          <w:lang w:val="en-US"/>
        </w:rPr>
        <w:tab/>
      </w:r>
    </w:p>
    <w:p w14:paraId="6926309C" w14:textId="6E2D9EDF" w:rsidR="00C65C25" w:rsidRPr="00C65C25" w:rsidRDefault="00C65C25" w:rsidP="00C65C25">
      <w:pPr>
        <w:spacing w:before="0" w:after="160"/>
        <w:ind w:left="720" w:hanging="720"/>
        <w:rPr>
          <w:rFonts w:eastAsia="Aptos" w:cs="Arial"/>
          <w:noProof/>
          <w:sz w:val="22"/>
          <w:lang w:val="en-US"/>
        </w:rPr>
      </w:pPr>
      <w:r w:rsidRPr="00C65C25">
        <w:rPr>
          <w:rFonts w:eastAsia="Aptos" w:cs="Arial"/>
          <w:noProof/>
          <w:sz w:val="22"/>
          <w:lang w:val="en-US"/>
        </w:rPr>
        <w:t xml:space="preserve">Goldfeld, S., Villanueva, K., Lee, J. L., Robinson, R., Moriarty, A., Peel, D., Tanton, R., Giles-Corti, B., Woolcock, G., Brinkman, S., &amp; Katz, I. (2018). </w:t>
      </w:r>
      <w:r w:rsidRPr="00C65C25">
        <w:rPr>
          <w:rFonts w:eastAsia="Aptos" w:cs="Arial"/>
          <w:i/>
          <w:noProof/>
          <w:sz w:val="22"/>
          <w:lang w:val="en-US"/>
        </w:rPr>
        <w:t>Foundational Community Factors (FCFs) for Early Childhood Development: A report on the Kids in Communities Study</w:t>
      </w:r>
      <w:r w:rsidRPr="00C65C25">
        <w:rPr>
          <w:rFonts w:eastAsia="Aptos" w:cs="Arial"/>
          <w:noProof/>
          <w:sz w:val="22"/>
          <w:lang w:val="en-US"/>
        </w:rPr>
        <w:t xml:space="preserve">. Parkville, VIC: Murdoch Children’s Research Institute for the Kids in Communities Study (KiCS) collaboration. Retrieved 6 September, 2024 from </w:t>
      </w:r>
      <w:hyperlink r:id="rId275" w:history="1">
        <w:r w:rsidR="0054349C" w:rsidRPr="00326476">
          <w:rPr>
            <w:rStyle w:val="Hyperlink"/>
            <w:rFonts w:eastAsia="Aptos" w:cs="Arial"/>
            <w:noProof/>
            <w:sz w:val="22"/>
            <w:lang w:val="en-US"/>
          </w:rPr>
          <w:t>https://www.mcri.edu.au/sites/default/files/media/kics_final_report_v2_020518.pdf</w:t>
        </w:r>
      </w:hyperlink>
      <w:r w:rsidR="0054349C">
        <w:rPr>
          <w:rFonts w:eastAsia="Aptos" w:cs="Arial"/>
          <w:noProof/>
          <w:sz w:val="22"/>
          <w:lang w:val="en-US"/>
        </w:rPr>
        <w:t xml:space="preserve"> </w:t>
      </w:r>
    </w:p>
    <w:p w14:paraId="7923D298" w14:textId="77777777" w:rsidR="00C65C25" w:rsidRPr="00C65C25" w:rsidRDefault="00C65C25" w:rsidP="00C65C25">
      <w:pPr>
        <w:spacing w:before="0" w:after="0"/>
        <w:ind w:left="720" w:hanging="720"/>
        <w:rPr>
          <w:rFonts w:eastAsia="Aptos" w:cs="Arial"/>
          <w:noProof/>
          <w:sz w:val="22"/>
          <w:lang w:val="en-US"/>
        </w:rPr>
      </w:pPr>
      <w:r w:rsidRPr="00C65C25">
        <w:rPr>
          <w:rFonts w:eastAsia="Aptos" w:cs="Arial"/>
          <w:noProof/>
          <w:sz w:val="22"/>
          <w:lang w:val="en-US"/>
        </w:rPr>
        <w:tab/>
      </w:r>
    </w:p>
    <w:p w14:paraId="6E531012" w14:textId="77777777" w:rsidR="00C65C25" w:rsidRDefault="00C65C25" w:rsidP="00C65C25">
      <w:pPr>
        <w:spacing w:before="0" w:after="160"/>
        <w:ind w:left="720" w:hanging="720"/>
        <w:rPr>
          <w:rFonts w:eastAsia="Aptos" w:cs="Arial"/>
          <w:noProof/>
          <w:sz w:val="22"/>
          <w:lang w:val="en-US"/>
        </w:rPr>
      </w:pPr>
      <w:r w:rsidRPr="00C65C25">
        <w:rPr>
          <w:rFonts w:eastAsia="Aptos" w:cs="Arial"/>
          <w:noProof/>
          <w:sz w:val="22"/>
          <w:lang w:val="en-US"/>
        </w:rPr>
        <w:t xml:space="preserve">Goode, T., Jones, W., Christopher, J., &amp; Brown, I. (2017). Responding to cultural and linguistic differences among people with intellectual disability. In M. L. Wehmeyer, I. Brown, M. Percy, W. L. Alan Fung, &amp; K. A. Shogren (Eds.), </w:t>
      </w:r>
      <w:r w:rsidRPr="00C65C25">
        <w:rPr>
          <w:rFonts w:eastAsia="Aptos" w:cs="Arial"/>
          <w:i/>
          <w:noProof/>
          <w:sz w:val="22"/>
          <w:lang w:val="en-US"/>
        </w:rPr>
        <w:t>A comprehensive guide to intellectual and developmental disabilities</w:t>
      </w:r>
      <w:r w:rsidRPr="00C65C25">
        <w:rPr>
          <w:rFonts w:eastAsia="Aptos" w:cs="Arial"/>
          <w:noProof/>
          <w:sz w:val="22"/>
          <w:lang w:val="en-US"/>
        </w:rPr>
        <w:t xml:space="preserve"> (2nd ed., pp. 389-400). Baltimore, MD: Paul H Brooks Publishing Co. </w:t>
      </w:r>
    </w:p>
    <w:p w14:paraId="3521D6E8" w14:textId="77777777" w:rsidR="00121AEE" w:rsidRPr="00C65C25" w:rsidRDefault="00121AEE" w:rsidP="00C65C25">
      <w:pPr>
        <w:spacing w:before="0" w:after="160"/>
        <w:ind w:left="720" w:hanging="720"/>
        <w:rPr>
          <w:rFonts w:eastAsia="Aptos" w:cs="Arial"/>
          <w:noProof/>
          <w:sz w:val="22"/>
          <w:lang w:val="en-US"/>
        </w:rPr>
      </w:pPr>
    </w:p>
    <w:p w14:paraId="5B6A1470" w14:textId="31A3B23E" w:rsidR="00587056" w:rsidRDefault="00AF390C" w:rsidP="00587056">
      <w:pPr>
        <w:pStyle w:val="EndNoteBibliography"/>
        <w:spacing w:after="0"/>
        <w:ind w:left="720" w:hanging="720"/>
        <w:rPr>
          <w:rFonts w:eastAsia="Aptos"/>
        </w:rPr>
      </w:pPr>
      <w:r w:rsidRPr="00AF390C">
        <w:rPr>
          <w:rFonts w:eastAsia="Aptos"/>
        </w:rPr>
        <w:t xml:space="preserve">Gordon, H. S. J. (2023, 1 November). </w:t>
      </w:r>
      <w:r w:rsidRPr="00AF390C">
        <w:rPr>
          <w:rFonts w:eastAsia="Aptos"/>
          <w:i/>
        </w:rPr>
        <w:t>5 things to know about Indigenous Knowledge when working with Indigenous children, youth, and families</w:t>
      </w:r>
      <w:r w:rsidRPr="00AF390C">
        <w:rPr>
          <w:rFonts w:eastAsia="Aptos"/>
        </w:rPr>
        <w:t xml:space="preserve">. Rockville, MD: Child Trends Blog. Retrieved 6 September, 2024 from </w:t>
      </w:r>
      <w:hyperlink r:id="rId276" w:history="1">
        <w:r w:rsidR="00587056" w:rsidRPr="00326476">
          <w:rPr>
            <w:rStyle w:val="Hyperlink"/>
            <w:rFonts w:eastAsia="Aptos"/>
          </w:rPr>
          <w:t>https://www.childtrends.org/publications/5-things-know-about-indigenous-knowledge-when-working-with-indigenous-children-youth-families</w:t>
        </w:r>
      </w:hyperlink>
    </w:p>
    <w:p w14:paraId="5BCDC24D" w14:textId="77777777" w:rsidR="00587056" w:rsidRPr="0013462F" w:rsidRDefault="00587056" w:rsidP="00587056">
      <w:pPr>
        <w:pStyle w:val="EndNoteBibliography"/>
        <w:spacing w:after="0"/>
        <w:ind w:left="720" w:hanging="720"/>
        <w:rPr>
          <w:rFonts w:eastAsia="Aptos"/>
        </w:rPr>
      </w:pPr>
    </w:p>
    <w:p w14:paraId="7AAC8E8D" w14:textId="2B2EEF44" w:rsidR="00121AEE" w:rsidRPr="0013462F" w:rsidRDefault="00121AEE" w:rsidP="00121AEE">
      <w:pPr>
        <w:spacing w:before="0" w:after="160"/>
        <w:ind w:left="720" w:hanging="720"/>
        <w:rPr>
          <w:rFonts w:eastAsia="Aptos" w:cs="Arial"/>
          <w:noProof/>
          <w:sz w:val="22"/>
          <w:lang w:val="en-US"/>
        </w:rPr>
      </w:pPr>
      <w:r w:rsidRPr="0013462F">
        <w:rPr>
          <w:rFonts w:eastAsia="Aptos" w:cs="Arial"/>
          <w:noProof/>
          <w:sz w:val="22"/>
          <w:lang w:val="en-US"/>
        </w:rPr>
        <w:t xml:space="preserve">Government of Ireland. (2024). </w:t>
      </w:r>
      <w:r w:rsidRPr="0013462F">
        <w:rPr>
          <w:rFonts w:eastAsia="Aptos" w:cs="Arial"/>
          <w:i/>
          <w:noProof/>
          <w:sz w:val="22"/>
          <w:lang w:val="en-US"/>
        </w:rPr>
        <w:t>The access and inclusion model</w:t>
      </w:r>
      <w:r w:rsidRPr="0013462F">
        <w:rPr>
          <w:rFonts w:eastAsia="Aptos" w:cs="Arial"/>
          <w:noProof/>
          <w:sz w:val="22"/>
          <w:lang w:val="en-US"/>
        </w:rPr>
        <w:t xml:space="preserve">. Government of Ireland. Retrieved 6 September, 2024 from </w:t>
      </w:r>
      <w:hyperlink r:id="rId277" w:history="1">
        <w:r w:rsidR="0054349C" w:rsidRPr="00326476">
          <w:rPr>
            <w:rStyle w:val="Hyperlink"/>
            <w:rFonts w:eastAsia="Aptos" w:cs="Arial"/>
            <w:noProof/>
            <w:sz w:val="22"/>
            <w:lang w:val="en-US"/>
          </w:rPr>
          <w:t>https://aim.gov.ie/</w:t>
        </w:r>
      </w:hyperlink>
      <w:r w:rsidR="0054349C">
        <w:rPr>
          <w:rFonts w:eastAsia="Aptos" w:cs="Arial"/>
          <w:noProof/>
          <w:sz w:val="22"/>
          <w:lang w:val="en-US"/>
        </w:rPr>
        <w:t xml:space="preserve"> </w:t>
      </w:r>
    </w:p>
    <w:p w14:paraId="7257F71D" w14:textId="77777777" w:rsidR="000A174C" w:rsidRPr="000A174C" w:rsidRDefault="000A174C" w:rsidP="000A174C">
      <w:pPr>
        <w:spacing w:before="0" w:after="0"/>
        <w:ind w:left="720" w:hanging="720"/>
        <w:rPr>
          <w:rFonts w:eastAsia="Aptos" w:cs="Arial"/>
          <w:noProof/>
          <w:sz w:val="22"/>
          <w:lang w:val="en-US"/>
        </w:rPr>
      </w:pPr>
      <w:r w:rsidRPr="000A174C">
        <w:rPr>
          <w:rFonts w:eastAsia="Aptos" w:cs="Arial"/>
          <w:noProof/>
          <w:sz w:val="22"/>
          <w:lang w:val="en-US"/>
        </w:rPr>
        <w:tab/>
      </w:r>
    </w:p>
    <w:p w14:paraId="33B00AF9" w14:textId="06191BDE" w:rsidR="000A174C" w:rsidRDefault="000A174C" w:rsidP="000A174C">
      <w:pPr>
        <w:spacing w:before="0" w:after="160"/>
        <w:ind w:left="720" w:hanging="720"/>
        <w:rPr>
          <w:rFonts w:eastAsia="Aptos" w:cs="Arial"/>
          <w:noProof/>
          <w:sz w:val="22"/>
          <w:lang w:val="en-US"/>
        </w:rPr>
      </w:pPr>
      <w:r w:rsidRPr="000A174C">
        <w:rPr>
          <w:rFonts w:eastAsia="Aptos" w:cs="Arial"/>
          <w:noProof/>
          <w:sz w:val="22"/>
          <w:lang w:val="en-US"/>
        </w:rPr>
        <w:t xml:space="preserve">Government of South Australia. (2022). </w:t>
      </w:r>
      <w:r w:rsidRPr="000A174C">
        <w:rPr>
          <w:rFonts w:eastAsia="Aptos" w:cs="Arial"/>
          <w:i/>
          <w:noProof/>
          <w:sz w:val="22"/>
          <w:lang w:val="en-US"/>
        </w:rPr>
        <w:t>Safer family services. Aboriginal cultural practice framework</w:t>
      </w:r>
      <w:r w:rsidRPr="000A174C">
        <w:rPr>
          <w:rFonts w:eastAsia="Aptos" w:cs="Arial"/>
          <w:noProof/>
          <w:sz w:val="22"/>
          <w:lang w:val="en-US"/>
        </w:rPr>
        <w:t xml:space="preserve">. Government of South Australia. Retrieved 6 September, 2024 from </w:t>
      </w:r>
      <w:hyperlink r:id="rId278" w:history="1">
        <w:r w:rsidR="00121AEE" w:rsidRPr="00326476">
          <w:rPr>
            <w:rStyle w:val="Hyperlink"/>
            <w:rFonts w:eastAsia="Aptos" w:cs="Arial"/>
            <w:noProof/>
            <w:sz w:val="22"/>
            <w:lang w:val="en-US"/>
          </w:rPr>
          <w:t>https://dhs.sa.gov.au/__data/assets/pdf_file/0007/143557/Aboriginal-Cultural-Practice-Framework.pdf</w:t>
        </w:r>
      </w:hyperlink>
    </w:p>
    <w:p w14:paraId="6545D258" w14:textId="77777777" w:rsidR="00121AEE" w:rsidRPr="000A174C" w:rsidRDefault="00121AEE" w:rsidP="000A174C">
      <w:pPr>
        <w:spacing w:before="0" w:after="160"/>
        <w:ind w:left="720" w:hanging="720"/>
        <w:rPr>
          <w:rFonts w:eastAsia="Aptos" w:cs="Arial"/>
          <w:noProof/>
          <w:sz w:val="22"/>
          <w:lang w:val="en-US"/>
        </w:rPr>
      </w:pPr>
    </w:p>
    <w:p w14:paraId="720010F6" w14:textId="62AF6B75" w:rsidR="00D54815" w:rsidRPr="00D54815" w:rsidRDefault="00D54815" w:rsidP="00D54815">
      <w:pPr>
        <w:spacing w:before="0" w:after="160"/>
        <w:ind w:left="720" w:hanging="720"/>
        <w:rPr>
          <w:rFonts w:eastAsia="Aptos" w:cs="Arial"/>
          <w:noProof/>
          <w:sz w:val="22"/>
          <w:lang w:val="en-US"/>
        </w:rPr>
      </w:pPr>
      <w:r w:rsidRPr="00D54815">
        <w:rPr>
          <w:rFonts w:eastAsia="Aptos" w:cs="Arial"/>
          <w:noProof/>
          <w:sz w:val="22"/>
          <w:lang w:val="en-US"/>
        </w:rPr>
        <w:t xml:space="preserve">Government of South Australia, &amp; Department of Human Services. (2021). </w:t>
      </w:r>
      <w:r w:rsidRPr="00D54815">
        <w:rPr>
          <w:rFonts w:eastAsia="Aptos" w:cs="Arial"/>
          <w:i/>
          <w:noProof/>
          <w:sz w:val="22"/>
          <w:lang w:val="en-US"/>
        </w:rPr>
        <w:t>Trauma responsive system framework: A whole of system approach to building the capacity of the child and family support system</w:t>
      </w:r>
      <w:r w:rsidRPr="00D54815">
        <w:rPr>
          <w:rFonts w:eastAsia="Aptos" w:cs="Arial"/>
          <w:noProof/>
          <w:sz w:val="22"/>
          <w:lang w:val="en-US"/>
        </w:rPr>
        <w:t xml:space="preserve">. Department of Human Services. Retrieved 6 September, 2024 from </w:t>
      </w:r>
      <w:hyperlink r:id="rId279" w:history="1">
        <w:r w:rsidR="0054349C" w:rsidRPr="00326476">
          <w:rPr>
            <w:rStyle w:val="Hyperlink"/>
            <w:rFonts w:eastAsia="Aptos" w:cs="Arial"/>
            <w:noProof/>
            <w:sz w:val="22"/>
            <w:lang w:val="en-US"/>
          </w:rPr>
          <w:t>https://dhs.sa.gov.au/__data/assets/pdf_file/0004/128803/Trauma-Framework_2022.pdf</w:t>
        </w:r>
      </w:hyperlink>
      <w:r w:rsidR="0054349C">
        <w:rPr>
          <w:rFonts w:eastAsia="Aptos" w:cs="Arial"/>
          <w:noProof/>
          <w:sz w:val="22"/>
          <w:lang w:val="en-US"/>
        </w:rPr>
        <w:t xml:space="preserve"> </w:t>
      </w:r>
    </w:p>
    <w:p w14:paraId="0797A76E" w14:textId="77777777" w:rsidR="00D54815" w:rsidRPr="00D54815" w:rsidRDefault="00D54815" w:rsidP="00D54815">
      <w:pPr>
        <w:spacing w:before="0" w:after="0"/>
        <w:ind w:left="720" w:hanging="720"/>
        <w:rPr>
          <w:rFonts w:eastAsia="Aptos" w:cs="Arial"/>
          <w:noProof/>
          <w:sz w:val="22"/>
          <w:lang w:val="en-US"/>
        </w:rPr>
      </w:pPr>
      <w:r w:rsidRPr="00D54815">
        <w:rPr>
          <w:rFonts w:eastAsia="Aptos" w:cs="Arial"/>
          <w:noProof/>
          <w:sz w:val="22"/>
          <w:lang w:val="en-US"/>
        </w:rPr>
        <w:tab/>
      </w:r>
    </w:p>
    <w:p w14:paraId="5FFED664" w14:textId="36A2D05A" w:rsidR="00D54815" w:rsidRPr="00D54815" w:rsidRDefault="00D54815" w:rsidP="00D54815">
      <w:pPr>
        <w:spacing w:before="0" w:after="160"/>
        <w:ind w:left="720" w:hanging="720"/>
        <w:rPr>
          <w:rFonts w:eastAsia="Aptos" w:cs="Arial"/>
          <w:noProof/>
          <w:sz w:val="22"/>
          <w:lang w:val="en-US"/>
        </w:rPr>
      </w:pPr>
      <w:r w:rsidRPr="00D54815">
        <w:rPr>
          <w:rFonts w:eastAsia="Aptos" w:cs="Arial"/>
          <w:noProof/>
          <w:sz w:val="22"/>
          <w:lang w:val="en-US"/>
        </w:rPr>
        <w:t xml:space="preserve">Government UK Department of Education. (2023). </w:t>
      </w:r>
      <w:r w:rsidRPr="00D54815">
        <w:rPr>
          <w:rFonts w:eastAsia="Aptos" w:cs="Arial"/>
          <w:i/>
          <w:noProof/>
          <w:sz w:val="22"/>
          <w:lang w:val="en-US"/>
        </w:rPr>
        <w:t>Early years foundation stage statutory framework For group and school-based providers Setting the standards for learning, development and care for children from birth to five</w:t>
      </w:r>
      <w:r w:rsidRPr="00D54815">
        <w:rPr>
          <w:rFonts w:eastAsia="Aptos" w:cs="Arial"/>
          <w:noProof/>
          <w:sz w:val="22"/>
          <w:lang w:val="en-US"/>
        </w:rPr>
        <w:t xml:space="preserve">. UK: Department of Education. Retrieved 6 September, 2024 from </w:t>
      </w:r>
      <w:hyperlink r:id="rId280" w:history="1">
        <w:r w:rsidR="0054349C" w:rsidRPr="00326476">
          <w:rPr>
            <w:rStyle w:val="Hyperlink"/>
            <w:rFonts w:eastAsia="Aptos" w:cs="Arial"/>
            <w:noProof/>
            <w:sz w:val="22"/>
            <w:lang w:val="en-US"/>
          </w:rPr>
          <w:t>https://assets.publishing.service.gov.uk/media/65aa5e42ed27ca001327b2c7/EYFS_statutory_framework_for_group_and_school_based_providers.pdf</w:t>
        </w:r>
      </w:hyperlink>
      <w:r w:rsidR="0054349C">
        <w:rPr>
          <w:rFonts w:eastAsia="Aptos" w:cs="Arial"/>
          <w:noProof/>
          <w:sz w:val="22"/>
          <w:lang w:val="en-US"/>
        </w:rPr>
        <w:t xml:space="preserve"> </w:t>
      </w:r>
    </w:p>
    <w:p w14:paraId="4E739358" w14:textId="77777777" w:rsidR="00D54815" w:rsidRPr="00D54815" w:rsidRDefault="00D54815" w:rsidP="00D54815">
      <w:pPr>
        <w:spacing w:before="0" w:after="0"/>
        <w:ind w:left="720" w:hanging="720"/>
        <w:rPr>
          <w:rFonts w:eastAsia="Aptos" w:cs="Arial"/>
          <w:noProof/>
          <w:sz w:val="22"/>
          <w:lang w:val="en-US"/>
        </w:rPr>
      </w:pPr>
      <w:r w:rsidRPr="00D54815">
        <w:rPr>
          <w:rFonts w:eastAsia="Aptos" w:cs="Arial"/>
          <w:noProof/>
          <w:sz w:val="22"/>
          <w:lang w:val="en-US"/>
        </w:rPr>
        <w:tab/>
      </w:r>
    </w:p>
    <w:p w14:paraId="42E868B7" w14:textId="77777777" w:rsidR="00D54815" w:rsidRPr="00D54815" w:rsidRDefault="00D54815" w:rsidP="00D54815">
      <w:pPr>
        <w:spacing w:before="0" w:after="160"/>
        <w:ind w:left="720" w:hanging="720"/>
        <w:rPr>
          <w:rFonts w:eastAsia="Aptos" w:cs="Arial"/>
          <w:noProof/>
          <w:sz w:val="22"/>
          <w:lang w:val="en-US"/>
        </w:rPr>
      </w:pPr>
      <w:r w:rsidRPr="00D54815">
        <w:rPr>
          <w:rFonts w:eastAsia="Aptos" w:cs="Arial"/>
          <w:noProof/>
          <w:sz w:val="22"/>
          <w:lang w:val="en-US"/>
        </w:rPr>
        <w:t xml:space="preserve">Grace, R., Hayes, A., &amp; Wise, S. (2016). Child development in context. In R. Grace, K. Hodge, &amp; C. McMahon (Eds.), </w:t>
      </w:r>
      <w:r w:rsidRPr="00D54815">
        <w:rPr>
          <w:rFonts w:eastAsia="Aptos" w:cs="Arial"/>
          <w:i/>
          <w:noProof/>
          <w:sz w:val="22"/>
          <w:lang w:val="en-US"/>
        </w:rPr>
        <w:t>Children, families and communities</w:t>
      </w:r>
      <w:r w:rsidRPr="00D54815">
        <w:rPr>
          <w:rFonts w:eastAsia="Aptos" w:cs="Arial"/>
          <w:noProof/>
          <w:sz w:val="22"/>
          <w:lang w:val="en-US"/>
        </w:rPr>
        <w:t xml:space="preserve"> (5th ed., pp. 3-25). South Melbourne, VIC: Oxford University Press ANZ. </w:t>
      </w:r>
    </w:p>
    <w:p w14:paraId="644A56A3" w14:textId="365A0B60" w:rsidR="00850954" w:rsidRPr="00850954" w:rsidRDefault="00850954" w:rsidP="00850954">
      <w:pPr>
        <w:spacing w:before="0" w:after="160"/>
        <w:ind w:left="720" w:hanging="720"/>
        <w:rPr>
          <w:rFonts w:eastAsia="Aptos" w:cs="Arial"/>
          <w:noProof/>
          <w:sz w:val="22"/>
          <w:lang w:val="en-US"/>
        </w:rPr>
      </w:pPr>
      <w:r w:rsidRPr="00850954">
        <w:rPr>
          <w:rFonts w:eastAsia="Aptos" w:cs="Arial"/>
          <w:noProof/>
          <w:sz w:val="22"/>
          <w:lang w:val="en-US"/>
        </w:rPr>
        <w:t xml:space="preserve">Grace, R., Skerrett, M., Ritchie, J., Greenwood, M., &amp; Trudgett, M. (2019). Early childhood education and care for Indigenous children and their families from colonised nations: Working towards culturally meaningful service provision. In </w:t>
      </w:r>
      <w:r w:rsidRPr="00850954">
        <w:rPr>
          <w:rFonts w:eastAsia="Aptos" w:cs="Arial"/>
          <w:i/>
          <w:noProof/>
          <w:sz w:val="22"/>
          <w:lang w:val="en-US"/>
        </w:rPr>
        <w:t>The Routledge International Handbook of Young Children's Rights</w:t>
      </w:r>
      <w:r w:rsidRPr="00850954">
        <w:rPr>
          <w:rFonts w:eastAsia="Aptos" w:cs="Arial"/>
          <w:noProof/>
          <w:sz w:val="22"/>
          <w:lang w:val="en-US"/>
        </w:rPr>
        <w:t xml:space="preserve"> (pp. 315-330). Routledge. </w:t>
      </w:r>
      <w:hyperlink r:id="rId281" w:history="1">
        <w:r w:rsidR="00286BF5" w:rsidRPr="00326476">
          <w:rPr>
            <w:rStyle w:val="Hyperlink"/>
            <w:rFonts w:eastAsia="Aptos" w:cs="Arial"/>
            <w:noProof/>
            <w:sz w:val="22"/>
            <w:lang w:val="en-US"/>
          </w:rPr>
          <w:t>https://www.taylorfrancis.com/chapters/edit/10.4324/9780367142025-26/early-childhood-education-care-indigenous-children-families-colonised-nations-rebekah-grace-mere-skerrett-jenny-ritchie-margo-greenwood-michelle-trudgett</w:t>
        </w:r>
      </w:hyperlink>
      <w:r w:rsidR="00286BF5">
        <w:rPr>
          <w:rFonts w:eastAsia="Aptos" w:cs="Arial"/>
          <w:noProof/>
          <w:sz w:val="22"/>
          <w:lang w:val="en-US"/>
        </w:rPr>
        <w:t xml:space="preserve"> </w:t>
      </w:r>
    </w:p>
    <w:p w14:paraId="12EA8CD9" w14:textId="77777777" w:rsidR="00850954" w:rsidRPr="00850954" w:rsidRDefault="00850954" w:rsidP="00850954">
      <w:pPr>
        <w:spacing w:before="0" w:after="0"/>
        <w:ind w:left="720" w:hanging="720"/>
        <w:rPr>
          <w:rFonts w:eastAsia="Aptos" w:cs="Arial"/>
          <w:noProof/>
          <w:sz w:val="22"/>
          <w:lang w:val="en-US"/>
        </w:rPr>
      </w:pPr>
      <w:r w:rsidRPr="00850954">
        <w:rPr>
          <w:rFonts w:eastAsia="Aptos" w:cs="Arial"/>
          <w:noProof/>
          <w:sz w:val="22"/>
          <w:lang w:val="en-US"/>
        </w:rPr>
        <w:tab/>
      </w:r>
    </w:p>
    <w:p w14:paraId="4B2A2E4F" w14:textId="4D4FFCA0" w:rsidR="00850954" w:rsidRPr="00850954" w:rsidRDefault="00850954" w:rsidP="00850954">
      <w:pPr>
        <w:spacing w:before="0" w:after="160"/>
        <w:ind w:left="720" w:hanging="720"/>
        <w:rPr>
          <w:rFonts w:eastAsia="Aptos" w:cs="Arial"/>
          <w:noProof/>
          <w:sz w:val="22"/>
          <w:lang w:val="en-US"/>
        </w:rPr>
      </w:pPr>
      <w:r w:rsidRPr="00850954">
        <w:rPr>
          <w:rFonts w:eastAsia="Aptos" w:cs="Arial"/>
          <w:noProof/>
          <w:sz w:val="22"/>
          <w:lang w:val="en-US"/>
        </w:rPr>
        <w:t xml:space="preserve">Graham, D., Paget, S. P., &amp; Wimalasundera, N. (2019). Current thinking in the health care management of children with cerebral palsy. </w:t>
      </w:r>
      <w:r w:rsidRPr="00850954">
        <w:rPr>
          <w:rFonts w:eastAsia="Aptos" w:cs="Arial"/>
          <w:i/>
          <w:noProof/>
          <w:sz w:val="22"/>
          <w:lang w:val="en-US"/>
        </w:rPr>
        <w:t>Medical Journal of Australia</w:t>
      </w:r>
      <w:r w:rsidRPr="00850954">
        <w:rPr>
          <w:rFonts w:eastAsia="Aptos" w:cs="Arial"/>
          <w:noProof/>
          <w:sz w:val="22"/>
          <w:lang w:val="en-US"/>
        </w:rPr>
        <w:t>,</w:t>
      </w:r>
      <w:r w:rsidRPr="00850954">
        <w:rPr>
          <w:rFonts w:eastAsia="Aptos" w:cs="Arial"/>
          <w:i/>
          <w:noProof/>
          <w:sz w:val="22"/>
          <w:lang w:val="en-US"/>
        </w:rPr>
        <w:t xml:space="preserve"> 210</w:t>
      </w:r>
      <w:r w:rsidRPr="00850954">
        <w:rPr>
          <w:rFonts w:eastAsia="Aptos" w:cs="Arial"/>
          <w:noProof/>
          <w:sz w:val="22"/>
          <w:lang w:val="en-US"/>
        </w:rPr>
        <w:t xml:space="preserve">(3), 129-135. </w:t>
      </w:r>
      <w:hyperlink r:id="rId282" w:history="1">
        <w:r w:rsidR="0054349C" w:rsidRPr="00326476">
          <w:rPr>
            <w:rStyle w:val="Hyperlink"/>
            <w:rFonts w:eastAsia="Aptos" w:cs="Arial"/>
            <w:noProof/>
            <w:sz w:val="22"/>
            <w:lang w:val="en-US"/>
          </w:rPr>
          <w:t>https://doi.org/10.5694/mja2.12106</w:t>
        </w:r>
      </w:hyperlink>
      <w:r w:rsidR="0054349C">
        <w:rPr>
          <w:rFonts w:eastAsia="Aptos" w:cs="Arial"/>
          <w:noProof/>
          <w:sz w:val="22"/>
          <w:lang w:val="en-US"/>
        </w:rPr>
        <w:t xml:space="preserve"> </w:t>
      </w:r>
      <w:r w:rsidRPr="00850954">
        <w:rPr>
          <w:rFonts w:eastAsia="Aptos" w:cs="Arial"/>
          <w:noProof/>
          <w:sz w:val="22"/>
          <w:lang w:val="en-US"/>
        </w:rPr>
        <w:t xml:space="preserve"> </w:t>
      </w:r>
    </w:p>
    <w:p w14:paraId="2C3F5F7F" w14:textId="77777777" w:rsidR="00850954" w:rsidRPr="00850954" w:rsidRDefault="00850954" w:rsidP="00850954">
      <w:pPr>
        <w:spacing w:before="0" w:after="0"/>
        <w:ind w:left="720" w:hanging="720"/>
        <w:rPr>
          <w:rFonts w:eastAsia="Aptos" w:cs="Arial"/>
          <w:noProof/>
          <w:sz w:val="22"/>
          <w:lang w:val="en-US"/>
        </w:rPr>
      </w:pPr>
      <w:r w:rsidRPr="00850954">
        <w:rPr>
          <w:rFonts w:eastAsia="Aptos" w:cs="Arial"/>
          <w:noProof/>
          <w:sz w:val="22"/>
          <w:lang w:val="en-US"/>
        </w:rPr>
        <w:tab/>
      </w:r>
    </w:p>
    <w:p w14:paraId="163F59F7" w14:textId="77777777" w:rsidR="00850954" w:rsidRPr="00850954" w:rsidRDefault="00850954" w:rsidP="00850954">
      <w:pPr>
        <w:spacing w:before="0" w:after="160"/>
        <w:ind w:left="720" w:hanging="720"/>
        <w:rPr>
          <w:rFonts w:eastAsia="Aptos" w:cs="Arial"/>
          <w:noProof/>
          <w:sz w:val="22"/>
          <w:lang w:val="en-US"/>
        </w:rPr>
      </w:pPr>
      <w:r w:rsidRPr="00850954">
        <w:rPr>
          <w:rFonts w:eastAsia="Aptos" w:cs="Arial"/>
          <w:noProof/>
          <w:sz w:val="22"/>
          <w:lang w:val="en-US"/>
        </w:rPr>
        <w:t xml:space="preserve">Grandin, T., &amp; Panek, R. (2013). </w:t>
      </w:r>
      <w:r w:rsidRPr="00850954">
        <w:rPr>
          <w:rFonts w:eastAsia="Aptos" w:cs="Arial"/>
          <w:i/>
          <w:noProof/>
          <w:sz w:val="22"/>
          <w:lang w:val="en-US"/>
        </w:rPr>
        <w:t>The autistic brain: Thinking across the spectrum</w:t>
      </w:r>
      <w:r w:rsidRPr="00850954">
        <w:rPr>
          <w:rFonts w:eastAsia="Aptos" w:cs="Arial"/>
          <w:noProof/>
          <w:sz w:val="22"/>
          <w:lang w:val="en-US"/>
        </w:rPr>
        <w:t xml:space="preserve">. Boston, MA: Houghton Mifflin Harcourt. </w:t>
      </w:r>
    </w:p>
    <w:p w14:paraId="572D0CBC" w14:textId="7EF048B7" w:rsidR="00245895" w:rsidRPr="00245895" w:rsidRDefault="00245895" w:rsidP="00245895">
      <w:pPr>
        <w:spacing w:before="0" w:after="160"/>
        <w:ind w:left="720" w:hanging="720"/>
        <w:rPr>
          <w:rFonts w:eastAsia="Aptos" w:cs="Arial"/>
          <w:noProof/>
          <w:sz w:val="22"/>
          <w:lang w:val="en-US"/>
        </w:rPr>
      </w:pPr>
      <w:r w:rsidRPr="00245895">
        <w:rPr>
          <w:rFonts w:eastAsia="Aptos" w:cs="Arial"/>
          <w:noProof/>
          <w:sz w:val="22"/>
          <w:lang w:val="en-US"/>
        </w:rPr>
        <w:t>Grant, N., Rodger, S., &amp; Hoffmann, T. (2016). Intervention decision</w:t>
      </w:r>
      <w:r w:rsidRPr="00245895">
        <w:rPr>
          <w:rFonts w:ascii="Cambria Math" w:eastAsia="Aptos" w:hAnsi="Cambria Math" w:cs="Cambria Math"/>
          <w:noProof/>
          <w:sz w:val="22"/>
          <w:lang w:val="en-US"/>
        </w:rPr>
        <w:t>‐</w:t>
      </w:r>
      <w:r w:rsidRPr="00245895">
        <w:rPr>
          <w:rFonts w:eastAsia="Aptos" w:cs="Arial"/>
          <w:noProof/>
          <w:sz w:val="22"/>
          <w:lang w:val="en-US"/>
        </w:rPr>
        <w:t xml:space="preserve">making processes and information preferences of parents of children with autism spectrum disorders. </w:t>
      </w:r>
      <w:r w:rsidRPr="00245895">
        <w:rPr>
          <w:rFonts w:eastAsia="Aptos" w:cs="Arial"/>
          <w:i/>
          <w:noProof/>
          <w:sz w:val="22"/>
          <w:lang w:val="en-US"/>
        </w:rPr>
        <w:t>Child: care, health and development</w:t>
      </w:r>
      <w:r w:rsidRPr="00245895">
        <w:rPr>
          <w:rFonts w:eastAsia="Aptos" w:cs="Arial"/>
          <w:noProof/>
          <w:sz w:val="22"/>
          <w:lang w:val="en-US"/>
        </w:rPr>
        <w:t>,</w:t>
      </w:r>
      <w:r w:rsidRPr="00245895">
        <w:rPr>
          <w:rFonts w:eastAsia="Aptos" w:cs="Arial"/>
          <w:i/>
          <w:noProof/>
          <w:sz w:val="22"/>
          <w:lang w:val="en-US"/>
        </w:rPr>
        <w:t xml:space="preserve"> 42</w:t>
      </w:r>
      <w:r w:rsidRPr="00245895">
        <w:rPr>
          <w:rFonts w:eastAsia="Aptos" w:cs="Arial"/>
          <w:noProof/>
          <w:sz w:val="22"/>
          <w:lang w:val="en-US"/>
        </w:rPr>
        <w:t xml:space="preserve">(1), 125-134. </w:t>
      </w:r>
      <w:hyperlink r:id="rId283" w:history="1">
        <w:r w:rsidR="0054349C" w:rsidRPr="00326476">
          <w:rPr>
            <w:rStyle w:val="Hyperlink"/>
            <w:rFonts w:eastAsia="Aptos" w:cs="Arial"/>
            <w:noProof/>
            <w:sz w:val="22"/>
            <w:lang w:val="en-US"/>
          </w:rPr>
          <w:t>https://doi.org/10.1111/cch.12296</w:t>
        </w:r>
      </w:hyperlink>
      <w:r w:rsidR="0054349C">
        <w:rPr>
          <w:rFonts w:eastAsia="Aptos" w:cs="Arial"/>
          <w:noProof/>
          <w:sz w:val="22"/>
          <w:lang w:val="en-US"/>
        </w:rPr>
        <w:t xml:space="preserve"> </w:t>
      </w:r>
      <w:r w:rsidRPr="00245895">
        <w:rPr>
          <w:rFonts w:eastAsia="Aptos" w:cs="Arial"/>
          <w:noProof/>
          <w:sz w:val="22"/>
          <w:lang w:val="en-US"/>
        </w:rPr>
        <w:t xml:space="preserve"> </w:t>
      </w:r>
    </w:p>
    <w:p w14:paraId="764E6894" w14:textId="77777777" w:rsidR="00245895" w:rsidRPr="00245895" w:rsidRDefault="00245895" w:rsidP="00245895">
      <w:pPr>
        <w:spacing w:before="0" w:after="0"/>
        <w:ind w:left="720" w:hanging="720"/>
        <w:rPr>
          <w:rFonts w:eastAsia="Aptos" w:cs="Arial"/>
          <w:noProof/>
          <w:sz w:val="22"/>
          <w:lang w:val="en-US"/>
        </w:rPr>
      </w:pPr>
      <w:r w:rsidRPr="00245895">
        <w:rPr>
          <w:rFonts w:eastAsia="Aptos" w:cs="Arial"/>
          <w:noProof/>
          <w:sz w:val="22"/>
          <w:lang w:val="en-US"/>
        </w:rPr>
        <w:tab/>
      </w:r>
    </w:p>
    <w:p w14:paraId="390EDF44" w14:textId="3984071F" w:rsidR="00245895" w:rsidRPr="00245895" w:rsidRDefault="00245895" w:rsidP="00245895">
      <w:pPr>
        <w:spacing w:before="0" w:after="160"/>
        <w:ind w:left="720" w:hanging="720"/>
        <w:rPr>
          <w:rFonts w:eastAsia="Aptos" w:cs="Arial"/>
          <w:noProof/>
          <w:sz w:val="22"/>
          <w:lang w:val="en-US"/>
        </w:rPr>
      </w:pPr>
      <w:r w:rsidRPr="00245895">
        <w:rPr>
          <w:rFonts w:eastAsia="Aptos" w:cs="Arial"/>
          <w:noProof/>
          <w:sz w:val="22"/>
          <w:lang w:val="en-US"/>
        </w:rPr>
        <w:t xml:space="preserve">Grech, L. B. (2021). Developmental delay: An ambiguous term in need of change. </w:t>
      </w:r>
      <w:r w:rsidRPr="00245895">
        <w:rPr>
          <w:rFonts w:eastAsia="Aptos" w:cs="Arial"/>
          <w:i/>
          <w:noProof/>
          <w:sz w:val="22"/>
          <w:lang w:val="en-US"/>
        </w:rPr>
        <w:t>Archives of disease in childhood</w:t>
      </w:r>
      <w:r w:rsidRPr="00245895">
        <w:rPr>
          <w:rFonts w:eastAsia="Aptos" w:cs="Arial"/>
          <w:noProof/>
          <w:sz w:val="22"/>
          <w:lang w:val="en-US"/>
        </w:rPr>
        <w:t>,</w:t>
      </w:r>
      <w:r w:rsidRPr="00245895">
        <w:rPr>
          <w:rFonts w:eastAsia="Aptos" w:cs="Arial"/>
          <w:i/>
          <w:noProof/>
          <w:sz w:val="22"/>
          <w:lang w:val="en-US"/>
        </w:rPr>
        <w:t xml:space="preserve"> 106</w:t>
      </w:r>
      <w:r w:rsidRPr="00245895">
        <w:rPr>
          <w:rFonts w:eastAsia="Aptos" w:cs="Arial"/>
          <w:noProof/>
          <w:sz w:val="22"/>
          <w:lang w:val="en-US"/>
        </w:rPr>
        <w:t xml:space="preserve">(4), 410-412. </w:t>
      </w:r>
      <w:hyperlink r:id="rId284" w:history="1">
        <w:r w:rsidR="0054349C" w:rsidRPr="00326476">
          <w:rPr>
            <w:rStyle w:val="Hyperlink"/>
            <w:rFonts w:eastAsia="Aptos" w:cs="Arial"/>
            <w:noProof/>
            <w:sz w:val="22"/>
            <w:lang w:val="en-US"/>
          </w:rPr>
          <w:t>https://doi.org/10.1136/archdischild-2019-317522</w:t>
        </w:r>
      </w:hyperlink>
      <w:r w:rsidR="0054349C">
        <w:rPr>
          <w:rFonts w:eastAsia="Aptos" w:cs="Arial"/>
          <w:noProof/>
          <w:sz w:val="22"/>
          <w:lang w:val="en-US"/>
        </w:rPr>
        <w:t xml:space="preserve"> </w:t>
      </w:r>
    </w:p>
    <w:p w14:paraId="0A9803F4" w14:textId="77777777" w:rsidR="00245895" w:rsidRPr="00245895" w:rsidRDefault="00245895" w:rsidP="00245895">
      <w:pPr>
        <w:spacing w:before="0" w:after="0"/>
        <w:ind w:left="720" w:hanging="720"/>
        <w:rPr>
          <w:rFonts w:eastAsia="Aptos" w:cs="Arial"/>
          <w:noProof/>
          <w:sz w:val="22"/>
          <w:lang w:val="en-US"/>
        </w:rPr>
      </w:pPr>
      <w:r w:rsidRPr="00245895">
        <w:rPr>
          <w:rFonts w:eastAsia="Aptos" w:cs="Arial"/>
          <w:noProof/>
          <w:sz w:val="22"/>
          <w:lang w:val="en-US"/>
        </w:rPr>
        <w:tab/>
      </w:r>
    </w:p>
    <w:p w14:paraId="04DC6FBA" w14:textId="77777777" w:rsidR="00245895" w:rsidRPr="00245895" w:rsidRDefault="00245895" w:rsidP="00245895">
      <w:pPr>
        <w:spacing w:before="0" w:after="160"/>
        <w:ind w:left="720" w:hanging="720"/>
        <w:rPr>
          <w:rFonts w:eastAsia="Aptos" w:cs="Arial"/>
          <w:noProof/>
          <w:sz w:val="22"/>
          <w:lang w:val="en-US"/>
        </w:rPr>
      </w:pPr>
      <w:r w:rsidRPr="00245895">
        <w:rPr>
          <w:rFonts w:eastAsia="Aptos" w:cs="Arial"/>
          <w:noProof/>
          <w:sz w:val="22"/>
          <w:lang w:val="en-US"/>
        </w:rPr>
        <w:t xml:space="preserve">Green, A., Abbott, P., Delaney, P., Patradoon-Ho, P., Delaney, J., Davidson, P. M., &amp; DiGiacomo, M. (2016). Navigating the journey of Aboriginal childhood disability: a qualitative study of carers’ interface with services. </w:t>
      </w:r>
      <w:r w:rsidRPr="00245895">
        <w:rPr>
          <w:rFonts w:eastAsia="Aptos" w:cs="Arial"/>
          <w:i/>
          <w:noProof/>
          <w:sz w:val="22"/>
          <w:lang w:val="en-US"/>
        </w:rPr>
        <w:t>BMC Health Services Research</w:t>
      </w:r>
      <w:r w:rsidRPr="00245895">
        <w:rPr>
          <w:rFonts w:eastAsia="Aptos" w:cs="Arial"/>
          <w:noProof/>
          <w:sz w:val="22"/>
          <w:lang w:val="en-US"/>
        </w:rPr>
        <w:t>,</w:t>
      </w:r>
      <w:r w:rsidRPr="00245895">
        <w:rPr>
          <w:rFonts w:eastAsia="Aptos" w:cs="Arial"/>
          <w:i/>
          <w:noProof/>
          <w:sz w:val="22"/>
          <w:lang w:val="en-US"/>
        </w:rPr>
        <w:t xml:space="preserve"> 16</w:t>
      </w:r>
      <w:r w:rsidRPr="00245895">
        <w:rPr>
          <w:rFonts w:eastAsia="Aptos" w:cs="Arial"/>
          <w:noProof/>
          <w:sz w:val="22"/>
          <w:lang w:val="en-US"/>
        </w:rPr>
        <w:t xml:space="preserve">, 1-11. </w:t>
      </w:r>
    </w:p>
    <w:p w14:paraId="17B6DC02" w14:textId="77777777" w:rsidR="00245895" w:rsidRPr="00245895" w:rsidRDefault="00245895" w:rsidP="00245895">
      <w:pPr>
        <w:spacing w:before="0" w:after="0"/>
        <w:ind w:left="720" w:hanging="720"/>
        <w:rPr>
          <w:rFonts w:eastAsia="Aptos" w:cs="Arial"/>
          <w:noProof/>
          <w:sz w:val="22"/>
          <w:lang w:val="en-US"/>
        </w:rPr>
      </w:pPr>
      <w:r w:rsidRPr="00245895">
        <w:rPr>
          <w:rFonts w:eastAsia="Aptos" w:cs="Arial"/>
          <w:noProof/>
          <w:sz w:val="22"/>
          <w:lang w:val="en-US"/>
        </w:rPr>
        <w:tab/>
      </w:r>
    </w:p>
    <w:p w14:paraId="5D22FD5C" w14:textId="12377CED" w:rsidR="00245895" w:rsidRPr="00245895" w:rsidRDefault="00245895" w:rsidP="00245895">
      <w:pPr>
        <w:spacing w:before="0" w:after="160"/>
        <w:ind w:left="720" w:hanging="720"/>
        <w:rPr>
          <w:rFonts w:eastAsia="Aptos" w:cs="Arial"/>
          <w:noProof/>
          <w:sz w:val="22"/>
          <w:lang w:val="en-US"/>
        </w:rPr>
      </w:pPr>
      <w:r w:rsidRPr="00245895">
        <w:rPr>
          <w:rFonts w:eastAsia="Aptos" w:cs="Arial"/>
          <w:noProof/>
          <w:sz w:val="22"/>
          <w:lang w:val="en-US"/>
        </w:rPr>
        <w:t xml:space="preserve">Green, B. L., Furrer, C., &amp; McAllister, C. (2007). How do relationships support parenting? Effects of attachment style and social support on parenting behavior in an at-risk population. </w:t>
      </w:r>
      <w:r w:rsidRPr="00245895">
        <w:rPr>
          <w:rFonts w:eastAsia="Aptos" w:cs="Arial"/>
          <w:i/>
          <w:noProof/>
          <w:sz w:val="22"/>
          <w:lang w:val="en-US"/>
        </w:rPr>
        <w:t>American Journal of Community Psychology</w:t>
      </w:r>
      <w:r w:rsidRPr="00245895">
        <w:rPr>
          <w:rFonts w:eastAsia="Aptos" w:cs="Arial"/>
          <w:noProof/>
          <w:sz w:val="22"/>
          <w:lang w:val="en-US"/>
        </w:rPr>
        <w:t>,</w:t>
      </w:r>
      <w:r w:rsidRPr="00245895">
        <w:rPr>
          <w:rFonts w:eastAsia="Aptos" w:cs="Arial"/>
          <w:i/>
          <w:noProof/>
          <w:sz w:val="22"/>
          <w:lang w:val="en-US"/>
        </w:rPr>
        <w:t xml:space="preserve"> 40</w:t>
      </w:r>
      <w:r w:rsidRPr="00245895">
        <w:rPr>
          <w:rFonts w:eastAsia="Aptos" w:cs="Arial"/>
          <w:noProof/>
          <w:sz w:val="22"/>
          <w:lang w:val="en-US"/>
        </w:rPr>
        <w:t xml:space="preserve">, 96-108. </w:t>
      </w:r>
      <w:hyperlink r:id="rId285" w:history="1">
        <w:r w:rsidR="0054349C" w:rsidRPr="00326476">
          <w:rPr>
            <w:rStyle w:val="Hyperlink"/>
            <w:rFonts w:eastAsia="Aptos" w:cs="Arial"/>
            <w:noProof/>
            <w:sz w:val="22"/>
            <w:lang w:val="en-US"/>
          </w:rPr>
          <w:t>https://doi.org/10.1007/s10464-007-9127-y</w:t>
        </w:r>
      </w:hyperlink>
      <w:r w:rsidR="0054349C">
        <w:rPr>
          <w:rFonts w:eastAsia="Aptos" w:cs="Arial"/>
          <w:noProof/>
          <w:sz w:val="22"/>
          <w:lang w:val="en-US"/>
        </w:rPr>
        <w:t xml:space="preserve"> </w:t>
      </w:r>
      <w:r w:rsidRPr="00245895">
        <w:rPr>
          <w:rFonts w:eastAsia="Aptos" w:cs="Arial"/>
          <w:noProof/>
          <w:sz w:val="22"/>
          <w:lang w:val="en-US"/>
        </w:rPr>
        <w:t xml:space="preserve"> </w:t>
      </w:r>
    </w:p>
    <w:p w14:paraId="55604CF6" w14:textId="60B40225" w:rsidR="00CD4ABC" w:rsidRPr="00CD4ABC" w:rsidRDefault="00CD4ABC" w:rsidP="00CD4ABC">
      <w:pPr>
        <w:spacing w:before="0" w:after="160"/>
        <w:ind w:left="720" w:hanging="720"/>
        <w:rPr>
          <w:rFonts w:eastAsia="Aptos" w:cs="Arial"/>
          <w:noProof/>
          <w:sz w:val="22"/>
          <w:lang w:val="en-US"/>
        </w:rPr>
      </w:pPr>
      <w:r w:rsidRPr="00CD4ABC">
        <w:rPr>
          <w:rFonts w:eastAsia="Aptos" w:cs="Arial"/>
          <w:noProof/>
          <w:sz w:val="22"/>
          <w:lang w:val="en-US"/>
        </w:rPr>
        <w:t xml:space="preserve">Greenhalgh, T. (2012). Outside the box: Why are Cochrane reviews so boring? </w:t>
      </w:r>
      <w:r w:rsidRPr="00CD4ABC">
        <w:rPr>
          <w:rFonts w:eastAsia="Aptos" w:cs="Arial"/>
          <w:i/>
          <w:noProof/>
          <w:sz w:val="22"/>
          <w:lang w:val="en-US"/>
        </w:rPr>
        <w:t>British Journal of General Practice</w:t>
      </w:r>
      <w:r w:rsidRPr="00CD4ABC">
        <w:rPr>
          <w:rFonts w:eastAsia="Aptos" w:cs="Arial"/>
          <w:noProof/>
          <w:sz w:val="22"/>
          <w:lang w:val="en-US"/>
        </w:rPr>
        <w:t>,</w:t>
      </w:r>
      <w:r w:rsidRPr="00CD4ABC">
        <w:rPr>
          <w:rFonts w:eastAsia="Aptos" w:cs="Arial"/>
          <w:i/>
          <w:noProof/>
          <w:sz w:val="22"/>
          <w:lang w:val="en-US"/>
        </w:rPr>
        <w:t xml:space="preserve"> 62</w:t>
      </w:r>
      <w:r w:rsidRPr="00CD4ABC">
        <w:rPr>
          <w:rFonts w:eastAsia="Aptos" w:cs="Arial"/>
          <w:noProof/>
          <w:sz w:val="22"/>
          <w:lang w:val="en-US"/>
        </w:rPr>
        <w:t xml:space="preserve">(600), 371-371. </w:t>
      </w:r>
      <w:hyperlink r:id="rId286" w:history="1">
        <w:r w:rsidR="0054349C" w:rsidRPr="00326476">
          <w:rPr>
            <w:rStyle w:val="Hyperlink"/>
            <w:rFonts w:eastAsia="Aptos" w:cs="Arial"/>
            <w:noProof/>
            <w:sz w:val="22"/>
            <w:lang w:val="en-US"/>
          </w:rPr>
          <w:t>https://doi.org/10.3399/bjgp12X652418</w:t>
        </w:r>
      </w:hyperlink>
      <w:r w:rsidR="0054349C">
        <w:rPr>
          <w:rFonts w:eastAsia="Aptos" w:cs="Arial"/>
          <w:noProof/>
          <w:sz w:val="22"/>
          <w:lang w:val="en-US"/>
        </w:rPr>
        <w:t xml:space="preserve"> </w:t>
      </w:r>
      <w:r w:rsidRPr="00CD4ABC">
        <w:rPr>
          <w:rFonts w:eastAsia="Aptos" w:cs="Arial"/>
          <w:noProof/>
          <w:sz w:val="22"/>
          <w:lang w:val="en-US"/>
        </w:rPr>
        <w:t xml:space="preserve"> </w:t>
      </w:r>
    </w:p>
    <w:p w14:paraId="6A7568A2" w14:textId="77777777" w:rsidR="00CD4ABC" w:rsidRPr="00CD4ABC" w:rsidRDefault="00CD4ABC" w:rsidP="00CD4ABC">
      <w:pPr>
        <w:spacing w:before="0" w:after="0"/>
        <w:ind w:left="720" w:hanging="720"/>
        <w:rPr>
          <w:rFonts w:eastAsia="Aptos" w:cs="Arial"/>
          <w:noProof/>
          <w:sz w:val="22"/>
          <w:lang w:val="en-US"/>
        </w:rPr>
      </w:pPr>
      <w:r w:rsidRPr="00CD4ABC">
        <w:rPr>
          <w:rFonts w:eastAsia="Aptos" w:cs="Arial"/>
          <w:noProof/>
          <w:sz w:val="22"/>
          <w:lang w:val="en-US"/>
        </w:rPr>
        <w:tab/>
      </w:r>
    </w:p>
    <w:p w14:paraId="353C04F1" w14:textId="73A97AC1" w:rsidR="00CD4ABC" w:rsidRPr="00CD4ABC" w:rsidRDefault="00CD4ABC" w:rsidP="00CD4ABC">
      <w:pPr>
        <w:spacing w:before="0" w:after="160"/>
        <w:ind w:left="720" w:hanging="720"/>
        <w:rPr>
          <w:rFonts w:eastAsia="Aptos" w:cs="Arial"/>
          <w:noProof/>
          <w:sz w:val="22"/>
          <w:lang w:val="en-US"/>
        </w:rPr>
      </w:pPr>
      <w:r w:rsidRPr="00CD4ABC">
        <w:rPr>
          <w:rFonts w:eastAsia="Aptos" w:cs="Arial"/>
          <w:noProof/>
          <w:sz w:val="22"/>
          <w:lang w:val="en-US"/>
        </w:rPr>
        <w:t xml:space="preserve">Greenhalgh, T., Howick, J., &amp; Maskrey, N. (2014). Evidence based medicine: A movement in crisis? </w:t>
      </w:r>
      <w:r w:rsidRPr="00CD4ABC">
        <w:rPr>
          <w:rFonts w:eastAsia="Aptos" w:cs="Arial"/>
          <w:i/>
          <w:noProof/>
          <w:sz w:val="22"/>
          <w:lang w:val="en-US"/>
        </w:rPr>
        <w:t>BMJ</w:t>
      </w:r>
      <w:r w:rsidRPr="00CD4ABC">
        <w:rPr>
          <w:rFonts w:eastAsia="Aptos" w:cs="Arial"/>
          <w:noProof/>
          <w:sz w:val="22"/>
          <w:lang w:val="en-US"/>
        </w:rPr>
        <w:t>,</w:t>
      </w:r>
      <w:r w:rsidRPr="00CD4ABC">
        <w:rPr>
          <w:rFonts w:eastAsia="Aptos" w:cs="Arial"/>
          <w:i/>
          <w:noProof/>
          <w:sz w:val="22"/>
          <w:lang w:val="en-US"/>
        </w:rPr>
        <w:t xml:space="preserve"> 348</w:t>
      </w:r>
      <w:r w:rsidRPr="00CD4ABC">
        <w:rPr>
          <w:rFonts w:eastAsia="Aptos" w:cs="Arial"/>
          <w:noProof/>
          <w:sz w:val="22"/>
          <w:lang w:val="en-US"/>
        </w:rPr>
        <w:t xml:space="preserve">. </w:t>
      </w:r>
      <w:hyperlink r:id="rId287" w:history="1">
        <w:r w:rsidR="0054349C" w:rsidRPr="00326476">
          <w:rPr>
            <w:rStyle w:val="Hyperlink"/>
            <w:rFonts w:eastAsia="Aptos" w:cs="Arial"/>
            <w:noProof/>
            <w:sz w:val="22"/>
            <w:lang w:val="en-US"/>
          </w:rPr>
          <w:t>https://doi.org/10.1136/bmj.g3725</w:t>
        </w:r>
      </w:hyperlink>
      <w:r w:rsidR="0054349C">
        <w:rPr>
          <w:rFonts w:eastAsia="Aptos" w:cs="Arial"/>
          <w:noProof/>
          <w:sz w:val="22"/>
          <w:lang w:val="en-US"/>
        </w:rPr>
        <w:t xml:space="preserve"> </w:t>
      </w:r>
      <w:r w:rsidRPr="00CD4ABC">
        <w:rPr>
          <w:rFonts w:eastAsia="Aptos" w:cs="Arial"/>
          <w:noProof/>
          <w:sz w:val="22"/>
          <w:lang w:val="en-US"/>
        </w:rPr>
        <w:t xml:space="preserve"> </w:t>
      </w:r>
    </w:p>
    <w:p w14:paraId="5A964F37" w14:textId="77777777" w:rsidR="00CD4ABC" w:rsidRPr="00CD4ABC" w:rsidRDefault="00CD4ABC" w:rsidP="00CD4ABC">
      <w:pPr>
        <w:spacing w:before="0" w:after="0"/>
        <w:ind w:left="720" w:hanging="720"/>
        <w:rPr>
          <w:rFonts w:eastAsia="Aptos" w:cs="Arial"/>
          <w:noProof/>
          <w:sz w:val="22"/>
          <w:lang w:val="en-US"/>
        </w:rPr>
      </w:pPr>
      <w:r w:rsidRPr="00CD4ABC">
        <w:rPr>
          <w:rFonts w:eastAsia="Aptos" w:cs="Arial"/>
          <w:noProof/>
          <w:sz w:val="22"/>
          <w:lang w:val="en-US"/>
        </w:rPr>
        <w:tab/>
      </w:r>
    </w:p>
    <w:p w14:paraId="5369DDA0" w14:textId="47A57589" w:rsidR="00CD4ABC" w:rsidRDefault="00CD4ABC" w:rsidP="00CD4ABC">
      <w:pPr>
        <w:spacing w:before="0" w:after="160"/>
        <w:ind w:left="720" w:hanging="720"/>
        <w:rPr>
          <w:rFonts w:eastAsia="Aptos" w:cs="Arial"/>
          <w:noProof/>
          <w:sz w:val="22"/>
          <w:lang w:val="en-US"/>
        </w:rPr>
      </w:pPr>
      <w:r w:rsidRPr="00CD4ABC">
        <w:rPr>
          <w:rFonts w:eastAsia="Aptos" w:cs="Arial"/>
          <w:noProof/>
          <w:sz w:val="22"/>
          <w:lang w:val="en-US"/>
        </w:rPr>
        <w:t xml:space="preserve">Greenhalgh, T., Thorne, S., &amp; Malterud, K. (2018). Time to challenge the spurious hierarchy of systematic over narrative reviews? </w:t>
      </w:r>
      <w:r w:rsidRPr="00CD4ABC">
        <w:rPr>
          <w:rFonts w:eastAsia="Aptos" w:cs="Arial"/>
          <w:i/>
          <w:noProof/>
          <w:sz w:val="22"/>
          <w:lang w:val="en-US"/>
        </w:rPr>
        <w:t>European journal of clinical investigation</w:t>
      </w:r>
      <w:r w:rsidRPr="00CD4ABC">
        <w:rPr>
          <w:rFonts w:eastAsia="Aptos" w:cs="Arial"/>
          <w:noProof/>
          <w:sz w:val="22"/>
          <w:lang w:val="en-US"/>
        </w:rPr>
        <w:t>,</w:t>
      </w:r>
      <w:r w:rsidRPr="00CD4ABC">
        <w:rPr>
          <w:rFonts w:eastAsia="Aptos" w:cs="Arial"/>
          <w:i/>
          <w:noProof/>
          <w:sz w:val="22"/>
          <w:lang w:val="en-US"/>
        </w:rPr>
        <w:t xml:space="preserve"> 48</w:t>
      </w:r>
      <w:r w:rsidRPr="00CD4ABC">
        <w:rPr>
          <w:rFonts w:eastAsia="Aptos" w:cs="Arial"/>
          <w:noProof/>
          <w:sz w:val="22"/>
          <w:lang w:val="en-US"/>
        </w:rPr>
        <w:t xml:space="preserve">(6), e12931. </w:t>
      </w:r>
      <w:hyperlink r:id="rId288" w:history="1">
        <w:r w:rsidR="0013462F" w:rsidRPr="00326476">
          <w:rPr>
            <w:rStyle w:val="Hyperlink"/>
            <w:rFonts w:eastAsia="Aptos" w:cs="Arial"/>
            <w:noProof/>
            <w:sz w:val="22"/>
            <w:lang w:val="en-US"/>
          </w:rPr>
          <w:t>https://doi.org/10.1111/eci.12931</w:t>
        </w:r>
      </w:hyperlink>
      <w:r w:rsidRPr="00CD4ABC">
        <w:rPr>
          <w:rFonts w:eastAsia="Aptos" w:cs="Arial"/>
          <w:noProof/>
          <w:sz w:val="22"/>
          <w:lang w:val="en-US"/>
        </w:rPr>
        <w:t xml:space="preserve"> </w:t>
      </w:r>
    </w:p>
    <w:p w14:paraId="782FD087" w14:textId="77777777" w:rsidR="0013462F" w:rsidRPr="00CD4ABC" w:rsidRDefault="0013462F" w:rsidP="00CD4ABC">
      <w:pPr>
        <w:spacing w:before="0" w:after="160"/>
        <w:ind w:left="720" w:hanging="720"/>
        <w:rPr>
          <w:rFonts w:eastAsia="Aptos" w:cs="Arial"/>
          <w:noProof/>
          <w:sz w:val="22"/>
          <w:lang w:val="en-US"/>
        </w:rPr>
      </w:pPr>
    </w:p>
    <w:p w14:paraId="0C0D602E" w14:textId="13A9D1F4" w:rsidR="008F4197" w:rsidRDefault="008F4197" w:rsidP="008F4197">
      <w:pPr>
        <w:pStyle w:val="EndNoteBibliography"/>
        <w:ind w:left="720" w:hanging="720"/>
      </w:pPr>
      <w:r w:rsidRPr="007E27D1">
        <w:t xml:space="preserve">Greep, L. (2021). </w:t>
      </w:r>
      <w:r w:rsidRPr="007E27D1">
        <w:rPr>
          <w:i/>
        </w:rPr>
        <w:t>Bringing to life He Pikorua</w:t>
      </w:r>
      <w:r w:rsidRPr="007E27D1">
        <w:t xml:space="preserve">. Core Education. Retrieved 6 September, 2024 from </w:t>
      </w:r>
      <w:hyperlink r:id="rId289" w:history="1">
        <w:r w:rsidR="001172BF" w:rsidRPr="00326476">
          <w:rPr>
            <w:rStyle w:val="Hyperlink"/>
          </w:rPr>
          <w:t>https://core-prod-assets.s3.ap-southeast-2.amazonaws.com/public/eFellows/Bringing-to-life-He-Pikorua-Leanne-Greep.pdf</w:t>
        </w:r>
      </w:hyperlink>
      <w:r w:rsidR="001172BF">
        <w:t xml:space="preserve"> </w:t>
      </w:r>
    </w:p>
    <w:p w14:paraId="04625171" w14:textId="77777777" w:rsidR="0013462F" w:rsidRPr="007E27D1" w:rsidRDefault="0013462F" w:rsidP="008F4197">
      <w:pPr>
        <w:pStyle w:val="EndNoteBibliography"/>
        <w:ind w:left="720" w:hanging="720"/>
      </w:pPr>
    </w:p>
    <w:p w14:paraId="4B29FC7B" w14:textId="57543B0F" w:rsidR="00D67597" w:rsidRPr="00D67597" w:rsidRDefault="00D67597" w:rsidP="00D67597">
      <w:pPr>
        <w:spacing w:before="0" w:after="160"/>
        <w:ind w:left="720" w:hanging="720"/>
        <w:rPr>
          <w:rFonts w:eastAsia="Aptos" w:cs="Arial"/>
          <w:noProof/>
          <w:sz w:val="22"/>
          <w:lang w:val="en-US"/>
        </w:rPr>
      </w:pPr>
      <w:r w:rsidRPr="00090188">
        <w:rPr>
          <w:rFonts w:eastAsia="Aptos" w:cs="Arial"/>
          <w:noProof/>
          <w:sz w:val="22"/>
        </w:rPr>
        <w:t xml:space="preserve">Guinosso, S. A., Johnson, S. B., &amp; Riley, A. W. (2016). </w:t>
      </w:r>
      <w:r w:rsidRPr="00D67597">
        <w:rPr>
          <w:rFonts w:eastAsia="Aptos" w:cs="Arial"/>
          <w:noProof/>
          <w:sz w:val="22"/>
          <w:lang w:val="en-US"/>
        </w:rPr>
        <w:t xml:space="preserve">Multiple adverse experiences and child cognitive development. </w:t>
      </w:r>
      <w:r w:rsidRPr="00D67597">
        <w:rPr>
          <w:rFonts w:eastAsia="Aptos" w:cs="Arial"/>
          <w:i/>
          <w:noProof/>
          <w:sz w:val="22"/>
          <w:lang w:val="en-US"/>
        </w:rPr>
        <w:t>Pediatric research</w:t>
      </w:r>
      <w:r w:rsidRPr="00D67597">
        <w:rPr>
          <w:rFonts w:eastAsia="Aptos" w:cs="Arial"/>
          <w:noProof/>
          <w:sz w:val="22"/>
          <w:lang w:val="en-US"/>
        </w:rPr>
        <w:t>,</w:t>
      </w:r>
      <w:r w:rsidRPr="00D67597">
        <w:rPr>
          <w:rFonts w:eastAsia="Aptos" w:cs="Arial"/>
          <w:i/>
          <w:noProof/>
          <w:sz w:val="22"/>
          <w:lang w:val="en-US"/>
        </w:rPr>
        <w:t xml:space="preserve"> 79</w:t>
      </w:r>
      <w:r w:rsidRPr="00D67597">
        <w:rPr>
          <w:rFonts w:eastAsia="Aptos" w:cs="Arial"/>
          <w:noProof/>
          <w:sz w:val="22"/>
          <w:lang w:val="en-US"/>
        </w:rPr>
        <w:t xml:space="preserve">(1), 220-226. </w:t>
      </w:r>
      <w:hyperlink r:id="rId290" w:history="1">
        <w:r w:rsidR="00CB2B49" w:rsidRPr="00326476">
          <w:rPr>
            <w:rStyle w:val="Hyperlink"/>
            <w:rFonts w:eastAsia="Aptos" w:cs="Arial"/>
            <w:noProof/>
            <w:sz w:val="22"/>
            <w:lang w:val="en-US"/>
          </w:rPr>
          <w:t>https://doi.org/10.1038/pr.2015.195</w:t>
        </w:r>
      </w:hyperlink>
      <w:r w:rsidR="00CB2B49">
        <w:rPr>
          <w:rFonts w:eastAsia="Aptos" w:cs="Arial"/>
          <w:noProof/>
          <w:sz w:val="22"/>
          <w:lang w:val="en-US"/>
        </w:rPr>
        <w:t xml:space="preserve"> </w:t>
      </w:r>
      <w:r w:rsidRPr="00D67597">
        <w:rPr>
          <w:rFonts w:eastAsia="Aptos" w:cs="Arial"/>
          <w:noProof/>
          <w:sz w:val="22"/>
          <w:lang w:val="en-US"/>
        </w:rPr>
        <w:t xml:space="preserve"> </w:t>
      </w:r>
    </w:p>
    <w:p w14:paraId="24C7D9D8" w14:textId="77777777" w:rsidR="00D67597" w:rsidRPr="00D67597" w:rsidRDefault="00D67597" w:rsidP="00D67597">
      <w:pPr>
        <w:spacing w:before="0" w:after="0"/>
        <w:ind w:left="720" w:hanging="720"/>
        <w:rPr>
          <w:rFonts w:eastAsia="Aptos" w:cs="Arial"/>
          <w:noProof/>
          <w:sz w:val="22"/>
          <w:lang w:val="en-US"/>
        </w:rPr>
      </w:pPr>
      <w:r w:rsidRPr="00D67597">
        <w:rPr>
          <w:rFonts w:eastAsia="Aptos" w:cs="Arial"/>
          <w:noProof/>
          <w:sz w:val="22"/>
          <w:lang w:val="en-US"/>
        </w:rPr>
        <w:tab/>
      </w:r>
    </w:p>
    <w:p w14:paraId="21FD012C" w14:textId="77777777" w:rsidR="00D67597" w:rsidRPr="00D67597" w:rsidRDefault="00D67597" w:rsidP="00D67597">
      <w:pPr>
        <w:spacing w:before="0" w:after="160"/>
        <w:ind w:left="720" w:hanging="720"/>
        <w:rPr>
          <w:rFonts w:eastAsia="Aptos" w:cs="Arial"/>
          <w:noProof/>
          <w:sz w:val="22"/>
          <w:lang w:val="en-US"/>
        </w:rPr>
      </w:pPr>
      <w:r w:rsidRPr="00D67597">
        <w:rPr>
          <w:rFonts w:eastAsia="Aptos" w:cs="Arial"/>
          <w:noProof/>
          <w:sz w:val="22"/>
          <w:lang w:val="en-US"/>
        </w:rPr>
        <w:t xml:space="preserve">Guralnick, M. J. (2005). An overview of the developmental systems model for early intervention. In M. J. Guralnick (Ed.), </w:t>
      </w:r>
      <w:r w:rsidRPr="00D67597">
        <w:rPr>
          <w:rFonts w:eastAsia="Aptos" w:cs="Arial"/>
          <w:i/>
          <w:noProof/>
          <w:sz w:val="22"/>
          <w:lang w:val="en-US"/>
        </w:rPr>
        <w:t>The developmental systems approach to early intervention</w:t>
      </w:r>
      <w:r w:rsidRPr="00D67597">
        <w:rPr>
          <w:rFonts w:eastAsia="Aptos" w:cs="Arial"/>
          <w:noProof/>
          <w:sz w:val="22"/>
          <w:lang w:val="en-US"/>
        </w:rPr>
        <w:t xml:space="preserve"> (pp. 3-28). Seattle, WA: Paul H Brooks Publishing Co. </w:t>
      </w:r>
    </w:p>
    <w:p w14:paraId="0222B653" w14:textId="77777777" w:rsidR="00D67597" w:rsidRPr="00D67597" w:rsidRDefault="00D67597" w:rsidP="00D67597">
      <w:pPr>
        <w:spacing w:before="0" w:after="0"/>
        <w:ind w:left="720" w:hanging="720"/>
        <w:rPr>
          <w:rFonts w:eastAsia="Aptos" w:cs="Arial"/>
          <w:noProof/>
          <w:sz w:val="22"/>
          <w:lang w:val="en-US"/>
        </w:rPr>
      </w:pPr>
      <w:r w:rsidRPr="00D67597">
        <w:rPr>
          <w:rFonts w:eastAsia="Aptos" w:cs="Arial"/>
          <w:noProof/>
          <w:sz w:val="22"/>
          <w:lang w:val="en-US"/>
        </w:rPr>
        <w:tab/>
      </w:r>
    </w:p>
    <w:p w14:paraId="08B9509E" w14:textId="00478ACB" w:rsidR="00D67597" w:rsidRPr="00D67597" w:rsidRDefault="00D67597" w:rsidP="00D67597">
      <w:pPr>
        <w:spacing w:before="0" w:after="160"/>
        <w:ind w:left="720" w:hanging="720"/>
        <w:rPr>
          <w:rFonts w:eastAsia="Aptos" w:cs="Arial"/>
          <w:noProof/>
          <w:sz w:val="22"/>
          <w:lang w:val="en-US"/>
        </w:rPr>
      </w:pPr>
      <w:r w:rsidRPr="00D67597">
        <w:rPr>
          <w:rFonts w:eastAsia="Aptos" w:cs="Arial"/>
          <w:noProof/>
          <w:sz w:val="22"/>
          <w:lang w:val="en-US"/>
        </w:rPr>
        <w:t xml:space="preserve">Guralnick, M. J. (2008). International perspectives on early intervention: A search for common ground. </w:t>
      </w:r>
      <w:r w:rsidRPr="00D67597">
        <w:rPr>
          <w:rFonts w:eastAsia="Aptos" w:cs="Arial"/>
          <w:i/>
          <w:noProof/>
          <w:sz w:val="22"/>
          <w:lang w:val="en-US"/>
        </w:rPr>
        <w:t>Journal of Early Intervention</w:t>
      </w:r>
      <w:r w:rsidRPr="00D67597">
        <w:rPr>
          <w:rFonts w:eastAsia="Aptos" w:cs="Arial"/>
          <w:noProof/>
          <w:sz w:val="22"/>
          <w:lang w:val="en-US"/>
        </w:rPr>
        <w:t>,</w:t>
      </w:r>
      <w:r w:rsidRPr="00D67597">
        <w:rPr>
          <w:rFonts w:eastAsia="Aptos" w:cs="Arial"/>
          <w:i/>
          <w:noProof/>
          <w:sz w:val="22"/>
          <w:lang w:val="en-US"/>
        </w:rPr>
        <w:t xml:space="preserve"> 30</w:t>
      </w:r>
      <w:r w:rsidRPr="00D67597">
        <w:rPr>
          <w:rFonts w:eastAsia="Aptos" w:cs="Arial"/>
          <w:noProof/>
          <w:sz w:val="22"/>
          <w:lang w:val="en-US"/>
        </w:rPr>
        <w:t xml:space="preserve">(2), 90-101. </w:t>
      </w:r>
      <w:hyperlink r:id="rId291" w:history="1">
        <w:r w:rsidR="00CB2B49" w:rsidRPr="00326476">
          <w:rPr>
            <w:rStyle w:val="Hyperlink"/>
            <w:rFonts w:eastAsia="Aptos" w:cs="Arial"/>
            <w:noProof/>
            <w:sz w:val="22"/>
            <w:lang w:val="en-US"/>
          </w:rPr>
          <w:t>https://doi.org/10.1177/1053815107313483</w:t>
        </w:r>
      </w:hyperlink>
      <w:r w:rsidR="00CB2B49">
        <w:rPr>
          <w:rFonts w:eastAsia="Aptos" w:cs="Arial"/>
          <w:noProof/>
          <w:sz w:val="22"/>
          <w:lang w:val="en-US"/>
        </w:rPr>
        <w:t xml:space="preserve"> </w:t>
      </w:r>
      <w:r w:rsidRPr="00D67597">
        <w:rPr>
          <w:rFonts w:eastAsia="Aptos" w:cs="Arial"/>
          <w:noProof/>
          <w:sz w:val="22"/>
          <w:lang w:val="en-US"/>
        </w:rPr>
        <w:t xml:space="preserve"> </w:t>
      </w:r>
    </w:p>
    <w:p w14:paraId="4856754C" w14:textId="77777777" w:rsidR="00D67597" w:rsidRPr="00D67597" w:rsidRDefault="00D67597" w:rsidP="00D67597">
      <w:pPr>
        <w:spacing w:before="0" w:after="0"/>
        <w:ind w:left="720" w:hanging="720"/>
        <w:rPr>
          <w:rFonts w:eastAsia="Aptos" w:cs="Arial"/>
          <w:noProof/>
          <w:sz w:val="22"/>
          <w:lang w:val="en-US"/>
        </w:rPr>
      </w:pPr>
      <w:r w:rsidRPr="00D67597">
        <w:rPr>
          <w:rFonts w:eastAsia="Aptos" w:cs="Arial"/>
          <w:noProof/>
          <w:sz w:val="22"/>
          <w:lang w:val="en-US"/>
        </w:rPr>
        <w:tab/>
      </w:r>
    </w:p>
    <w:p w14:paraId="37DEC269" w14:textId="3A07876F" w:rsidR="00D67597" w:rsidRPr="00D67597" w:rsidRDefault="00D67597" w:rsidP="00D67597">
      <w:pPr>
        <w:spacing w:before="0" w:after="160"/>
        <w:ind w:left="720" w:hanging="720"/>
        <w:rPr>
          <w:rFonts w:eastAsia="Aptos" w:cs="Arial"/>
          <w:noProof/>
          <w:sz w:val="22"/>
          <w:lang w:val="en-US"/>
        </w:rPr>
      </w:pPr>
      <w:r w:rsidRPr="00D67597">
        <w:rPr>
          <w:rFonts w:eastAsia="Aptos" w:cs="Arial"/>
          <w:noProof/>
          <w:sz w:val="22"/>
          <w:lang w:val="en-US"/>
        </w:rPr>
        <w:t xml:space="preserve">Guralnick, M. J. (2011). Why early intervention works: A systems perspective. </w:t>
      </w:r>
      <w:r w:rsidRPr="00D67597">
        <w:rPr>
          <w:rFonts w:eastAsia="Aptos" w:cs="Arial"/>
          <w:i/>
          <w:noProof/>
          <w:sz w:val="22"/>
          <w:lang w:val="en-US"/>
        </w:rPr>
        <w:t>Infants &amp; Young Children</w:t>
      </w:r>
      <w:r w:rsidRPr="00D67597">
        <w:rPr>
          <w:rFonts w:eastAsia="Aptos" w:cs="Arial"/>
          <w:noProof/>
          <w:sz w:val="22"/>
          <w:lang w:val="en-US"/>
        </w:rPr>
        <w:t>,</w:t>
      </w:r>
      <w:r w:rsidRPr="00D67597">
        <w:rPr>
          <w:rFonts w:eastAsia="Aptos" w:cs="Arial"/>
          <w:i/>
          <w:noProof/>
          <w:sz w:val="22"/>
          <w:lang w:val="en-US"/>
        </w:rPr>
        <w:t xml:space="preserve"> 24</w:t>
      </w:r>
      <w:r w:rsidRPr="00D67597">
        <w:rPr>
          <w:rFonts w:eastAsia="Aptos" w:cs="Arial"/>
          <w:noProof/>
          <w:sz w:val="22"/>
          <w:lang w:val="en-US"/>
        </w:rPr>
        <w:t xml:space="preserve">(1), 6-28. </w:t>
      </w:r>
      <w:hyperlink r:id="rId292" w:history="1">
        <w:r w:rsidR="00CB2B49" w:rsidRPr="00326476">
          <w:rPr>
            <w:rStyle w:val="Hyperlink"/>
            <w:rFonts w:eastAsia="Aptos" w:cs="Arial"/>
            <w:noProof/>
            <w:sz w:val="22"/>
            <w:lang w:val="en-US"/>
          </w:rPr>
          <w:t>https://doi.org/10.1097/IYC.0b013e3182002cfe</w:t>
        </w:r>
      </w:hyperlink>
      <w:r w:rsidR="00CB2B49">
        <w:rPr>
          <w:rFonts w:eastAsia="Aptos" w:cs="Arial"/>
          <w:noProof/>
          <w:sz w:val="22"/>
          <w:lang w:val="en-US"/>
        </w:rPr>
        <w:t xml:space="preserve"> </w:t>
      </w:r>
      <w:r w:rsidRPr="00D67597">
        <w:rPr>
          <w:rFonts w:eastAsia="Aptos" w:cs="Arial"/>
          <w:noProof/>
          <w:sz w:val="22"/>
          <w:lang w:val="en-US"/>
        </w:rPr>
        <w:t xml:space="preserve"> </w:t>
      </w:r>
    </w:p>
    <w:p w14:paraId="77D51094" w14:textId="77777777" w:rsidR="00D67597" w:rsidRPr="00D67597" w:rsidRDefault="00D67597" w:rsidP="00D67597">
      <w:pPr>
        <w:spacing w:before="0" w:after="0"/>
        <w:ind w:left="720" w:hanging="720"/>
        <w:rPr>
          <w:rFonts w:eastAsia="Aptos" w:cs="Arial"/>
          <w:noProof/>
          <w:sz w:val="22"/>
          <w:lang w:val="en-US"/>
        </w:rPr>
      </w:pPr>
      <w:r w:rsidRPr="00D67597">
        <w:rPr>
          <w:rFonts w:eastAsia="Aptos" w:cs="Arial"/>
          <w:noProof/>
          <w:sz w:val="22"/>
          <w:lang w:val="en-US"/>
        </w:rPr>
        <w:tab/>
      </w:r>
    </w:p>
    <w:p w14:paraId="43EA072F" w14:textId="77777777" w:rsidR="00D67597" w:rsidRDefault="00D67597" w:rsidP="00D67597">
      <w:pPr>
        <w:spacing w:before="0" w:after="160"/>
        <w:ind w:left="720" w:hanging="720"/>
        <w:rPr>
          <w:rFonts w:eastAsia="Aptos" w:cs="Arial"/>
          <w:noProof/>
          <w:sz w:val="22"/>
          <w:lang w:val="en-US"/>
        </w:rPr>
      </w:pPr>
      <w:r w:rsidRPr="00D67597">
        <w:rPr>
          <w:rFonts w:eastAsia="Aptos" w:cs="Arial"/>
          <w:noProof/>
          <w:sz w:val="22"/>
          <w:lang w:val="en-US"/>
        </w:rPr>
        <w:t xml:space="preserve">Guralnick, M. J. (2016). Early intervention for young children with developmental delays: Contributions of the developmental systems approach. In H. Sukkar, C.J. Dunst, &amp; J. Kirkby (Eds.), </w:t>
      </w:r>
      <w:r w:rsidRPr="00D67597">
        <w:rPr>
          <w:rFonts w:eastAsia="Aptos" w:cs="Arial"/>
          <w:i/>
          <w:noProof/>
          <w:sz w:val="22"/>
          <w:lang w:val="en-US"/>
        </w:rPr>
        <w:t>Early Childhood Intervention: Working with Families of Young Children with Special Needs</w:t>
      </w:r>
      <w:r w:rsidRPr="00D67597">
        <w:rPr>
          <w:rFonts w:eastAsia="Aptos" w:cs="Arial"/>
          <w:noProof/>
          <w:sz w:val="22"/>
          <w:lang w:val="en-US"/>
        </w:rPr>
        <w:t xml:space="preserve"> (pp. 33-51). London and New York: Routledge. </w:t>
      </w:r>
    </w:p>
    <w:p w14:paraId="00C2C031" w14:textId="77777777" w:rsidR="0013462F" w:rsidRPr="00D67597" w:rsidRDefault="0013462F" w:rsidP="00D67597">
      <w:pPr>
        <w:spacing w:before="0" w:after="160"/>
        <w:ind w:left="720" w:hanging="720"/>
        <w:rPr>
          <w:rFonts w:eastAsia="Aptos" w:cs="Arial"/>
          <w:noProof/>
          <w:sz w:val="22"/>
          <w:lang w:val="en-US"/>
        </w:rPr>
      </w:pPr>
    </w:p>
    <w:p w14:paraId="155715FB" w14:textId="0E1CDD15" w:rsidR="00F97873" w:rsidRPr="00F97873" w:rsidRDefault="00F97873" w:rsidP="00F97873">
      <w:pPr>
        <w:spacing w:before="0" w:after="160"/>
        <w:ind w:left="720" w:hanging="720"/>
        <w:rPr>
          <w:rFonts w:eastAsia="Aptos" w:cs="Arial"/>
          <w:noProof/>
          <w:sz w:val="22"/>
          <w:lang w:val="en-US"/>
        </w:rPr>
      </w:pPr>
      <w:r w:rsidRPr="00F97873">
        <w:rPr>
          <w:rFonts w:eastAsia="Aptos" w:cs="Arial"/>
          <w:noProof/>
          <w:sz w:val="22"/>
          <w:lang w:val="en-US"/>
        </w:rPr>
        <w:t xml:space="preserve">Guralnick, M. J. (2017). Early intervention for children with intellectual disabilities: An update. </w:t>
      </w:r>
      <w:r w:rsidRPr="00F97873">
        <w:rPr>
          <w:rFonts w:eastAsia="Aptos" w:cs="Arial"/>
          <w:i/>
          <w:noProof/>
          <w:sz w:val="22"/>
          <w:lang w:val="en-US"/>
        </w:rPr>
        <w:t>Journal of Applied Research in Intellectual Disabilities</w:t>
      </w:r>
      <w:r w:rsidRPr="00F97873">
        <w:rPr>
          <w:rFonts w:eastAsia="Aptos" w:cs="Arial"/>
          <w:noProof/>
          <w:sz w:val="22"/>
          <w:lang w:val="en-US"/>
        </w:rPr>
        <w:t>,</w:t>
      </w:r>
      <w:r w:rsidRPr="00F97873">
        <w:rPr>
          <w:rFonts w:eastAsia="Aptos" w:cs="Arial"/>
          <w:i/>
          <w:noProof/>
          <w:sz w:val="22"/>
          <w:lang w:val="en-US"/>
        </w:rPr>
        <w:t xml:space="preserve"> 30</w:t>
      </w:r>
      <w:r w:rsidRPr="00F97873">
        <w:rPr>
          <w:rFonts w:eastAsia="Aptos" w:cs="Arial"/>
          <w:noProof/>
          <w:sz w:val="22"/>
          <w:lang w:val="en-US"/>
        </w:rPr>
        <w:t xml:space="preserve">(2), 211-229. </w:t>
      </w:r>
      <w:hyperlink r:id="rId293" w:history="1">
        <w:r w:rsidR="00CB2B49" w:rsidRPr="00326476">
          <w:rPr>
            <w:rStyle w:val="Hyperlink"/>
            <w:rFonts w:eastAsia="Aptos" w:cs="Arial"/>
            <w:noProof/>
            <w:sz w:val="22"/>
            <w:lang w:val="en-US"/>
          </w:rPr>
          <w:t>https://doi.org/10.1111/jar.12233</w:t>
        </w:r>
      </w:hyperlink>
      <w:r w:rsidR="00CB2B49">
        <w:rPr>
          <w:rFonts w:eastAsia="Aptos" w:cs="Arial"/>
          <w:noProof/>
          <w:sz w:val="22"/>
          <w:lang w:val="en-US"/>
        </w:rPr>
        <w:t xml:space="preserve"> </w:t>
      </w:r>
      <w:r w:rsidRPr="00F97873">
        <w:rPr>
          <w:rFonts w:eastAsia="Aptos" w:cs="Arial"/>
          <w:noProof/>
          <w:sz w:val="22"/>
          <w:lang w:val="en-US"/>
        </w:rPr>
        <w:t xml:space="preserve"> </w:t>
      </w:r>
    </w:p>
    <w:p w14:paraId="48F308D0" w14:textId="77777777" w:rsidR="00F97873" w:rsidRPr="00F97873" w:rsidRDefault="00F97873" w:rsidP="00F97873">
      <w:pPr>
        <w:spacing w:before="0" w:after="0"/>
        <w:ind w:left="720" w:hanging="720"/>
        <w:rPr>
          <w:rFonts w:eastAsia="Aptos" w:cs="Arial"/>
          <w:noProof/>
          <w:sz w:val="22"/>
          <w:lang w:val="en-US"/>
        </w:rPr>
      </w:pPr>
      <w:r w:rsidRPr="00F97873">
        <w:rPr>
          <w:rFonts w:eastAsia="Aptos" w:cs="Arial"/>
          <w:noProof/>
          <w:sz w:val="22"/>
          <w:lang w:val="en-US"/>
        </w:rPr>
        <w:tab/>
      </w:r>
    </w:p>
    <w:p w14:paraId="2EA5EA1B" w14:textId="77777777" w:rsidR="00F97873" w:rsidRPr="00F97873" w:rsidRDefault="00F97873" w:rsidP="00F97873">
      <w:pPr>
        <w:spacing w:before="0" w:after="160"/>
        <w:ind w:left="720" w:hanging="720"/>
        <w:rPr>
          <w:rFonts w:eastAsia="Aptos" w:cs="Arial"/>
          <w:noProof/>
          <w:sz w:val="22"/>
          <w:lang w:val="en-US"/>
        </w:rPr>
      </w:pPr>
      <w:r w:rsidRPr="00F97873">
        <w:rPr>
          <w:rFonts w:eastAsia="Aptos" w:cs="Arial"/>
          <w:noProof/>
          <w:sz w:val="22"/>
          <w:lang w:val="en-US"/>
        </w:rPr>
        <w:t xml:space="preserve">Guralnick, M. J. (2019). </w:t>
      </w:r>
      <w:r w:rsidRPr="00F97873">
        <w:rPr>
          <w:rFonts w:eastAsia="Aptos" w:cs="Arial"/>
          <w:i/>
          <w:noProof/>
          <w:sz w:val="22"/>
          <w:lang w:val="en-US"/>
        </w:rPr>
        <w:t>Effective early intervention: The developmental systems approach</w:t>
      </w:r>
      <w:r w:rsidRPr="00F97873">
        <w:rPr>
          <w:rFonts w:eastAsia="Aptos" w:cs="Arial"/>
          <w:noProof/>
          <w:sz w:val="22"/>
          <w:lang w:val="en-US"/>
        </w:rPr>
        <w:t xml:space="preserve">. Baltimore, MD: Paul H. Brookes Publishing Company. </w:t>
      </w:r>
    </w:p>
    <w:p w14:paraId="2E12DFC8" w14:textId="77777777" w:rsidR="00F97873" w:rsidRPr="00F97873" w:rsidRDefault="00F97873" w:rsidP="00F97873">
      <w:pPr>
        <w:spacing w:before="0" w:after="0"/>
        <w:ind w:left="720" w:hanging="720"/>
        <w:rPr>
          <w:rFonts w:eastAsia="Aptos" w:cs="Arial"/>
          <w:noProof/>
          <w:sz w:val="22"/>
          <w:lang w:val="en-US"/>
        </w:rPr>
      </w:pPr>
      <w:r w:rsidRPr="00F97873">
        <w:rPr>
          <w:rFonts w:eastAsia="Aptos" w:cs="Arial"/>
          <w:noProof/>
          <w:sz w:val="22"/>
          <w:lang w:val="en-US"/>
        </w:rPr>
        <w:tab/>
      </w:r>
    </w:p>
    <w:p w14:paraId="251FCA8F" w14:textId="342BB31E" w:rsidR="00F97873" w:rsidRDefault="00F97873" w:rsidP="00F97873">
      <w:pPr>
        <w:spacing w:before="0" w:after="160"/>
        <w:ind w:left="720" w:hanging="720"/>
        <w:rPr>
          <w:rFonts w:eastAsia="Aptos" w:cs="Arial"/>
          <w:noProof/>
          <w:sz w:val="22"/>
          <w:lang w:val="en-US"/>
        </w:rPr>
      </w:pPr>
      <w:r w:rsidRPr="00F97873">
        <w:rPr>
          <w:rFonts w:eastAsia="Aptos" w:cs="Arial"/>
          <w:noProof/>
          <w:sz w:val="22"/>
          <w:lang w:val="en-US"/>
        </w:rPr>
        <w:t xml:space="preserve">Guralnick, M. J. (2023). A framework for the design of inclusive community-based early childhood intervention programs. </w:t>
      </w:r>
      <w:r w:rsidRPr="00F97873">
        <w:rPr>
          <w:rFonts w:eastAsia="Aptos" w:cs="Arial"/>
          <w:i/>
          <w:noProof/>
          <w:sz w:val="22"/>
          <w:lang w:val="en-US"/>
        </w:rPr>
        <w:t>Infants &amp; Young Children</w:t>
      </w:r>
      <w:r w:rsidRPr="00F97873">
        <w:rPr>
          <w:rFonts w:eastAsia="Aptos" w:cs="Arial"/>
          <w:noProof/>
          <w:sz w:val="22"/>
          <w:lang w:val="en-US"/>
        </w:rPr>
        <w:t>,</w:t>
      </w:r>
      <w:r w:rsidRPr="00F97873">
        <w:rPr>
          <w:rFonts w:eastAsia="Aptos" w:cs="Arial"/>
          <w:i/>
          <w:noProof/>
          <w:sz w:val="22"/>
          <w:lang w:val="en-US"/>
        </w:rPr>
        <w:t xml:space="preserve"> 36</w:t>
      </w:r>
      <w:r w:rsidRPr="00F97873">
        <w:rPr>
          <w:rFonts w:eastAsia="Aptos" w:cs="Arial"/>
          <w:noProof/>
          <w:sz w:val="22"/>
          <w:lang w:val="en-US"/>
        </w:rPr>
        <w:t xml:space="preserve">(4), 270-284. </w:t>
      </w:r>
      <w:hyperlink r:id="rId294" w:history="1">
        <w:r w:rsidR="0013462F" w:rsidRPr="00326476">
          <w:rPr>
            <w:rStyle w:val="Hyperlink"/>
            <w:rFonts w:eastAsia="Aptos" w:cs="Arial"/>
            <w:noProof/>
            <w:sz w:val="22"/>
            <w:lang w:val="en-US"/>
          </w:rPr>
          <w:t>https://doi.org/10.1097/IYC.0000000000000251</w:t>
        </w:r>
      </w:hyperlink>
      <w:r w:rsidRPr="00F97873">
        <w:rPr>
          <w:rFonts w:eastAsia="Aptos" w:cs="Arial"/>
          <w:noProof/>
          <w:sz w:val="22"/>
          <w:lang w:val="en-US"/>
        </w:rPr>
        <w:t xml:space="preserve"> </w:t>
      </w:r>
    </w:p>
    <w:p w14:paraId="03F74D54" w14:textId="77777777" w:rsidR="0013462F" w:rsidRPr="00F97873" w:rsidRDefault="0013462F" w:rsidP="00F97873">
      <w:pPr>
        <w:spacing w:before="0" w:after="160"/>
        <w:ind w:left="720" w:hanging="720"/>
        <w:rPr>
          <w:rFonts w:eastAsia="Aptos" w:cs="Arial"/>
          <w:noProof/>
          <w:sz w:val="22"/>
          <w:lang w:val="en-US"/>
        </w:rPr>
      </w:pPr>
    </w:p>
    <w:p w14:paraId="4DE18D2D" w14:textId="77777777" w:rsidR="008D40D7" w:rsidRPr="008D40D7" w:rsidRDefault="008D40D7" w:rsidP="008D40D7">
      <w:pPr>
        <w:spacing w:before="0" w:after="160"/>
        <w:ind w:left="720" w:hanging="720"/>
        <w:rPr>
          <w:rFonts w:eastAsia="Aptos" w:cs="Arial"/>
          <w:noProof/>
          <w:sz w:val="22"/>
          <w:lang w:val="en-US"/>
        </w:rPr>
      </w:pPr>
      <w:r w:rsidRPr="008D40D7">
        <w:rPr>
          <w:rFonts w:eastAsia="Aptos" w:cs="Arial"/>
          <w:noProof/>
          <w:sz w:val="22"/>
          <w:lang w:val="en-US"/>
        </w:rPr>
        <w:t xml:space="preserve">Guralnick, M. J., &amp; Bruder, M. B. (2016). Early childhood inclusion in the United States: Goals, current status, and future directions. </w:t>
      </w:r>
      <w:r w:rsidRPr="008D40D7">
        <w:rPr>
          <w:rFonts w:eastAsia="Aptos" w:cs="Arial"/>
          <w:i/>
          <w:noProof/>
          <w:sz w:val="22"/>
          <w:lang w:val="en-US"/>
        </w:rPr>
        <w:t>Infants &amp; Young Children</w:t>
      </w:r>
      <w:r w:rsidRPr="008D40D7">
        <w:rPr>
          <w:rFonts w:eastAsia="Aptos" w:cs="Arial"/>
          <w:noProof/>
          <w:sz w:val="22"/>
          <w:lang w:val="en-US"/>
        </w:rPr>
        <w:t>,</w:t>
      </w:r>
      <w:r w:rsidRPr="008D40D7">
        <w:rPr>
          <w:rFonts w:eastAsia="Aptos" w:cs="Arial"/>
          <w:i/>
          <w:noProof/>
          <w:sz w:val="22"/>
          <w:lang w:val="en-US"/>
        </w:rPr>
        <w:t xml:space="preserve"> 29</w:t>
      </w:r>
      <w:r w:rsidRPr="008D40D7">
        <w:rPr>
          <w:rFonts w:eastAsia="Aptos" w:cs="Arial"/>
          <w:noProof/>
          <w:sz w:val="22"/>
          <w:lang w:val="en-US"/>
        </w:rPr>
        <w:t xml:space="preserve">(3), 166-177. </w:t>
      </w:r>
    </w:p>
    <w:p w14:paraId="60F1C678" w14:textId="77777777" w:rsidR="008D40D7" w:rsidRPr="008D40D7" w:rsidRDefault="008D40D7" w:rsidP="008D40D7">
      <w:pPr>
        <w:spacing w:before="0" w:after="0"/>
        <w:ind w:left="720" w:hanging="720"/>
        <w:rPr>
          <w:rFonts w:eastAsia="Aptos" w:cs="Arial"/>
          <w:noProof/>
          <w:sz w:val="22"/>
          <w:lang w:val="en-US"/>
        </w:rPr>
      </w:pPr>
      <w:r w:rsidRPr="008D40D7">
        <w:rPr>
          <w:rFonts w:eastAsia="Aptos" w:cs="Arial"/>
          <w:noProof/>
          <w:sz w:val="22"/>
          <w:lang w:val="en-US"/>
        </w:rPr>
        <w:tab/>
      </w:r>
    </w:p>
    <w:p w14:paraId="3657E29B" w14:textId="263BD0CF" w:rsidR="008D40D7" w:rsidRPr="008D40D7" w:rsidRDefault="008D40D7" w:rsidP="008D40D7">
      <w:pPr>
        <w:spacing w:before="0" w:after="160"/>
        <w:ind w:left="720" w:hanging="720"/>
        <w:rPr>
          <w:rFonts w:eastAsia="Aptos" w:cs="Arial"/>
          <w:noProof/>
          <w:sz w:val="22"/>
          <w:lang w:val="en-US"/>
        </w:rPr>
      </w:pPr>
      <w:r w:rsidRPr="008D40D7">
        <w:rPr>
          <w:rFonts w:eastAsia="Aptos" w:cs="Arial"/>
          <w:noProof/>
          <w:sz w:val="22"/>
          <w:lang w:val="en-US"/>
        </w:rPr>
        <w:t xml:space="preserve">Guyatt, G., Oxman, A. D., Akl, E. A., Kunz, R., Vist, G., Brozek, J., Norris, S., Falck-Ytter, Y., Glasziou, P., &amp; DeBeer, H. (2011). GRADE guidelines: 1. Introduction - GRADE evidence profiles and summary of findings tables. </w:t>
      </w:r>
      <w:r w:rsidRPr="008D40D7">
        <w:rPr>
          <w:rFonts w:eastAsia="Aptos" w:cs="Arial"/>
          <w:i/>
          <w:noProof/>
          <w:sz w:val="22"/>
          <w:lang w:val="en-US"/>
        </w:rPr>
        <w:t>Journal of clinical epidemiology</w:t>
      </w:r>
      <w:r w:rsidRPr="008D40D7">
        <w:rPr>
          <w:rFonts w:eastAsia="Aptos" w:cs="Arial"/>
          <w:noProof/>
          <w:sz w:val="22"/>
          <w:lang w:val="en-US"/>
        </w:rPr>
        <w:t>,</w:t>
      </w:r>
      <w:r w:rsidRPr="008D40D7">
        <w:rPr>
          <w:rFonts w:eastAsia="Aptos" w:cs="Arial"/>
          <w:i/>
          <w:noProof/>
          <w:sz w:val="22"/>
          <w:lang w:val="en-US"/>
        </w:rPr>
        <w:t xml:space="preserve"> 64</w:t>
      </w:r>
      <w:r w:rsidRPr="008D40D7">
        <w:rPr>
          <w:rFonts w:eastAsia="Aptos" w:cs="Arial"/>
          <w:noProof/>
          <w:sz w:val="22"/>
          <w:lang w:val="en-US"/>
        </w:rPr>
        <w:t xml:space="preserve">(4), 383-394. </w:t>
      </w:r>
      <w:hyperlink r:id="rId295" w:history="1">
        <w:r w:rsidR="00CB2B49" w:rsidRPr="00326476">
          <w:rPr>
            <w:rStyle w:val="Hyperlink"/>
            <w:rFonts w:eastAsia="Aptos" w:cs="Arial"/>
            <w:noProof/>
            <w:sz w:val="22"/>
            <w:lang w:val="en-US"/>
          </w:rPr>
          <w:t>https://doi.org/https://doi.org/10.1016/j.jclinepi.2010.04.026</w:t>
        </w:r>
      </w:hyperlink>
      <w:r w:rsidR="00CB2B49">
        <w:rPr>
          <w:rFonts w:eastAsia="Aptos" w:cs="Arial"/>
          <w:noProof/>
          <w:sz w:val="22"/>
          <w:lang w:val="en-US"/>
        </w:rPr>
        <w:t xml:space="preserve"> </w:t>
      </w:r>
      <w:r w:rsidRPr="008D40D7">
        <w:rPr>
          <w:rFonts w:eastAsia="Aptos" w:cs="Arial"/>
          <w:noProof/>
          <w:sz w:val="22"/>
          <w:lang w:val="en-US"/>
        </w:rPr>
        <w:t xml:space="preserve"> </w:t>
      </w:r>
    </w:p>
    <w:p w14:paraId="649D1532" w14:textId="77777777" w:rsidR="008D40D7" w:rsidRPr="008D40D7" w:rsidRDefault="008D40D7" w:rsidP="008D40D7">
      <w:pPr>
        <w:spacing w:before="0" w:after="0"/>
        <w:ind w:left="720" w:hanging="720"/>
        <w:rPr>
          <w:rFonts w:eastAsia="Aptos" w:cs="Arial"/>
          <w:noProof/>
          <w:sz w:val="22"/>
          <w:lang w:val="en-US"/>
        </w:rPr>
      </w:pPr>
      <w:r w:rsidRPr="008D40D7">
        <w:rPr>
          <w:rFonts w:eastAsia="Aptos" w:cs="Arial"/>
          <w:noProof/>
          <w:sz w:val="22"/>
          <w:lang w:val="en-US"/>
        </w:rPr>
        <w:tab/>
      </w:r>
    </w:p>
    <w:p w14:paraId="1F07B019" w14:textId="77777777" w:rsidR="0013462F" w:rsidRDefault="008D40D7" w:rsidP="008D40D7">
      <w:pPr>
        <w:spacing w:before="0" w:after="160"/>
        <w:ind w:left="720" w:hanging="720"/>
        <w:rPr>
          <w:rFonts w:eastAsia="Aptos" w:cs="Arial"/>
          <w:noProof/>
          <w:sz w:val="22"/>
          <w:lang w:val="en-US"/>
        </w:rPr>
      </w:pPr>
      <w:r w:rsidRPr="008D40D7">
        <w:rPr>
          <w:rFonts w:eastAsia="Aptos" w:cs="Arial"/>
          <w:noProof/>
          <w:sz w:val="22"/>
          <w:lang w:val="en-US"/>
        </w:rPr>
        <w:t xml:space="preserve">Guyatt, G. H., Oxman, A. D., Vist, G. E., Kunz, R., Falck-Ytter, Y., Alonso-Coello, P., &amp; Schünemann, H. J. (2008). GRADE: an emerging consensus on rating quality of evidence and strength of recommendations. </w:t>
      </w:r>
      <w:r w:rsidRPr="008D40D7">
        <w:rPr>
          <w:rFonts w:eastAsia="Aptos" w:cs="Arial"/>
          <w:i/>
          <w:noProof/>
          <w:sz w:val="22"/>
          <w:lang w:val="en-US"/>
        </w:rPr>
        <w:t>BMJ</w:t>
      </w:r>
      <w:r w:rsidRPr="008D40D7">
        <w:rPr>
          <w:rFonts w:eastAsia="Aptos" w:cs="Arial"/>
          <w:noProof/>
          <w:sz w:val="22"/>
          <w:lang w:val="en-US"/>
        </w:rPr>
        <w:t>,</w:t>
      </w:r>
      <w:r w:rsidRPr="008D40D7">
        <w:rPr>
          <w:rFonts w:eastAsia="Aptos" w:cs="Arial"/>
          <w:i/>
          <w:noProof/>
          <w:sz w:val="22"/>
          <w:lang w:val="en-US"/>
        </w:rPr>
        <w:t xml:space="preserve"> 336</w:t>
      </w:r>
      <w:r w:rsidRPr="008D40D7">
        <w:rPr>
          <w:rFonts w:eastAsia="Aptos" w:cs="Arial"/>
          <w:noProof/>
          <w:sz w:val="22"/>
          <w:lang w:val="en-US"/>
        </w:rPr>
        <w:t xml:space="preserve">(7650), 924-926. </w:t>
      </w:r>
      <w:hyperlink r:id="rId296" w:history="1">
        <w:r w:rsidR="0013462F" w:rsidRPr="00326476">
          <w:rPr>
            <w:rStyle w:val="Hyperlink"/>
            <w:rFonts w:eastAsia="Aptos" w:cs="Arial"/>
            <w:noProof/>
            <w:sz w:val="22"/>
            <w:lang w:val="en-US"/>
          </w:rPr>
          <w:t>https://doi.org/10.1136/bmj.39489.470347</w:t>
        </w:r>
      </w:hyperlink>
      <w:r w:rsidR="0013462F">
        <w:rPr>
          <w:rFonts w:eastAsia="Aptos" w:cs="Arial"/>
          <w:noProof/>
          <w:sz w:val="22"/>
          <w:lang w:val="en-US"/>
        </w:rPr>
        <w:t xml:space="preserve"> </w:t>
      </w:r>
    </w:p>
    <w:p w14:paraId="7943048A" w14:textId="42ED2741" w:rsidR="008D40D7" w:rsidRPr="008D40D7" w:rsidRDefault="008D40D7" w:rsidP="008D40D7">
      <w:pPr>
        <w:spacing w:before="0" w:after="160"/>
        <w:ind w:left="720" w:hanging="720"/>
        <w:rPr>
          <w:rFonts w:eastAsia="Aptos" w:cs="Arial"/>
          <w:noProof/>
          <w:sz w:val="22"/>
          <w:lang w:val="en-US"/>
        </w:rPr>
      </w:pPr>
      <w:r w:rsidRPr="008D40D7">
        <w:rPr>
          <w:rFonts w:eastAsia="Aptos" w:cs="Arial"/>
          <w:noProof/>
          <w:sz w:val="22"/>
          <w:lang w:val="en-US"/>
        </w:rPr>
        <w:t xml:space="preserve"> </w:t>
      </w:r>
    </w:p>
    <w:p w14:paraId="284446F5" w14:textId="51CD9DF2" w:rsidR="0021125F" w:rsidRPr="0021125F" w:rsidRDefault="0021125F" w:rsidP="0021125F">
      <w:pPr>
        <w:spacing w:before="0" w:after="160"/>
        <w:ind w:left="720" w:hanging="720"/>
        <w:rPr>
          <w:rFonts w:eastAsia="Aptos" w:cs="Arial"/>
          <w:noProof/>
          <w:sz w:val="22"/>
          <w:lang w:val="en-US"/>
        </w:rPr>
      </w:pPr>
      <w:r w:rsidRPr="0021125F">
        <w:rPr>
          <w:rFonts w:eastAsia="Aptos" w:cs="Arial"/>
          <w:noProof/>
          <w:sz w:val="22"/>
          <w:lang w:val="en-US"/>
        </w:rPr>
        <w:t xml:space="preserve">Hadders-Algra, M. (2014). Early diagnosis and early intervention in cerebral palsy. </w:t>
      </w:r>
      <w:r w:rsidRPr="0021125F">
        <w:rPr>
          <w:rFonts w:eastAsia="Aptos" w:cs="Arial"/>
          <w:i/>
          <w:noProof/>
          <w:sz w:val="22"/>
          <w:lang w:val="en-US"/>
        </w:rPr>
        <w:t>Frontiers in neurology</w:t>
      </w:r>
      <w:r w:rsidRPr="0021125F">
        <w:rPr>
          <w:rFonts w:eastAsia="Aptos" w:cs="Arial"/>
          <w:noProof/>
          <w:sz w:val="22"/>
          <w:lang w:val="en-US"/>
        </w:rPr>
        <w:t>,</w:t>
      </w:r>
      <w:r w:rsidRPr="0021125F">
        <w:rPr>
          <w:rFonts w:eastAsia="Aptos" w:cs="Arial"/>
          <w:i/>
          <w:noProof/>
          <w:sz w:val="22"/>
          <w:lang w:val="en-US"/>
        </w:rPr>
        <w:t xml:space="preserve"> 5</w:t>
      </w:r>
      <w:r w:rsidRPr="0021125F">
        <w:rPr>
          <w:rFonts w:eastAsia="Aptos" w:cs="Arial"/>
          <w:noProof/>
          <w:sz w:val="22"/>
          <w:lang w:val="en-US"/>
        </w:rPr>
        <w:t xml:space="preserve">, 185. </w:t>
      </w:r>
      <w:hyperlink r:id="rId297" w:history="1">
        <w:r w:rsidR="00CB2B49" w:rsidRPr="00326476">
          <w:rPr>
            <w:rStyle w:val="Hyperlink"/>
            <w:rFonts w:eastAsia="Aptos" w:cs="Arial"/>
            <w:noProof/>
            <w:sz w:val="22"/>
            <w:lang w:val="en-US"/>
          </w:rPr>
          <w:t>https://doi.org/10.3389/fneur.2014.00185</w:t>
        </w:r>
      </w:hyperlink>
      <w:r w:rsidR="00CB2B49">
        <w:rPr>
          <w:rFonts w:eastAsia="Aptos" w:cs="Arial"/>
          <w:noProof/>
          <w:sz w:val="22"/>
          <w:lang w:val="en-US"/>
        </w:rPr>
        <w:t xml:space="preserve"> </w:t>
      </w:r>
      <w:r w:rsidRPr="0021125F">
        <w:rPr>
          <w:rFonts w:eastAsia="Aptos" w:cs="Arial"/>
          <w:noProof/>
          <w:sz w:val="22"/>
          <w:lang w:val="en-US"/>
        </w:rPr>
        <w:t xml:space="preserve"> </w:t>
      </w:r>
    </w:p>
    <w:p w14:paraId="5E62E1EB" w14:textId="77777777" w:rsidR="0021125F" w:rsidRPr="0021125F" w:rsidRDefault="0021125F" w:rsidP="0021125F">
      <w:pPr>
        <w:spacing w:before="0" w:after="0"/>
        <w:ind w:left="720" w:hanging="720"/>
        <w:rPr>
          <w:rFonts w:eastAsia="Aptos" w:cs="Arial"/>
          <w:noProof/>
          <w:sz w:val="22"/>
          <w:lang w:val="en-US"/>
        </w:rPr>
      </w:pPr>
      <w:r w:rsidRPr="0021125F">
        <w:rPr>
          <w:rFonts w:eastAsia="Aptos" w:cs="Arial"/>
          <w:noProof/>
          <w:sz w:val="22"/>
          <w:lang w:val="en-US"/>
        </w:rPr>
        <w:tab/>
      </w:r>
    </w:p>
    <w:p w14:paraId="1281E810" w14:textId="6330CB0D" w:rsidR="0021125F" w:rsidRPr="0021125F" w:rsidRDefault="0021125F" w:rsidP="0021125F">
      <w:pPr>
        <w:spacing w:before="0" w:after="160"/>
        <w:ind w:left="720" w:hanging="720"/>
        <w:rPr>
          <w:rFonts w:eastAsia="Aptos" w:cs="Arial"/>
          <w:noProof/>
          <w:sz w:val="22"/>
          <w:lang w:val="en-US"/>
        </w:rPr>
      </w:pPr>
      <w:r w:rsidRPr="0021125F">
        <w:rPr>
          <w:rFonts w:eastAsia="Aptos" w:cs="Arial"/>
          <w:noProof/>
          <w:sz w:val="22"/>
          <w:lang w:val="en-US"/>
        </w:rPr>
        <w:t xml:space="preserve">Hadland, S. E., Solomon, E. D., &amp; Guss, C. E. (2023). Affirming Care for Autism and Gender Diversity. </w:t>
      </w:r>
      <w:r w:rsidRPr="0021125F">
        <w:rPr>
          <w:rFonts w:eastAsia="Aptos" w:cs="Arial"/>
          <w:i/>
          <w:noProof/>
          <w:sz w:val="22"/>
          <w:lang w:val="en-US"/>
        </w:rPr>
        <w:t>Pediatrics</w:t>
      </w:r>
      <w:r w:rsidRPr="0021125F">
        <w:rPr>
          <w:rFonts w:eastAsia="Aptos" w:cs="Arial"/>
          <w:noProof/>
          <w:sz w:val="22"/>
          <w:lang w:val="en-US"/>
        </w:rPr>
        <w:t>,</w:t>
      </w:r>
      <w:r w:rsidRPr="0021125F">
        <w:rPr>
          <w:rFonts w:eastAsia="Aptos" w:cs="Arial"/>
          <w:i/>
          <w:noProof/>
          <w:sz w:val="22"/>
          <w:lang w:val="en-US"/>
        </w:rPr>
        <w:t xml:space="preserve"> 152</w:t>
      </w:r>
      <w:r w:rsidRPr="0021125F">
        <w:rPr>
          <w:rFonts w:eastAsia="Aptos" w:cs="Arial"/>
          <w:noProof/>
          <w:sz w:val="22"/>
          <w:lang w:val="en-US"/>
        </w:rPr>
        <w:t xml:space="preserve">(2), e2023061813. </w:t>
      </w:r>
      <w:hyperlink r:id="rId298" w:history="1">
        <w:r w:rsidR="00CB2B49" w:rsidRPr="00326476">
          <w:rPr>
            <w:rStyle w:val="Hyperlink"/>
            <w:rFonts w:eastAsia="Aptos" w:cs="Arial"/>
            <w:noProof/>
            <w:sz w:val="22"/>
            <w:lang w:val="en-US"/>
          </w:rPr>
          <w:t>https://doi.org/10.1542/peds.2023-061813</w:t>
        </w:r>
      </w:hyperlink>
      <w:r w:rsidR="00CB2B49">
        <w:rPr>
          <w:rFonts w:eastAsia="Aptos" w:cs="Arial"/>
          <w:noProof/>
          <w:sz w:val="22"/>
          <w:lang w:val="en-US"/>
        </w:rPr>
        <w:t xml:space="preserve"> </w:t>
      </w:r>
      <w:r w:rsidRPr="0021125F">
        <w:rPr>
          <w:rFonts w:eastAsia="Aptos" w:cs="Arial"/>
          <w:noProof/>
          <w:sz w:val="22"/>
          <w:lang w:val="en-US"/>
        </w:rPr>
        <w:t xml:space="preserve"> </w:t>
      </w:r>
    </w:p>
    <w:p w14:paraId="1CB072AD" w14:textId="77777777" w:rsidR="0021125F" w:rsidRPr="0021125F" w:rsidRDefault="0021125F" w:rsidP="0021125F">
      <w:pPr>
        <w:spacing w:before="0" w:after="0"/>
        <w:ind w:left="720" w:hanging="720"/>
        <w:rPr>
          <w:rFonts w:eastAsia="Aptos" w:cs="Arial"/>
          <w:noProof/>
          <w:sz w:val="22"/>
          <w:lang w:val="en-US"/>
        </w:rPr>
      </w:pPr>
      <w:r w:rsidRPr="0021125F">
        <w:rPr>
          <w:rFonts w:eastAsia="Aptos" w:cs="Arial"/>
          <w:noProof/>
          <w:sz w:val="22"/>
          <w:lang w:val="en-US"/>
        </w:rPr>
        <w:tab/>
      </w:r>
    </w:p>
    <w:p w14:paraId="1470C200" w14:textId="77777777" w:rsidR="0013462F" w:rsidRDefault="0021125F" w:rsidP="0021125F">
      <w:pPr>
        <w:spacing w:before="0" w:after="160"/>
        <w:ind w:left="720" w:hanging="720"/>
        <w:rPr>
          <w:rFonts w:eastAsia="Aptos" w:cs="Arial"/>
          <w:noProof/>
          <w:sz w:val="22"/>
          <w:lang w:val="en-US"/>
        </w:rPr>
      </w:pPr>
      <w:r w:rsidRPr="0021125F">
        <w:rPr>
          <w:rFonts w:eastAsia="Aptos" w:cs="Arial"/>
          <w:noProof/>
          <w:sz w:val="22"/>
          <w:lang w:val="en-US"/>
        </w:rPr>
        <w:t xml:space="preserve">Halfon, N., Forrest, C. B., Lerner, R. M., &amp; Faustman, E. M. (2018). </w:t>
      </w:r>
      <w:r w:rsidRPr="0021125F">
        <w:rPr>
          <w:rFonts w:eastAsia="Aptos" w:cs="Arial"/>
          <w:i/>
          <w:noProof/>
          <w:sz w:val="22"/>
          <w:lang w:val="en-US"/>
        </w:rPr>
        <w:t>Handbook of life course health development</w:t>
      </w:r>
      <w:r w:rsidRPr="0021125F">
        <w:rPr>
          <w:rFonts w:eastAsia="Aptos" w:cs="Arial"/>
          <w:noProof/>
          <w:sz w:val="22"/>
          <w:lang w:val="en-US"/>
        </w:rPr>
        <w:t xml:space="preserve">. Cham, Switzerland: Springer. </w:t>
      </w:r>
      <w:hyperlink r:id="rId299" w:history="1">
        <w:r w:rsidR="0013462F" w:rsidRPr="00326476">
          <w:rPr>
            <w:rStyle w:val="Hyperlink"/>
            <w:rFonts w:eastAsia="Aptos" w:cs="Arial"/>
            <w:noProof/>
            <w:sz w:val="22"/>
            <w:lang w:val="en-US"/>
          </w:rPr>
          <w:t>https://doi.org/10.1007/978-3-319-47143-3_1</w:t>
        </w:r>
      </w:hyperlink>
      <w:r w:rsidR="0013462F">
        <w:rPr>
          <w:rFonts w:eastAsia="Aptos" w:cs="Arial"/>
          <w:noProof/>
          <w:sz w:val="22"/>
          <w:lang w:val="en-US"/>
        </w:rPr>
        <w:t xml:space="preserve"> </w:t>
      </w:r>
    </w:p>
    <w:p w14:paraId="382C078D" w14:textId="10B89675" w:rsidR="0021125F" w:rsidRPr="0021125F" w:rsidRDefault="0021125F" w:rsidP="0021125F">
      <w:pPr>
        <w:spacing w:before="0" w:after="160"/>
        <w:ind w:left="720" w:hanging="720"/>
        <w:rPr>
          <w:rFonts w:eastAsia="Aptos" w:cs="Arial"/>
          <w:noProof/>
          <w:sz w:val="22"/>
          <w:lang w:val="en-US"/>
        </w:rPr>
      </w:pPr>
      <w:r w:rsidRPr="0021125F">
        <w:rPr>
          <w:rFonts w:eastAsia="Aptos" w:cs="Arial"/>
          <w:noProof/>
          <w:sz w:val="22"/>
          <w:lang w:val="en-US"/>
        </w:rPr>
        <w:t xml:space="preserve"> </w:t>
      </w:r>
    </w:p>
    <w:p w14:paraId="4A854111" w14:textId="3F10E7B3" w:rsidR="00AA772B" w:rsidRPr="00AA772B" w:rsidRDefault="00AA772B" w:rsidP="00AA772B">
      <w:pPr>
        <w:spacing w:before="0" w:after="160"/>
        <w:ind w:left="720" w:hanging="720"/>
        <w:rPr>
          <w:rFonts w:eastAsia="Aptos" w:cs="Arial"/>
          <w:noProof/>
          <w:sz w:val="22"/>
          <w:lang w:val="en-US"/>
        </w:rPr>
      </w:pPr>
      <w:r w:rsidRPr="00AA772B">
        <w:rPr>
          <w:rFonts w:eastAsia="Aptos" w:cs="Arial"/>
          <w:noProof/>
          <w:sz w:val="22"/>
          <w:lang w:val="en-US"/>
        </w:rPr>
        <w:t xml:space="preserve">Halfon, N., Houtrow, A., Larson, K., &amp; Newacheck, P. W. (2012). The changing landscape of disability in childhood. </w:t>
      </w:r>
      <w:r w:rsidRPr="00AA772B">
        <w:rPr>
          <w:rFonts w:eastAsia="Aptos" w:cs="Arial"/>
          <w:i/>
          <w:noProof/>
          <w:sz w:val="22"/>
          <w:lang w:val="en-US"/>
        </w:rPr>
        <w:t>The future of children</w:t>
      </w:r>
      <w:r w:rsidRPr="00AA772B">
        <w:rPr>
          <w:rFonts w:eastAsia="Aptos" w:cs="Arial"/>
          <w:noProof/>
          <w:sz w:val="22"/>
          <w:lang w:val="en-US"/>
        </w:rPr>
        <w:t>,</w:t>
      </w:r>
      <w:r w:rsidRPr="00AA772B">
        <w:rPr>
          <w:rFonts w:eastAsia="Aptos" w:cs="Arial"/>
          <w:i/>
          <w:noProof/>
          <w:sz w:val="22"/>
          <w:lang w:val="en-US"/>
        </w:rPr>
        <w:t xml:space="preserve"> 22</w:t>
      </w:r>
      <w:r w:rsidRPr="00AA772B">
        <w:rPr>
          <w:rFonts w:eastAsia="Aptos" w:cs="Arial"/>
          <w:noProof/>
          <w:sz w:val="22"/>
          <w:lang w:val="en-US"/>
        </w:rPr>
        <w:t xml:space="preserve">(1), 13-42. </w:t>
      </w:r>
      <w:hyperlink r:id="rId300" w:history="1">
        <w:r w:rsidR="00CB2B49" w:rsidRPr="00326476">
          <w:rPr>
            <w:rStyle w:val="Hyperlink"/>
            <w:rFonts w:eastAsia="Aptos" w:cs="Arial"/>
            <w:noProof/>
            <w:sz w:val="22"/>
            <w:lang w:val="en-US"/>
          </w:rPr>
          <w:t>https://doi.org/10.1353/foc.2012.0004</w:t>
        </w:r>
      </w:hyperlink>
      <w:r w:rsidR="00CB2B49">
        <w:rPr>
          <w:rFonts w:eastAsia="Aptos" w:cs="Arial"/>
          <w:noProof/>
          <w:sz w:val="22"/>
          <w:lang w:val="en-US"/>
        </w:rPr>
        <w:t xml:space="preserve"> </w:t>
      </w:r>
      <w:r w:rsidRPr="00AA772B">
        <w:rPr>
          <w:rFonts w:eastAsia="Aptos" w:cs="Arial"/>
          <w:noProof/>
          <w:sz w:val="22"/>
          <w:lang w:val="en-US"/>
        </w:rPr>
        <w:t xml:space="preserve"> </w:t>
      </w:r>
    </w:p>
    <w:p w14:paraId="751E1046" w14:textId="77777777" w:rsidR="00AA772B" w:rsidRPr="00AA772B" w:rsidRDefault="00AA772B" w:rsidP="00AA772B">
      <w:pPr>
        <w:spacing w:before="0" w:after="0"/>
        <w:ind w:left="720" w:hanging="720"/>
        <w:rPr>
          <w:rFonts w:eastAsia="Aptos" w:cs="Arial"/>
          <w:noProof/>
          <w:sz w:val="22"/>
          <w:lang w:val="en-US"/>
        </w:rPr>
      </w:pPr>
      <w:r w:rsidRPr="00AA772B">
        <w:rPr>
          <w:rFonts w:eastAsia="Aptos" w:cs="Arial"/>
          <w:noProof/>
          <w:sz w:val="22"/>
          <w:lang w:val="en-US"/>
        </w:rPr>
        <w:tab/>
      </w:r>
    </w:p>
    <w:p w14:paraId="32C9B258" w14:textId="77777777" w:rsidR="0013462F" w:rsidRDefault="00AA772B" w:rsidP="00AA772B">
      <w:pPr>
        <w:spacing w:before="0" w:after="160"/>
        <w:ind w:left="720" w:hanging="720"/>
        <w:rPr>
          <w:rFonts w:eastAsia="Aptos" w:cs="Arial"/>
          <w:noProof/>
          <w:sz w:val="22"/>
          <w:lang w:val="en-US"/>
        </w:rPr>
      </w:pPr>
      <w:r w:rsidRPr="00AA772B">
        <w:rPr>
          <w:rFonts w:eastAsia="Aptos" w:cs="Arial"/>
          <w:noProof/>
          <w:sz w:val="22"/>
          <w:lang w:val="en-US"/>
        </w:rPr>
        <w:t xml:space="preserve">Halfon, N., Larson, K., Lu, M., Tullis, E., &amp; Russ, S. (2014). Lifecourse health development: Past, present and future. </w:t>
      </w:r>
      <w:r w:rsidRPr="00AA772B">
        <w:rPr>
          <w:rFonts w:eastAsia="Aptos" w:cs="Arial"/>
          <w:i/>
          <w:noProof/>
          <w:sz w:val="22"/>
          <w:lang w:val="en-US"/>
        </w:rPr>
        <w:t>Maternal and child health journal</w:t>
      </w:r>
      <w:r w:rsidRPr="00AA772B">
        <w:rPr>
          <w:rFonts w:eastAsia="Aptos" w:cs="Arial"/>
          <w:noProof/>
          <w:sz w:val="22"/>
          <w:lang w:val="en-US"/>
        </w:rPr>
        <w:t>,</w:t>
      </w:r>
      <w:r w:rsidRPr="00AA772B">
        <w:rPr>
          <w:rFonts w:eastAsia="Aptos" w:cs="Arial"/>
          <w:i/>
          <w:noProof/>
          <w:sz w:val="22"/>
          <w:lang w:val="en-US"/>
        </w:rPr>
        <w:t xml:space="preserve"> 18</w:t>
      </w:r>
      <w:r w:rsidRPr="00AA772B">
        <w:rPr>
          <w:rFonts w:eastAsia="Aptos" w:cs="Arial"/>
          <w:noProof/>
          <w:sz w:val="22"/>
          <w:lang w:val="en-US"/>
        </w:rPr>
        <w:t xml:space="preserve">(2), 344-365. </w:t>
      </w:r>
      <w:hyperlink r:id="rId301" w:history="1">
        <w:r w:rsidR="0013462F" w:rsidRPr="00326476">
          <w:rPr>
            <w:rStyle w:val="Hyperlink"/>
            <w:rFonts w:eastAsia="Aptos" w:cs="Arial"/>
            <w:noProof/>
            <w:sz w:val="22"/>
            <w:lang w:val="en-US"/>
          </w:rPr>
          <w:t>https://doi.org/10.1007/s10995-013-1346-2</w:t>
        </w:r>
      </w:hyperlink>
      <w:r w:rsidR="0013462F">
        <w:rPr>
          <w:rFonts w:eastAsia="Aptos" w:cs="Arial"/>
          <w:noProof/>
          <w:sz w:val="22"/>
          <w:lang w:val="en-US"/>
        </w:rPr>
        <w:t xml:space="preserve"> </w:t>
      </w:r>
    </w:p>
    <w:p w14:paraId="1D634B3D" w14:textId="0EFD9F01" w:rsidR="00AA772B" w:rsidRPr="00AA772B" w:rsidRDefault="00AA772B" w:rsidP="00AA772B">
      <w:pPr>
        <w:spacing w:before="0" w:after="160"/>
        <w:ind w:left="720" w:hanging="720"/>
        <w:rPr>
          <w:rFonts w:eastAsia="Aptos" w:cs="Arial"/>
          <w:noProof/>
          <w:sz w:val="22"/>
          <w:lang w:val="en-US"/>
        </w:rPr>
      </w:pPr>
      <w:r w:rsidRPr="00AA772B">
        <w:rPr>
          <w:rFonts w:eastAsia="Aptos" w:cs="Arial"/>
          <w:noProof/>
          <w:sz w:val="22"/>
          <w:lang w:val="en-US"/>
        </w:rPr>
        <w:t xml:space="preserve"> </w:t>
      </w:r>
    </w:p>
    <w:p w14:paraId="69CFEE13" w14:textId="77777777" w:rsidR="00B7770B" w:rsidRDefault="00B7770B" w:rsidP="00B7770B">
      <w:pPr>
        <w:spacing w:before="0" w:after="160"/>
        <w:ind w:left="720" w:hanging="720"/>
        <w:rPr>
          <w:rFonts w:eastAsia="Aptos" w:cs="Arial"/>
          <w:noProof/>
          <w:sz w:val="22"/>
          <w:lang w:val="en-US"/>
        </w:rPr>
      </w:pPr>
      <w:r w:rsidRPr="00B7770B">
        <w:rPr>
          <w:rFonts w:eastAsia="Aptos" w:cs="Arial"/>
          <w:noProof/>
          <w:sz w:val="22"/>
          <w:lang w:val="en-US"/>
        </w:rPr>
        <w:t xml:space="preserve">Hammersley, M. (2013). </w:t>
      </w:r>
      <w:r w:rsidRPr="00B7770B">
        <w:rPr>
          <w:rFonts w:eastAsia="Aptos" w:cs="Arial"/>
          <w:i/>
          <w:noProof/>
          <w:sz w:val="22"/>
          <w:lang w:val="en-US"/>
        </w:rPr>
        <w:t>The myth of research-based policy and practice</w:t>
      </w:r>
      <w:r w:rsidRPr="00B7770B">
        <w:rPr>
          <w:rFonts w:eastAsia="Aptos" w:cs="Arial"/>
          <w:noProof/>
          <w:sz w:val="22"/>
          <w:lang w:val="en-US"/>
        </w:rPr>
        <w:t xml:space="preserve">. London, UK: Sage Publications. </w:t>
      </w:r>
    </w:p>
    <w:p w14:paraId="38E1EB2E" w14:textId="77777777" w:rsidR="0013462F" w:rsidRPr="00B7770B" w:rsidRDefault="0013462F" w:rsidP="00B7770B">
      <w:pPr>
        <w:spacing w:before="0" w:after="160"/>
        <w:ind w:left="720" w:hanging="720"/>
        <w:rPr>
          <w:rFonts w:eastAsia="Aptos" w:cs="Arial"/>
          <w:noProof/>
          <w:sz w:val="22"/>
          <w:lang w:val="en-US"/>
        </w:rPr>
      </w:pPr>
    </w:p>
    <w:p w14:paraId="04E0921B" w14:textId="07733B60" w:rsidR="005D1125" w:rsidRPr="005D1125" w:rsidRDefault="005D1125" w:rsidP="005D1125">
      <w:pPr>
        <w:spacing w:before="0" w:after="160"/>
        <w:ind w:left="720" w:hanging="720"/>
        <w:rPr>
          <w:rFonts w:eastAsia="Aptos" w:cs="Arial"/>
          <w:noProof/>
          <w:sz w:val="22"/>
          <w:lang w:val="en-US"/>
        </w:rPr>
      </w:pPr>
      <w:r w:rsidRPr="005D1125">
        <w:rPr>
          <w:rFonts w:eastAsia="Aptos" w:cs="Arial"/>
          <w:noProof/>
          <w:sz w:val="22"/>
          <w:lang w:val="en-US"/>
        </w:rPr>
        <w:t xml:space="preserve">Hanson, M., &amp; Espinosa, L. (2016). Culture, ethnicity, and linguistic diversity: Implications for early childhood special education. In B. Reichow, B.A. Boyd, E.E. Barton, &amp; S. L. Odom (Eds.), </w:t>
      </w:r>
      <w:r w:rsidRPr="005D1125">
        <w:rPr>
          <w:rFonts w:eastAsia="Aptos" w:cs="Arial"/>
          <w:i/>
          <w:noProof/>
          <w:sz w:val="22"/>
          <w:lang w:val="en-US"/>
        </w:rPr>
        <w:t>Handbook of early childhood special education</w:t>
      </w:r>
      <w:r w:rsidRPr="005D1125">
        <w:rPr>
          <w:rFonts w:eastAsia="Aptos" w:cs="Arial"/>
          <w:noProof/>
          <w:sz w:val="22"/>
          <w:lang w:val="en-US"/>
        </w:rPr>
        <w:t xml:space="preserve"> (pp. 455-471). New York: Springer. </w:t>
      </w:r>
      <w:hyperlink r:id="rId302" w:history="1">
        <w:r w:rsidR="00CB2B49" w:rsidRPr="00326476">
          <w:rPr>
            <w:rStyle w:val="Hyperlink"/>
            <w:rFonts w:eastAsia="Aptos" w:cs="Arial"/>
            <w:noProof/>
            <w:sz w:val="22"/>
            <w:lang w:val="en-US"/>
          </w:rPr>
          <w:t>https://doi.org/10.1007/978-3-319-28492-7_24</w:t>
        </w:r>
      </w:hyperlink>
      <w:r w:rsidR="00CB2B49">
        <w:rPr>
          <w:rFonts w:eastAsia="Aptos" w:cs="Arial"/>
          <w:noProof/>
          <w:sz w:val="22"/>
          <w:lang w:val="en-US"/>
        </w:rPr>
        <w:t xml:space="preserve"> </w:t>
      </w:r>
      <w:r w:rsidRPr="005D1125">
        <w:rPr>
          <w:rFonts w:eastAsia="Aptos" w:cs="Arial"/>
          <w:noProof/>
          <w:sz w:val="22"/>
          <w:lang w:val="en-US"/>
        </w:rPr>
        <w:t xml:space="preserve"> </w:t>
      </w:r>
    </w:p>
    <w:p w14:paraId="3651B5F4" w14:textId="77777777" w:rsidR="005D1125" w:rsidRPr="005D1125" w:rsidRDefault="005D1125" w:rsidP="005D1125">
      <w:pPr>
        <w:spacing w:before="0" w:after="0"/>
        <w:ind w:left="720" w:hanging="720"/>
        <w:rPr>
          <w:rFonts w:eastAsia="Aptos" w:cs="Arial"/>
          <w:noProof/>
          <w:sz w:val="22"/>
          <w:lang w:val="en-US"/>
        </w:rPr>
      </w:pPr>
      <w:r w:rsidRPr="005D1125">
        <w:rPr>
          <w:rFonts w:eastAsia="Aptos" w:cs="Arial"/>
          <w:noProof/>
          <w:sz w:val="22"/>
          <w:lang w:val="en-US"/>
        </w:rPr>
        <w:tab/>
      </w:r>
    </w:p>
    <w:p w14:paraId="77BE288E" w14:textId="77777777" w:rsidR="005D1125" w:rsidRPr="005D1125" w:rsidRDefault="005D1125" w:rsidP="005D1125">
      <w:pPr>
        <w:spacing w:before="0" w:after="160"/>
        <w:ind w:left="720" w:hanging="720"/>
        <w:rPr>
          <w:rFonts w:eastAsia="Aptos" w:cs="Arial"/>
          <w:noProof/>
          <w:sz w:val="22"/>
          <w:lang w:val="en-US"/>
        </w:rPr>
      </w:pPr>
      <w:r w:rsidRPr="005D1125">
        <w:rPr>
          <w:rFonts w:eastAsia="Aptos" w:cs="Arial"/>
          <w:noProof/>
          <w:sz w:val="22"/>
          <w:lang w:val="en-US"/>
        </w:rPr>
        <w:t xml:space="preserve">Hanson, M., &amp; Lynch, E. (2010). Working with families from diverse backgrounds. In R. A. McWilliam (Ed.), </w:t>
      </w:r>
      <w:r w:rsidRPr="005D1125">
        <w:rPr>
          <w:rFonts w:eastAsia="Aptos" w:cs="Arial"/>
          <w:i/>
          <w:noProof/>
          <w:sz w:val="22"/>
          <w:lang w:val="en-US"/>
        </w:rPr>
        <w:t>Working with families of young children with special needs</w:t>
      </w:r>
      <w:r w:rsidRPr="005D1125">
        <w:rPr>
          <w:rFonts w:eastAsia="Aptos" w:cs="Arial"/>
          <w:noProof/>
          <w:sz w:val="22"/>
          <w:lang w:val="en-US"/>
        </w:rPr>
        <w:t xml:space="preserve"> (pp. 147-174). New York: Guilford Press. </w:t>
      </w:r>
    </w:p>
    <w:p w14:paraId="5526C466" w14:textId="77777777" w:rsidR="005D1125" w:rsidRPr="005D1125" w:rsidRDefault="005D1125" w:rsidP="005D1125">
      <w:pPr>
        <w:spacing w:before="0" w:after="0"/>
        <w:ind w:left="720" w:hanging="720"/>
        <w:rPr>
          <w:rFonts w:eastAsia="Aptos" w:cs="Arial"/>
          <w:noProof/>
          <w:sz w:val="22"/>
          <w:lang w:val="en-US"/>
        </w:rPr>
      </w:pPr>
      <w:r w:rsidRPr="005D1125">
        <w:rPr>
          <w:rFonts w:eastAsia="Aptos" w:cs="Arial"/>
          <w:noProof/>
          <w:sz w:val="22"/>
          <w:lang w:val="en-US"/>
        </w:rPr>
        <w:tab/>
      </w:r>
    </w:p>
    <w:p w14:paraId="3F4D6482" w14:textId="77777777" w:rsidR="0013462F" w:rsidRDefault="005D1125" w:rsidP="005D1125">
      <w:pPr>
        <w:spacing w:before="0" w:after="160"/>
        <w:ind w:left="720" w:hanging="720"/>
        <w:rPr>
          <w:rFonts w:eastAsia="Aptos" w:cs="Arial"/>
          <w:noProof/>
          <w:sz w:val="22"/>
          <w:lang w:val="en-US"/>
        </w:rPr>
      </w:pPr>
      <w:r w:rsidRPr="005D1125">
        <w:rPr>
          <w:rFonts w:eastAsia="Aptos" w:cs="Arial"/>
          <w:noProof/>
          <w:sz w:val="22"/>
          <w:lang w:val="en-US"/>
        </w:rPr>
        <w:t xml:space="preserve">Happé, F., &amp; Frith, U. (2020). Annual research review: Looking back to look forward–changes in the concept of autism and implications for future research. </w:t>
      </w:r>
      <w:r w:rsidRPr="005D1125">
        <w:rPr>
          <w:rFonts w:eastAsia="Aptos" w:cs="Arial"/>
          <w:i/>
          <w:noProof/>
          <w:sz w:val="22"/>
          <w:lang w:val="en-US"/>
        </w:rPr>
        <w:t>Journal of Child Psychology and Psychiatry</w:t>
      </w:r>
      <w:r w:rsidRPr="005D1125">
        <w:rPr>
          <w:rFonts w:eastAsia="Aptos" w:cs="Arial"/>
          <w:noProof/>
          <w:sz w:val="22"/>
          <w:lang w:val="en-US"/>
        </w:rPr>
        <w:t>,</w:t>
      </w:r>
      <w:r w:rsidRPr="005D1125">
        <w:rPr>
          <w:rFonts w:eastAsia="Aptos" w:cs="Arial"/>
          <w:i/>
          <w:noProof/>
          <w:sz w:val="22"/>
          <w:lang w:val="en-US"/>
        </w:rPr>
        <w:t xml:space="preserve"> 61</w:t>
      </w:r>
      <w:r w:rsidRPr="005D1125">
        <w:rPr>
          <w:rFonts w:eastAsia="Aptos" w:cs="Arial"/>
          <w:noProof/>
          <w:sz w:val="22"/>
          <w:lang w:val="en-US"/>
        </w:rPr>
        <w:t xml:space="preserve">(3), 218-232. </w:t>
      </w:r>
      <w:hyperlink r:id="rId303" w:history="1">
        <w:r w:rsidR="0013462F" w:rsidRPr="00326476">
          <w:rPr>
            <w:rStyle w:val="Hyperlink"/>
            <w:rFonts w:eastAsia="Aptos" w:cs="Arial"/>
            <w:noProof/>
            <w:sz w:val="22"/>
            <w:lang w:val="en-US"/>
          </w:rPr>
          <w:t>https://doi.org/10.1111/jcpp.13176</w:t>
        </w:r>
      </w:hyperlink>
      <w:r w:rsidR="0013462F">
        <w:rPr>
          <w:rFonts w:eastAsia="Aptos" w:cs="Arial"/>
          <w:noProof/>
          <w:sz w:val="22"/>
          <w:lang w:val="en-US"/>
        </w:rPr>
        <w:t xml:space="preserve"> </w:t>
      </w:r>
    </w:p>
    <w:p w14:paraId="4B495DC9" w14:textId="392443E4" w:rsidR="005D1125" w:rsidRPr="005D1125" w:rsidRDefault="005D1125" w:rsidP="005D1125">
      <w:pPr>
        <w:spacing w:before="0" w:after="160"/>
        <w:ind w:left="720" w:hanging="720"/>
        <w:rPr>
          <w:rFonts w:eastAsia="Aptos" w:cs="Arial"/>
          <w:noProof/>
          <w:sz w:val="22"/>
          <w:lang w:val="en-US"/>
        </w:rPr>
      </w:pPr>
      <w:r w:rsidRPr="005D1125">
        <w:rPr>
          <w:rFonts w:eastAsia="Aptos" w:cs="Arial"/>
          <w:noProof/>
          <w:sz w:val="22"/>
          <w:lang w:val="en-US"/>
        </w:rPr>
        <w:t xml:space="preserve"> </w:t>
      </w:r>
    </w:p>
    <w:p w14:paraId="3818F8DB" w14:textId="53FDD367" w:rsidR="00A62703" w:rsidRPr="00A62703" w:rsidRDefault="00A62703" w:rsidP="00A62703">
      <w:pPr>
        <w:spacing w:before="0" w:after="160"/>
        <w:ind w:left="720" w:hanging="720"/>
        <w:rPr>
          <w:rFonts w:eastAsia="Aptos" w:cs="Arial"/>
          <w:noProof/>
          <w:sz w:val="22"/>
          <w:lang w:val="en-US"/>
        </w:rPr>
      </w:pPr>
      <w:r w:rsidRPr="00A62703">
        <w:rPr>
          <w:rFonts w:eastAsia="Aptos" w:cs="Arial"/>
          <w:noProof/>
          <w:sz w:val="22"/>
          <w:lang w:val="en-US"/>
        </w:rPr>
        <w:t xml:space="preserve">Harkes, M. A., Brown, M., &amp; Horsburgh, D. (2014). Self-directed support and people with learning difficulties: a review of the published research evidence. </w:t>
      </w:r>
      <w:r w:rsidRPr="00A62703">
        <w:rPr>
          <w:rFonts w:eastAsia="Aptos" w:cs="Arial"/>
          <w:i/>
          <w:noProof/>
          <w:sz w:val="22"/>
          <w:lang w:val="en-US"/>
        </w:rPr>
        <w:t>British Journal of Learning Disabilities</w:t>
      </w:r>
      <w:r w:rsidRPr="00A62703">
        <w:rPr>
          <w:rFonts w:eastAsia="Aptos" w:cs="Arial"/>
          <w:noProof/>
          <w:sz w:val="22"/>
          <w:lang w:val="en-US"/>
        </w:rPr>
        <w:t>,</w:t>
      </w:r>
      <w:r w:rsidRPr="00A62703">
        <w:rPr>
          <w:rFonts w:eastAsia="Aptos" w:cs="Arial"/>
          <w:i/>
          <w:noProof/>
          <w:sz w:val="22"/>
          <w:lang w:val="en-US"/>
        </w:rPr>
        <w:t xml:space="preserve"> 42</w:t>
      </w:r>
      <w:r w:rsidRPr="00A62703">
        <w:rPr>
          <w:rFonts w:eastAsia="Aptos" w:cs="Arial"/>
          <w:noProof/>
          <w:sz w:val="22"/>
          <w:lang w:val="en-US"/>
        </w:rPr>
        <w:t xml:space="preserve">(2), 87–101. </w:t>
      </w:r>
      <w:hyperlink r:id="rId304" w:history="1">
        <w:r w:rsidR="00CB2B49" w:rsidRPr="00326476">
          <w:rPr>
            <w:rStyle w:val="Hyperlink"/>
            <w:rFonts w:eastAsia="Aptos" w:cs="Arial"/>
            <w:noProof/>
            <w:sz w:val="22"/>
            <w:lang w:val="en-US"/>
          </w:rPr>
          <w:t>https://doi.org/10.1111/bld.12011</w:t>
        </w:r>
      </w:hyperlink>
      <w:r w:rsidR="00CB2B49">
        <w:rPr>
          <w:rFonts w:eastAsia="Aptos" w:cs="Arial"/>
          <w:noProof/>
          <w:sz w:val="22"/>
          <w:lang w:val="en-US"/>
        </w:rPr>
        <w:t xml:space="preserve"> </w:t>
      </w:r>
      <w:r w:rsidRPr="00A62703">
        <w:rPr>
          <w:rFonts w:eastAsia="Aptos" w:cs="Arial"/>
          <w:noProof/>
          <w:sz w:val="22"/>
          <w:lang w:val="en-US"/>
        </w:rPr>
        <w:t xml:space="preserve"> </w:t>
      </w:r>
    </w:p>
    <w:p w14:paraId="310FC32D" w14:textId="77777777" w:rsidR="00A62703" w:rsidRPr="00A62703" w:rsidRDefault="00A62703" w:rsidP="00A62703">
      <w:pPr>
        <w:spacing w:before="0" w:after="0"/>
        <w:ind w:left="720" w:hanging="720"/>
        <w:rPr>
          <w:rFonts w:eastAsia="Aptos" w:cs="Arial"/>
          <w:noProof/>
          <w:sz w:val="22"/>
          <w:lang w:val="en-US"/>
        </w:rPr>
      </w:pPr>
      <w:r w:rsidRPr="00A62703">
        <w:rPr>
          <w:rFonts w:eastAsia="Aptos" w:cs="Arial"/>
          <w:noProof/>
          <w:sz w:val="22"/>
          <w:lang w:val="en-US"/>
        </w:rPr>
        <w:tab/>
      </w:r>
    </w:p>
    <w:p w14:paraId="44BF521D" w14:textId="77777777" w:rsidR="00A62703" w:rsidRPr="00A62703" w:rsidRDefault="00A62703" w:rsidP="00A62703">
      <w:pPr>
        <w:spacing w:before="0" w:after="160"/>
        <w:ind w:left="720" w:hanging="720"/>
        <w:rPr>
          <w:rFonts w:eastAsia="Aptos" w:cs="Arial"/>
          <w:noProof/>
          <w:sz w:val="22"/>
          <w:lang w:val="en-US"/>
        </w:rPr>
      </w:pPr>
      <w:r w:rsidRPr="00A62703">
        <w:rPr>
          <w:rFonts w:eastAsia="Aptos" w:cs="Arial"/>
          <w:noProof/>
          <w:sz w:val="22"/>
          <w:lang w:val="en-US"/>
        </w:rPr>
        <w:t xml:space="preserve">Harms, L. (2015). </w:t>
      </w:r>
      <w:r w:rsidRPr="00A62703">
        <w:rPr>
          <w:rFonts w:eastAsia="Aptos" w:cs="Arial"/>
          <w:i/>
          <w:noProof/>
          <w:sz w:val="22"/>
          <w:lang w:val="en-US"/>
        </w:rPr>
        <w:t>Working with people: Communication skills for reflective practice</w:t>
      </w:r>
      <w:r w:rsidRPr="00A62703">
        <w:rPr>
          <w:rFonts w:eastAsia="Aptos" w:cs="Arial"/>
          <w:noProof/>
          <w:sz w:val="22"/>
          <w:lang w:val="en-US"/>
        </w:rPr>
        <w:t xml:space="preserve"> (2nd ed.). South Melbourne, VIC: Oxford University Press Australia. </w:t>
      </w:r>
    </w:p>
    <w:p w14:paraId="7ABE0849" w14:textId="77777777" w:rsidR="00A62703" w:rsidRPr="00A62703" w:rsidRDefault="00A62703" w:rsidP="00A62703">
      <w:pPr>
        <w:spacing w:before="0" w:after="0"/>
        <w:ind w:left="720" w:hanging="720"/>
        <w:rPr>
          <w:rFonts w:eastAsia="Aptos" w:cs="Arial"/>
          <w:noProof/>
          <w:sz w:val="22"/>
          <w:lang w:val="en-US"/>
        </w:rPr>
      </w:pPr>
      <w:r w:rsidRPr="00A62703">
        <w:rPr>
          <w:rFonts w:eastAsia="Aptos" w:cs="Arial"/>
          <w:noProof/>
          <w:sz w:val="22"/>
          <w:lang w:val="en-US"/>
        </w:rPr>
        <w:tab/>
      </w:r>
    </w:p>
    <w:p w14:paraId="6750CBFB" w14:textId="39D2E9DC" w:rsidR="00A62703" w:rsidRDefault="00A62703" w:rsidP="00A62703">
      <w:pPr>
        <w:spacing w:before="0" w:after="160"/>
        <w:ind w:left="720" w:hanging="720"/>
        <w:rPr>
          <w:rFonts w:eastAsia="Aptos" w:cs="Arial"/>
          <w:noProof/>
          <w:sz w:val="22"/>
          <w:lang w:val="en-US"/>
        </w:rPr>
      </w:pPr>
      <w:r w:rsidRPr="00A62703">
        <w:rPr>
          <w:rFonts w:eastAsia="Aptos" w:cs="Arial"/>
          <w:noProof/>
          <w:sz w:val="22"/>
          <w:lang w:val="en-US"/>
        </w:rPr>
        <w:t xml:space="preserve">Harper Browne, C. (2014). </w:t>
      </w:r>
      <w:r w:rsidRPr="00A62703">
        <w:rPr>
          <w:rFonts w:eastAsia="Aptos" w:cs="Arial"/>
          <w:i/>
          <w:noProof/>
          <w:sz w:val="22"/>
          <w:lang w:val="en-US"/>
        </w:rPr>
        <w:t>The strengthening families approach and protective factors framework: Branching out and reaching deeper</w:t>
      </w:r>
      <w:r w:rsidRPr="00A62703">
        <w:rPr>
          <w:rFonts w:eastAsia="Aptos" w:cs="Arial"/>
          <w:noProof/>
          <w:sz w:val="22"/>
          <w:lang w:val="en-US"/>
        </w:rPr>
        <w:t xml:space="preserve">. Washington, DC: Center for the Study of Social Policy. Retrieved 6 September, 2024 from </w:t>
      </w:r>
      <w:hyperlink r:id="rId305" w:history="1">
        <w:r w:rsidR="00F51052" w:rsidRPr="00326476">
          <w:rPr>
            <w:rStyle w:val="Hyperlink"/>
            <w:rFonts w:eastAsia="Aptos" w:cs="Arial"/>
            <w:noProof/>
            <w:sz w:val="22"/>
            <w:lang w:val="en-US"/>
          </w:rPr>
          <w:t>https://cssp.org/resource/the-strengthening-families-approach-and-protective-factors-framework-branching-out-and-reaching-deeper/</w:t>
        </w:r>
      </w:hyperlink>
    </w:p>
    <w:p w14:paraId="79CAD1BF" w14:textId="77777777" w:rsidR="00F51052" w:rsidRPr="00A62703" w:rsidRDefault="00F51052" w:rsidP="00A62703">
      <w:pPr>
        <w:spacing w:before="0" w:after="160"/>
        <w:ind w:left="720" w:hanging="720"/>
        <w:rPr>
          <w:rFonts w:eastAsia="Aptos" w:cs="Arial"/>
          <w:noProof/>
          <w:sz w:val="22"/>
          <w:lang w:val="en-US"/>
        </w:rPr>
      </w:pPr>
    </w:p>
    <w:p w14:paraId="1FCAC8EE" w14:textId="3EE1186C" w:rsidR="00F554D4" w:rsidRPr="002706C1" w:rsidRDefault="00F554D4" w:rsidP="00F554D4">
      <w:pPr>
        <w:pStyle w:val="EndNoteBibliography"/>
        <w:ind w:left="720" w:hanging="720"/>
        <w:rPr>
          <w:lang w:val="it-IT"/>
        </w:rPr>
      </w:pPr>
      <w:r w:rsidRPr="00F51052">
        <w:t xml:space="preserve">Hart, J. T. (1971). The inverse care law. </w:t>
      </w:r>
      <w:r w:rsidRPr="00F51052">
        <w:rPr>
          <w:i/>
          <w:lang w:val="it-IT"/>
        </w:rPr>
        <w:t>Lancet</w:t>
      </w:r>
      <w:r w:rsidRPr="00F51052">
        <w:rPr>
          <w:lang w:val="it-IT"/>
        </w:rPr>
        <w:t>,</w:t>
      </w:r>
      <w:r w:rsidRPr="00F51052">
        <w:rPr>
          <w:i/>
          <w:lang w:val="it-IT"/>
        </w:rPr>
        <w:t xml:space="preserve"> 297</w:t>
      </w:r>
      <w:r w:rsidRPr="00F51052">
        <w:rPr>
          <w:lang w:val="it-IT"/>
        </w:rPr>
        <w:t xml:space="preserve">(7696), 405-412. </w:t>
      </w:r>
      <w:hyperlink r:id="rId306" w:history="1">
        <w:r w:rsidR="00CB2B49" w:rsidRPr="00326476">
          <w:rPr>
            <w:rStyle w:val="Hyperlink"/>
            <w:lang w:val="it-IT"/>
          </w:rPr>
          <w:t>https://doi.org/10.1016/S0140-6736(71)92410-X</w:t>
        </w:r>
      </w:hyperlink>
      <w:r w:rsidR="00CB2B49">
        <w:rPr>
          <w:lang w:val="it-IT"/>
        </w:rPr>
        <w:t xml:space="preserve"> </w:t>
      </w:r>
      <w:r w:rsidRPr="002706C1">
        <w:rPr>
          <w:lang w:val="it-IT"/>
        </w:rPr>
        <w:t xml:space="preserve"> </w:t>
      </w:r>
      <w:r w:rsidR="00CB2B49">
        <w:rPr>
          <w:lang w:val="it-IT"/>
        </w:rPr>
        <w:t xml:space="preserve"> </w:t>
      </w:r>
    </w:p>
    <w:p w14:paraId="0E231134" w14:textId="77777777" w:rsidR="00F554D4" w:rsidRPr="00090188" w:rsidRDefault="00F554D4" w:rsidP="0013462F">
      <w:pPr>
        <w:pStyle w:val="EndNoteBibliography"/>
        <w:spacing w:after="0"/>
        <w:rPr>
          <w:lang w:val="it-IT"/>
        </w:rPr>
      </w:pPr>
    </w:p>
    <w:p w14:paraId="1251C5F0" w14:textId="3934D590" w:rsidR="00E64F30" w:rsidRPr="00E64F30" w:rsidRDefault="00E64F30" w:rsidP="00E64F30">
      <w:pPr>
        <w:spacing w:before="0" w:after="160"/>
        <w:ind w:left="720" w:hanging="720"/>
        <w:rPr>
          <w:rFonts w:eastAsia="Aptos" w:cs="Arial"/>
          <w:noProof/>
          <w:sz w:val="22"/>
          <w:lang w:val="en-US"/>
        </w:rPr>
      </w:pPr>
      <w:r w:rsidRPr="00E64F30">
        <w:rPr>
          <w:rFonts w:eastAsia="Aptos" w:cs="Arial"/>
          <w:noProof/>
          <w:sz w:val="22"/>
          <w:lang w:val="en-US"/>
        </w:rPr>
        <w:t xml:space="preserve">Hastings, R. P., &amp; Taunt, H. M. (2002). Positive perceptions in families of children with developmental disabilities. </w:t>
      </w:r>
      <w:r w:rsidRPr="00E64F30">
        <w:rPr>
          <w:rFonts w:eastAsia="Aptos" w:cs="Arial"/>
          <w:i/>
          <w:noProof/>
          <w:sz w:val="22"/>
          <w:lang w:val="en-US"/>
        </w:rPr>
        <w:t>American journal on mental retardation</w:t>
      </w:r>
      <w:r w:rsidRPr="00E64F30">
        <w:rPr>
          <w:rFonts w:eastAsia="Aptos" w:cs="Arial"/>
          <w:noProof/>
          <w:sz w:val="22"/>
          <w:lang w:val="en-US"/>
        </w:rPr>
        <w:t>,</w:t>
      </w:r>
      <w:r w:rsidRPr="00E64F30">
        <w:rPr>
          <w:rFonts w:eastAsia="Aptos" w:cs="Arial"/>
          <w:i/>
          <w:noProof/>
          <w:sz w:val="22"/>
          <w:lang w:val="en-US"/>
        </w:rPr>
        <w:t xml:space="preserve"> 107</w:t>
      </w:r>
      <w:r w:rsidRPr="00E64F30">
        <w:rPr>
          <w:rFonts w:eastAsia="Aptos" w:cs="Arial"/>
          <w:noProof/>
          <w:sz w:val="22"/>
          <w:lang w:val="en-US"/>
        </w:rPr>
        <w:t xml:space="preserve">(2), 116-127. </w:t>
      </w:r>
      <w:hyperlink r:id="rId307" w:history="1">
        <w:r w:rsidR="00CB2B49" w:rsidRPr="00326476">
          <w:rPr>
            <w:rStyle w:val="Hyperlink"/>
            <w:rFonts w:eastAsia="Aptos" w:cs="Arial"/>
            <w:noProof/>
            <w:sz w:val="22"/>
            <w:lang w:val="en-US"/>
          </w:rPr>
          <w:t>https://doi.org/10.1352/0895-8017(2002)107&lt;0116:PPIFOC&gt;2.0.CO;2</w:t>
        </w:r>
      </w:hyperlink>
      <w:r w:rsidR="00CB2B49">
        <w:rPr>
          <w:rFonts w:eastAsia="Aptos" w:cs="Arial"/>
          <w:noProof/>
          <w:sz w:val="22"/>
          <w:lang w:val="en-US"/>
        </w:rPr>
        <w:t xml:space="preserve"> </w:t>
      </w:r>
      <w:r w:rsidRPr="00E64F30">
        <w:rPr>
          <w:rFonts w:eastAsia="Aptos" w:cs="Arial"/>
          <w:noProof/>
          <w:sz w:val="22"/>
          <w:lang w:val="en-US"/>
        </w:rPr>
        <w:t xml:space="preserve"> </w:t>
      </w:r>
    </w:p>
    <w:p w14:paraId="66234E8B" w14:textId="77777777" w:rsidR="00E64F30" w:rsidRPr="00E64F30" w:rsidRDefault="00E64F30" w:rsidP="00E64F30">
      <w:pPr>
        <w:spacing w:before="0" w:after="0"/>
        <w:ind w:left="720" w:hanging="720"/>
        <w:rPr>
          <w:rFonts w:eastAsia="Aptos" w:cs="Arial"/>
          <w:noProof/>
          <w:sz w:val="22"/>
          <w:lang w:val="en-US"/>
        </w:rPr>
      </w:pPr>
      <w:r w:rsidRPr="00E64F30">
        <w:rPr>
          <w:rFonts w:eastAsia="Aptos" w:cs="Arial"/>
          <w:noProof/>
          <w:sz w:val="22"/>
          <w:lang w:val="en-US"/>
        </w:rPr>
        <w:tab/>
      </w:r>
    </w:p>
    <w:p w14:paraId="738919D6" w14:textId="77777777" w:rsidR="00E64F30" w:rsidRPr="00E64F30" w:rsidRDefault="00E64F30" w:rsidP="00E64F30">
      <w:pPr>
        <w:spacing w:before="0" w:after="160"/>
        <w:ind w:left="720" w:hanging="720"/>
        <w:rPr>
          <w:rFonts w:eastAsia="Aptos" w:cs="Arial"/>
          <w:noProof/>
          <w:sz w:val="22"/>
          <w:lang w:val="en-US"/>
        </w:rPr>
      </w:pPr>
      <w:r w:rsidRPr="00E64F30">
        <w:rPr>
          <w:rFonts w:eastAsia="Aptos" w:cs="Arial"/>
          <w:noProof/>
          <w:sz w:val="22"/>
          <w:lang w:val="en-US"/>
        </w:rPr>
        <w:t>Hauser</w:t>
      </w:r>
      <w:r w:rsidRPr="00E64F30">
        <w:rPr>
          <w:rFonts w:ascii="Cambria Math" w:eastAsia="Aptos" w:hAnsi="Cambria Math" w:cs="Cambria Math"/>
          <w:noProof/>
          <w:sz w:val="22"/>
          <w:lang w:val="en-US"/>
        </w:rPr>
        <w:t>‐</w:t>
      </w:r>
      <w:r w:rsidRPr="00E64F30">
        <w:rPr>
          <w:rFonts w:eastAsia="Aptos" w:cs="Arial"/>
          <w:noProof/>
          <w:sz w:val="22"/>
          <w:lang w:val="en-US"/>
        </w:rPr>
        <w:t xml:space="preserve">Cram, P., Cannarella, A. M., Tillinger, M., &amp; Woodman, A. C. (2013). Disabilities and development. In R. M. Lerner, A. Easterbrooks, &amp; J. Mistry (Eds.), </w:t>
      </w:r>
      <w:r w:rsidRPr="00E64F30">
        <w:rPr>
          <w:rFonts w:eastAsia="Aptos" w:cs="Arial"/>
          <w:i/>
          <w:noProof/>
          <w:sz w:val="22"/>
          <w:lang w:val="en-US"/>
        </w:rPr>
        <w:t>Handbook of psychology, Vol. 6, Developmental psychology</w:t>
      </w:r>
      <w:r w:rsidRPr="00E64F30">
        <w:rPr>
          <w:rFonts w:eastAsia="Aptos" w:cs="Arial"/>
          <w:noProof/>
          <w:sz w:val="22"/>
          <w:lang w:val="en-US"/>
        </w:rPr>
        <w:t xml:space="preserve"> (2nd ed., Vol. 6, pp. 547-569). Hoboken, NJ: Wiley. </w:t>
      </w:r>
    </w:p>
    <w:p w14:paraId="6DB123CC" w14:textId="77777777" w:rsidR="00E64F30" w:rsidRPr="00E64F30" w:rsidRDefault="00E64F30" w:rsidP="00E64F30">
      <w:pPr>
        <w:spacing w:before="0" w:after="0"/>
        <w:ind w:left="720" w:hanging="720"/>
        <w:rPr>
          <w:rFonts w:eastAsia="Aptos" w:cs="Arial"/>
          <w:noProof/>
          <w:sz w:val="22"/>
          <w:lang w:val="en-US"/>
        </w:rPr>
      </w:pPr>
      <w:r w:rsidRPr="00E64F30">
        <w:rPr>
          <w:rFonts w:eastAsia="Aptos" w:cs="Arial"/>
          <w:noProof/>
          <w:sz w:val="22"/>
          <w:lang w:val="en-US"/>
        </w:rPr>
        <w:tab/>
      </w:r>
    </w:p>
    <w:p w14:paraId="3FB72918" w14:textId="77777777" w:rsidR="00E64F30" w:rsidRDefault="00E64F30" w:rsidP="00E64F30">
      <w:pPr>
        <w:spacing w:before="0" w:after="160"/>
        <w:ind w:left="720" w:hanging="720"/>
        <w:rPr>
          <w:rFonts w:eastAsia="Aptos" w:cs="Arial"/>
          <w:noProof/>
          <w:sz w:val="22"/>
          <w:lang w:val="en-US"/>
        </w:rPr>
      </w:pPr>
      <w:r w:rsidRPr="00E64F30">
        <w:rPr>
          <w:rFonts w:eastAsia="Aptos" w:cs="Arial"/>
          <w:noProof/>
          <w:sz w:val="22"/>
          <w:lang w:val="en-US"/>
        </w:rPr>
        <w:t>Hauser</w:t>
      </w:r>
      <w:r w:rsidRPr="00E64F30">
        <w:rPr>
          <w:rFonts w:ascii="Cambria Math" w:eastAsia="Aptos" w:hAnsi="Cambria Math" w:cs="Cambria Math"/>
          <w:noProof/>
          <w:sz w:val="22"/>
          <w:lang w:val="en-US"/>
        </w:rPr>
        <w:t>‐</w:t>
      </w:r>
      <w:r w:rsidRPr="00E64F30">
        <w:rPr>
          <w:rFonts w:eastAsia="Aptos" w:cs="Arial"/>
          <w:noProof/>
          <w:sz w:val="22"/>
          <w:lang w:val="en-US"/>
        </w:rPr>
        <w:t>Cram, P., Heyman, M., &amp; Bottema</w:t>
      </w:r>
      <w:r w:rsidRPr="00E64F30">
        <w:rPr>
          <w:rFonts w:ascii="Cambria Math" w:eastAsia="Aptos" w:hAnsi="Cambria Math" w:cs="Cambria Math"/>
          <w:noProof/>
          <w:sz w:val="22"/>
          <w:lang w:val="en-US"/>
        </w:rPr>
        <w:t>‐</w:t>
      </w:r>
      <w:r w:rsidRPr="00E64F30">
        <w:rPr>
          <w:rFonts w:eastAsia="Aptos" w:cs="Arial"/>
          <w:noProof/>
          <w:sz w:val="22"/>
          <w:lang w:val="en-US"/>
        </w:rPr>
        <w:t xml:space="preserve">Beutel, K. (2017). Early childhood education and care for children with disabilities. In E. Votruba-Drzal &amp; E. Dearing (Eds.), </w:t>
      </w:r>
      <w:r w:rsidRPr="00E64F30">
        <w:rPr>
          <w:rFonts w:eastAsia="Aptos" w:cs="Arial"/>
          <w:i/>
          <w:noProof/>
          <w:sz w:val="22"/>
          <w:lang w:val="en-US"/>
        </w:rPr>
        <w:t>The Wiley Handbook of Early Childhood Development Programs, Practices, and Policies</w:t>
      </w:r>
      <w:r w:rsidRPr="00E64F30">
        <w:rPr>
          <w:rFonts w:eastAsia="Aptos" w:cs="Arial"/>
          <w:noProof/>
          <w:sz w:val="22"/>
          <w:lang w:val="en-US"/>
        </w:rPr>
        <w:t xml:space="preserve"> (pp. 211-236). Hoboken, NJ: Wiley-Blackwell. </w:t>
      </w:r>
    </w:p>
    <w:p w14:paraId="7421EBFC" w14:textId="77777777" w:rsidR="0013462F" w:rsidRPr="00E64F30" w:rsidRDefault="0013462F" w:rsidP="00E64F30">
      <w:pPr>
        <w:spacing w:before="0" w:after="160"/>
        <w:ind w:left="720" w:hanging="720"/>
        <w:rPr>
          <w:rFonts w:eastAsia="Aptos" w:cs="Arial"/>
          <w:noProof/>
          <w:sz w:val="22"/>
          <w:lang w:val="en-US"/>
        </w:rPr>
      </w:pPr>
    </w:p>
    <w:p w14:paraId="412B2D59" w14:textId="77777777" w:rsidR="00DD10EE" w:rsidRDefault="00DD10EE" w:rsidP="00DD10EE">
      <w:pPr>
        <w:spacing w:before="0" w:after="160"/>
        <w:ind w:left="720" w:hanging="720"/>
        <w:rPr>
          <w:rFonts w:eastAsia="Aptos" w:cs="Arial"/>
          <w:noProof/>
          <w:sz w:val="22"/>
          <w:lang w:val="en-US"/>
        </w:rPr>
      </w:pPr>
      <w:r w:rsidRPr="000053CE">
        <w:rPr>
          <w:rFonts w:eastAsia="Aptos" w:cs="Arial"/>
          <w:noProof/>
          <w:sz w:val="22"/>
        </w:rPr>
        <w:t xml:space="preserve">Hawkley, L. C., Cacioppo, J. T., Hazan, C., &amp; Campa, M. (2013). </w:t>
      </w:r>
      <w:r w:rsidRPr="00DD10EE">
        <w:rPr>
          <w:rFonts w:eastAsia="Aptos" w:cs="Arial"/>
          <w:noProof/>
          <w:sz w:val="22"/>
          <w:lang w:val="en-US"/>
        </w:rPr>
        <w:t xml:space="preserve">Social connectedness and health. In C. Hazan &amp; M.I. Campa (Eds.), </w:t>
      </w:r>
      <w:r w:rsidRPr="00DD10EE">
        <w:rPr>
          <w:rFonts w:eastAsia="Aptos" w:cs="Arial"/>
          <w:i/>
          <w:noProof/>
          <w:sz w:val="22"/>
          <w:lang w:val="en-US"/>
        </w:rPr>
        <w:t>Human bonding: The science of affectional ties</w:t>
      </w:r>
      <w:r w:rsidRPr="00DD10EE">
        <w:rPr>
          <w:rFonts w:eastAsia="Aptos" w:cs="Arial"/>
          <w:noProof/>
          <w:sz w:val="22"/>
          <w:lang w:val="en-US"/>
        </w:rPr>
        <w:t xml:space="preserve"> (pp. 343-364). New York: Guilford Press. </w:t>
      </w:r>
    </w:p>
    <w:p w14:paraId="79D0AD9A" w14:textId="50A664D3" w:rsidR="00F51052" w:rsidRPr="00075790" w:rsidRDefault="00F51052" w:rsidP="0030178D">
      <w:pPr>
        <w:pStyle w:val="EndNoteBibliography"/>
        <w:spacing w:after="0"/>
        <w:ind w:left="720" w:hanging="720"/>
      </w:pPr>
    </w:p>
    <w:p w14:paraId="048389CB" w14:textId="3EE253E4" w:rsidR="002D64D9" w:rsidRPr="002D64D9" w:rsidRDefault="002D64D9" w:rsidP="002D64D9">
      <w:pPr>
        <w:spacing w:before="0" w:after="160"/>
        <w:ind w:left="720" w:hanging="720"/>
        <w:rPr>
          <w:rFonts w:eastAsia="Aptos" w:cs="Arial"/>
          <w:noProof/>
          <w:sz w:val="22"/>
          <w:lang w:val="en-US"/>
        </w:rPr>
      </w:pPr>
      <w:r w:rsidRPr="002D64D9">
        <w:rPr>
          <w:rFonts w:eastAsia="Aptos" w:cs="Arial"/>
          <w:noProof/>
          <w:sz w:val="22"/>
          <w:lang w:val="en-US"/>
        </w:rPr>
        <w:t xml:space="preserve">Healthy Trajectories. (2022). </w:t>
      </w:r>
      <w:r w:rsidRPr="002D64D9">
        <w:rPr>
          <w:rFonts w:eastAsia="Aptos" w:cs="Arial"/>
          <w:i/>
          <w:noProof/>
          <w:sz w:val="22"/>
          <w:lang w:val="en-US"/>
        </w:rPr>
        <w:t>Best practices in early childhood intervention: Towards effective implementation</w:t>
      </w:r>
      <w:r w:rsidRPr="002D64D9">
        <w:rPr>
          <w:rFonts w:eastAsia="Aptos" w:cs="Arial"/>
          <w:noProof/>
          <w:sz w:val="22"/>
          <w:lang w:val="en-US"/>
        </w:rPr>
        <w:t xml:space="preserve">. Melbourne, VIC: Healthy Trajectories Research Hub, The Royal Children’s Hospital. Retrieved 6 September, 2024 from </w:t>
      </w:r>
      <w:hyperlink r:id="rId308" w:history="1">
        <w:r w:rsidR="00CB2B49" w:rsidRPr="00326476">
          <w:rPr>
            <w:rStyle w:val="Hyperlink"/>
            <w:rFonts w:eastAsia="Aptos" w:cs="Arial"/>
            <w:noProof/>
            <w:sz w:val="22"/>
            <w:lang w:val="en-US"/>
          </w:rPr>
          <w:t>https://healthy-trajectories.com.au/resources/best-practices-in-early-childhood-intervention-towards-effective-implementation-a-position-paper/</w:t>
        </w:r>
      </w:hyperlink>
      <w:r w:rsidR="00CB2B49">
        <w:rPr>
          <w:rFonts w:eastAsia="Aptos" w:cs="Arial"/>
          <w:noProof/>
          <w:sz w:val="22"/>
          <w:lang w:val="en-US"/>
        </w:rPr>
        <w:t xml:space="preserve"> </w:t>
      </w:r>
    </w:p>
    <w:p w14:paraId="4549EEC9" w14:textId="77777777" w:rsidR="002D64D9" w:rsidRPr="002D64D9" w:rsidRDefault="002D64D9" w:rsidP="002D64D9">
      <w:pPr>
        <w:spacing w:before="0" w:after="0"/>
        <w:ind w:left="720" w:hanging="720"/>
        <w:rPr>
          <w:rFonts w:eastAsia="Aptos" w:cs="Arial"/>
          <w:noProof/>
          <w:sz w:val="22"/>
          <w:lang w:val="en-US"/>
        </w:rPr>
      </w:pPr>
      <w:r w:rsidRPr="002D64D9">
        <w:rPr>
          <w:rFonts w:eastAsia="Aptos" w:cs="Arial"/>
          <w:noProof/>
          <w:sz w:val="22"/>
          <w:lang w:val="en-US"/>
        </w:rPr>
        <w:tab/>
      </w:r>
    </w:p>
    <w:p w14:paraId="405A7E25" w14:textId="507C56F5" w:rsidR="002D64D9" w:rsidRPr="002D64D9" w:rsidRDefault="002D64D9" w:rsidP="002D64D9">
      <w:pPr>
        <w:spacing w:before="0" w:after="160"/>
        <w:ind w:left="720" w:hanging="720"/>
        <w:rPr>
          <w:rFonts w:eastAsia="Aptos" w:cs="Arial"/>
          <w:noProof/>
          <w:sz w:val="22"/>
          <w:lang w:val="en-US"/>
        </w:rPr>
      </w:pPr>
      <w:r w:rsidRPr="002D64D9">
        <w:rPr>
          <w:rFonts w:eastAsia="Aptos" w:cs="Arial"/>
          <w:noProof/>
          <w:sz w:val="22"/>
          <w:lang w:val="en-US"/>
        </w:rPr>
        <w:t xml:space="preserve">Hebbeler, K., &amp; Spiker, D. (2016). Supporting young children with disabilities. </w:t>
      </w:r>
      <w:r w:rsidRPr="002D64D9">
        <w:rPr>
          <w:rFonts w:eastAsia="Aptos" w:cs="Arial"/>
          <w:i/>
          <w:noProof/>
          <w:sz w:val="22"/>
          <w:lang w:val="en-US"/>
        </w:rPr>
        <w:t>The future of children</w:t>
      </w:r>
      <w:r w:rsidRPr="002D64D9">
        <w:rPr>
          <w:rFonts w:eastAsia="Aptos" w:cs="Arial"/>
          <w:noProof/>
          <w:sz w:val="22"/>
          <w:lang w:val="en-US"/>
        </w:rPr>
        <w:t>,</w:t>
      </w:r>
      <w:r w:rsidRPr="002D64D9">
        <w:rPr>
          <w:rFonts w:eastAsia="Aptos" w:cs="Arial"/>
          <w:i/>
          <w:noProof/>
          <w:sz w:val="22"/>
          <w:lang w:val="en-US"/>
        </w:rPr>
        <w:t xml:space="preserve"> 26</w:t>
      </w:r>
      <w:r w:rsidRPr="002D64D9">
        <w:rPr>
          <w:rFonts w:eastAsia="Aptos" w:cs="Arial"/>
          <w:noProof/>
          <w:sz w:val="22"/>
          <w:lang w:val="en-US"/>
        </w:rPr>
        <w:t xml:space="preserve">(2), 185-205. </w:t>
      </w:r>
      <w:hyperlink r:id="rId309" w:history="1">
        <w:r w:rsidR="00CB2B49" w:rsidRPr="00326476">
          <w:rPr>
            <w:rStyle w:val="Hyperlink"/>
            <w:rFonts w:eastAsia="Aptos" w:cs="Arial"/>
            <w:noProof/>
            <w:sz w:val="22"/>
            <w:lang w:val="en-US"/>
          </w:rPr>
          <w:t>https://doi.org/10.1353/foc.2016.0018</w:t>
        </w:r>
      </w:hyperlink>
      <w:r w:rsidR="00CB2B49">
        <w:rPr>
          <w:rFonts w:eastAsia="Aptos" w:cs="Arial"/>
          <w:noProof/>
          <w:sz w:val="22"/>
          <w:lang w:val="en-US"/>
        </w:rPr>
        <w:t xml:space="preserve"> </w:t>
      </w:r>
      <w:r w:rsidRPr="002D64D9">
        <w:rPr>
          <w:rFonts w:eastAsia="Aptos" w:cs="Arial"/>
          <w:noProof/>
          <w:sz w:val="22"/>
          <w:lang w:val="en-US"/>
        </w:rPr>
        <w:t xml:space="preserve"> </w:t>
      </w:r>
    </w:p>
    <w:p w14:paraId="6AA62535" w14:textId="77777777" w:rsidR="002D64D9" w:rsidRPr="002D64D9" w:rsidRDefault="002D64D9" w:rsidP="002D64D9">
      <w:pPr>
        <w:spacing w:before="0" w:after="0"/>
        <w:ind w:left="720" w:hanging="720"/>
        <w:rPr>
          <w:rFonts w:eastAsia="Aptos" w:cs="Arial"/>
          <w:noProof/>
          <w:sz w:val="22"/>
          <w:lang w:val="en-US"/>
        </w:rPr>
      </w:pPr>
      <w:r w:rsidRPr="002D64D9">
        <w:rPr>
          <w:rFonts w:eastAsia="Aptos" w:cs="Arial"/>
          <w:noProof/>
          <w:sz w:val="22"/>
          <w:lang w:val="en-US"/>
        </w:rPr>
        <w:tab/>
      </w:r>
    </w:p>
    <w:p w14:paraId="02EE654F" w14:textId="3CE3EB25" w:rsidR="002D64D9" w:rsidRPr="002D64D9" w:rsidRDefault="002D64D9" w:rsidP="002D64D9">
      <w:pPr>
        <w:spacing w:before="0" w:after="160"/>
        <w:ind w:left="720" w:hanging="720"/>
        <w:rPr>
          <w:rFonts w:eastAsia="Aptos" w:cs="Arial"/>
          <w:noProof/>
          <w:sz w:val="22"/>
          <w:lang w:val="en-US"/>
        </w:rPr>
      </w:pPr>
      <w:r w:rsidRPr="002D64D9">
        <w:rPr>
          <w:rFonts w:eastAsia="Aptos" w:cs="Arial"/>
          <w:noProof/>
          <w:sz w:val="22"/>
          <w:lang w:val="en-US"/>
        </w:rPr>
        <w:t xml:space="preserve">Hebbeler, K., Spiker, D., Bailey, D., Scarborough, A., Mallik, S., Simeonsson, R., &amp; Nelson, L. (2007). </w:t>
      </w:r>
      <w:r w:rsidRPr="002D64D9">
        <w:rPr>
          <w:rFonts w:eastAsia="Aptos" w:cs="Arial"/>
          <w:i/>
          <w:noProof/>
          <w:sz w:val="22"/>
          <w:lang w:val="en-US"/>
        </w:rPr>
        <w:t>Early intervention for infants and toddlers with disabilities and their families: Participants, services, and outcomes</w:t>
      </w:r>
      <w:r w:rsidRPr="002D64D9">
        <w:rPr>
          <w:rFonts w:eastAsia="Aptos" w:cs="Arial"/>
          <w:noProof/>
          <w:sz w:val="22"/>
          <w:lang w:val="en-US"/>
        </w:rPr>
        <w:t xml:space="preserve">. Menlo Park, CA: SRI International. Retrieved 6 September, 2024 from </w:t>
      </w:r>
      <w:hyperlink r:id="rId310" w:history="1">
        <w:r w:rsidR="00CB2B49" w:rsidRPr="00326476">
          <w:rPr>
            <w:rStyle w:val="Hyperlink"/>
            <w:rFonts w:eastAsia="Aptos" w:cs="Arial"/>
            <w:noProof/>
            <w:sz w:val="22"/>
            <w:lang w:val="en-US"/>
          </w:rPr>
          <w:t>https://www.sri.com/wp-content/uploads/2021/12/neils_finalreport_200702.pdf</w:t>
        </w:r>
      </w:hyperlink>
      <w:r w:rsidR="00CB2B49">
        <w:rPr>
          <w:rFonts w:eastAsia="Aptos" w:cs="Arial"/>
          <w:noProof/>
          <w:sz w:val="22"/>
          <w:lang w:val="en-US"/>
        </w:rPr>
        <w:t xml:space="preserve"> </w:t>
      </w:r>
    </w:p>
    <w:p w14:paraId="0EB12F44" w14:textId="77777777" w:rsidR="002D64D9" w:rsidRPr="002D64D9" w:rsidRDefault="002D64D9" w:rsidP="002D64D9">
      <w:pPr>
        <w:spacing w:before="0" w:after="0"/>
        <w:ind w:left="720" w:hanging="720"/>
        <w:rPr>
          <w:rFonts w:eastAsia="Aptos" w:cs="Arial"/>
          <w:noProof/>
          <w:sz w:val="22"/>
          <w:lang w:val="en-US"/>
        </w:rPr>
      </w:pPr>
      <w:r w:rsidRPr="002D64D9">
        <w:rPr>
          <w:rFonts w:eastAsia="Aptos" w:cs="Arial"/>
          <w:noProof/>
          <w:sz w:val="22"/>
          <w:lang w:val="en-US"/>
        </w:rPr>
        <w:tab/>
      </w:r>
    </w:p>
    <w:p w14:paraId="3E6EF396" w14:textId="34047A0D" w:rsidR="002D64D9" w:rsidRDefault="002D64D9" w:rsidP="002D64D9">
      <w:pPr>
        <w:spacing w:before="0" w:after="160"/>
        <w:ind w:left="720" w:hanging="720"/>
        <w:rPr>
          <w:rFonts w:eastAsia="Aptos" w:cs="Arial"/>
          <w:noProof/>
          <w:sz w:val="22"/>
          <w:lang w:val="en-US"/>
        </w:rPr>
      </w:pPr>
      <w:r w:rsidRPr="002D64D9">
        <w:rPr>
          <w:rFonts w:eastAsia="Aptos" w:cs="Arial"/>
          <w:noProof/>
          <w:sz w:val="22"/>
          <w:lang w:val="it-IT"/>
        </w:rPr>
        <w:t xml:space="preserve">Heckman, J. J., &amp; Mosso, S. (2014). </w:t>
      </w:r>
      <w:r w:rsidRPr="002D64D9">
        <w:rPr>
          <w:rFonts w:eastAsia="Aptos" w:cs="Arial"/>
          <w:noProof/>
          <w:sz w:val="22"/>
          <w:lang w:val="en-US"/>
        </w:rPr>
        <w:t xml:space="preserve">The economics of human development and social mobility. </w:t>
      </w:r>
      <w:r w:rsidRPr="002D64D9">
        <w:rPr>
          <w:rFonts w:eastAsia="Aptos" w:cs="Arial"/>
          <w:i/>
          <w:noProof/>
          <w:sz w:val="22"/>
          <w:lang w:val="en-US"/>
        </w:rPr>
        <w:t>Annual Review of Economics</w:t>
      </w:r>
      <w:r w:rsidRPr="002D64D9">
        <w:rPr>
          <w:rFonts w:eastAsia="Aptos" w:cs="Arial"/>
          <w:noProof/>
          <w:sz w:val="22"/>
          <w:lang w:val="en-US"/>
        </w:rPr>
        <w:t>,</w:t>
      </w:r>
      <w:r w:rsidRPr="002D64D9">
        <w:rPr>
          <w:rFonts w:eastAsia="Aptos" w:cs="Arial"/>
          <w:i/>
          <w:noProof/>
          <w:sz w:val="22"/>
          <w:lang w:val="en-US"/>
        </w:rPr>
        <w:t xml:space="preserve"> 6</w:t>
      </w:r>
      <w:r w:rsidRPr="002D64D9">
        <w:rPr>
          <w:rFonts w:eastAsia="Aptos" w:cs="Arial"/>
          <w:noProof/>
          <w:sz w:val="22"/>
          <w:lang w:val="en-US"/>
        </w:rPr>
        <w:t xml:space="preserve">(1), 689-733. </w:t>
      </w:r>
      <w:hyperlink r:id="rId311" w:history="1">
        <w:r w:rsidR="001E00C5" w:rsidRPr="00326476">
          <w:rPr>
            <w:rStyle w:val="Hyperlink"/>
            <w:rFonts w:eastAsia="Aptos" w:cs="Arial"/>
            <w:noProof/>
            <w:sz w:val="22"/>
            <w:lang w:val="en-US"/>
          </w:rPr>
          <w:t>https://doi.org/10.3386/w19925</w:t>
        </w:r>
      </w:hyperlink>
      <w:r w:rsidRPr="002D64D9">
        <w:rPr>
          <w:rFonts w:eastAsia="Aptos" w:cs="Arial"/>
          <w:noProof/>
          <w:sz w:val="22"/>
          <w:lang w:val="en-US"/>
        </w:rPr>
        <w:t xml:space="preserve"> </w:t>
      </w:r>
    </w:p>
    <w:p w14:paraId="694E9BB4" w14:textId="77777777" w:rsidR="001E00C5" w:rsidRPr="002D64D9" w:rsidRDefault="001E00C5" w:rsidP="002D64D9">
      <w:pPr>
        <w:spacing w:before="0" w:after="160"/>
        <w:ind w:left="720" w:hanging="720"/>
        <w:rPr>
          <w:rFonts w:eastAsia="Aptos" w:cs="Arial"/>
          <w:noProof/>
          <w:sz w:val="22"/>
          <w:lang w:val="en-US"/>
        </w:rPr>
      </w:pPr>
    </w:p>
    <w:p w14:paraId="16D892EE" w14:textId="77777777" w:rsidR="001E00C5" w:rsidRDefault="000C7CA8" w:rsidP="000C7CA8">
      <w:pPr>
        <w:spacing w:before="0" w:after="160"/>
        <w:ind w:left="720" w:hanging="720"/>
        <w:rPr>
          <w:rFonts w:eastAsia="Aptos" w:cs="Arial"/>
          <w:noProof/>
          <w:sz w:val="22"/>
          <w:lang w:val="en-US"/>
        </w:rPr>
      </w:pPr>
      <w:r w:rsidRPr="000C7CA8">
        <w:rPr>
          <w:rFonts w:eastAsia="Aptos" w:cs="Arial"/>
          <w:noProof/>
          <w:sz w:val="22"/>
          <w:lang w:val="en-US"/>
        </w:rPr>
        <w:t xml:space="preserve">Heim, C. M., Entringer, S., &amp; Buss, C. (2019). Translating basic research knowledge on the biological embedding of early-life stress into novel approaches for the developmental programming of lifelong health. </w:t>
      </w:r>
      <w:r w:rsidRPr="000C7CA8">
        <w:rPr>
          <w:rFonts w:eastAsia="Aptos" w:cs="Arial"/>
          <w:i/>
          <w:noProof/>
          <w:sz w:val="22"/>
          <w:lang w:val="en-US"/>
        </w:rPr>
        <w:t>Psychoneuroendocrinology</w:t>
      </w:r>
      <w:r w:rsidRPr="000C7CA8">
        <w:rPr>
          <w:rFonts w:eastAsia="Aptos" w:cs="Arial"/>
          <w:noProof/>
          <w:sz w:val="22"/>
          <w:lang w:val="en-US"/>
        </w:rPr>
        <w:t>,</w:t>
      </w:r>
      <w:r w:rsidRPr="000C7CA8">
        <w:rPr>
          <w:rFonts w:eastAsia="Aptos" w:cs="Arial"/>
          <w:i/>
          <w:noProof/>
          <w:sz w:val="22"/>
          <w:lang w:val="en-US"/>
        </w:rPr>
        <w:t xml:space="preserve"> 105</w:t>
      </w:r>
      <w:r w:rsidRPr="000C7CA8">
        <w:rPr>
          <w:rFonts w:eastAsia="Aptos" w:cs="Arial"/>
          <w:noProof/>
          <w:sz w:val="22"/>
          <w:lang w:val="en-US"/>
        </w:rPr>
        <w:t xml:space="preserve">, 123-137. </w:t>
      </w:r>
      <w:hyperlink r:id="rId312" w:history="1">
        <w:r w:rsidR="001E00C5" w:rsidRPr="00326476">
          <w:rPr>
            <w:rStyle w:val="Hyperlink"/>
            <w:rFonts w:eastAsia="Aptos" w:cs="Arial"/>
            <w:noProof/>
            <w:sz w:val="22"/>
            <w:lang w:val="en-US"/>
          </w:rPr>
          <w:t>https://doi.org/10.1016/j.psyneuen.2018.12.011</w:t>
        </w:r>
      </w:hyperlink>
      <w:r w:rsidR="001E00C5">
        <w:rPr>
          <w:rFonts w:eastAsia="Aptos" w:cs="Arial"/>
          <w:noProof/>
          <w:sz w:val="22"/>
          <w:lang w:val="en-US"/>
        </w:rPr>
        <w:t xml:space="preserve"> </w:t>
      </w:r>
    </w:p>
    <w:p w14:paraId="44CF5D3C" w14:textId="1D3BB697" w:rsidR="000C7CA8" w:rsidRPr="000053CE" w:rsidRDefault="000C7CA8" w:rsidP="000C7CA8">
      <w:pPr>
        <w:spacing w:before="0" w:after="160"/>
        <w:ind w:left="720" w:hanging="720"/>
        <w:rPr>
          <w:rFonts w:eastAsia="Aptos" w:cs="Arial"/>
          <w:noProof/>
          <w:sz w:val="22"/>
        </w:rPr>
      </w:pPr>
      <w:r w:rsidRPr="000053CE">
        <w:rPr>
          <w:rFonts w:eastAsia="Aptos" w:cs="Arial"/>
          <w:noProof/>
          <w:sz w:val="22"/>
        </w:rPr>
        <w:t xml:space="preserve"> </w:t>
      </w:r>
    </w:p>
    <w:p w14:paraId="6C91BB01" w14:textId="74923FE1" w:rsidR="005D3808" w:rsidRDefault="005D3808" w:rsidP="005D3808">
      <w:pPr>
        <w:spacing w:before="0" w:after="160"/>
        <w:ind w:left="720" w:hanging="720"/>
        <w:rPr>
          <w:rFonts w:eastAsia="Aptos" w:cs="Arial"/>
          <w:noProof/>
          <w:sz w:val="22"/>
          <w:lang w:val="en-US"/>
        </w:rPr>
      </w:pPr>
      <w:r w:rsidRPr="00090188">
        <w:rPr>
          <w:rFonts w:eastAsia="Aptos" w:cs="Arial"/>
          <w:noProof/>
          <w:sz w:val="22"/>
        </w:rPr>
        <w:t xml:space="preserve">Heindel, J. J., &amp; Vandenberg, L. N. (2015). </w:t>
      </w:r>
      <w:r w:rsidRPr="005D3808">
        <w:rPr>
          <w:rFonts w:eastAsia="Aptos" w:cs="Arial"/>
          <w:noProof/>
          <w:sz w:val="22"/>
          <w:lang w:val="en-US"/>
        </w:rPr>
        <w:t xml:space="preserve">Developmental origins of health and disease: A paradigm for understanding disease cause and prevention. </w:t>
      </w:r>
      <w:r w:rsidRPr="005D3808">
        <w:rPr>
          <w:rFonts w:eastAsia="Aptos" w:cs="Arial"/>
          <w:i/>
          <w:noProof/>
          <w:sz w:val="22"/>
          <w:lang w:val="en-US"/>
        </w:rPr>
        <w:t>Current opinion in pediatrics</w:t>
      </w:r>
      <w:r w:rsidRPr="005D3808">
        <w:rPr>
          <w:rFonts w:eastAsia="Aptos" w:cs="Arial"/>
          <w:noProof/>
          <w:sz w:val="22"/>
          <w:lang w:val="en-US"/>
        </w:rPr>
        <w:t>,</w:t>
      </w:r>
      <w:r w:rsidRPr="005D3808">
        <w:rPr>
          <w:rFonts w:eastAsia="Aptos" w:cs="Arial"/>
          <w:i/>
          <w:noProof/>
          <w:sz w:val="22"/>
          <w:lang w:val="en-US"/>
        </w:rPr>
        <w:t xml:space="preserve"> 27</w:t>
      </w:r>
      <w:r w:rsidRPr="005D3808">
        <w:rPr>
          <w:rFonts w:eastAsia="Aptos" w:cs="Arial"/>
          <w:noProof/>
          <w:sz w:val="22"/>
          <w:lang w:val="en-US"/>
        </w:rPr>
        <w:t xml:space="preserve">(2), 248-253. </w:t>
      </w:r>
      <w:hyperlink r:id="rId313" w:history="1">
        <w:r w:rsidR="001E00C5" w:rsidRPr="00326476">
          <w:rPr>
            <w:rStyle w:val="Hyperlink"/>
            <w:rFonts w:eastAsia="Aptos" w:cs="Arial"/>
            <w:noProof/>
            <w:sz w:val="22"/>
            <w:lang w:val="en-US"/>
          </w:rPr>
          <w:t>https://doi.org/10.1097/MOP.0000000000000191</w:t>
        </w:r>
      </w:hyperlink>
      <w:r w:rsidRPr="005D3808">
        <w:rPr>
          <w:rFonts w:eastAsia="Aptos" w:cs="Arial"/>
          <w:noProof/>
          <w:sz w:val="22"/>
          <w:lang w:val="en-US"/>
        </w:rPr>
        <w:t xml:space="preserve"> </w:t>
      </w:r>
    </w:p>
    <w:p w14:paraId="6CF6D397" w14:textId="77777777" w:rsidR="001E00C5" w:rsidRPr="005D3808" w:rsidRDefault="001E00C5" w:rsidP="005D3808">
      <w:pPr>
        <w:spacing w:before="0" w:after="160"/>
        <w:ind w:left="720" w:hanging="720"/>
        <w:rPr>
          <w:rFonts w:eastAsia="Aptos" w:cs="Arial"/>
          <w:noProof/>
          <w:sz w:val="22"/>
          <w:lang w:val="en-US"/>
        </w:rPr>
      </w:pPr>
    </w:p>
    <w:p w14:paraId="2E14323A" w14:textId="77777777" w:rsidR="008D3596" w:rsidRPr="008D3596" w:rsidRDefault="008D3596" w:rsidP="008D3596">
      <w:pPr>
        <w:spacing w:before="0" w:after="160"/>
        <w:ind w:left="720" w:hanging="720"/>
        <w:rPr>
          <w:rFonts w:eastAsia="Aptos" w:cs="Arial"/>
          <w:noProof/>
          <w:sz w:val="22"/>
          <w:lang w:val="en-US"/>
        </w:rPr>
      </w:pPr>
      <w:r w:rsidRPr="008D3596">
        <w:rPr>
          <w:rFonts w:eastAsia="Aptos" w:cs="Arial"/>
          <w:noProof/>
          <w:sz w:val="22"/>
          <w:lang w:val="en-US"/>
        </w:rPr>
        <w:t xml:space="preserve">Hemmeter, M. L., Fox, L., &amp; Hardy, J. K. (2016). Supporting the implementation of tiered models of behavior support in early childhood settings. In B. Reichow, B. Boyd, E. Barton, &amp; S. L. Odom (Eds.), </w:t>
      </w:r>
      <w:r w:rsidRPr="008D3596">
        <w:rPr>
          <w:rFonts w:eastAsia="Aptos" w:cs="Arial"/>
          <w:i/>
          <w:noProof/>
          <w:sz w:val="22"/>
          <w:lang w:val="en-US"/>
        </w:rPr>
        <w:t>Handbook of early childhood special education</w:t>
      </w:r>
      <w:r w:rsidRPr="008D3596">
        <w:rPr>
          <w:rFonts w:eastAsia="Aptos" w:cs="Arial"/>
          <w:noProof/>
          <w:sz w:val="22"/>
          <w:lang w:val="en-US"/>
        </w:rPr>
        <w:t xml:space="preserve"> (pp. 247-265). New York: Springer. </w:t>
      </w:r>
    </w:p>
    <w:p w14:paraId="57D7B13D" w14:textId="77777777" w:rsidR="008D3596" w:rsidRPr="008D3596" w:rsidRDefault="008D3596" w:rsidP="008D3596">
      <w:pPr>
        <w:spacing w:before="0" w:after="0"/>
        <w:ind w:left="720" w:hanging="720"/>
        <w:rPr>
          <w:rFonts w:eastAsia="Aptos" w:cs="Arial"/>
          <w:noProof/>
          <w:sz w:val="22"/>
          <w:lang w:val="en-US"/>
        </w:rPr>
      </w:pPr>
      <w:r w:rsidRPr="008D3596">
        <w:rPr>
          <w:rFonts w:eastAsia="Aptos" w:cs="Arial"/>
          <w:noProof/>
          <w:sz w:val="22"/>
          <w:lang w:val="en-US"/>
        </w:rPr>
        <w:tab/>
      </w:r>
    </w:p>
    <w:p w14:paraId="08B746A8" w14:textId="77777777" w:rsidR="008D3596" w:rsidRPr="008D3596" w:rsidRDefault="008D3596" w:rsidP="008D3596">
      <w:pPr>
        <w:spacing w:before="0" w:after="160"/>
        <w:ind w:left="720" w:hanging="720"/>
        <w:rPr>
          <w:rFonts w:eastAsia="Aptos" w:cs="Arial"/>
          <w:noProof/>
          <w:sz w:val="22"/>
          <w:lang w:val="en-US"/>
        </w:rPr>
      </w:pPr>
      <w:r w:rsidRPr="008D3596">
        <w:rPr>
          <w:rFonts w:eastAsia="Aptos" w:cs="Arial"/>
          <w:noProof/>
          <w:sz w:val="22"/>
          <w:lang w:val="en-US"/>
        </w:rPr>
        <w:t xml:space="preserve">Hemmeter, M. L., &amp; Grisham-Brown, J. (2017). Introduction to blended practices. In J. Grisham-Brown, M. L. Hemmeter, &amp; K. Pretti-Frontczak (Eds.), </w:t>
      </w:r>
      <w:r w:rsidRPr="008D3596">
        <w:rPr>
          <w:rFonts w:eastAsia="Aptos" w:cs="Arial"/>
          <w:i/>
          <w:noProof/>
          <w:sz w:val="22"/>
          <w:lang w:val="en-US"/>
        </w:rPr>
        <w:t>Blended Practices for Teaching Young Children in Inclusive Settings</w:t>
      </w:r>
      <w:r w:rsidRPr="008D3596">
        <w:rPr>
          <w:rFonts w:eastAsia="Aptos" w:cs="Arial"/>
          <w:noProof/>
          <w:sz w:val="22"/>
          <w:lang w:val="en-US"/>
        </w:rPr>
        <w:t xml:space="preserve"> (2nd ed., pp. 3-18). Baltimore, MD: Paul H. Brookes Publishing Co. </w:t>
      </w:r>
    </w:p>
    <w:p w14:paraId="7A1E582B" w14:textId="77777777" w:rsidR="008D3596" w:rsidRPr="008D3596" w:rsidRDefault="008D3596" w:rsidP="008D3596">
      <w:pPr>
        <w:spacing w:before="0" w:after="0"/>
        <w:ind w:left="720" w:hanging="720"/>
        <w:rPr>
          <w:rFonts w:eastAsia="Aptos" w:cs="Arial"/>
          <w:noProof/>
          <w:sz w:val="22"/>
          <w:lang w:val="en-US"/>
        </w:rPr>
      </w:pPr>
      <w:r w:rsidRPr="008D3596">
        <w:rPr>
          <w:rFonts w:eastAsia="Aptos" w:cs="Arial"/>
          <w:noProof/>
          <w:sz w:val="22"/>
          <w:lang w:val="en-US"/>
        </w:rPr>
        <w:tab/>
      </w:r>
    </w:p>
    <w:p w14:paraId="79297236" w14:textId="77777777" w:rsidR="008D3596" w:rsidRDefault="008D3596" w:rsidP="008D3596">
      <w:pPr>
        <w:spacing w:before="0" w:after="160"/>
        <w:ind w:left="720" w:hanging="720"/>
        <w:rPr>
          <w:rFonts w:eastAsia="Aptos" w:cs="Arial"/>
          <w:noProof/>
          <w:sz w:val="22"/>
          <w:lang w:val="en-US"/>
        </w:rPr>
      </w:pPr>
      <w:r w:rsidRPr="008D3596">
        <w:rPr>
          <w:rFonts w:eastAsia="Aptos" w:cs="Arial"/>
          <w:noProof/>
          <w:sz w:val="22"/>
          <w:lang w:val="en-US"/>
        </w:rPr>
        <w:t xml:space="preserve">Hemmeter, M. L., Ostrosky, M. M., &amp; Fox, L. (2021). </w:t>
      </w:r>
      <w:r w:rsidRPr="008D3596">
        <w:rPr>
          <w:rFonts w:eastAsia="Aptos" w:cs="Arial"/>
          <w:i/>
          <w:noProof/>
          <w:sz w:val="22"/>
          <w:lang w:val="en-US"/>
        </w:rPr>
        <w:t>Unpacking the pyramid model</w:t>
      </w:r>
      <w:r w:rsidRPr="008D3596">
        <w:rPr>
          <w:rFonts w:eastAsia="Aptos" w:cs="Arial"/>
          <w:noProof/>
          <w:sz w:val="22"/>
          <w:lang w:val="en-US"/>
        </w:rPr>
        <w:t xml:space="preserve">. Paul H Brooks Publishing Co. </w:t>
      </w:r>
    </w:p>
    <w:p w14:paraId="5B5750F5" w14:textId="77777777" w:rsidR="00CB2B49" w:rsidRPr="008D3596" w:rsidRDefault="00CB2B49" w:rsidP="008D3596">
      <w:pPr>
        <w:spacing w:before="0" w:after="160"/>
        <w:ind w:left="720" w:hanging="720"/>
        <w:rPr>
          <w:rFonts w:eastAsia="Aptos" w:cs="Arial"/>
          <w:noProof/>
          <w:sz w:val="22"/>
          <w:lang w:val="en-US"/>
        </w:rPr>
      </w:pPr>
    </w:p>
    <w:p w14:paraId="18FC66B3" w14:textId="51B98128" w:rsidR="000B7C7B" w:rsidRDefault="000B7C7B" w:rsidP="000B7C7B">
      <w:pPr>
        <w:pStyle w:val="EndNoteBibliography"/>
        <w:ind w:left="720" w:hanging="720"/>
      </w:pPr>
      <w:r w:rsidRPr="007E27D1">
        <w:t xml:space="preserve">Hemmeter, M. L., Snyder, P. A., Fox, L., &amp; Algina, J. (2016). Evaluating the implementation of the Pyramid Model for promoting social-emotional competence in early childhood classrooms. </w:t>
      </w:r>
      <w:r w:rsidRPr="007E27D1">
        <w:rPr>
          <w:i/>
        </w:rPr>
        <w:t>Topics in Early Childhood Special Education</w:t>
      </w:r>
      <w:r w:rsidRPr="007E27D1">
        <w:t>,</w:t>
      </w:r>
      <w:r w:rsidRPr="007E27D1">
        <w:rPr>
          <w:i/>
        </w:rPr>
        <w:t xml:space="preserve"> 36</w:t>
      </w:r>
      <w:r w:rsidRPr="007E27D1">
        <w:t xml:space="preserve">(3), 133-146. </w:t>
      </w:r>
      <w:hyperlink r:id="rId314" w:history="1">
        <w:r w:rsidR="00CB2B49" w:rsidRPr="00326476">
          <w:rPr>
            <w:rStyle w:val="Hyperlink"/>
          </w:rPr>
          <w:t>https://doi.org/10.1177/0271121416653386</w:t>
        </w:r>
      </w:hyperlink>
      <w:r w:rsidRPr="007E27D1">
        <w:t xml:space="preserve"> </w:t>
      </w:r>
    </w:p>
    <w:p w14:paraId="66050E76" w14:textId="77777777" w:rsidR="00CB2B49" w:rsidRPr="007E27D1" w:rsidRDefault="00CB2B49" w:rsidP="000B7C7B">
      <w:pPr>
        <w:pStyle w:val="EndNoteBibliography"/>
        <w:ind w:left="720" w:hanging="720"/>
      </w:pPr>
    </w:p>
    <w:p w14:paraId="47787A1B" w14:textId="11BAA0C7" w:rsidR="000305CF" w:rsidRPr="000305CF" w:rsidRDefault="000305CF" w:rsidP="000305CF">
      <w:pPr>
        <w:spacing w:before="0" w:after="160"/>
        <w:ind w:left="720" w:hanging="720"/>
        <w:rPr>
          <w:rFonts w:eastAsia="Aptos" w:cs="Arial"/>
          <w:noProof/>
          <w:sz w:val="22"/>
          <w:lang w:val="en-US"/>
        </w:rPr>
      </w:pPr>
      <w:r w:rsidRPr="000305CF">
        <w:rPr>
          <w:rFonts w:eastAsia="Aptos" w:cs="Arial"/>
          <w:noProof/>
          <w:sz w:val="22"/>
          <w:lang w:val="en-US"/>
        </w:rPr>
        <w:t xml:space="preserve">Hennel, S., Coates, C., Symeonides, C., Gulenc, A., Smith, L., Price, A. M., &amp; Hiscock, H. (2016). Diagnosing autism: Contemporaneous surveys of parent needs and paediatric practice. </w:t>
      </w:r>
      <w:r w:rsidRPr="000305CF">
        <w:rPr>
          <w:rFonts w:eastAsia="Aptos" w:cs="Arial"/>
          <w:i/>
          <w:noProof/>
          <w:sz w:val="22"/>
          <w:lang w:val="en-US"/>
        </w:rPr>
        <w:t>Journal of Paediatrics and Child Health</w:t>
      </w:r>
      <w:r w:rsidRPr="000305CF">
        <w:rPr>
          <w:rFonts w:eastAsia="Aptos" w:cs="Arial"/>
          <w:noProof/>
          <w:sz w:val="22"/>
          <w:lang w:val="en-US"/>
        </w:rPr>
        <w:t>,</w:t>
      </w:r>
      <w:r w:rsidRPr="000305CF">
        <w:rPr>
          <w:rFonts w:eastAsia="Aptos" w:cs="Arial"/>
          <w:i/>
          <w:noProof/>
          <w:sz w:val="22"/>
          <w:lang w:val="en-US"/>
        </w:rPr>
        <w:t xml:space="preserve"> 52</w:t>
      </w:r>
      <w:r w:rsidRPr="000305CF">
        <w:rPr>
          <w:rFonts w:eastAsia="Aptos" w:cs="Arial"/>
          <w:noProof/>
          <w:sz w:val="22"/>
          <w:lang w:val="en-US"/>
        </w:rPr>
        <w:t xml:space="preserve">(5), 506-511. </w:t>
      </w:r>
      <w:hyperlink r:id="rId315" w:history="1">
        <w:r w:rsidR="00CB2B49" w:rsidRPr="00326476">
          <w:rPr>
            <w:rStyle w:val="Hyperlink"/>
            <w:rFonts w:eastAsia="Aptos" w:cs="Arial"/>
            <w:noProof/>
            <w:sz w:val="22"/>
            <w:lang w:val="en-US"/>
          </w:rPr>
          <w:t>https://doi.org/10.1111/jpc.13157</w:t>
        </w:r>
      </w:hyperlink>
      <w:r w:rsidR="00CB2B49">
        <w:rPr>
          <w:rFonts w:eastAsia="Aptos" w:cs="Arial"/>
          <w:noProof/>
          <w:sz w:val="22"/>
          <w:lang w:val="en-US"/>
        </w:rPr>
        <w:t xml:space="preserve"> </w:t>
      </w:r>
      <w:r w:rsidRPr="000305CF">
        <w:rPr>
          <w:rFonts w:eastAsia="Aptos" w:cs="Arial"/>
          <w:noProof/>
          <w:sz w:val="22"/>
          <w:lang w:val="en-US"/>
        </w:rPr>
        <w:t xml:space="preserve"> </w:t>
      </w:r>
    </w:p>
    <w:p w14:paraId="73F12690" w14:textId="77777777" w:rsidR="000305CF" w:rsidRPr="000305CF" w:rsidRDefault="000305CF" w:rsidP="000305CF">
      <w:pPr>
        <w:spacing w:before="0" w:after="0"/>
        <w:ind w:left="720" w:hanging="720"/>
        <w:rPr>
          <w:rFonts w:eastAsia="Aptos" w:cs="Arial"/>
          <w:noProof/>
          <w:sz w:val="22"/>
          <w:lang w:val="en-US"/>
        </w:rPr>
      </w:pPr>
      <w:r w:rsidRPr="000305CF">
        <w:rPr>
          <w:rFonts w:eastAsia="Aptos" w:cs="Arial"/>
          <w:noProof/>
          <w:sz w:val="22"/>
          <w:lang w:val="en-US"/>
        </w:rPr>
        <w:tab/>
      </w:r>
    </w:p>
    <w:p w14:paraId="05614A77" w14:textId="77777777" w:rsidR="000305CF" w:rsidRPr="000305CF" w:rsidRDefault="000305CF" w:rsidP="000305CF">
      <w:pPr>
        <w:spacing w:before="0" w:after="160"/>
        <w:ind w:left="720" w:hanging="720"/>
        <w:rPr>
          <w:rFonts w:eastAsia="Aptos" w:cs="Arial"/>
          <w:noProof/>
          <w:sz w:val="22"/>
          <w:lang w:val="en-US"/>
        </w:rPr>
      </w:pPr>
      <w:r w:rsidRPr="000305CF">
        <w:rPr>
          <w:rFonts w:eastAsia="Aptos" w:cs="Arial"/>
          <w:noProof/>
          <w:sz w:val="22"/>
          <w:lang w:val="en-US"/>
        </w:rPr>
        <w:t xml:space="preserve">Hertz, N. (2020). </w:t>
      </w:r>
      <w:r w:rsidRPr="000305CF">
        <w:rPr>
          <w:rFonts w:eastAsia="Aptos" w:cs="Arial"/>
          <w:i/>
          <w:noProof/>
          <w:sz w:val="22"/>
          <w:lang w:val="en-US"/>
        </w:rPr>
        <w:t>The lonely century: Coming together in a world that's pulling apart</w:t>
      </w:r>
      <w:r w:rsidRPr="000305CF">
        <w:rPr>
          <w:rFonts w:eastAsia="Aptos" w:cs="Arial"/>
          <w:noProof/>
          <w:sz w:val="22"/>
          <w:lang w:val="en-US"/>
        </w:rPr>
        <w:t xml:space="preserve">. Sydney, NSW: Hachette Australia. </w:t>
      </w:r>
    </w:p>
    <w:p w14:paraId="00727D4B" w14:textId="77777777" w:rsidR="000305CF" w:rsidRPr="000305CF" w:rsidRDefault="000305CF" w:rsidP="000305CF">
      <w:pPr>
        <w:spacing w:before="0" w:after="0"/>
        <w:ind w:left="720" w:hanging="720"/>
        <w:rPr>
          <w:rFonts w:eastAsia="Aptos" w:cs="Arial"/>
          <w:noProof/>
          <w:sz w:val="22"/>
          <w:lang w:val="en-US"/>
        </w:rPr>
      </w:pPr>
      <w:r w:rsidRPr="000305CF">
        <w:rPr>
          <w:rFonts w:eastAsia="Aptos" w:cs="Arial"/>
          <w:noProof/>
          <w:sz w:val="22"/>
          <w:lang w:val="en-US"/>
        </w:rPr>
        <w:tab/>
      </w:r>
    </w:p>
    <w:p w14:paraId="433D535A" w14:textId="0161B471" w:rsidR="000305CF" w:rsidRPr="000305CF" w:rsidRDefault="000305CF" w:rsidP="000305CF">
      <w:pPr>
        <w:spacing w:before="0" w:after="160"/>
        <w:ind w:left="720" w:hanging="720"/>
        <w:rPr>
          <w:rFonts w:eastAsia="Aptos" w:cs="Arial"/>
          <w:noProof/>
          <w:sz w:val="22"/>
          <w:lang w:val="en-US"/>
        </w:rPr>
      </w:pPr>
      <w:r w:rsidRPr="000305CF">
        <w:rPr>
          <w:rFonts w:eastAsia="Aptos" w:cs="Arial"/>
          <w:noProof/>
          <w:sz w:val="22"/>
          <w:lang w:val="en-US"/>
        </w:rPr>
        <w:t xml:space="preserve">Hertzman, C., &amp; Boyce, T. (2010). How experience gets under the skin to create gradients in developmental health. </w:t>
      </w:r>
      <w:r w:rsidRPr="000305CF">
        <w:rPr>
          <w:rFonts w:eastAsia="Aptos" w:cs="Arial"/>
          <w:i/>
          <w:noProof/>
          <w:sz w:val="22"/>
          <w:lang w:val="en-US"/>
        </w:rPr>
        <w:t>Annual review of public health</w:t>
      </w:r>
      <w:r w:rsidRPr="000305CF">
        <w:rPr>
          <w:rFonts w:eastAsia="Aptos" w:cs="Arial"/>
          <w:noProof/>
          <w:sz w:val="22"/>
          <w:lang w:val="en-US"/>
        </w:rPr>
        <w:t>,</w:t>
      </w:r>
      <w:r w:rsidRPr="000305CF">
        <w:rPr>
          <w:rFonts w:eastAsia="Aptos" w:cs="Arial"/>
          <w:i/>
          <w:noProof/>
          <w:sz w:val="22"/>
          <w:lang w:val="en-US"/>
        </w:rPr>
        <w:t xml:space="preserve"> 31</w:t>
      </w:r>
      <w:r w:rsidRPr="000305CF">
        <w:rPr>
          <w:rFonts w:eastAsia="Aptos" w:cs="Arial"/>
          <w:noProof/>
          <w:sz w:val="22"/>
          <w:lang w:val="en-US"/>
        </w:rPr>
        <w:t xml:space="preserve">(1), 329-347. </w:t>
      </w:r>
      <w:hyperlink r:id="rId316" w:history="1">
        <w:r w:rsidR="00CB2B49" w:rsidRPr="00326476">
          <w:rPr>
            <w:rStyle w:val="Hyperlink"/>
            <w:rFonts w:eastAsia="Aptos" w:cs="Arial"/>
            <w:noProof/>
            <w:sz w:val="22"/>
            <w:lang w:val="en-US"/>
          </w:rPr>
          <w:t>https://doi.org/10.1146/annurev.publhealth.012809.103538</w:t>
        </w:r>
      </w:hyperlink>
      <w:r w:rsidR="00CB2B49">
        <w:rPr>
          <w:rFonts w:eastAsia="Aptos" w:cs="Arial"/>
          <w:noProof/>
          <w:sz w:val="22"/>
          <w:lang w:val="en-US"/>
        </w:rPr>
        <w:t xml:space="preserve"> </w:t>
      </w:r>
      <w:r w:rsidRPr="000305CF">
        <w:rPr>
          <w:rFonts w:eastAsia="Aptos" w:cs="Arial"/>
          <w:noProof/>
          <w:sz w:val="22"/>
          <w:lang w:val="en-US"/>
        </w:rPr>
        <w:t xml:space="preserve"> </w:t>
      </w:r>
    </w:p>
    <w:p w14:paraId="22B38AE0" w14:textId="77777777" w:rsidR="000305CF" w:rsidRPr="000305CF" w:rsidRDefault="000305CF" w:rsidP="000305CF">
      <w:pPr>
        <w:spacing w:before="0" w:after="0"/>
        <w:ind w:left="720" w:hanging="720"/>
        <w:rPr>
          <w:rFonts w:eastAsia="Aptos" w:cs="Arial"/>
          <w:noProof/>
          <w:sz w:val="22"/>
          <w:lang w:val="en-US"/>
        </w:rPr>
      </w:pPr>
      <w:r w:rsidRPr="000305CF">
        <w:rPr>
          <w:rFonts w:eastAsia="Aptos" w:cs="Arial"/>
          <w:noProof/>
          <w:sz w:val="22"/>
          <w:lang w:val="en-US"/>
        </w:rPr>
        <w:tab/>
      </w:r>
    </w:p>
    <w:p w14:paraId="5CE376E2" w14:textId="09FE4D11" w:rsidR="000305CF" w:rsidRPr="000305CF" w:rsidRDefault="000305CF" w:rsidP="000305CF">
      <w:pPr>
        <w:spacing w:before="0" w:after="160"/>
        <w:ind w:left="720" w:hanging="720"/>
        <w:rPr>
          <w:rFonts w:eastAsia="Aptos" w:cs="Arial"/>
          <w:noProof/>
          <w:sz w:val="22"/>
          <w:lang w:val="en-US"/>
        </w:rPr>
      </w:pPr>
      <w:r w:rsidRPr="000305CF">
        <w:rPr>
          <w:rFonts w:eastAsia="Aptos" w:cs="Arial"/>
          <w:noProof/>
          <w:sz w:val="22"/>
          <w:lang w:val="en-US"/>
        </w:rPr>
        <w:t xml:space="preserve">Heyworth, M. (2018). </w:t>
      </w:r>
      <w:r w:rsidRPr="000305CF">
        <w:rPr>
          <w:rFonts w:eastAsia="Aptos" w:cs="Arial"/>
          <w:i/>
          <w:noProof/>
          <w:sz w:val="22"/>
          <w:lang w:val="en-US"/>
        </w:rPr>
        <w:t>Families as peer workers in early intervention organisations: Literature review</w:t>
      </w:r>
      <w:r w:rsidRPr="000305CF">
        <w:rPr>
          <w:rFonts w:eastAsia="Aptos" w:cs="Arial"/>
          <w:noProof/>
          <w:sz w:val="22"/>
          <w:lang w:val="en-US"/>
        </w:rPr>
        <w:t xml:space="preserve">. Marrickville, NSW: Plumtree Children’s Services. Retrieved 6 September, 2024 from </w:t>
      </w:r>
      <w:hyperlink r:id="rId317" w:history="1">
        <w:r w:rsidR="00CB2B49" w:rsidRPr="00326476">
          <w:rPr>
            <w:rStyle w:val="Hyperlink"/>
            <w:rFonts w:eastAsia="Aptos" w:cs="Arial"/>
            <w:noProof/>
            <w:sz w:val="22"/>
            <w:lang w:val="en-US"/>
          </w:rPr>
          <w:t>https://www.plumtree.org.au/wp-content/uploads/2020/04/Literature-Review_Families-as-Peer-Workers_Plumtree-IWF-Project_july-version.pdf</w:t>
        </w:r>
      </w:hyperlink>
      <w:r w:rsidR="00CB2B49">
        <w:rPr>
          <w:rFonts w:eastAsia="Aptos" w:cs="Arial"/>
          <w:noProof/>
          <w:sz w:val="22"/>
          <w:lang w:val="en-US"/>
        </w:rPr>
        <w:t xml:space="preserve"> </w:t>
      </w:r>
    </w:p>
    <w:p w14:paraId="1D54AF32" w14:textId="77777777" w:rsidR="000305CF" w:rsidRPr="000305CF" w:rsidRDefault="000305CF" w:rsidP="000305CF">
      <w:pPr>
        <w:spacing w:before="0" w:after="0"/>
        <w:ind w:left="720" w:hanging="720"/>
        <w:rPr>
          <w:rFonts w:eastAsia="Aptos" w:cs="Arial"/>
          <w:noProof/>
          <w:sz w:val="22"/>
          <w:lang w:val="en-US"/>
        </w:rPr>
      </w:pPr>
      <w:r w:rsidRPr="000305CF">
        <w:rPr>
          <w:rFonts w:eastAsia="Aptos" w:cs="Arial"/>
          <w:noProof/>
          <w:sz w:val="22"/>
          <w:lang w:val="en-US"/>
        </w:rPr>
        <w:tab/>
      </w:r>
    </w:p>
    <w:p w14:paraId="54D1C4A4" w14:textId="77777777" w:rsidR="000305CF" w:rsidRDefault="000305CF" w:rsidP="000305CF">
      <w:pPr>
        <w:spacing w:before="0" w:after="160"/>
        <w:ind w:left="720" w:hanging="720"/>
        <w:rPr>
          <w:rFonts w:eastAsia="Aptos" w:cs="Arial"/>
          <w:noProof/>
          <w:sz w:val="22"/>
          <w:lang w:val="en-US"/>
        </w:rPr>
      </w:pPr>
      <w:r w:rsidRPr="000305CF">
        <w:rPr>
          <w:rFonts w:eastAsia="Aptos" w:cs="Arial"/>
          <w:noProof/>
          <w:sz w:val="22"/>
          <w:lang w:val="en-US"/>
        </w:rPr>
        <w:t xml:space="preserve">Heyworth, M., Mahmic, S., &amp; Janson, A. (2017). Now and Next: A radically new way to build peer leadership with families raising young children with disability or developmental delay. </w:t>
      </w:r>
      <w:r w:rsidRPr="000305CF">
        <w:rPr>
          <w:rFonts w:eastAsia="Aptos" w:cs="Arial"/>
          <w:i/>
          <w:noProof/>
          <w:sz w:val="22"/>
          <w:lang w:val="en-US"/>
        </w:rPr>
        <w:t>International Journal of Disability, Community &amp; Rehabilitation</w:t>
      </w:r>
      <w:r w:rsidRPr="000305CF">
        <w:rPr>
          <w:rFonts w:eastAsia="Aptos" w:cs="Arial"/>
          <w:noProof/>
          <w:sz w:val="22"/>
          <w:lang w:val="en-US"/>
        </w:rPr>
        <w:t>,</w:t>
      </w:r>
      <w:r w:rsidRPr="000305CF">
        <w:rPr>
          <w:rFonts w:eastAsia="Aptos" w:cs="Arial"/>
          <w:i/>
          <w:noProof/>
          <w:sz w:val="22"/>
          <w:lang w:val="en-US"/>
        </w:rPr>
        <w:t xml:space="preserve"> 15</w:t>
      </w:r>
      <w:r w:rsidRPr="000305CF">
        <w:rPr>
          <w:rFonts w:eastAsia="Aptos" w:cs="Arial"/>
          <w:noProof/>
          <w:sz w:val="22"/>
          <w:lang w:val="en-US"/>
        </w:rPr>
        <w:t xml:space="preserve">(1). </w:t>
      </w:r>
    </w:p>
    <w:p w14:paraId="785F568B" w14:textId="77777777" w:rsidR="00CB2B49" w:rsidRPr="000305CF" w:rsidRDefault="00CB2B49" w:rsidP="000305CF">
      <w:pPr>
        <w:spacing w:before="0" w:after="160"/>
        <w:ind w:left="720" w:hanging="720"/>
        <w:rPr>
          <w:rFonts w:eastAsia="Aptos" w:cs="Arial"/>
          <w:noProof/>
          <w:sz w:val="22"/>
          <w:lang w:val="en-US"/>
        </w:rPr>
      </w:pPr>
    </w:p>
    <w:p w14:paraId="6E085F37" w14:textId="7278F81F" w:rsidR="00DE74F1" w:rsidRPr="00DE74F1" w:rsidRDefault="00DE74F1" w:rsidP="00DE74F1">
      <w:pPr>
        <w:spacing w:before="0" w:after="160"/>
        <w:ind w:left="720" w:hanging="720"/>
        <w:rPr>
          <w:rFonts w:eastAsia="Aptos" w:cs="Arial"/>
          <w:noProof/>
          <w:sz w:val="22"/>
          <w:lang w:val="en-US"/>
        </w:rPr>
      </w:pPr>
      <w:r w:rsidRPr="00DE74F1">
        <w:rPr>
          <w:rFonts w:eastAsia="Aptos" w:cs="Arial"/>
          <w:noProof/>
          <w:sz w:val="22"/>
          <w:lang w:val="en-US"/>
        </w:rPr>
        <w:t xml:space="preserve">Hicken, M. T., Miles, L., Haile, S., &amp; Esposito, M. (2021). Linking history to contemporary state-sanctioned slow violence through cultural and structural racism. </w:t>
      </w:r>
      <w:r w:rsidRPr="00DE74F1">
        <w:rPr>
          <w:rFonts w:eastAsia="Aptos" w:cs="Arial"/>
          <w:i/>
          <w:noProof/>
          <w:sz w:val="22"/>
          <w:lang w:val="en-US"/>
        </w:rPr>
        <w:t>Annals of the American Academy of Political and Social Science</w:t>
      </w:r>
      <w:r w:rsidRPr="00DE74F1">
        <w:rPr>
          <w:rFonts w:eastAsia="Aptos" w:cs="Arial"/>
          <w:noProof/>
          <w:sz w:val="22"/>
          <w:lang w:val="en-US"/>
        </w:rPr>
        <w:t>,</w:t>
      </w:r>
      <w:r w:rsidRPr="00DE74F1">
        <w:rPr>
          <w:rFonts w:eastAsia="Aptos" w:cs="Arial"/>
          <w:i/>
          <w:noProof/>
          <w:sz w:val="22"/>
          <w:lang w:val="en-US"/>
        </w:rPr>
        <w:t xml:space="preserve"> 694</w:t>
      </w:r>
      <w:r w:rsidRPr="00DE74F1">
        <w:rPr>
          <w:rFonts w:eastAsia="Aptos" w:cs="Arial"/>
          <w:noProof/>
          <w:sz w:val="22"/>
          <w:lang w:val="en-US"/>
        </w:rPr>
        <w:t xml:space="preserve">(1), 48-58. </w:t>
      </w:r>
      <w:hyperlink r:id="rId318" w:history="1">
        <w:r w:rsidR="00CB2B49" w:rsidRPr="00326476">
          <w:rPr>
            <w:rStyle w:val="Hyperlink"/>
            <w:rFonts w:eastAsia="Aptos" w:cs="Arial"/>
            <w:noProof/>
            <w:sz w:val="22"/>
            <w:lang w:val="en-US"/>
          </w:rPr>
          <w:t>https://doi.org/10.1177/00027162211005690</w:t>
        </w:r>
      </w:hyperlink>
      <w:r w:rsidR="00CB2B49">
        <w:rPr>
          <w:rFonts w:eastAsia="Aptos" w:cs="Arial"/>
          <w:noProof/>
          <w:sz w:val="22"/>
          <w:lang w:val="en-US"/>
        </w:rPr>
        <w:t xml:space="preserve"> </w:t>
      </w:r>
      <w:r w:rsidRPr="00DE74F1">
        <w:rPr>
          <w:rFonts w:eastAsia="Aptos" w:cs="Arial"/>
          <w:noProof/>
          <w:sz w:val="22"/>
          <w:lang w:val="en-US"/>
        </w:rPr>
        <w:t xml:space="preserve"> </w:t>
      </w:r>
    </w:p>
    <w:p w14:paraId="5239A589" w14:textId="77777777" w:rsidR="00DE74F1" w:rsidRPr="00DE74F1" w:rsidRDefault="00DE74F1" w:rsidP="00DE74F1">
      <w:pPr>
        <w:spacing w:before="0" w:after="0"/>
        <w:ind w:left="720" w:hanging="720"/>
        <w:rPr>
          <w:rFonts w:eastAsia="Aptos" w:cs="Arial"/>
          <w:noProof/>
          <w:sz w:val="22"/>
          <w:lang w:val="en-US"/>
        </w:rPr>
      </w:pPr>
      <w:r w:rsidRPr="00DE74F1">
        <w:rPr>
          <w:rFonts w:eastAsia="Aptos" w:cs="Arial"/>
          <w:noProof/>
          <w:sz w:val="22"/>
          <w:lang w:val="en-US"/>
        </w:rPr>
        <w:tab/>
      </w:r>
    </w:p>
    <w:p w14:paraId="0890499F" w14:textId="77777777" w:rsidR="00DE74F1" w:rsidRPr="00DE74F1" w:rsidRDefault="00DE74F1" w:rsidP="00DE74F1">
      <w:pPr>
        <w:spacing w:before="0" w:after="160"/>
        <w:ind w:left="720" w:hanging="720"/>
        <w:rPr>
          <w:rFonts w:eastAsia="Aptos" w:cs="Arial"/>
          <w:noProof/>
          <w:sz w:val="22"/>
          <w:lang w:val="en-US"/>
        </w:rPr>
      </w:pPr>
      <w:r w:rsidRPr="00DE74F1">
        <w:rPr>
          <w:rFonts w:eastAsia="Aptos" w:cs="Arial"/>
          <w:noProof/>
          <w:sz w:val="22"/>
          <w:lang w:val="en-US"/>
        </w:rPr>
        <w:t xml:space="preserve">Hiebert-Murphy, D., &amp; Trute, B. (2017). Implementing family-centred practice in childhood disability services in Manitoba, Canada. In H. Sukkar, C.J. Dunst, &amp; J. Kirkby (Eds.), </w:t>
      </w:r>
      <w:r w:rsidRPr="00DE74F1">
        <w:rPr>
          <w:rFonts w:eastAsia="Aptos" w:cs="Arial"/>
          <w:i/>
          <w:noProof/>
          <w:sz w:val="22"/>
          <w:lang w:val="en-US"/>
        </w:rPr>
        <w:t>Early Childhood Intervention: Working with Families of Young Children with Special Needs</w:t>
      </w:r>
      <w:r w:rsidRPr="00DE74F1">
        <w:rPr>
          <w:rFonts w:eastAsia="Aptos" w:cs="Arial"/>
          <w:noProof/>
          <w:sz w:val="22"/>
          <w:lang w:val="en-US"/>
        </w:rPr>
        <w:t xml:space="preserve"> (pp. 213-232). London and New York: Routledge. </w:t>
      </w:r>
    </w:p>
    <w:p w14:paraId="22650BDD" w14:textId="77777777" w:rsidR="00DE74F1" w:rsidRPr="00DE74F1" w:rsidRDefault="00DE74F1" w:rsidP="00DE74F1">
      <w:pPr>
        <w:spacing w:before="0" w:after="0"/>
        <w:ind w:left="720" w:hanging="720"/>
        <w:rPr>
          <w:rFonts w:eastAsia="Aptos" w:cs="Arial"/>
          <w:noProof/>
          <w:sz w:val="22"/>
          <w:lang w:val="en-US"/>
        </w:rPr>
      </w:pPr>
      <w:r w:rsidRPr="00DE74F1">
        <w:rPr>
          <w:rFonts w:eastAsia="Aptos" w:cs="Arial"/>
          <w:noProof/>
          <w:sz w:val="22"/>
          <w:lang w:val="en-US"/>
        </w:rPr>
        <w:tab/>
      </w:r>
    </w:p>
    <w:p w14:paraId="72884411" w14:textId="77777777" w:rsidR="00CB2B49" w:rsidRDefault="00DE74F1" w:rsidP="00DE74F1">
      <w:pPr>
        <w:spacing w:before="0" w:after="160"/>
        <w:ind w:left="720" w:hanging="720"/>
        <w:rPr>
          <w:rFonts w:eastAsia="Aptos" w:cs="Arial"/>
          <w:noProof/>
          <w:sz w:val="22"/>
          <w:lang w:val="en-US"/>
        </w:rPr>
      </w:pPr>
      <w:r w:rsidRPr="00DE74F1">
        <w:rPr>
          <w:rFonts w:eastAsia="Aptos" w:cs="Arial"/>
          <w:noProof/>
          <w:sz w:val="22"/>
          <w:lang w:val="en-US"/>
        </w:rPr>
        <w:t xml:space="preserve">Hiebert-Murphy, D., Trute, B., &amp; Wright, A. (2016). 12 Implementing family-centred practice in childhood disability services in Manitoba, Canada. </w:t>
      </w:r>
      <w:r w:rsidRPr="00DE74F1">
        <w:rPr>
          <w:rFonts w:eastAsia="Aptos" w:cs="Arial"/>
          <w:i/>
          <w:noProof/>
          <w:sz w:val="22"/>
          <w:lang w:val="en-US"/>
        </w:rPr>
        <w:t>Early Childhood Intervention: Working with Families of Young Children with Special Needs</w:t>
      </w:r>
      <w:r w:rsidRPr="00DE74F1">
        <w:rPr>
          <w:rFonts w:eastAsia="Aptos" w:cs="Arial"/>
          <w:noProof/>
          <w:sz w:val="22"/>
          <w:lang w:val="en-US"/>
        </w:rPr>
        <w:t>.</w:t>
      </w:r>
    </w:p>
    <w:p w14:paraId="1984F27B" w14:textId="5632B64B" w:rsidR="00DE74F1" w:rsidRDefault="00DE74F1" w:rsidP="00DE74F1">
      <w:pPr>
        <w:spacing w:before="0" w:after="160"/>
        <w:ind w:left="720" w:hanging="720"/>
        <w:rPr>
          <w:rFonts w:eastAsia="Aptos" w:cs="Arial"/>
          <w:noProof/>
          <w:sz w:val="22"/>
          <w:lang w:val="en-US"/>
        </w:rPr>
      </w:pPr>
      <w:r w:rsidRPr="00DE74F1">
        <w:rPr>
          <w:rFonts w:eastAsia="Aptos" w:cs="Arial"/>
          <w:noProof/>
          <w:sz w:val="22"/>
          <w:lang w:val="en-US"/>
        </w:rPr>
        <w:t xml:space="preserve"> </w:t>
      </w:r>
    </w:p>
    <w:p w14:paraId="225EF7E6" w14:textId="585736D1" w:rsidR="004F3EFD" w:rsidRPr="00EE0689" w:rsidRDefault="004F3EFD" w:rsidP="004F3EFD">
      <w:pPr>
        <w:spacing w:before="0" w:after="160"/>
        <w:ind w:left="720" w:hanging="720"/>
        <w:rPr>
          <w:rFonts w:eastAsia="Aptos" w:cs="Arial"/>
          <w:noProof/>
          <w:sz w:val="22"/>
          <w:lang w:val="en-US"/>
        </w:rPr>
      </w:pPr>
      <w:r w:rsidRPr="00EE0689">
        <w:rPr>
          <w:rFonts w:eastAsia="Aptos" w:cs="Arial"/>
          <w:noProof/>
          <w:sz w:val="22"/>
          <w:lang w:val="en-US"/>
        </w:rPr>
        <w:t xml:space="preserve">HM Government. (2021, 25 March). </w:t>
      </w:r>
      <w:r w:rsidRPr="00EE0689">
        <w:rPr>
          <w:rFonts w:eastAsia="Aptos" w:cs="Arial"/>
          <w:i/>
          <w:noProof/>
          <w:sz w:val="22"/>
          <w:lang w:val="en-US"/>
        </w:rPr>
        <w:t>The best start for life a vision for the 1,001 critical days the early years healthy development review report</w:t>
      </w:r>
      <w:r w:rsidRPr="00EE0689">
        <w:rPr>
          <w:rFonts w:eastAsia="Aptos" w:cs="Arial"/>
          <w:noProof/>
          <w:sz w:val="22"/>
          <w:lang w:val="en-US"/>
        </w:rPr>
        <w:t xml:space="preserve">. UK: Crown. Retrieved 6 September, 2024 from </w:t>
      </w:r>
      <w:hyperlink r:id="rId319" w:history="1">
        <w:r w:rsidR="00CB2B49" w:rsidRPr="00326476">
          <w:rPr>
            <w:rStyle w:val="Hyperlink"/>
            <w:rFonts w:eastAsia="Aptos" w:cs="Arial"/>
            <w:noProof/>
            <w:sz w:val="22"/>
            <w:lang w:val="en-US"/>
          </w:rPr>
          <w:t>https://www.gov.uk/government/publications/the-best-start-for-life-a-vision-for-the-1001-critical-days</w:t>
        </w:r>
      </w:hyperlink>
      <w:r w:rsidR="00CB2B49">
        <w:rPr>
          <w:rFonts w:eastAsia="Aptos" w:cs="Arial"/>
          <w:noProof/>
          <w:sz w:val="22"/>
          <w:lang w:val="en-US"/>
        </w:rPr>
        <w:t xml:space="preserve"> </w:t>
      </w:r>
    </w:p>
    <w:p w14:paraId="3058E715" w14:textId="77777777" w:rsidR="004F3EFD" w:rsidRPr="00EE0689" w:rsidRDefault="004F3EFD" w:rsidP="004F3EFD">
      <w:pPr>
        <w:spacing w:before="0" w:after="0"/>
        <w:ind w:left="720" w:hanging="720"/>
        <w:rPr>
          <w:rFonts w:eastAsia="Aptos" w:cs="Arial"/>
          <w:noProof/>
          <w:sz w:val="22"/>
          <w:lang w:val="en-US"/>
        </w:rPr>
      </w:pPr>
      <w:r w:rsidRPr="00EE0689">
        <w:rPr>
          <w:rFonts w:eastAsia="Aptos" w:cs="Arial"/>
          <w:noProof/>
          <w:sz w:val="22"/>
          <w:lang w:val="en-US"/>
        </w:rPr>
        <w:tab/>
      </w:r>
    </w:p>
    <w:p w14:paraId="5DA5D0C4" w14:textId="0B5CA4CE" w:rsidR="004F3EFD" w:rsidRPr="00EE0689" w:rsidRDefault="004F3EFD" w:rsidP="004F3EFD">
      <w:pPr>
        <w:spacing w:before="0" w:after="160"/>
        <w:ind w:left="720" w:hanging="720"/>
        <w:rPr>
          <w:rFonts w:eastAsia="Aptos" w:cs="Arial"/>
          <w:noProof/>
          <w:sz w:val="22"/>
          <w:lang w:val="en-US"/>
        </w:rPr>
      </w:pPr>
      <w:r w:rsidRPr="00EE0689">
        <w:rPr>
          <w:rFonts w:eastAsia="Aptos" w:cs="Arial"/>
          <w:noProof/>
          <w:sz w:val="22"/>
          <w:lang w:val="en-US"/>
        </w:rPr>
        <w:t xml:space="preserve">HM Government. (2023, March). </w:t>
      </w:r>
      <w:r w:rsidRPr="00EE0689">
        <w:rPr>
          <w:rFonts w:eastAsia="Aptos" w:cs="Arial"/>
          <w:i/>
          <w:noProof/>
          <w:sz w:val="22"/>
          <w:lang w:val="en-US"/>
        </w:rPr>
        <w:t>Special Educational Needs and Disabilities (SEND) and Alternative Provision (AP) improvement plan right support, right place, right time</w:t>
      </w:r>
      <w:r w:rsidRPr="00EE0689">
        <w:rPr>
          <w:rFonts w:eastAsia="Aptos" w:cs="Arial"/>
          <w:noProof/>
          <w:sz w:val="22"/>
          <w:lang w:val="en-US"/>
        </w:rPr>
        <w:t xml:space="preserve">. UK: Crown. Retrieved 6 September, 2024 from </w:t>
      </w:r>
      <w:hyperlink r:id="rId320" w:history="1">
        <w:r w:rsidR="00CB2B49" w:rsidRPr="00326476">
          <w:rPr>
            <w:rStyle w:val="Hyperlink"/>
            <w:rFonts w:eastAsia="Aptos" w:cs="Arial"/>
            <w:noProof/>
            <w:sz w:val="22"/>
            <w:lang w:val="en-US"/>
          </w:rPr>
          <w:t>https://assets.publishing.service.gov.uk/media/63ff39d28fa8f527fb67cb06/SEND_and_alternative_provision_improvement_plan.pdf</w:t>
        </w:r>
      </w:hyperlink>
      <w:r w:rsidR="00CB2B49">
        <w:rPr>
          <w:rFonts w:eastAsia="Aptos" w:cs="Arial"/>
          <w:noProof/>
          <w:sz w:val="22"/>
          <w:lang w:val="en-US"/>
        </w:rPr>
        <w:t xml:space="preserve"> </w:t>
      </w:r>
    </w:p>
    <w:p w14:paraId="3D46DBA0" w14:textId="684BC06E" w:rsidR="004F3EFD" w:rsidRPr="001E00C5" w:rsidRDefault="004F3EFD" w:rsidP="004F3EFD">
      <w:pPr>
        <w:spacing w:before="0" w:after="0"/>
        <w:ind w:left="720" w:hanging="720"/>
        <w:rPr>
          <w:rFonts w:eastAsia="Aptos" w:cs="Arial"/>
          <w:noProof/>
          <w:sz w:val="22"/>
          <w:highlight w:val="cyan"/>
          <w:lang w:val="en-US"/>
        </w:rPr>
      </w:pPr>
    </w:p>
    <w:p w14:paraId="21F1A81A" w14:textId="2FD4EAD1" w:rsidR="00510DE3" w:rsidRDefault="00510DE3" w:rsidP="00510DE3">
      <w:pPr>
        <w:spacing w:before="0" w:after="160"/>
        <w:ind w:left="720" w:hanging="720"/>
        <w:rPr>
          <w:rFonts w:eastAsia="Aptos" w:cs="Arial"/>
          <w:noProof/>
          <w:sz w:val="22"/>
          <w:lang w:val="en-US"/>
        </w:rPr>
      </w:pPr>
      <w:r w:rsidRPr="001E00C5">
        <w:rPr>
          <w:rFonts w:eastAsia="Aptos" w:cs="Arial"/>
          <w:noProof/>
          <w:sz w:val="22"/>
          <w:lang w:val="en-US"/>
        </w:rPr>
        <w:t xml:space="preserve">Hodgetts, S., McConnell, D., Zwaigenbaum, L., &amp; Nicholas, D. (2017). The impact of autism services on mothers' psychological wellbeing. </w:t>
      </w:r>
      <w:r w:rsidRPr="001E00C5">
        <w:rPr>
          <w:rFonts w:eastAsia="Aptos" w:cs="Arial"/>
          <w:i/>
          <w:noProof/>
          <w:sz w:val="22"/>
          <w:lang w:val="en-US"/>
        </w:rPr>
        <w:t>Child: care, health and development</w:t>
      </w:r>
      <w:r w:rsidRPr="001E00C5">
        <w:rPr>
          <w:rFonts w:eastAsia="Aptos" w:cs="Arial"/>
          <w:noProof/>
          <w:sz w:val="22"/>
          <w:lang w:val="en-US"/>
        </w:rPr>
        <w:t>,</w:t>
      </w:r>
      <w:r w:rsidRPr="001E00C5">
        <w:rPr>
          <w:rFonts w:eastAsia="Aptos" w:cs="Arial"/>
          <w:i/>
          <w:noProof/>
          <w:sz w:val="22"/>
          <w:lang w:val="en-US"/>
        </w:rPr>
        <w:t xml:space="preserve"> 43</w:t>
      </w:r>
      <w:r w:rsidRPr="001E00C5">
        <w:rPr>
          <w:rFonts w:eastAsia="Aptos" w:cs="Arial"/>
          <w:noProof/>
          <w:sz w:val="22"/>
          <w:lang w:val="en-US"/>
        </w:rPr>
        <w:t xml:space="preserve">(1), 18-30. </w:t>
      </w:r>
      <w:hyperlink r:id="rId321" w:history="1">
        <w:r w:rsidR="00CB2B49" w:rsidRPr="00326476">
          <w:rPr>
            <w:rStyle w:val="Hyperlink"/>
            <w:rFonts w:eastAsia="Aptos" w:cs="Arial"/>
            <w:noProof/>
            <w:sz w:val="22"/>
            <w:lang w:val="en-US"/>
          </w:rPr>
          <w:t>https://doi.org/10.1111/cch.12398</w:t>
        </w:r>
      </w:hyperlink>
      <w:r w:rsidR="00CB2B49">
        <w:rPr>
          <w:rFonts w:eastAsia="Aptos" w:cs="Arial"/>
          <w:noProof/>
          <w:sz w:val="22"/>
          <w:lang w:val="en-US"/>
        </w:rPr>
        <w:t xml:space="preserve"> </w:t>
      </w:r>
      <w:r w:rsidRPr="001E00C5">
        <w:rPr>
          <w:rFonts w:eastAsia="Aptos" w:cs="Arial"/>
          <w:noProof/>
          <w:sz w:val="22"/>
          <w:lang w:val="en-US"/>
        </w:rPr>
        <w:t xml:space="preserve"> </w:t>
      </w:r>
    </w:p>
    <w:p w14:paraId="376438EE" w14:textId="77777777" w:rsidR="00510DE3" w:rsidRPr="001E00C5" w:rsidRDefault="00510DE3" w:rsidP="00510DE3">
      <w:pPr>
        <w:spacing w:before="0" w:after="160"/>
        <w:ind w:left="720" w:hanging="720"/>
        <w:rPr>
          <w:rFonts w:eastAsia="Aptos" w:cs="Arial"/>
          <w:noProof/>
          <w:sz w:val="22"/>
          <w:lang w:val="en-US"/>
        </w:rPr>
      </w:pPr>
    </w:p>
    <w:p w14:paraId="44F1FF78" w14:textId="77777777" w:rsidR="001E00C5" w:rsidRDefault="007A2397" w:rsidP="007A2397">
      <w:pPr>
        <w:spacing w:before="0" w:after="160"/>
        <w:ind w:left="720" w:hanging="720"/>
        <w:rPr>
          <w:rFonts w:eastAsia="Aptos" w:cs="Arial"/>
          <w:noProof/>
          <w:sz w:val="22"/>
          <w:lang w:val="en-US"/>
        </w:rPr>
      </w:pPr>
      <w:r w:rsidRPr="007A2397">
        <w:rPr>
          <w:rFonts w:eastAsia="Aptos" w:cs="Arial"/>
          <w:noProof/>
          <w:sz w:val="22"/>
          <w:lang w:val="en-US"/>
        </w:rPr>
        <w:t xml:space="preserve">Hoffmann, T. C., Glasziou, P. P., Boutron, I., Milne, R., Perera, R., Moher, D., Altman, D. G., Barbour, V., Macdonald, H., Johnston, M., Lamb, S. E., Dixon-Woods, M., McCulloch, P., Wyatt, J. C., Chan, A.-W., &amp; Michie, S. (2014). Better reporting of interventions: Template for intervention description and replication (TIDieR) checklist and guide. </w:t>
      </w:r>
      <w:r w:rsidRPr="007A2397">
        <w:rPr>
          <w:rFonts w:eastAsia="Aptos" w:cs="Arial"/>
          <w:i/>
          <w:noProof/>
          <w:sz w:val="22"/>
          <w:lang w:val="en-US"/>
        </w:rPr>
        <w:t>BMJ: British Medical Journal</w:t>
      </w:r>
      <w:r w:rsidRPr="007A2397">
        <w:rPr>
          <w:rFonts w:eastAsia="Aptos" w:cs="Arial"/>
          <w:noProof/>
          <w:sz w:val="22"/>
          <w:lang w:val="en-US"/>
        </w:rPr>
        <w:t>,</w:t>
      </w:r>
      <w:r w:rsidRPr="007A2397">
        <w:rPr>
          <w:rFonts w:eastAsia="Aptos" w:cs="Arial"/>
          <w:i/>
          <w:noProof/>
          <w:sz w:val="22"/>
          <w:lang w:val="en-US"/>
        </w:rPr>
        <w:t xml:space="preserve"> 348</w:t>
      </w:r>
      <w:r w:rsidRPr="007A2397">
        <w:rPr>
          <w:rFonts w:eastAsia="Aptos" w:cs="Arial"/>
          <w:noProof/>
          <w:sz w:val="22"/>
          <w:lang w:val="en-US"/>
        </w:rPr>
        <w:t xml:space="preserve">, g1687. </w:t>
      </w:r>
      <w:hyperlink r:id="rId322" w:history="1">
        <w:r w:rsidR="001E00C5" w:rsidRPr="00326476">
          <w:rPr>
            <w:rStyle w:val="Hyperlink"/>
            <w:rFonts w:eastAsia="Aptos" w:cs="Arial"/>
            <w:noProof/>
            <w:sz w:val="22"/>
            <w:lang w:val="en-US"/>
          </w:rPr>
          <w:t>https://doi.org/10.1136/bmj.g1687</w:t>
        </w:r>
      </w:hyperlink>
      <w:r w:rsidR="001E00C5">
        <w:rPr>
          <w:rFonts w:eastAsia="Aptos" w:cs="Arial"/>
          <w:noProof/>
          <w:sz w:val="22"/>
          <w:lang w:val="en-US"/>
        </w:rPr>
        <w:t xml:space="preserve"> </w:t>
      </w:r>
    </w:p>
    <w:p w14:paraId="3E593FA0" w14:textId="23CE85DC" w:rsidR="007A2397" w:rsidRPr="007A2397" w:rsidRDefault="007A2397" w:rsidP="007A2397">
      <w:pPr>
        <w:spacing w:before="0" w:after="160"/>
        <w:ind w:left="720" w:hanging="720"/>
        <w:rPr>
          <w:rFonts w:eastAsia="Aptos" w:cs="Arial"/>
          <w:noProof/>
          <w:sz w:val="22"/>
          <w:lang w:val="en-US"/>
        </w:rPr>
      </w:pPr>
      <w:r w:rsidRPr="007A2397">
        <w:rPr>
          <w:rFonts w:eastAsia="Aptos" w:cs="Arial"/>
          <w:noProof/>
          <w:sz w:val="22"/>
          <w:lang w:val="en-US"/>
        </w:rPr>
        <w:t xml:space="preserve"> </w:t>
      </w:r>
      <w:r w:rsidR="001E00C5">
        <w:rPr>
          <w:rFonts w:eastAsia="Aptos" w:cs="Arial"/>
          <w:noProof/>
          <w:sz w:val="22"/>
          <w:lang w:val="en-US"/>
        </w:rPr>
        <w:t xml:space="preserve"> </w:t>
      </w:r>
    </w:p>
    <w:p w14:paraId="08B5D8C4" w14:textId="64965665" w:rsidR="00FC1B04" w:rsidRPr="00FC1B04" w:rsidRDefault="00FC1B04" w:rsidP="00FC1B04">
      <w:pPr>
        <w:spacing w:before="0" w:after="160"/>
        <w:ind w:left="720" w:hanging="720"/>
        <w:rPr>
          <w:rFonts w:eastAsia="Aptos" w:cs="Arial"/>
          <w:noProof/>
          <w:sz w:val="22"/>
          <w:lang w:val="en-US"/>
        </w:rPr>
      </w:pPr>
      <w:r w:rsidRPr="00FC1B04">
        <w:rPr>
          <w:rFonts w:eastAsia="Aptos" w:cs="Arial"/>
          <w:noProof/>
          <w:sz w:val="22"/>
          <w:lang w:val="en-US"/>
        </w:rPr>
        <w:t xml:space="preserve">Howe, D. (2006). Disabled children, parent–child interaction and attachment. </w:t>
      </w:r>
      <w:r w:rsidRPr="00FC1B04">
        <w:rPr>
          <w:rFonts w:eastAsia="Aptos" w:cs="Arial"/>
          <w:i/>
          <w:noProof/>
          <w:sz w:val="22"/>
          <w:lang w:val="en-US"/>
        </w:rPr>
        <w:t>Child &amp; family social work</w:t>
      </w:r>
      <w:r w:rsidRPr="00FC1B04">
        <w:rPr>
          <w:rFonts w:eastAsia="Aptos" w:cs="Arial"/>
          <w:noProof/>
          <w:sz w:val="22"/>
          <w:lang w:val="en-US"/>
        </w:rPr>
        <w:t>,</w:t>
      </w:r>
      <w:r w:rsidRPr="00FC1B04">
        <w:rPr>
          <w:rFonts w:eastAsia="Aptos" w:cs="Arial"/>
          <w:i/>
          <w:noProof/>
          <w:sz w:val="22"/>
          <w:lang w:val="en-US"/>
        </w:rPr>
        <w:t xml:space="preserve"> 11</w:t>
      </w:r>
      <w:r w:rsidRPr="00FC1B04">
        <w:rPr>
          <w:rFonts w:eastAsia="Aptos" w:cs="Arial"/>
          <w:noProof/>
          <w:sz w:val="22"/>
          <w:lang w:val="en-US"/>
        </w:rPr>
        <w:t xml:space="preserve">(2), 95-106. </w:t>
      </w:r>
      <w:hyperlink r:id="rId323" w:history="1">
        <w:r w:rsidR="00CB2B49" w:rsidRPr="00326476">
          <w:rPr>
            <w:rStyle w:val="Hyperlink"/>
            <w:rFonts w:eastAsia="Aptos" w:cs="Arial"/>
            <w:noProof/>
            <w:sz w:val="22"/>
            <w:lang w:val="en-US"/>
          </w:rPr>
          <w:t>https://doi.org/10.1111/j.1365-2206.2006.00397.x</w:t>
        </w:r>
      </w:hyperlink>
      <w:r w:rsidR="00CB2B49">
        <w:rPr>
          <w:rFonts w:eastAsia="Aptos" w:cs="Arial"/>
          <w:noProof/>
          <w:sz w:val="22"/>
          <w:lang w:val="en-US"/>
        </w:rPr>
        <w:t xml:space="preserve"> </w:t>
      </w:r>
      <w:r w:rsidRPr="00FC1B04">
        <w:rPr>
          <w:rFonts w:eastAsia="Aptos" w:cs="Arial"/>
          <w:noProof/>
          <w:sz w:val="22"/>
          <w:lang w:val="en-US"/>
        </w:rPr>
        <w:t xml:space="preserve"> </w:t>
      </w:r>
      <w:r w:rsidR="00CB2B49">
        <w:rPr>
          <w:rFonts w:eastAsia="Aptos" w:cs="Arial"/>
          <w:noProof/>
          <w:sz w:val="22"/>
          <w:lang w:val="en-US"/>
        </w:rPr>
        <w:t xml:space="preserve"> </w:t>
      </w:r>
    </w:p>
    <w:p w14:paraId="43498F8D" w14:textId="77777777" w:rsidR="00FC1B04" w:rsidRPr="00FC1B04" w:rsidRDefault="00FC1B04" w:rsidP="00FC1B04">
      <w:pPr>
        <w:spacing w:before="0" w:after="0"/>
        <w:ind w:left="720" w:hanging="720"/>
        <w:rPr>
          <w:rFonts w:eastAsia="Aptos" w:cs="Arial"/>
          <w:noProof/>
          <w:sz w:val="22"/>
          <w:lang w:val="en-US"/>
        </w:rPr>
      </w:pPr>
      <w:r w:rsidRPr="00FC1B04">
        <w:rPr>
          <w:rFonts w:eastAsia="Aptos" w:cs="Arial"/>
          <w:noProof/>
          <w:sz w:val="22"/>
          <w:lang w:val="en-US"/>
        </w:rPr>
        <w:tab/>
      </w:r>
    </w:p>
    <w:p w14:paraId="7814DE79" w14:textId="77777777" w:rsidR="00FC1B04" w:rsidRPr="00FC1B04" w:rsidRDefault="00FC1B04" w:rsidP="00FC1B04">
      <w:pPr>
        <w:spacing w:before="0" w:after="160"/>
        <w:ind w:left="720" w:hanging="720"/>
        <w:rPr>
          <w:rFonts w:eastAsia="Aptos" w:cs="Arial"/>
          <w:noProof/>
          <w:sz w:val="22"/>
          <w:lang w:val="en-US"/>
        </w:rPr>
      </w:pPr>
      <w:r w:rsidRPr="00FC1B04">
        <w:rPr>
          <w:rFonts w:eastAsia="Aptos" w:cs="Arial"/>
          <w:noProof/>
          <w:sz w:val="22"/>
          <w:lang w:val="en-US"/>
        </w:rPr>
        <w:t xml:space="preserve">Hrdy, S. B. (2024). </w:t>
      </w:r>
      <w:r w:rsidRPr="00FC1B04">
        <w:rPr>
          <w:rFonts w:eastAsia="Aptos" w:cs="Arial"/>
          <w:i/>
          <w:noProof/>
          <w:sz w:val="22"/>
          <w:lang w:val="en-US"/>
        </w:rPr>
        <w:t>Father time: A natural history of men and babies</w:t>
      </w:r>
      <w:r w:rsidRPr="00FC1B04">
        <w:rPr>
          <w:rFonts w:eastAsia="Aptos" w:cs="Arial"/>
          <w:noProof/>
          <w:sz w:val="22"/>
          <w:lang w:val="en-US"/>
        </w:rPr>
        <w:t xml:space="preserve">. Princeton, NJ: Princeton University Press. </w:t>
      </w:r>
    </w:p>
    <w:p w14:paraId="248957B7" w14:textId="08692184" w:rsidR="001B506C" w:rsidRPr="001B506C" w:rsidRDefault="001B506C" w:rsidP="001B506C">
      <w:pPr>
        <w:spacing w:before="0" w:after="160"/>
        <w:ind w:left="720" w:hanging="720"/>
        <w:rPr>
          <w:rFonts w:eastAsia="Aptos" w:cs="Arial"/>
          <w:noProof/>
          <w:sz w:val="22"/>
          <w:lang w:val="en-US"/>
        </w:rPr>
      </w:pPr>
      <w:r w:rsidRPr="001B506C">
        <w:rPr>
          <w:rFonts w:eastAsia="Aptos" w:cs="Arial"/>
          <w:noProof/>
          <w:sz w:val="22"/>
          <w:lang w:val="en-US"/>
        </w:rPr>
        <w:t xml:space="preserve">Hsieh, Y.-H., Ryan, M., &amp; Anaby, D. (2023). Towards multi-faceted outcomes of participation-based interventions: mapping the PREP’s effects for children and youth with disabilities. </w:t>
      </w:r>
      <w:r w:rsidRPr="001B506C">
        <w:rPr>
          <w:rFonts w:eastAsia="Aptos" w:cs="Arial"/>
          <w:i/>
          <w:noProof/>
          <w:sz w:val="22"/>
          <w:lang w:val="en-US"/>
        </w:rPr>
        <w:t>Disability and Rehabilitation</w:t>
      </w:r>
      <w:r w:rsidRPr="001B506C">
        <w:rPr>
          <w:rFonts w:eastAsia="Aptos" w:cs="Arial"/>
          <w:noProof/>
          <w:sz w:val="22"/>
          <w:lang w:val="en-US"/>
        </w:rPr>
        <w:t>,</w:t>
      </w:r>
      <w:r w:rsidRPr="001B506C">
        <w:rPr>
          <w:rFonts w:eastAsia="Aptos" w:cs="Arial"/>
          <w:i/>
          <w:noProof/>
          <w:sz w:val="22"/>
          <w:lang w:val="en-US"/>
        </w:rPr>
        <w:t xml:space="preserve"> 46</w:t>
      </w:r>
      <w:r w:rsidRPr="001B506C">
        <w:rPr>
          <w:rFonts w:eastAsia="Aptos" w:cs="Arial"/>
          <w:noProof/>
          <w:sz w:val="22"/>
          <w:lang w:val="en-US"/>
        </w:rPr>
        <w:t xml:space="preserve">(20), 4825-4834. </w:t>
      </w:r>
      <w:hyperlink r:id="rId324" w:history="1">
        <w:r w:rsidR="00CB2B49" w:rsidRPr="00326476">
          <w:rPr>
            <w:rStyle w:val="Hyperlink"/>
            <w:rFonts w:eastAsia="Aptos" w:cs="Arial"/>
            <w:noProof/>
            <w:sz w:val="22"/>
            <w:lang w:val="en-US"/>
          </w:rPr>
          <w:t>https://doi.org/10.1080/09638288.2023.2280084</w:t>
        </w:r>
      </w:hyperlink>
      <w:r w:rsidR="00CB2B49">
        <w:rPr>
          <w:rFonts w:eastAsia="Aptos" w:cs="Arial"/>
          <w:noProof/>
          <w:sz w:val="22"/>
          <w:lang w:val="en-US"/>
        </w:rPr>
        <w:t xml:space="preserve"> </w:t>
      </w:r>
      <w:r w:rsidRPr="001B506C">
        <w:rPr>
          <w:rFonts w:eastAsia="Aptos" w:cs="Arial"/>
          <w:noProof/>
          <w:sz w:val="22"/>
          <w:lang w:val="en-US"/>
        </w:rPr>
        <w:t xml:space="preserve"> </w:t>
      </w:r>
    </w:p>
    <w:p w14:paraId="43F6D58E" w14:textId="77777777" w:rsidR="001B506C" w:rsidRPr="001B506C" w:rsidRDefault="001B506C" w:rsidP="001B506C">
      <w:pPr>
        <w:spacing w:before="0" w:after="0"/>
        <w:ind w:left="720" w:hanging="720"/>
        <w:rPr>
          <w:rFonts w:eastAsia="Aptos" w:cs="Arial"/>
          <w:noProof/>
          <w:sz w:val="22"/>
          <w:lang w:val="en-US"/>
        </w:rPr>
      </w:pPr>
      <w:r w:rsidRPr="001B506C">
        <w:rPr>
          <w:rFonts w:eastAsia="Aptos" w:cs="Arial"/>
          <w:noProof/>
          <w:sz w:val="22"/>
          <w:lang w:val="en-US"/>
        </w:rPr>
        <w:tab/>
      </w:r>
    </w:p>
    <w:p w14:paraId="6F6B8CC3" w14:textId="078074DA" w:rsidR="001B506C" w:rsidRPr="001B506C" w:rsidRDefault="001B506C" w:rsidP="001B506C">
      <w:pPr>
        <w:spacing w:before="0" w:after="160"/>
        <w:ind w:left="720" w:hanging="720"/>
        <w:rPr>
          <w:rFonts w:eastAsia="Aptos" w:cs="Arial"/>
          <w:noProof/>
          <w:sz w:val="22"/>
          <w:lang w:val="en-US"/>
        </w:rPr>
      </w:pPr>
      <w:r w:rsidRPr="001B506C">
        <w:rPr>
          <w:rFonts w:eastAsia="Aptos" w:cs="Arial"/>
          <w:noProof/>
          <w:sz w:val="22"/>
          <w:lang w:val="en-US"/>
        </w:rPr>
        <w:t xml:space="preserve">Hughes-Scholes, C. H., Gatt, S. L., Davis, K., Mahar, N., &amp; Gavidia-Payne, S. (2015). Preliminary evaluation of the implementation of a routines-based early childhood intervention model in Australia: Practitioners’ perspectives. </w:t>
      </w:r>
      <w:r w:rsidRPr="001B506C">
        <w:rPr>
          <w:rFonts w:eastAsia="Aptos" w:cs="Arial"/>
          <w:i/>
          <w:noProof/>
          <w:sz w:val="22"/>
          <w:lang w:val="en-US"/>
        </w:rPr>
        <w:t>Topics in Early Childhood Special Education</w:t>
      </w:r>
      <w:r w:rsidRPr="001B506C">
        <w:rPr>
          <w:rFonts w:eastAsia="Aptos" w:cs="Arial"/>
          <w:noProof/>
          <w:sz w:val="22"/>
          <w:lang w:val="en-US"/>
        </w:rPr>
        <w:t>,</w:t>
      </w:r>
      <w:r w:rsidRPr="001B506C">
        <w:rPr>
          <w:rFonts w:eastAsia="Aptos" w:cs="Arial"/>
          <w:i/>
          <w:noProof/>
          <w:sz w:val="22"/>
          <w:lang w:val="en-US"/>
        </w:rPr>
        <w:t xml:space="preserve"> 36</w:t>
      </w:r>
      <w:r w:rsidRPr="001B506C">
        <w:rPr>
          <w:rFonts w:eastAsia="Aptos" w:cs="Arial"/>
          <w:noProof/>
          <w:sz w:val="22"/>
          <w:lang w:val="en-US"/>
        </w:rPr>
        <w:t xml:space="preserve">(1), 30-42. </w:t>
      </w:r>
      <w:hyperlink r:id="rId325" w:history="1">
        <w:r w:rsidR="00CB2B49" w:rsidRPr="00326476">
          <w:rPr>
            <w:rStyle w:val="Hyperlink"/>
            <w:rFonts w:eastAsia="Aptos" w:cs="Arial"/>
            <w:noProof/>
            <w:sz w:val="22"/>
            <w:lang w:val="en-US"/>
          </w:rPr>
          <w:t>https://doi.org/10.1177/0271121415589546</w:t>
        </w:r>
      </w:hyperlink>
      <w:r w:rsidR="00CB2B49">
        <w:rPr>
          <w:rFonts w:eastAsia="Aptos" w:cs="Arial"/>
          <w:noProof/>
          <w:sz w:val="22"/>
          <w:lang w:val="en-US"/>
        </w:rPr>
        <w:t xml:space="preserve"> </w:t>
      </w:r>
      <w:r w:rsidRPr="001B506C">
        <w:rPr>
          <w:rFonts w:eastAsia="Aptos" w:cs="Arial"/>
          <w:noProof/>
          <w:sz w:val="22"/>
          <w:lang w:val="en-US"/>
        </w:rPr>
        <w:t xml:space="preserve"> </w:t>
      </w:r>
    </w:p>
    <w:p w14:paraId="0C040F6D" w14:textId="77777777" w:rsidR="001B506C" w:rsidRPr="001B506C" w:rsidRDefault="001B506C" w:rsidP="001B506C">
      <w:pPr>
        <w:spacing w:before="0" w:after="0"/>
        <w:ind w:left="720" w:hanging="720"/>
        <w:rPr>
          <w:rFonts w:eastAsia="Aptos" w:cs="Arial"/>
          <w:noProof/>
          <w:sz w:val="22"/>
          <w:lang w:val="en-US"/>
        </w:rPr>
      </w:pPr>
      <w:r w:rsidRPr="001B506C">
        <w:rPr>
          <w:rFonts w:eastAsia="Aptos" w:cs="Arial"/>
          <w:noProof/>
          <w:sz w:val="22"/>
          <w:lang w:val="en-US"/>
        </w:rPr>
        <w:tab/>
      </w:r>
    </w:p>
    <w:p w14:paraId="12D0825F" w14:textId="743F4C2D" w:rsidR="001B506C" w:rsidRPr="001B506C" w:rsidRDefault="001B506C" w:rsidP="001B506C">
      <w:pPr>
        <w:spacing w:before="0" w:after="160"/>
        <w:ind w:left="720" w:hanging="720"/>
        <w:rPr>
          <w:rFonts w:eastAsia="Aptos" w:cs="Arial"/>
          <w:noProof/>
          <w:sz w:val="22"/>
          <w:lang w:val="en-US"/>
        </w:rPr>
      </w:pPr>
      <w:r w:rsidRPr="001B506C">
        <w:rPr>
          <w:rFonts w:eastAsia="Aptos" w:cs="Arial"/>
          <w:noProof/>
          <w:sz w:val="22"/>
          <w:lang w:val="en-US"/>
        </w:rPr>
        <w:t xml:space="preserve">Hughes-Scholes, C. H., &amp; Gavidia-Payne, S. (2019). Early childhood intervention program quality: Examining family-centered practice, parental self-efficacy and child and family outcomes. </w:t>
      </w:r>
      <w:r w:rsidRPr="001B506C">
        <w:rPr>
          <w:rFonts w:eastAsia="Aptos" w:cs="Arial"/>
          <w:i/>
          <w:noProof/>
          <w:sz w:val="22"/>
          <w:lang w:val="en-US"/>
        </w:rPr>
        <w:t>Early Childhood Education Journal</w:t>
      </w:r>
      <w:r w:rsidRPr="001B506C">
        <w:rPr>
          <w:rFonts w:eastAsia="Aptos" w:cs="Arial"/>
          <w:noProof/>
          <w:sz w:val="22"/>
          <w:lang w:val="en-US"/>
        </w:rPr>
        <w:t>,</w:t>
      </w:r>
      <w:r w:rsidRPr="001B506C">
        <w:rPr>
          <w:rFonts w:eastAsia="Aptos" w:cs="Arial"/>
          <w:i/>
          <w:noProof/>
          <w:sz w:val="22"/>
          <w:lang w:val="en-US"/>
        </w:rPr>
        <w:t xml:space="preserve"> 47</w:t>
      </w:r>
      <w:r w:rsidRPr="001B506C">
        <w:rPr>
          <w:rFonts w:eastAsia="Aptos" w:cs="Arial"/>
          <w:noProof/>
          <w:sz w:val="22"/>
          <w:lang w:val="en-US"/>
        </w:rPr>
        <w:t xml:space="preserve">(6), 719-729. </w:t>
      </w:r>
      <w:hyperlink r:id="rId326" w:history="1">
        <w:r w:rsidR="00CB2B49" w:rsidRPr="00326476">
          <w:rPr>
            <w:rStyle w:val="Hyperlink"/>
            <w:rFonts w:eastAsia="Aptos" w:cs="Arial"/>
            <w:noProof/>
            <w:sz w:val="22"/>
            <w:lang w:val="en-US"/>
          </w:rPr>
          <w:t>https://doi.org/10.1007/s10643-019-00961-5</w:t>
        </w:r>
      </w:hyperlink>
      <w:r w:rsidR="00CB2B49">
        <w:rPr>
          <w:rFonts w:eastAsia="Aptos" w:cs="Arial"/>
          <w:noProof/>
          <w:sz w:val="22"/>
          <w:lang w:val="en-US"/>
        </w:rPr>
        <w:t xml:space="preserve"> </w:t>
      </w:r>
      <w:r w:rsidRPr="001B506C">
        <w:rPr>
          <w:rFonts w:eastAsia="Aptos" w:cs="Arial"/>
          <w:noProof/>
          <w:sz w:val="22"/>
          <w:lang w:val="en-US"/>
        </w:rPr>
        <w:t xml:space="preserve"> </w:t>
      </w:r>
    </w:p>
    <w:p w14:paraId="5D0E1EFF" w14:textId="26358F2E" w:rsidR="0030178D" w:rsidRPr="00075790" w:rsidRDefault="0030178D" w:rsidP="001E00C5">
      <w:pPr>
        <w:pStyle w:val="EndNoteBibliography"/>
        <w:spacing w:after="0"/>
      </w:pPr>
    </w:p>
    <w:p w14:paraId="14320F61" w14:textId="5D0FD2AA" w:rsidR="008A4826" w:rsidRPr="008A4826" w:rsidRDefault="008A4826" w:rsidP="008A4826">
      <w:pPr>
        <w:spacing w:before="0" w:after="160"/>
        <w:ind w:left="720" w:hanging="720"/>
        <w:rPr>
          <w:rFonts w:eastAsia="Aptos" w:cs="Arial"/>
          <w:noProof/>
          <w:sz w:val="22"/>
          <w:lang w:val="en-US"/>
        </w:rPr>
      </w:pPr>
      <w:r w:rsidRPr="008A4826">
        <w:rPr>
          <w:rFonts w:eastAsia="Aptos" w:cs="Arial"/>
          <w:noProof/>
          <w:sz w:val="22"/>
          <w:lang w:val="en-US"/>
        </w:rPr>
        <w:t xml:space="preserve">Hughes-Scholes, C. H., Gavidia-Payne, S., Davis, K., &amp; Mahar, N. (2019). Eliciting family concerns and priorities through the routines-based interview. </w:t>
      </w:r>
      <w:r w:rsidRPr="008A4826">
        <w:rPr>
          <w:rFonts w:eastAsia="Aptos" w:cs="Arial"/>
          <w:i/>
          <w:noProof/>
          <w:sz w:val="22"/>
          <w:lang w:val="en-US"/>
        </w:rPr>
        <w:t>Journal of Intellectual &amp; Developmental Disability</w:t>
      </w:r>
      <w:r w:rsidRPr="008A4826">
        <w:rPr>
          <w:rFonts w:eastAsia="Aptos" w:cs="Arial"/>
          <w:noProof/>
          <w:sz w:val="22"/>
          <w:lang w:val="en-US"/>
        </w:rPr>
        <w:t>,</w:t>
      </w:r>
      <w:r w:rsidRPr="008A4826">
        <w:rPr>
          <w:rFonts w:eastAsia="Aptos" w:cs="Arial"/>
          <w:i/>
          <w:noProof/>
          <w:sz w:val="22"/>
          <w:lang w:val="en-US"/>
        </w:rPr>
        <w:t xml:space="preserve"> 44</w:t>
      </w:r>
      <w:r w:rsidRPr="008A4826">
        <w:rPr>
          <w:rFonts w:eastAsia="Aptos" w:cs="Arial"/>
          <w:noProof/>
          <w:sz w:val="22"/>
          <w:lang w:val="en-US"/>
        </w:rPr>
        <w:t xml:space="preserve">(2), 190-201. </w:t>
      </w:r>
      <w:hyperlink r:id="rId327" w:history="1">
        <w:r w:rsidR="00CB2B49" w:rsidRPr="00326476">
          <w:rPr>
            <w:rStyle w:val="Hyperlink"/>
            <w:rFonts w:eastAsia="Aptos" w:cs="Arial"/>
            <w:noProof/>
            <w:sz w:val="22"/>
            <w:lang w:val="en-US"/>
          </w:rPr>
          <w:t>https://doi.org/10.3109/13668250.2017.1326591</w:t>
        </w:r>
      </w:hyperlink>
      <w:r w:rsidR="00CB2B49">
        <w:rPr>
          <w:rFonts w:eastAsia="Aptos" w:cs="Arial"/>
          <w:noProof/>
          <w:sz w:val="22"/>
          <w:lang w:val="en-US"/>
        </w:rPr>
        <w:t xml:space="preserve"> </w:t>
      </w:r>
      <w:r w:rsidRPr="008A4826">
        <w:rPr>
          <w:rFonts w:eastAsia="Aptos" w:cs="Arial"/>
          <w:noProof/>
          <w:sz w:val="22"/>
          <w:lang w:val="en-US"/>
        </w:rPr>
        <w:t xml:space="preserve"> </w:t>
      </w:r>
    </w:p>
    <w:p w14:paraId="5F84B7F4" w14:textId="77777777" w:rsidR="008A4826" w:rsidRPr="008A4826" w:rsidRDefault="008A4826" w:rsidP="008A4826">
      <w:pPr>
        <w:spacing w:before="0" w:after="0"/>
        <w:ind w:left="720" w:hanging="720"/>
        <w:rPr>
          <w:rFonts w:eastAsia="Aptos" w:cs="Arial"/>
          <w:noProof/>
          <w:sz w:val="22"/>
          <w:lang w:val="en-US"/>
        </w:rPr>
      </w:pPr>
      <w:r w:rsidRPr="008A4826">
        <w:rPr>
          <w:rFonts w:eastAsia="Aptos" w:cs="Arial"/>
          <w:noProof/>
          <w:sz w:val="22"/>
          <w:lang w:val="en-US"/>
        </w:rPr>
        <w:tab/>
      </w:r>
    </w:p>
    <w:p w14:paraId="019202EE" w14:textId="4E20022C" w:rsidR="008A4826" w:rsidRPr="008A4826" w:rsidRDefault="008A4826" w:rsidP="008A4826">
      <w:pPr>
        <w:spacing w:before="0" w:after="160"/>
        <w:ind w:left="720" w:hanging="720"/>
        <w:rPr>
          <w:rFonts w:eastAsia="Aptos" w:cs="Arial"/>
          <w:noProof/>
          <w:sz w:val="22"/>
          <w:lang w:val="en-US"/>
        </w:rPr>
      </w:pPr>
      <w:r w:rsidRPr="008A4826">
        <w:rPr>
          <w:rFonts w:eastAsia="Aptos" w:cs="Arial"/>
          <w:noProof/>
          <w:sz w:val="22"/>
          <w:lang w:val="en-US"/>
        </w:rPr>
        <w:t xml:space="preserve">Hughes, K., Bellis, M. A., Hardcastle, K. A., Sethi, D., Butchart, A., Mikton, C., Jones, L., &amp; Dunne, M. P. (2017). The effect of multiple adverse childhood experiences on health: a systematic review and meta-analysis. </w:t>
      </w:r>
      <w:r w:rsidRPr="008A4826">
        <w:rPr>
          <w:rFonts w:eastAsia="Aptos" w:cs="Arial"/>
          <w:i/>
          <w:noProof/>
          <w:sz w:val="22"/>
          <w:lang w:val="en-US"/>
        </w:rPr>
        <w:t>The Lancet Public Health</w:t>
      </w:r>
      <w:r w:rsidRPr="008A4826">
        <w:rPr>
          <w:rFonts w:eastAsia="Aptos" w:cs="Arial"/>
          <w:noProof/>
          <w:sz w:val="22"/>
          <w:lang w:val="en-US"/>
        </w:rPr>
        <w:t>,</w:t>
      </w:r>
      <w:r w:rsidRPr="008A4826">
        <w:rPr>
          <w:rFonts w:eastAsia="Aptos" w:cs="Arial"/>
          <w:i/>
          <w:noProof/>
          <w:sz w:val="22"/>
          <w:lang w:val="en-US"/>
        </w:rPr>
        <w:t xml:space="preserve"> 2</w:t>
      </w:r>
      <w:r w:rsidRPr="008A4826">
        <w:rPr>
          <w:rFonts w:eastAsia="Aptos" w:cs="Arial"/>
          <w:noProof/>
          <w:sz w:val="22"/>
          <w:lang w:val="en-US"/>
        </w:rPr>
        <w:t xml:space="preserve">(8), e356-e366. </w:t>
      </w:r>
      <w:hyperlink r:id="rId328" w:history="1">
        <w:r w:rsidR="00CB2B49" w:rsidRPr="00326476">
          <w:rPr>
            <w:rStyle w:val="Hyperlink"/>
            <w:rFonts w:eastAsia="Aptos" w:cs="Arial"/>
            <w:noProof/>
            <w:sz w:val="22"/>
            <w:lang w:val="en-US"/>
          </w:rPr>
          <w:t>https://doi.org/10.1016/S2468-2667(17)30118-4</w:t>
        </w:r>
      </w:hyperlink>
      <w:r w:rsidR="00CB2B49">
        <w:rPr>
          <w:rFonts w:eastAsia="Aptos" w:cs="Arial"/>
          <w:noProof/>
          <w:sz w:val="22"/>
          <w:lang w:val="en-US"/>
        </w:rPr>
        <w:t xml:space="preserve"> </w:t>
      </w:r>
      <w:r w:rsidRPr="008A4826">
        <w:rPr>
          <w:rFonts w:eastAsia="Aptos" w:cs="Arial"/>
          <w:noProof/>
          <w:sz w:val="22"/>
          <w:lang w:val="en-US"/>
        </w:rPr>
        <w:t xml:space="preserve"> </w:t>
      </w:r>
    </w:p>
    <w:p w14:paraId="59871E87" w14:textId="77777777" w:rsidR="008A4826" w:rsidRPr="008A4826" w:rsidRDefault="008A4826" w:rsidP="008A4826">
      <w:pPr>
        <w:spacing w:before="0" w:after="0"/>
        <w:ind w:left="720" w:hanging="720"/>
        <w:rPr>
          <w:rFonts w:eastAsia="Aptos" w:cs="Arial"/>
          <w:noProof/>
          <w:sz w:val="22"/>
          <w:lang w:val="en-US"/>
        </w:rPr>
      </w:pPr>
      <w:r w:rsidRPr="008A4826">
        <w:rPr>
          <w:rFonts w:eastAsia="Aptos" w:cs="Arial"/>
          <w:noProof/>
          <w:sz w:val="22"/>
          <w:lang w:val="en-US"/>
        </w:rPr>
        <w:tab/>
      </w:r>
    </w:p>
    <w:p w14:paraId="465E18E6" w14:textId="115DB2C4" w:rsidR="00723BFA" w:rsidRPr="00723BFA" w:rsidRDefault="00723BFA" w:rsidP="00723BFA">
      <w:pPr>
        <w:spacing w:before="0" w:after="160"/>
        <w:ind w:left="720" w:hanging="720"/>
        <w:rPr>
          <w:rFonts w:eastAsia="Aptos" w:cs="Arial"/>
          <w:noProof/>
          <w:sz w:val="22"/>
          <w:lang w:val="en-US"/>
        </w:rPr>
      </w:pPr>
      <w:r w:rsidRPr="00723BFA">
        <w:rPr>
          <w:rFonts w:eastAsia="Aptos" w:cs="Arial"/>
          <w:noProof/>
          <w:sz w:val="22"/>
          <w:lang w:val="en-US"/>
        </w:rPr>
        <w:t xml:space="preserve">Hurtubise, K., &amp; Carpenter, C. (2011). Parents' experiences in role negotiation within an infant services program. </w:t>
      </w:r>
      <w:r w:rsidRPr="00723BFA">
        <w:rPr>
          <w:rFonts w:eastAsia="Aptos" w:cs="Arial"/>
          <w:i/>
          <w:noProof/>
          <w:sz w:val="22"/>
          <w:lang w:val="en-US"/>
        </w:rPr>
        <w:t>Infants &amp; Young Children</w:t>
      </w:r>
      <w:r w:rsidRPr="00723BFA">
        <w:rPr>
          <w:rFonts w:eastAsia="Aptos" w:cs="Arial"/>
          <w:noProof/>
          <w:sz w:val="22"/>
          <w:lang w:val="en-US"/>
        </w:rPr>
        <w:t>,</w:t>
      </w:r>
      <w:r w:rsidRPr="00723BFA">
        <w:rPr>
          <w:rFonts w:eastAsia="Aptos" w:cs="Arial"/>
          <w:i/>
          <w:noProof/>
          <w:sz w:val="22"/>
          <w:lang w:val="en-US"/>
        </w:rPr>
        <w:t xml:space="preserve"> 24</w:t>
      </w:r>
      <w:r w:rsidRPr="00723BFA">
        <w:rPr>
          <w:rFonts w:eastAsia="Aptos" w:cs="Arial"/>
          <w:noProof/>
          <w:sz w:val="22"/>
          <w:lang w:val="en-US"/>
        </w:rPr>
        <w:t xml:space="preserve">(1), 75-86. </w:t>
      </w:r>
      <w:hyperlink r:id="rId329" w:history="1">
        <w:r w:rsidR="00CB2B49" w:rsidRPr="00723BFA">
          <w:rPr>
            <w:rStyle w:val="Hyperlink"/>
            <w:rFonts w:eastAsia="Aptos" w:cs="Arial"/>
            <w:noProof/>
            <w:sz w:val="22"/>
            <w:lang w:val="en-US"/>
          </w:rPr>
          <w:t>https://doi.org/10.1097/IYC.0b013e3182008b39</w:t>
        </w:r>
      </w:hyperlink>
      <w:r w:rsidR="00CB2B49">
        <w:rPr>
          <w:rFonts w:eastAsia="Aptos" w:cs="Arial"/>
          <w:noProof/>
          <w:sz w:val="22"/>
          <w:lang w:val="en-US"/>
        </w:rPr>
        <w:t xml:space="preserve"> </w:t>
      </w:r>
      <w:r w:rsidRPr="00723BFA">
        <w:rPr>
          <w:rFonts w:eastAsia="Aptos" w:cs="Arial"/>
          <w:noProof/>
          <w:sz w:val="22"/>
          <w:lang w:val="en-US"/>
        </w:rPr>
        <w:t xml:space="preserve"> </w:t>
      </w:r>
    </w:p>
    <w:p w14:paraId="369452C5" w14:textId="77777777" w:rsidR="008A4826" w:rsidRPr="00075790" w:rsidRDefault="008A4826" w:rsidP="008A4826">
      <w:pPr>
        <w:pStyle w:val="EndNoteBibliography"/>
        <w:spacing w:after="0"/>
        <w:ind w:left="720" w:hanging="720"/>
      </w:pPr>
    </w:p>
    <w:p w14:paraId="0CDB4489" w14:textId="1D52CDDF" w:rsidR="00CB2B49" w:rsidRDefault="00EF46FA" w:rsidP="00EF46FA">
      <w:pPr>
        <w:spacing w:before="0" w:after="160"/>
        <w:ind w:left="720" w:hanging="720"/>
        <w:rPr>
          <w:rFonts w:eastAsia="Aptos" w:cs="Arial"/>
          <w:noProof/>
          <w:sz w:val="22"/>
          <w:lang w:val="en-US"/>
        </w:rPr>
      </w:pPr>
      <w:r w:rsidRPr="00EF46FA">
        <w:rPr>
          <w:rFonts w:eastAsia="Aptos" w:cs="Arial"/>
          <w:noProof/>
          <w:sz w:val="22"/>
          <w:lang w:val="en-US"/>
        </w:rPr>
        <w:t xml:space="preserve">Hwang, A.-W., Chao, M.-Y., &amp; Liu, S.-W. (2013). A randomized controlled trial of routines-based early intervention for children with or at risk for developmental delay. </w:t>
      </w:r>
      <w:r w:rsidRPr="00EF46FA">
        <w:rPr>
          <w:rFonts w:eastAsia="Aptos" w:cs="Arial"/>
          <w:i/>
          <w:noProof/>
          <w:sz w:val="22"/>
          <w:lang w:val="en-US"/>
        </w:rPr>
        <w:t>Research in developmental disabilities</w:t>
      </w:r>
      <w:r w:rsidRPr="00EF46FA">
        <w:rPr>
          <w:rFonts w:eastAsia="Aptos" w:cs="Arial"/>
          <w:noProof/>
          <w:sz w:val="22"/>
          <w:lang w:val="en-US"/>
        </w:rPr>
        <w:t>,</w:t>
      </w:r>
      <w:r w:rsidRPr="00EF46FA">
        <w:rPr>
          <w:rFonts w:eastAsia="Aptos" w:cs="Arial"/>
          <w:i/>
          <w:noProof/>
          <w:sz w:val="22"/>
          <w:lang w:val="en-US"/>
        </w:rPr>
        <w:t xml:space="preserve"> 34</w:t>
      </w:r>
      <w:r w:rsidRPr="00EF46FA">
        <w:rPr>
          <w:rFonts w:eastAsia="Aptos" w:cs="Arial"/>
          <w:noProof/>
          <w:sz w:val="22"/>
          <w:lang w:val="en-US"/>
        </w:rPr>
        <w:t xml:space="preserve">(10), 3112-3123. </w:t>
      </w:r>
      <w:hyperlink r:id="rId330" w:history="1">
        <w:r w:rsidR="00CB2B49" w:rsidRPr="00326476">
          <w:rPr>
            <w:rStyle w:val="Hyperlink"/>
            <w:rFonts w:eastAsia="Aptos" w:cs="Arial"/>
            <w:noProof/>
            <w:sz w:val="22"/>
            <w:lang w:val="en-US"/>
          </w:rPr>
          <w:t>https://doi.org/10.1016/j.ridd.2013.06.037</w:t>
        </w:r>
      </w:hyperlink>
    </w:p>
    <w:p w14:paraId="4B7DF6CD" w14:textId="613D6F14" w:rsidR="00EF46FA" w:rsidRPr="00EF46FA" w:rsidRDefault="00EF46FA" w:rsidP="00EF46FA">
      <w:pPr>
        <w:spacing w:before="0" w:after="160"/>
        <w:ind w:left="720" w:hanging="720"/>
        <w:rPr>
          <w:rFonts w:eastAsia="Aptos" w:cs="Arial"/>
          <w:noProof/>
          <w:sz w:val="22"/>
          <w:lang w:val="en-US"/>
        </w:rPr>
      </w:pPr>
      <w:r w:rsidRPr="00EF46FA">
        <w:rPr>
          <w:rFonts w:eastAsia="Aptos" w:cs="Arial"/>
          <w:noProof/>
          <w:sz w:val="22"/>
          <w:lang w:val="en-US"/>
        </w:rPr>
        <w:t xml:space="preserve"> </w:t>
      </w:r>
    </w:p>
    <w:p w14:paraId="3A71E513" w14:textId="77777777" w:rsidR="00EF46FA" w:rsidRPr="00EF46FA" w:rsidRDefault="00EF46FA" w:rsidP="00EF46FA">
      <w:pPr>
        <w:spacing w:before="0" w:after="0"/>
        <w:ind w:left="720" w:hanging="720"/>
        <w:rPr>
          <w:rFonts w:eastAsia="Aptos" w:cs="Arial"/>
          <w:noProof/>
          <w:sz w:val="22"/>
          <w:lang w:val="en-US"/>
        </w:rPr>
      </w:pPr>
      <w:r w:rsidRPr="00EF46FA">
        <w:rPr>
          <w:rFonts w:eastAsia="Aptos" w:cs="Arial"/>
          <w:noProof/>
          <w:sz w:val="22"/>
          <w:lang w:val="en-US"/>
        </w:rPr>
        <w:tab/>
      </w:r>
    </w:p>
    <w:p w14:paraId="4C04C86F" w14:textId="5E927B8B" w:rsidR="00CB2B49" w:rsidRDefault="00EF46FA" w:rsidP="00EF46FA">
      <w:pPr>
        <w:spacing w:before="0" w:after="160"/>
        <w:ind w:left="720" w:hanging="720"/>
        <w:rPr>
          <w:rFonts w:eastAsia="Aptos" w:cs="Arial"/>
          <w:noProof/>
          <w:sz w:val="22"/>
          <w:lang w:val="en-US"/>
        </w:rPr>
      </w:pPr>
      <w:r w:rsidRPr="00EF46FA">
        <w:rPr>
          <w:rFonts w:eastAsia="Aptos" w:cs="Arial"/>
          <w:noProof/>
          <w:sz w:val="22"/>
          <w:lang w:val="en-US"/>
        </w:rPr>
        <w:t xml:space="preserve">Immordino-Yang, M. H., Darling-Hammond, L., &amp; Krone, C. R. (2019). Nurturing nature: How brain development is inherently social and emotional, and what this means for education. </w:t>
      </w:r>
      <w:r w:rsidRPr="00EF46FA">
        <w:rPr>
          <w:rFonts w:eastAsia="Aptos" w:cs="Arial"/>
          <w:i/>
          <w:noProof/>
          <w:sz w:val="22"/>
          <w:lang w:val="en-US"/>
        </w:rPr>
        <w:t>Educational Psychologist</w:t>
      </w:r>
      <w:r w:rsidRPr="00EF46FA">
        <w:rPr>
          <w:rFonts w:eastAsia="Aptos" w:cs="Arial"/>
          <w:noProof/>
          <w:sz w:val="22"/>
          <w:lang w:val="en-US"/>
        </w:rPr>
        <w:t>,</w:t>
      </w:r>
      <w:r w:rsidRPr="00EF46FA">
        <w:rPr>
          <w:rFonts w:eastAsia="Aptos" w:cs="Arial"/>
          <w:i/>
          <w:noProof/>
          <w:sz w:val="22"/>
          <w:lang w:val="en-US"/>
        </w:rPr>
        <w:t xml:space="preserve"> 54</w:t>
      </w:r>
      <w:r w:rsidRPr="00EF46FA">
        <w:rPr>
          <w:rFonts w:eastAsia="Aptos" w:cs="Arial"/>
          <w:noProof/>
          <w:sz w:val="22"/>
          <w:lang w:val="en-US"/>
        </w:rPr>
        <w:t xml:space="preserve">(3), 185-204. </w:t>
      </w:r>
      <w:hyperlink r:id="rId331" w:history="1">
        <w:r w:rsidR="00CB2B49" w:rsidRPr="00326476">
          <w:rPr>
            <w:rStyle w:val="Hyperlink"/>
            <w:rFonts w:eastAsia="Aptos" w:cs="Arial"/>
            <w:noProof/>
            <w:sz w:val="22"/>
            <w:lang w:val="en-US"/>
          </w:rPr>
          <w:t>https://doi.org/10.1080/00461520.2019.1633924</w:t>
        </w:r>
      </w:hyperlink>
    </w:p>
    <w:p w14:paraId="3E6DD222" w14:textId="4460AE20" w:rsidR="00EF46FA" w:rsidRPr="00EF46FA" w:rsidRDefault="00EF46FA" w:rsidP="00EF46FA">
      <w:pPr>
        <w:spacing w:before="0" w:after="160"/>
        <w:ind w:left="720" w:hanging="720"/>
        <w:rPr>
          <w:rFonts w:eastAsia="Aptos" w:cs="Arial"/>
          <w:noProof/>
          <w:sz w:val="22"/>
          <w:lang w:val="en-US"/>
        </w:rPr>
      </w:pPr>
      <w:r w:rsidRPr="00EF46FA">
        <w:rPr>
          <w:rFonts w:eastAsia="Aptos" w:cs="Arial"/>
          <w:noProof/>
          <w:sz w:val="22"/>
          <w:lang w:val="en-US"/>
        </w:rPr>
        <w:t xml:space="preserve"> </w:t>
      </w:r>
    </w:p>
    <w:p w14:paraId="2C73A2E1" w14:textId="69826677" w:rsidR="0001337D" w:rsidRPr="0001337D" w:rsidRDefault="0001337D" w:rsidP="0001337D">
      <w:pPr>
        <w:spacing w:before="0" w:after="160"/>
        <w:ind w:left="720" w:hanging="720"/>
        <w:rPr>
          <w:rFonts w:eastAsia="Aptos" w:cs="Arial"/>
          <w:noProof/>
          <w:sz w:val="22"/>
          <w:lang w:val="en-US"/>
        </w:rPr>
      </w:pPr>
      <w:r w:rsidRPr="0001337D">
        <w:rPr>
          <w:rFonts w:eastAsia="Aptos" w:cs="Arial"/>
          <w:noProof/>
          <w:sz w:val="22"/>
          <w:lang w:val="en-US"/>
        </w:rPr>
        <w:t xml:space="preserve">Imms, C. (2020). Participation in diverse life situations for people with disability: A vision for the future. </w:t>
      </w:r>
      <w:r w:rsidRPr="0001337D">
        <w:rPr>
          <w:rFonts w:eastAsia="Aptos" w:cs="Arial"/>
          <w:i/>
          <w:noProof/>
          <w:sz w:val="22"/>
          <w:lang w:val="en-US"/>
        </w:rPr>
        <w:t>Developmental Medicine and Child Neurology</w:t>
      </w:r>
      <w:r w:rsidRPr="0001337D">
        <w:rPr>
          <w:rFonts w:eastAsia="Aptos" w:cs="Arial"/>
          <w:noProof/>
          <w:sz w:val="22"/>
          <w:lang w:val="en-US"/>
        </w:rPr>
        <w:t>,</w:t>
      </w:r>
      <w:r w:rsidRPr="0001337D">
        <w:rPr>
          <w:rFonts w:eastAsia="Aptos" w:cs="Arial"/>
          <w:i/>
          <w:noProof/>
          <w:sz w:val="22"/>
          <w:lang w:val="en-US"/>
        </w:rPr>
        <w:t xml:space="preserve"> 62</w:t>
      </w:r>
      <w:r w:rsidRPr="0001337D">
        <w:rPr>
          <w:rFonts w:eastAsia="Aptos" w:cs="Arial"/>
          <w:noProof/>
          <w:sz w:val="22"/>
          <w:lang w:val="en-US"/>
        </w:rPr>
        <w:t xml:space="preserve">(1), 5-5. </w:t>
      </w:r>
      <w:hyperlink r:id="rId332" w:history="1">
        <w:r w:rsidR="00CB2B49" w:rsidRPr="00326476">
          <w:rPr>
            <w:rStyle w:val="Hyperlink"/>
            <w:rFonts w:eastAsia="Aptos" w:cs="Arial"/>
            <w:noProof/>
            <w:sz w:val="22"/>
            <w:lang w:val="en-US"/>
          </w:rPr>
          <w:t>https://doi.org/10.1111/dmcn.14399</w:t>
        </w:r>
      </w:hyperlink>
      <w:r w:rsidR="00CB2B49">
        <w:rPr>
          <w:rFonts w:eastAsia="Aptos" w:cs="Arial"/>
          <w:noProof/>
          <w:sz w:val="22"/>
          <w:lang w:val="en-US"/>
        </w:rPr>
        <w:t xml:space="preserve"> </w:t>
      </w:r>
      <w:r w:rsidRPr="0001337D">
        <w:rPr>
          <w:rFonts w:eastAsia="Aptos" w:cs="Arial"/>
          <w:noProof/>
          <w:sz w:val="22"/>
          <w:lang w:val="en-US"/>
        </w:rPr>
        <w:t xml:space="preserve"> </w:t>
      </w:r>
    </w:p>
    <w:p w14:paraId="6B3C4C41" w14:textId="77777777" w:rsidR="0001337D" w:rsidRPr="0001337D" w:rsidRDefault="0001337D" w:rsidP="0001337D">
      <w:pPr>
        <w:spacing w:before="0" w:after="0"/>
        <w:ind w:left="720" w:hanging="720"/>
        <w:rPr>
          <w:rFonts w:eastAsia="Aptos" w:cs="Arial"/>
          <w:noProof/>
          <w:sz w:val="22"/>
          <w:lang w:val="en-US"/>
        </w:rPr>
      </w:pPr>
      <w:r w:rsidRPr="0001337D">
        <w:rPr>
          <w:rFonts w:eastAsia="Aptos" w:cs="Arial"/>
          <w:noProof/>
          <w:sz w:val="22"/>
          <w:lang w:val="en-US"/>
        </w:rPr>
        <w:tab/>
      </w:r>
    </w:p>
    <w:p w14:paraId="03465480" w14:textId="0DFD237A" w:rsidR="0001337D" w:rsidRPr="0001337D" w:rsidRDefault="0001337D" w:rsidP="0001337D">
      <w:pPr>
        <w:spacing w:before="0" w:after="160"/>
        <w:ind w:left="720" w:hanging="720"/>
        <w:rPr>
          <w:rFonts w:eastAsia="Aptos" w:cs="Arial"/>
          <w:noProof/>
          <w:sz w:val="22"/>
          <w:lang w:val="en-US"/>
        </w:rPr>
      </w:pPr>
      <w:r w:rsidRPr="0001337D">
        <w:rPr>
          <w:rFonts w:eastAsia="Aptos" w:cs="Arial"/>
          <w:noProof/>
          <w:sz w:val="22"/>
          <w:lang w:val="en-US"/>
        </w:rPr>
        <w:t xml:space="preserve">Imms, C., &amp; Adair, B. (2017). Participation trajectories: impact of school transitions on children and adolescents with cerebral palsy. </w:t>
      </w:r>
      <w:r w:rsidRPr="0001337D">
        <w:rPr>
          <w:rFonts w:eastAsia="Aptos" w:cs="Arial"/>
          <w:i/>
          <w:noProof/>
          <w:sz w:val="22"/>
          <w:lang w:val="en-US"/>
        </w:rPr>
        <w:t>Developmental Medicine and Child Neurology</w:t>
      </w:r>
      <w:r w:rsidRPr="0001337D">
        <w:rPr>
          <w:rFonts w:eastAsia="Aptos" w:cs="Arial"/>
          <w:noProof/>
          <w:sz w:val="22"/>
          <w:lang w:val="en-US"/>
        </w:rPr>
        <w:t>,</w:t>
      </w:r>
      <w:r w:rsidRPr="0001337D">
        <w:rPr>
          <w:rFonts w:eastAsia="Aptos" w:cs="Arial"/>
          <w:i/>
          <w:noProof/>
          <w:sz w:val="22"/>
          <w:lang w:val="en-US"/>
        </w:rPr>
        <w:t xml:space="preserve"> 59</w:t>
      </w:r>
      <w:r w:rsidRPr="0001337D">
        <w:rPr>
          <w:rFonts w:eastAsia="Aptos" w:cs="Arial"/>
          <w:noProof/>
          <w:sz w:val="22"/>
          <w:lang w:val="en-US"/>
        </w:rPr>
        <w:t xml:space="preserve">(2), 174-182. </w:t>
      </w:r>
      <w:hyperlink r:id="rId333" w:history="1">
        <w:r w:rsidR="00CB2B49" w:rsidRPr="00326476">
          <w:rPr>
            <w:rStyle w:val="Hyperlink"/>
            <w:rFonts w:eastAsia="Aptos" w:cs="Arial"/>
            <w:noProof/>
            <w:sz w:val="22"/>
            <w:lang w:val="en-US"/>
          </w:rPr>
          <w:t>https://doi.org/10.1111/dmcn.13229</w:t>
        </w:r>
      </w:hyperlink>
      <w:r w:rsidR="00CB2B49">
        <w:rPr>
          <w:rFonts w:eastAsia="Aptos" w:cs="Arial"/>
          <w:noProof/>
          <w:sz w:val="22"/>
          <w:lang w:val="en-US"/>
        </w:rPr>
        <w:t xml:space="preserve"> </w:t>
      </w:r>
      <w:r w:rsidRPr="0001337D">
        <w:rPr>
          <w:rFonts w:eastAsia="Aptos" w:cs="Arial"/>
          <w:noProof/>
          <w:sz w:val="22"/>
          <w:lang w:val="en-US"/>
        </w:rPr>
        <w:t xml:space="preserve"> </w:t>
      </w:r>
    </w:p>
    <w:p w14:paraId="3C2461C8" w14:textId="77777777" w:rsidR="0001337D" w:rsidRPr="0001337D" w:rsidRDefault="0001337D" w:rsidP="0001337D">
      <w:pPr>
        <w:spacing w:before="0" w:after="0"/>
        <w:ind w:left="720" w:hanging="720"/>
        <w:rPr>
          <w:rFonts w:eastAsia="Aptos" w:cs="Arial"/>
          <w:noProof/>
          <w:sz w:val="22"/>
          <w:lang w:val="en-US"/>
        </w:rPr>
      </w:pPr>
      <w:r w:rsidRPr="0001337D">
        <w:rPr>
          <w:rFonts w:eastAsia="Aptos" w:cs="Arial"/>
          <w:noProof/>
          <w:sz w:val="22"/>
          <w:lang w:val="en-US"/>
        </w:rPr>
        <w:tab/>
      </w:r>
    </w:p>
    <w:p w14:paraId="5AC800BC" w14:textId="3A7E8D6B" w:rsidR="0001337D" w:rsidRPr="0001337D" w:rsidRDefault="0001337D" w:rsidP="0001337D">
      <w:pPr>
        <w:spacing w:before="0" w:after="160"/>
        <w:ind w:left="720" w:hanging="720"/>
        <w:rPr>
          <w:rFonts w:eastAsia="Aptos" w:cs="Arial"/>
          <w:noProof/>
          <w:sz w:val="22"/>
          <w:lang w:val="en-US"/>
        </w:rPr>
      </w:pPr>
      <w:r w:rsidRPr="0001337D">
        <w:rPr>
          <w:rFonts w:eastAsia="Aptos" w:cs="Arial"/>
          <w:noProof/>
          <w:sz w:val="22"/>
          <w:lang w:val="en-US"/>
        </w:rPr>
        <w:t xml:space="preserve">Imms, C., Adair, B., Keen, D., Ullenhag, A., Rosenbaum, P., &amp; Granlund, M. (2016). 'Participation': a systematic review of language, definitions, and constructs used in intervention research with children with disabilities. </w:t>
      </w:r>
      <w:r w:rsidRPr="0001337D">
        <w:rPr>
          <w:rFonts w:eastAsia="Aptos" w:cs="Arial"/>
          <w:i/>
          <w:noProof/>
          <w:sz w:val="22"/>
          <w:lang w:val="en-US"/>
        </w:rPr>
        <w:t>Developmental Medicine and Child Neurology</w:t>
      </w:r>
      <w:r w:rsidRPr="0001337D">
        <w:rPr>
          <w:rFonts w:eastAsia="Aptos" w:cs="Arial"/>
          <w:noProof/>
          <w:sz w:val="22"/>
          <w:lang w:val="en-US"/>
        </w:rPr>
        <w:t>,</w:t>
      </w:r>
      <w:r w:rsidRPr="0001337D">
        <w:rPr>
          <w:rFonts w:eastAsia="Aptos" w:cs="Arial"/>
          <w:i/>
          <w:noProof/>
          <w:sz w:val="22"/>
          <w:lang w:val="en-US"/>
        </w:rPr>
        <w:t xml:space="preserve"> 58</w:t>
      </w:r>
      <w:r w:rsidRPr="0001337D">
        <w:rPr>
          <w:rFonts w:eastAsia="Aptos" w:cs="Arial"/>
          <w:noProof/>
          <w:sz w:val="22"/>
          <w:lang w:val="en-US"/>
        </w:rPr>
        <w:t xml:space="preserve">(1), 29-38. </w:t>
      </w:r>
      <w:hyperlink r:id="rId334" w:history="1">
        <w:r w:rsidR="00CB2B49" w:rsidRPr="00326476">
          <w:rPr>
            <w:rStyle w:val="Hyperlink"/>
            <w:rFonts w:eastAsia="Aptos" w:cs="Arial"/>
            <w:noProof/>
            <w:sz w:val="22"/>
            <w:lang w:val="en-US"/>
          </w:rPr>
          <w:t>https://doi.org/10.1111/dmcn.12932</w:t>
        </w:r>
      </w:hyperlink>
      <w:r w:rsidR="00CB2B49">
        <w:rPr>
          <w:rFonts w:eastAsia="Aptos" w:cs="Arial"/>
          <w:noProof/>
          <w:sz w:val="22"/>
          <w:lang w:val="en-US"/>
        </w:rPr>
        <w:t xml:space="preserve"> </w:t>
      </w:r>
      <w:r w:rsidRPr="0001337D">
        <w:rPr>
          <w:rFonts w:eastAsia="Aptos" w:cs="Arial"/>
          <w:noProof/>
          <w:sz w:val="22"/>
          <w:lang w:val="en-US"/>
        </w:rPr>
        <w:t xml:space="preserve"> </w:t>
      </w:r>
    </w:p>
    <w:p w14:paraId="35BC6C4E" w14:textId="1CDFBA11" w:rsidR="000B6CCC" w:rsidRPr="000B6CCC" w:rsidRDefault="000B6CCC" w:rsidP="000B6CCC">
      <w:pPr>
        <w:spacing w:before="0" w:after="160"/>
        <w:ind w:left="720" w:hanging="720"/>
        <w:rPr>
          <w:rFonts w:eastAsia="Aptos" w:cs="Arial"/>
          <w:noProof/>
          <w:sz w:val="22"/>
          <w:lang w:val="en-US"/>
        </w:rPr>
      </w:pPr>
      <w:r w:rsidRPr="000B6CCC">
        <w:rPr>
          <w:rFonts w:eastAsia="Aptos" w:cs="Arial"/>
          <w:noProof/>
          <w:sz w:val="22"/>
          <w:lang w:val="en-US"/>
        </w:rPr>
        <w:t xml:space="preserve">Imms, C., Granlund, M., Wilson, P. H., Steenbergen, B., Rosenbaum, P. L., &amp; Gordon, A. M. (2017). Participation, both a means and an end: a conceptual analysis of processes and outcomes in childhood disability. </w:t>
      </w:r>
      <w:r w:rsidRPr="000B6CCC">
        <w:rPr>
          <w:rFonts w:eastAsia="Aptos" w:cs="Arial"/>
          <w:i/>
          <w:noProof/>
          <w:sz w:val="22"/>
          <w:lang w:val="en-US"/>
        </w:rPr>
        <w:t>Developmental Medicine and Child Neurology</w:t>
      </w:r>
      <w:r w:rsidRPr="000B6CCC">
        <w:rPr>
          <w:rFonts w:eastAsia="Aptos" w:cs="Arial"/>
          <w:noProof/>
          <w:sz w:val="22"/>
          <w:lang w:val="en-US"/>
        </w:rPr>
        <w:t>,</w:t>
      </w:r>
      <w:r w:rsidRPr="000B6CCC">
        <w:rPr>
          <w:rFonts w:eastAsia="Aptos" w:cs="Arial"/>
          <w:i/>
          <w:noProof/>
          <w:sz w:val="22"/>
          <w:lang w:val="en-US"/>
        </w:rPr>
        <w:t xml:space="preserve"> 59</w:t>
      </w:r>
      <w:r w:rsidRPr="000B6CCC">
        <w:rPr>
          <w:rFonts w:eastAsia="Aptos" w:cs="Arial"/>
          <w:noProof/>
          <w:sz w:val="22"/>
          <w:lang w:val="en-US"/>
        </w:rPr>
        <w:t xml:space="preserve">(1), 16-25. </w:t>
      </w:r>
      <w:hyperlink r:id="rId335" w:history="1">
        <w:r w:rsidR="00CB2B49" w:rsidRPr="00326476">
          <w:rPr>
            <w:rStyle w:val="Hyperlink"/>
            <w:rFonts w:eastAsia="Aptos" w:cs="Arial"/>
            <w:noProof/>
            <w:sz w:val="22"/>
            <w:lang w:val="en-US"/>
          </w:rPr>
          <w:t>https://doi.org/10.1111/dmcn.13237</w:t>
        </w:r>
      </w:hyperlink>
      <w:r w:rsidR="00CB2B49">
        <w:rPr>
          <w:rFonts w:eastAsia="Aptos" w:cs="Arial"/>
          <w:noProof/>
          <w:sz w:val="22"/>
          <w:lang w:val="en-US"/>
        </w:rPr>
        <w:t xml:space="preserve"> </w:t>
      </w:r>
      <w:r w:rsidRPr="000B6CCC">
        <w:rPr>
          <w:rFonts w:eastAsia="Aptos" w:cs="Arial"/>
          <w:noProof/>
          <w:sz w:val="22"/>
          <w:lang w:val="en-US"/>
        </w:rPr>
        <w:t xml:space="preserve"> </w:t>
      </w:r>
      <w:r w:rsidR="00CB2B49">
        <w:rPr>
          <w:rFonts w:eastAsia="Aptos" w:cs="Arial"/>
          <w:noProof/>
          <w:sz w:val="22"/>
          <w:lang w:val="en-US"/>
        </w:rPr>
        <w:t xml:space="preserve"> </w:t>
      </w:r>
    </w:p>
    <w:p w14:paraId="63C02C00" w14:textId="779B767E" w:rsidR="0030178D" w:rsidRPr="00075790" w:rsidRDefault="0030178D" w:rsidP="0030178D">
      <w:pPr>
        <w:pStyle w:val="EndNoteBibliography"/>
        <w:spacing w:after="0"/>
        <w:ind w:left="720" w:hanging="720"/>
      </w:pPr>
      <w:r w:rsidRPr="00075790">
        <w:t xml:space="preserve"> </w:t>
      </w:r>
    </w:p>
    <w:p w14:paraId="210987A1" w14:textId="40537924" w:rsidR="00A40728" w:rsidRPr="00A40728" w:rsidRDefault="00A40728" w:rsidP="00A40728">
      <w:pPr>
        <w:spacing w:before="0" w:after="160"/>
        <w:ind w:left="720" w:hanging="720"/>
        <w:rPr>
          <w:rFonts w:eastAsia="Aptos" w:cs="Arial"/>
          <w:noProof/>
          <w:sz w:val="22"/>
          <w:lang w:val="en-US"/>
        </w:rPr>
      </w:pPr>
      <w:r w:rsidRPr="00A40728">
        <w:rPr>
          <w:rFonts w:eastAsia="Aptos" w:cs="Arial"/>
          <w:noProof/>
          <w:sz w:val="22"/>
          <w:lang w:val="en-US"/>
        </w:rPr>
        <w:t xml:space="preserve">Individuals for Disabilities Education Act (IDEA). (2024). </w:t>
      </w:r>
      <w:r w:rsidRPr="00A40728">
        <w:rPr>
          <w:rFonts w:eastAsia="Aptos" w:cs="Arial"/>
          <w:i/>
          <w:noProof/>
          <w:sz w:val="22"/>
          <w:lang w:val="en-US"/>
        </w:rPr>
        <w:t>At-a-glance: An Introduction to Part C of the Individuals with Disabilities Education Act (IDEA)</w:t>
      </w:r>
      <w:r w:rsidRPr="00A40728">
        <w:rPr>
          <w:rFonts w:eastAsia="Aptos" w:cs="Arial"/>
          <w:noProof/>
          <w:sz w:val="22"/>
          <w:lang w:val="en-US"/>
        </w:rPr>
        <w:t xml:space="preserve">.  Retrieved 6 September, 2024 from </w:t>
      </w:r>
      <w:hyperlink r:id="rId336" w:history="1">
        <w:r w:rsidR="00CB2B49" w:rsidRPr="00326476">
          <w:rPr>
            <w:rStyle w:val="Hyperlink"/>
            <w:rFonts w:eastAsia="Aptos" w:cs="Arial"/>
            <w:noProof/>
            <w:sz w:val="22"/>
            <w:lang w:val="en-US"/>
          </w:rPr>
          <w:t>https://www.ideainfanttoddler.org/pdf/at_a_glance_an_introduction_to_part_c_1.pdf</w:t>
        </w:r>
      </w:hyperlink>
      <w:r w:rsidR="00CB2B49">
        <w:rPr>
          <w:rFonts w:eastAsia="Aptos" w:cs="Arial"/>
          <w:noProof/>
          <w:sz w:val="22"/>
          <w:lang w:val="en-US"/>
        </w:rPr>
        <w:t xml:space="preserve"> </w:t>
      </w:r>
    </w:p>
    <w:p w14:paraId="05A4E171" w14:textId="77777777" w:rsidR="00A40728" w:rsidRPr="00A40728" w:rsidRDefault="00A40728" w:rsidP="00A40728">
      <w:pPr>
        <w:spacing w:before="0" w:after="0"/>
        <w:ind w:left="720" w:hanging="720"/>
        <w:rPr>
          <w:rFonts w:eastAsia="Aptos" w:cs="Arial"/>
          <w:noProof/>
          <w:sz w:val="22"/>
          <w:lang w:val="en-US"/>
        </w:rPr>
      </w:pPr>
      <w:r w:rsidRPr="00A40728">
        <w:rPr>
          <w:rFonts w:eastAsia="Aptos" w:cs="Arial"/>
          <w:noProof/>
          <w:sz w:val="22"/>
          <w:lang w:val="en-US"/>
        </w:rPr>
        <w:tab/>
      </w:r>
    </w:p>
    <w:p w14:paraId="21695723" w14:textId="7FF5B926" w:rsidR="00A40728" w:rsidRPr="00A40728" w:rsidRDefault="00A40728" w:rsidP="00A40728">
      <w:pPr>
        <w:spacing w:before="0" w:after="160"/>
        <w:ind w:left="720" w:hanging="720"/>
        <w:rPr>
          <w:rFonts w:eastAsia="Aptos" w:cs="Arial"/>
          <w:noProof/>
          <w:sz w:val="22"/>
          <w:lang w:val="en-US"/>
        </w:rPr>
      </w:pPr>
      <w:r w:rsidRPr="00A40728">
        <w:rPr>
          <w:rFonts w:eastAsia="Aptos" w:cs="Arial"/>
          <w:noProof/>
          <w:sz w:val="22"/>
          <w:lang w:val="en-US"/>
        </w:rPr>
        <w:t xml:space="preserve">Ineese-Nash, N. (2020). Disability as a colonial construct: The missing discourse of culture in conceptualizations of disabled Indigenous children. </w:t>
      </w:r>
      <w:r w:rsidRPr="00A40728">
        <w:rPr>
          <w:rFonts w:eastAsia="Aptos" w:cs="Arial"/>
          <w:i/>
          <w:noProof/>
          <w:sz w:val="22"/>
          <w:lang w:val="en-US"/>
        </w:rPr>
        <w:t>Canadian Journal of Disability Studies</w:t>
      </w:r>
      <w:r w:rsidRPr="00A40728">
        <w:rPr>
          <w:rFonts w:eastAsia="Aptos" w:cs="Arial"/>
          <w:noProof/>
          <w:sz w:val="22"/>
          <w:lang w:val="en-US"/>
        </w:rPr>
        <w:t>,</w:t>
      </w:r>
      <w:r w:rsidRPr="00A40728">
        <w:rPr>
          <w:rFonts w:eastAsia="Aptos" w:cs="Arial"/>
          <w:i/>
          <w:noProof/>
          <w:sz w:val="22"/>
          <w:lang w:val="en-US"/>
        </w:rPr>
        <w:t xml:space="preserve"> 9</w:t>
      </w:r>
      <w:r w:rsidRPr="00A40728">
        <w:rPr>
          <w:rFonts w:eastAsia="Aptos" w:cs="Arial"/>
          <w:noProof/>
          <w:sz w:val="22"/>
          <w:lang w:val="en-US"/>
        </w:rPr>
        <w:t xml:space="preserve">(3), 28-51. </w:t>
      </w:r>
      <w:hyperlink r:id="rId337" w:history="1">
        <w:r w:rsidR="00CB2B49" w:rsidRPr="00326476">
          <w:rPr>
            <w:rStyle w:val="Hyperlink"/>
            <w:rFonts w:eastAsia="Aptos" w:cs="Arial"/>
            <w:noProof/>
            <w:sz w:val="22"/>
            <w:lang w:val="en-US"/>
          </w:rPr>
          <w:t>https://doi.org/10.15353/cjds.v9i3.645</w:t>
        </w:r>
      </w:hyperlink>
      <w:r w:rsidR="00CB2B49">
        <w:rPr>
          <w:rFonts w:eastAsia="Aptos" w:cs="Arial"/>
          <w:noProof/>
          <w:sz w:val="22"/>
          <w:lang w:val="en-US"/>
        </w:rPr>
        <w:t xml:space="preserve"> </w:t>
      </w:r>
      <w:r w:rsidRPr="00A40728">
        <w:rPr>
          <w:rFonts w:eastAsia="Aptos" w:cs="Arial"/>
          <w:noProof/>
          <w:sz w:val="22"/>
          <w:lang w:val="en-US"/>
        </w:rPr>
        <w:t xml:space="preserve"> </w:t>
      </w:r>
    </w:p>
    <w:p w14:paraId="61409E33" w14:textId="77777777" w:rsidR="00A40728" w:rsidRPr="00A40728" w:rsidRDefault="00A40728" w:rsidP="00A40728">
      <w:pPr>
        <w:spacing w:before="0" w:after="0"/>
        <w:ind w:left="720" w:hanging="720"/>
        <w:rPr>
          <w:rFonts w:eastAsia="Aptos" w:cs="Arial"/>
          <w:noProof/>
          <w:sz w:val="22"/>
          <w:lang w:val="en-US"/>
        </w:rPr>
      </w:pPr>
      <w:r w:rsidRPr="00A40728">
        <w:rPr>
          <w:rFonts w:eastAsia="Aptos" w:cs="Arial"/>
          <w:noProof/>
          <w:sz w:val="22"/>
          <w:lang w:val="en-US"/>
        </w:rPr>
        <w:tab/>
      </w:r>
    </w:p>
    <w:p w14:paraId="0701E51F" w14:textId="23C0D790" w:rsidR="00A40728" w:rsidRDefault="00A40728" w:rsidP="00A40728">
      <w:pPr>
        <w:spacing w:before="0" w:after="160"/>
        <w:ind w:left="720" w:hanging="720"/>
        <w:rPr>
          <w:rFonts w:eastAsia="Aptos" w:cs="Arial"/>
          <w:noProof/>
          <w:sz w:val="22"/>
          <w:lang w:val="en-US"/>
        </w:rPr>
      </w:pPr>
      <w:r w:rsidRPr="00A40728">
        <w:rPr>
          <w:rFonts w:eastAsia="Aptos" w:cs="Arial"/>
          <w:noProof/>
          <w:sz w:val="22"/>
          <w:lang w:val="en-US"/>
        </w:rPr>
        <w:t xml:space="preserve">Ingram, R., &amp; Smith, M. (2018). </w:t>
      </w:r>
      <w:r w:rsidRPr="00A40728">
        <w:rPr>
          <w:rFonts w:eastAsia="Aptos" w:cs="Arial"/>
          <w:i/>
          <w:noProof/>
          <w:sz w:val="22"/>
          <w:lang w:val="en-US"/>
        </w:rPr>
        <w:t>Relationship-based practice: emergent themes in social work literature</w:t>
      </w:r>
      <w:r w:rsidRPr="00A40728">
        <w:rPr>
          <w:rFonts w:eastAsia="Aptos" w:cs="Arial"/>
          <w:noProof/>
          <w:sz w:val="22"/>
          <w:lang w:val="en-US"/>
        </w:rPr>
        <w:t xml:space="preserve">. Glasgow, Scotland: Institute for Research and Innovation in Social Services (IRISS). Retrieved 6 September, 2024 from </w:t>
      </w:r>
      <w:hyperlink r:id="rId338" w:history="1">
        <w:r w:rsidR="00CB2B49" w:rsidRPr="00326476">
          <w:rPr>
            <w:rStyle w:val="Hyperlink"/>
            <w:rFonts w:eastAsia="Aptos" w:cs="Arial"/>
            <w:noProof/>
            <w:sz w:val="22"/>
            <w:lang w:val="en-US"/>
          </w:rPr>
          <w:t>https://www.iriss.org.uk/resources/insights/relationship-based-practice-emergent-themes-social-work-literature</w:t>
        </w:r>
      </w:hyperlink>
      <w:r w:rsidR="00CB2B49">
        <w:rPr>
          <w:rFonts w:eastAsia="Aptos" w:cs="Arial"/>
          <w:noProof/>
          <w:sz w:val="22"/>
          <w:lang w:val="en-US"/>
        </w:rPr>
        <w:t xml:space="preserve"> </w:t>
      </w:r>
    </w:p>
    <w:p w14:paraId="7827A8C1" w14:textId="77777777" w:rsidR="00CB2B49" w:rsidRPr="00A40728" w:rsidRDefault="00CB2B49" w:rsidP="00A40728">
      <w:pPr>
        <w:spacing w:before="0" w:after="160"/>
        <w:ind w:left="720" w:hanging="720"/>
        <w:rPr>
          <w:rFonts w:eastAsia="Aptos" w:cs="Arial"/>
          <w:noProof/>
          <w:sz w:val="22"/>
          <w:lang w:val="en-US"/>
        </w:rPr>
      </w:pPr>
    </w:p>
    <w:p w14:paraId="3A904984" w14:textId="64AE00BF" w:rsidR="00152148" w:rsidRPr="00152148" w:rsidRDefault="00152148" w:rsidP="00152148">
      <w:pPr>
        <w:spacing w:before="0" w:after="160"/>
        <w:ind w:left="720" w:hanging="720"/>
        <w:rPr>
          <w:rFonts w:eastAsia="Aptos" w:cs="Arial"/>
          <w:noProof/>
          <w:sz w:val="22"/>
          <w:lang w:val="en-US"/>
        </w:rPr>
      </w:pPr>
      <w:r w:rsidRPr="00152148">
        <w:rPr>
          <w:rFonts w:eastAsia="Aptos" w:cs="Arial"/>
          <w:noProof/>
          <w:sz w:val="22"/>
          <w:lang w:val="en-US"/>
        </w:rPr>
        <w:t xml:space="preserve">Institute for Research and Innovation in Social Services (IRISS). (2010, 16 December). </w:t>
      </w:r>
      <w:r w:rsidRPr="00152148">
        <w:rPr>
          <w:rFonts w:eastAsia="Aptos" w:cs="Arial"/>
          <w:i/>
          <w:noProof/>
          <w:sz w:val="22"/>
          <w:lang w:val="en-US"/>
        </w:rPr>
        <w:t>Leading for outcomes: A guide</w:t>
      </w:r>
      <w:r w:rsidRPr="00152148">
        <w:rPr>
          <w:rFonts w:eastAsia="Aptos" w:cs="Arial"/>
          <w:noProof/>
          <w:sz w:val="22"/>
          <w:lang w:val="en-US"/>
        </w:rPr>
        <w:t xml:space="preserve">. Glasgow, Scotland: Institute for Research and Innovation in Social Services (IRISS). Retrieved 6 September, 2024 from </w:t>
      </w:r>
      <w:hyperlink r:id="rId339" w:history="1">
        <w:r w:rsidR="00CB2B49" w:rsidRPr="00326476">
          <w:rPr>
            <w:rStyle w:val="Hyperlink"/>
            <w:rFonts w:eastAsia="Aptos" w:cs="Arial"/>
            <w:noProof/>
            <w:sz w:val="22"/>
            <w:lang w:val="en-US"/>
          </w:rPr>
          <w:t>https://www.iriss.org.uk/resources/tools/leading-outcomes-guide</w:t>
        </w:r>
      </w:hyperlink>
      <w:r w:rsidR="00CB2B49">
        <w:rPr>
          <w:rFonts w:eastAsia="Aptos" w:cs="Arial"/>
          <w:noProof/>
          <w:sz w:val="22"/>
          <w:lang w:val="en-US"/>
        </w:rPr>
        <w:t xml:space="preserve"> </w:t>
      </w:r>
    </w:p>
    <w:p w14:paraId="4C611077" w14:textId="77777777" w:rsidR="00152148" w:rsidRPr="00152148" w:rsidRDefault="00152148" w:rsidP="00152148">
      <w:pPr>
        <w:spacing w:before="0" w:after="0"/>
        <w:ind w:left="720" w:hanging="720"/>
        <w:rPr>
          <w:rFonts w:eastAsia="Aptos" w:cs="Arial"/>
          <w:noProof/>
          <w:sz w:val="22"/>
          <w:lang w:val="en-US"/>
        </w:rPr>
      </w:pPr>
      <w:r w:rsidRPr="00152148">
        <w:rPr>
          <w:rFonts w:eastAsia="Aptos" w:cs="Arial"/>
          <w:noProof/>
          <w:sz w:val="22"/>
          <w:lang w:val="en-US"/>
        </w:rPr>
        <w:tab/>
      </w:r>
    </w:p>
    <w:p w14:paraId="42C171F5" w14:textId="55DD4F15" w:rsidR="00152148" w:rsidRDefault="00152148" w:rsidP="00152148">
      <w:pPr>
        <w:spacing w:before="0" w:after="160"/>
        <w:ind w:left="720" w:hanging="720"/>
        <w:rPr>
          <w:rFonts w:eastAsia="Aptos" w:cs="Arial"/>
          <w:noProof/>
          <w:sz w:val="22"/>
          <w:lang w:val="en-US"/>
        </w:rPr>
      </w:pPr>
      <w:r w:rsidRPr="00152148">
        <w:rPr>
          <w:rFonts w:eastAsia="Aptos" w:cs="Arial"/>
          <w:noProof/>
          <w:sz w:val="22"/>
          <w:lang w:val="en-US"/>
        </w:rPr>
        <w:t xml:space="preserve">Institute for Research and Innovation in Social Services (IRISS). (2012, April). </w:t>
      </w:r>
      <w:r w:rsidRPr="00152148">
        <w:rPr>
          <w:rFonts w:eastAsia="Aptos" w:cs="Arial"/>
          <w:i/>
          <w:noProof/>
          <w:sz w:val="22"/>
          <w:lang w:val="en-US"/>
        </w:rPr>
        <w:t>Leading for outcomes: Children and young people</w:t>
      </w:r>
      <w:r w:rsidRPr="00152148">
        <w:rPr>
          <w:rFonts w:eastAsia="Aptos" w:cs="Arial"/>
          <w:noProof/>
          <w:sz w:val="22"/>
          <w:lang w:val="en-US"/>
        </w:rPr>
        <w:t xml:space="preserve">. Glasgow, Scotland: Institute for Research and Innovation in Social Services (IRISS). Retrieved 6 September, 2024 from </w:t>
      </w:r>
      <w:hyperlink r:id="rId340" w:history="1">
        <w:r w:rsidR="00723BFA" w:rsidRPr="00326476">
          <w:rPr>
            <w:rStyle w:val="Hyperlink"/>
            <w:rFonts w:eastAsia="Aptos" w:cs="Arial"/>
            <w:noProof/>
            <w:sz w:val="22"/>
            <w:lang w:val="en-US"/>
          </w:rPr>
          <w:t>http://www.iriss.org.uk/sites/default/files/iriss-leading-for-outcomes-children-and-young-people.pdf?sid=1140</w:t>
        </w:r>
      </w:hyperlink>
      <w:r w:rsidR="00723BFA">
        <w:rPr>
          <w:rFonts w:eastAsia="Aptos" w:cs="Arial"/>
          <w:noProof/>
          <w:sz w:val="22"/>
          <w:lang w:val="en-US"/>
        </w:rPr>
        <w:t xml:space="preserve"> </w:t>
      </w:r>
    </w:p>
    <w:p w14:paraId="163F429B" w14:textId="77777777" w:rsidR="00723BFA" w:rsidRPr="00152148" w:rsidRDefault="00723BFA" w:rsidP="00152148">
      <w:pPr>
        <w:spacing w:before="0" w:after="160"/>
        <w:ind w:left="720" w:hanging="720"/>
        <w:rPr>
          <w:rFonts w:eastAsia="Aptos" w:cs="Arial"/>
          <w:noProof/>
          <w:sz w:val="22"/>
          <w:lang w:val="en-US"/>
        </w:rPr>
      </w:pPr>
    </w:p>
    <w:p w14:paraId="18FA8981" w14:textId="6F472B97" w:rsidR="00D104E1" w:rsidRPr="00D104E1" w:rsidRDefault="00D104E1" w:rsidP="00D104E1">
      <w:pPr>
        <w:spacing w:before="0" w:after="160"/>
        <w:ind w:left="720" w:hanging="720"/>
        <w:rPr>
          <w:rFonts w:eastAsia="Aptos" w:cs="Arial"/>
          <w:noProof/>
          <w:sz w:val="22"/>
          <w:lang w:val="en-US"/>
        </w:rPr>
      </w:pPr>
      <w:r w:rsidRPr="00D104E1">
        <w:rPr>
          <w:rFonts w:eastAsia="Aptos" w:cs="Arial"/>
          <w:noProof/>
          <w:sz w:val="22"/>
          <w:lang w:val="en-US"/>
        </w:rPr>
        <w:t xml:space="preserve">Institute for Research and Innovation in Social Services (IRISS). (2013). </w:t>
      </w:r>
      <w:r w:rsidRPr="00D104E1">
        <w:rPr>
          <w:rFonts w:eastAsia="Aptos" w:cs="Arial"/>
          <w:i/>
          <w:noProof/>
          <w:sz w:val="22"/>
          <w:lang w:val="en-US"/>
        </w:rPr>
        <w:t>Leading for outcomes: Integrated working</w:t>
      </w:r>
      <w:r w:rsidRPr="00D104E1">
        <w:rPr>
          <w:rFonts w:eastAsia="Aptos" w:cs="Arial"/>
          <w:noProof/>
          <w:sz w:val="22"/>
          <w:lang w:val="en-US"/>
        </w:rPr>
        <w:t xml:space="preserve">. Glasgow, Scotland: Institute for Research and Innovation in Social Services (IRISS). Retrieved 6 September, 2024 from </w:t>
      </w:r>
      <w:hyperlink r:id="rId341" w:history="1">
        <w:r w:rsidR="00CB2B49" w:rsidRPr="00326476">
          <w:rPr>
            <w:rStyle w:val="Hyperlink"/>
            <w:rFonts w:eastAsia="Aptos" w:cs="Arial"/>
            <w:noProof/>
            <w:sz w:val="22"/>
            <w:lang w:val="en-US"/>
          </w:rPr>
          <w:t>https://iriss.org.uk/sites/default/files/iriss-insight-24.pdf</w:t>
        </w:r>
      </w:hyperlink>
      <w:r w:rsidR="00CB2B49">
        <w:rPr>
          <w:rFonts w:eastAsia="Aptos" w:cs="Arial"/>
          <w:noProof/>
          <w:sz w:val="22"/>
          <w:lang w:val="en-US"/>
        </w:rPr>
        <w:t xml:space="preserve"> </w:t>
      </w:r>
    </w:p>
    <w:p w14:paraId="5E79C8D7" w14:textId="77777777" w:rsidR="00D104E1" w:rsidRPr="00D104E1" w:rsidRDefault="00D104E1" w:rsidP="00D104E1">
      <w:pPr>
        <w:spacing w:before="0" w:after="0"/>
        <w:ind w:left="720" w:hanging="720"/>
        <w:rPr>
          <w:rFonts w:eastAsia="Aptos" w:cs="Arial"/>
          <w:noProof/>
          <w:sz w:val="22"/>
          <w:lang w:val="en-US"/>
        </w:rPr>
      </w:pPr>
      <w:r w:rsidRPr="00D104E1">
        <w:rPr>
          <w:rFonts w:eastAsia="Aptos" w:cs="Arial"/>
          <w:noProof/>
          <w:sz w:val="22"/>
          <w:lang w:val="en-US"/>
        </w:rPr>
        <w:tab/>
      </w:r>
    </w:p>
    <w:p w14:paraId="011ADC0B" w14:textId="33A05E0E" w:rsidR="00D104E1" w:rsidRDefault="00D104E1" w:rsidP="00D104E1">
      <w:pPr>
        <w:spacing w:before="0" w:after="160"/>
        <w:ind w:left="720" w:hanging="720"/>
        <w:rPr>
          <w:rFonts w:eastAsia="Aptos" w:cs="Arial"/>
          <w:noProof/>
          <w:sz w:val="22"/>
          <w:lang w:val="en-US"/>
        </w:rPr>
      </w:pPr>
      <w:r w:rsidRPr="00D104E1">
        <w:rPr>
          <w:rFonts w:eastAsia="Aptos" w:cs="Arial"/>
          <w:noProof/>
          <w:sz w:val="22"/>
          <w:lang w:val="en-US"/>
        </w:rPr>
        <w:t xml:space="preserve">Ismail, F. Y., Fatemi, A., &amp; Johnston, M. V. (2017). Cerebral plasticity: Windows of opportunity in the developing brain. </w:t>
      </w:r>
      <w:r w:rsidRPr="00D104E1">
        <w:rPr>
          <w:rFonts w:eastAsia="Aptos" w:cs="Arial"/>
          <w:i/>
          <w:noProof/>
          <w:sz w:val="22"/>
          <w:lang w:val="en-US"/>
        </w:rPr>
        <w:t>European Journal of Pediatric Neurology</w:t>
      </w:r>
      <w:r w:rsidRPr="00D104E1">
        <w:rPr>
          <w:rFonts w:eastAsia="Aptos" w:cs="Arial"/>
          <w:noProof/>
          <w:sz w:val="22"/>
          <w:lang w:val="en-US"/>
        </w:rPr>
        <w:t>,</w:t>
      </w:r>
      <w:r w:rsidRPr="00D104E1">
        <w:rPr>
          <w:rFonts w:eastAsia="Aptos" w:cs="Arial"/>
          <w:i/>
          <w:noProof/>
          <w:sz w:val="22"/>
          <w:lang w:val="en-US"/>
        </w:rPr>
        <w:t xml:space="preserve"> 21</w:t>
      </w:r>
      <w:r w:rsidRPr="00D104E1">
        <w:rPr>
          <w:rFonts w:eastAsia="Aptos" w:cs="Arial"/>
          <w:noProof/>
          <w:sz w:val="22"/>
          <w:lang w:val="en-US"/>
        </w:rPr>
        <w:t xml:space="preserve">(1), 23-48. </w:t>
      </w:r>
      <w:hyperlink r:id="rId342" w:history="1">
        <w:r w:rsidR="00D83DE5" w:rsidRPr="00326476">
          <w:rPr>
            <w:rStyle w:val="Hyperlink"/>
            <w:rFonts w:eastAsia="Aptos" w:cs="Arial"/>
            <w:noProof/>
            <w:sz w:val="22"/>
            <w:lang w:val="en-US"/>
          </w:rPr>
          <w:t>https://doi.org/10.1016/j.ejpn.2016.07.007</w:t>
        </w:r>
      </w:hyperlink>
      <w:r w:rsidRPr="00D104E1">
        <w:rPr>
          <w:rFonts w:eastAsia="Aptos" w:cs="Arial"/>
          <w:noProof/>
          <w:sz w:val="22"/>
          <w:lang w:val="en-US"/>
        </w:rPr>
        <w:t xml:space="preserve"> </w:t>
      </w:r>
    </w:p>
    <w:p w14:paraId="4DB684BC" w14:textId="77777777" w:rsidR="00D83DE5" w:rsidRPr="00D104E1" w:rsidRDefault="00D83DE5" w:rsidP="00D104E1">
      <w:pPr>
        <w:spacing w:before="0" w:after="160"/>
        <w:ind w:left="720" w:hanging="720"/>
        <w:rPr>
          <w:rFonts w:eastAsia="Aptos" w:cs="Arial"/>
          <w:noProof/>
          <w:sz w:val="22"/>
          <w:lang w:val="en-US"/>
        </w:rPr>
      </w:pPr>
    </w:p>
    <w:p w14:paraId="12337B75" w14:textId="31515DB1" w:rsidR="00AB0C23" w:rsidRPr="00AB0C23" w:rsidRDefault="00AB0C23" w:rsidP="00AB0C23">
      <w:pPr>
        <w:spacing w:before="0" w:after="160"/>
        <w:ind w:left="720" w:hanging="720"/>
        <w:rPr>
          <w:rFonts w:eastAsia="Aptos" w:cs="Arial"/>
          <w:noProof/>
          <w:sz w:val="22"/>
          <w:lang w:val="en-US"/>
        </w:rPr>
      </w:pPr>
      <w:r w:rsidRPr="00AB0C23">
        <w:rPr>
          <w:rFonts w:eastAsia="Aptos" w:cs="Arial"/>
          <w:noProof/>
          <w:sz w:val="22"/>
          <w:lang w:val="en-US"/>
        </w:rPr>
        <w:t xml:space="preserve">Jackman, M., Sakzewski, L., Morgan, C., Boyd, R. N., Brennan, S. E., Langdon, K., Toovey, R. A., Greaves, S., Thorley, M., &amp; Novak, I. (2022). Interventions to improve physical function for children and young people with cerebral palsy: international clinical practice guideline. </w:t>
      </w:r>
      <w:r w:rsidRPr="00AB0C23">
        <w:rPr>
          <w:rFonts w:eastAsia="Aptos" w:cs="Arial"/>
          <w:i/>
          <w:noProof/>
          <w:sz w:val="22"/>
          <w:lang w:val="en-US"/>
        </w:rPr>
        <w:t>Developmental Medicine &amp; Child Neurology</w:t>
      </w:r>
      <w:r w:rsidRPr="00AB0C23">
        <w:rPr>
          <w:rFonts w:eastAsia="Aptos" w:cs="Arial"/>
          <w:noProof/>
          <w:sz w:val="22"/>
          <w:lang w:val="en-US"/>
        </w:rPr>
        <w:t>,</w:t>
      </w:r>
      <w:r w:rsidRPr="00AB0C23">
        <w:rPr>
          <w:rFonts w:eastAsia="Aptos" w:cs="Arial"/>
          <w:i/>
          <w:noProof/>
          <w:sz w:val="22"/>
          <w:lang w:val="en-US"/>
        </w:rPr>
        <w:t xml:space="preserve"> 64</w:t>
      </w:r>
      <w:r w:rsidRPr="00AB0C23">
        <w:rPr>
          <w:rFonts w:eastAsia="Aptos" w:cs="Arial"/>
          <w:noProof/>
          <w:sz w:val="22"/>
          <w:lang w:val="en-US"/>
        </w:rPr>
        <w:t xml:space="preserve">(5), 536-549. </w:t>
      </w:r>
      <w:hyperlink r:id="rId343" w:history="1">
        <w:r w:rsidR="00CB2B49" w:rsidRPr="00326476">
          <w:rPr>
            <w:rStyle w:val="Hyperlink"/>
            <w:rFonts w:eastAsia="Aptos" w:cs="Arial"/>
            <w:noProof/>
            <w:sz w:val="22"/>
            <w:lang w:val="en-US"/>
          </w:rPr>
          <w:t>https://doi.org/10.1111/dmcn.15055</w:t>
        </w:r>
      </w:hyperlink>
      <w:r w:rsidR="00CB2B49">
        <w:rPr>
          <w:rFonts w:eastAsia="Aptos" w:cs="Arial"/>
          <w:noProof/>
          <w:sz w:val="22"/>
          <w:lang w:val="en-US"/>
        </w:rPr>
        <w:t xml:space="preserve"> </w:t>
      </w:r>
      <w:r w:rsidRPr="00AB0C23">
        <w:rPr>
          <w:rFonts w:eastAsia="Aptos" w:cs="Arial"/>
          <w:noProof/>
          <w:sz w:val="22"/>
          <w:lang w:val="en-US"/>
        </w:rPr>
        <w:t xml:space="preserve"> </w:t>
      </w:r>
    </w:p>
    <w:p w14:paraId="5C13E762" w14:textId="77777777" w:rsidR="00AB0C23" w:rsidRPr="00AB0C23" w:rsidRDefault="00AB0C23" w:rsidP="00AB0C23">
      <w:pPr>
        <w:spacing w:before="0" w:after="0"/>
        <w:ind w:left="720" w:hanging="720"/>
        <w:rPr>
          <w:rFonts w:eastAsia="Aptos" w:cs="Arial"/>
          <w:noProof/>
          <w:sz w:val="22"/>
          <w:lang w:val="en-US"/>
        </w:rPr>
      </w:pPr>
      <w:r w:rsidRPr="00AB0C23">
        <w:rPr>
          <w:rFonts w:eastAsia="Aptos" w:cs="Arial"/>
          <w:noProof/>
          <w:sz w:val="22"/>
          <w:lang w:val="en-US"/>
        </w:rPr>
        <w:tab/>
      </w:r>
    </w:p>
    <w:p w14:paraId="02A07711" w14:textId="1A2C68FE" w:rsidR="00AB0C23" w:rsidRPr="00AB0C23" w:rsidRDefault="00AB0C23" w:rsidP="00AB0C23">
      <w:pPr>
        <w:spacing w:before="0" w:after="160"/>
        <w:ind w:left="720" w:hanging="720"/>
        <w:rPr>
          <w:rFonts w:eastAsia="Aptos" w:cs="Arial"/>
          <w:noProof/>
          <w:sz w:val="22"/>
          <w:lang w:val="en-US"/>
        </w:rPr>
      </w:pPr>
      <w:r w:rsidRPr="00AB0C23">
        <w:rPr>
          <w:rFonts w:eastAsia="Aptos" w:cs="Arial"/>
          <w:noProof/>
          <w:sz w:val="22"/>
          <w:lang w:val="en-US"/>
        </w:rPr>
        <w:t xml:space="preserve">James, C., &amp; Chard, G. (2010). A qualitative study of parental experiences of participation and partnership in an early intervention service. </w:t>
      </w:r>
      <w:r w:rsidRPr="00AB0C23">
        <w:rPr>
          <w:rFonts w:eastAsia="Aptos" w:cs="Arial"/>
          <w:i/>
          <w:noProof/>
          <w:sz w:val="22"/>
          <w:lang w:val="en-US"/>
        </w:rPr>
        <w:t>Infants &amp; Young Children</w:t>
      </w:r>
      <w:r w:rsidRPr="00AB0C23">
        <w:rPr>
          <w:rFonts w:eastAsia="Aptos" w:cs="Arial"/>
          <w:noProof/>
          <w:sz w:val="22"/>
          <w:lang w:val="en-US"/>
        </w:rPr>
        <w:t>,</w:t>
      </w:r>
      <w:r w:rsidRPr="00AB0C23">
        <w:rPr>
          <w:rFonts w:eastAsia="Aptos" w:cs="Arial"/>
          <w:i/>
          <w:noProof/>
          <w:sz w:val="22"/>
          <w:lang w:val="en-US"/>
        </w:rPr>
        <w:t xml:space="preserve"> 23</w:t>
      </w:r>
      <w:r w:rsidRPr="00AB0C23">
        <w:rPr>
          <w:rFonts w:eastAsia="Aptos" w:cs="Arial"/>
          <w:noProof/>
          <w:sz w:val="22"/>
          <w:lang w:val="en-US"/>
        </w:rPr>
        <w:t xml:space="preserve">(4), 275-285. </w:t>
      </w:r>
      <w:hyperlink r:id="rId344" w:history="1">
        <w:r w:rsidR="00CB2B49" w:rsidRPr="00326476">
          <w:rPr>
            <w:rStyle w:val="Hyperlink"/>
            <w:rFonts w:eastAsia="Aptos" w:cs="Arial"/>
            <w:noProof/>
            <w:sz w:val="22"/>
            <w:lang w:val="en-US"/>
          </w:rPr>
          <w:t>https://doi.org/10.1097/IYC.0b013e3181f2264f</w:t>
        </w:r>
      </w:hyperlink>
      <w:r w:rsidR="00CB2B49">
        <w:rPr>
          <w:rFonts w:eastAsia="Aptos" w:cs="Arial"/>
          <w:noProof/>
          <w:sz w:val="22"/>
          <w:lang w:val="en-US"/>
        </w:rPr>
        <w:t xml:space="preserve"> </w:t>
      </w:r>
      <w:r w:rsidRPr="00AB0C23">
        <w:rPr>
          <w:rFonts w:eastAsia="Aptos" w:cs="Arial"/>
          <w:noProof/>
          <w:sz w:val="22"/>
          <w:lang w:val="en-US"/>
        </w:rPr>
        <w:t xml:space="preserve"> </w:t>
      </w:r>
    </w:p>
    <w:p w14:paraId="61048032" w14:textId="77777777" w:rsidR="00AB0C23" w:rsidRPr="00AB0C23" w:rsidRDefault="00AB0C23" w:rsidP="00AB0C23">
      <w:pPr>
        <w:spacing w:before="0" w:after="0"/>
        <w:ind w:left="720" w:hanging="720"/>
        <w:rPr>
          <w:rFonts w:eastAsia="Aptos" w:cs="Arial"/>
          <w:noProof/>
          <w:sz w:val="22"/>
          <w:lang w:val="en-US"/>
        </w:rPr>
      </w:pPr>
      <w:r w:rsidRPr="00AB0C23">
        <w:rPr>
          <w:rFonts w:eastAsia="Aptos" w:cs="Arial"/>
          <w:noProof/>
          <w:sz w:val="22"/>
          <w:lang w:val="en-US"/>
        </w:rPr>
        <w:tab/>
      </w:r>
    </w:p>
    <w:p w14:paraId="01A2066F" w14:textId="77777777" w:rsidR="00D83DE5" w:rsidRDefault="00AB0C23" w:rsidP="00AB0C23">
      <w:pPr>
        <w:spacing w:before="0" w:after="160"/>
        <w:ind w:left="720" w:hanging="720"/>
        <w:rPr>
          <w:rFonts w:eastAsia="Aptos" w:cs="Arial"/>
          <w:noProof/>
          <w:sz w:val="22"/>
          <w:lang w:val="en-US"/>
        </w:rPr>
      </w:pPr>
      <w:r w:rsidRPr="00AB0C23">
        <w:rPr>
          <w:rFonts w:eastAsia="Aptos" w:cs="Arial"/>
          <w:noProof/>
          <w:sz w:val="22"/>
          <w:lang w:val="en-US"/>
        </w:rPr>
        <w:t xml:space="preserve">Jayaraman, G., Marvin, C., Knoche, L., &amp; Bainter, S. (2015). Coaching conversations in early childhood programs: The contributions of coach and coachee. </w:t>
      </w:r>
      <w:r w:rsidRPr="00AB0C23">
        <w:rPr>
          <w:rFonts w:eastAsia="Aptos" w:cs="Arial"/>
          <w:i/>
          <w:noProof/>
          <w:sz w:val="22"/>
          <w:lang w:val="en-US"/>
        </w:rPr>
        <w:t>Infants &amp; Young Children</w:t>
      </w:r>
      <w:r w:rsidRPr="00AB0C23">
        <w:rPr>
          <w:rFonts w:eastAsia="Aptos" w:cs="Arial"/>
          <w:noProof/>
          <w:sz w:val="22"/>
          <w:lang w:val="en-US"/>
        </w:rPr>
        <w:t>,</w:t>
      </w:r>
      <w:r w:rsidRPr="00AB0C23">
        <w:rPr>
          <w:rFonts w:eastAsia="Aptos" w:cs="Arial"/>
          <w:i/>
          <w:noProof/>
          <w:sz w:val="22"/>
          <w:lang w:val="en-US"/>
        </w:rPr>
        <w:t xml:space="preserve"> 28</w:t>
      </w:r>
      <w:r w:rsidRPr="00AB0C23">
        <w:rPr>
          <w:rFonts w:eastAsia="Aptos" w:cs="Arial"/>
          <w:noProof/>
          <w:sz w:val="22"/>
          <w:lang w:val="en-US"/>
        </w:rPr>
        <w:t xml:space="preserve">(4), 323-336. </w:t>
      </w:r>
      <w:hyperlink r:id="rId345" w:history="1">
        <w:r w:rsidR="00D83DE5" w:rsidRPr="00326476">
          <w:rPr>
            <w:rStyle w:val="Hyperlink"/>
            <w:rFonts w:eastAsia="Aptos" w:cs="Arial"/>
            <w:noProof/>
            <w:sz w:val="22"/>
            <w:lang w:val="en-US"/>
          </w:rPr>
          <w:t>https://doi.org/10.1097/IYC.0000000000000048</w:t>
        </w:r>
      </w:hyperlink>
      <w:r w:rsidR="00D83DE5">
        <w:rPr>
          <w:rFonts w:eastAsia="Aptos" w:cs="Arial"/>
          <w:noProof/>
          <w:sz w:val="22"/>
          <w:lang w:val="en-US"/>
        </w:rPr>
        <w:t xml:space="preserve"> </w:t>
      </w:r>
    </w:p>
    <w:p w14:paraId="04B6E0C7" w14:textId="2C52DAD6" w:rsidR="00AB0C23" w:rsidRPr="00AB0C23" w:rsidRDefault="00AB0C23" w:rsidP="00AB0C23">
      <w:pPr>
        <w:spacing w:before="0" w:after="160"/>
        <w:ind w:left="720" w:hanging="720"/>
        <w:rPr>
          <w:rFonts w:eastAsia="Aptos" w:cs="Arial"/>
          <w:noProof/>
          <w:sz w:val="22"/>
          <w:lang w:val="en-US"/>
        </w:rPr>
      </w:pPr>
      <w:r w:rsidRPr="00AB0C23">
        <w:rPr>
          <w:rFonts w:eastAsia="Aptos" w:cs="Arial"/>
          <w:noProof/>
          <w:sz w:val="22"/>
          <w:lang w:val="en-US"/>
        </w:rPr>
        <w:t xml:space="preserve"> </w:t>
      </w:r>
    </w:p>
    <w:p w14:paraId="6D78AE67" w14:textId="77777777" w:rsidR="00F37CCA" w:rsidRPr="00F37CCA" w:rsidRDefault="00F37CCA" w:rsidP="00F37CCA">
      <w:pPr>
        <w:spacing w:before="0" w:after="160"/>
        <w:ind w:left="720" w:hanging="720"/>
        <w:rPr>
          <w:rFonts w:eastAsia="Aptos" w:cs="Arial"/>
          <w:noProof/>
          <w:sz w:val="22"/>
          <w:lang w:val="en-US"/>
        </w:rPr>
      </w:pPr>
      <w:r w:rsidRPr="00F37CCA">
        <w:rPr>
          <w:rFonts w:eastAsia="Aptos" w:cs="Arial"/>
          <w:noProof/>
          <w:sz w:val="22"/>
          <w:lang w:val="en-US"/>
        </w:rPr>
        <w:t xml:space="preserve">Johnson, J. J., Rahn, N. L., &amp; Bricker, D. (2015). </w:t>
      </w:r>
      <w:r w:rsidRPr="00F37CCA">
        <w:rPr>
          <w:rFonts w:eastAsia="Aptos" w:cs="Arial"/>
          <w:i/>
          <w:noProof/>
          <w:sz w:val="22"/>
          <w:lang w:val="en-US"/>
        </w:rPr>
        <w:t>An activity-based approach to early intervention</w:t>
      </w:r>
      <w:r w:rsidRPr="00F37CCA">
        <w:rPr>
          <w:rFonts w:eastAsia="Aptos" w:cs="Arial"/>
          <w:noProof/>
          <w:sz w:val="22"/>
          <w:lang w:val="en-US"/>
        </w:rPr>
        <w:t xml:space="preserve"> (4th ed.). Baltimore, MD: Paul H. Brookes. </w:t>
      </w:r>
    </w:p>
    <w:p w14:paraId="49C79AFB" w14:textId="77777777" w:rsidR="00F37CCA" w:rsidRPr="00F37CCA" w:rsidRDefault="00F37CCA" w:rsidP="00F37CCA">
      <w:pPr>
        <w:spacing w:before="0" w:after="0"/>
        <w:ind w:left="720" w:hanging="720"/>
        <w:rPr>
          <w:rFonts w:eastAsia="Aptos" w:cs="Arial"/>
          <w:noProof/>
          <w:sz w:val="22"/>
          <w:lang w:val="en-US"/>
        </w:rPr>
      </w:pPr>
      <w:r w:rsidRPr="00F37CCA">
        <w:rPr>
          <w:rFonts w:eastAsia="Aptos" w:cs="Arial"/>
          <w:noProof/>
          <w:sz w:val="22"/>
          <w:lang w:val="en-US"/>
        </w:rPr>
        <w:tab/>
      </w:r>
    </w:p>
    <w:p w14:paraId="099168E0" w14:textId="2D8557A0" w:rsidR="00F37CCA" w:rsidRPr="00F37CCA" w:rsidRDefault="00F37CCA" w:rsidP="00F37CCA">
      <w:pPr>
        <w:spacing w:before="0" w:after="160"/>
        <w:ind w:left="720" w:hanging="720"/>
        <w:rPr>
          <w:rFonts w:eastAsia="Aptos" w:cs="Arial"/>
          <w:noProof/>
          <w:sz w:val="22"/>
          <w:lang w:val="en-US"/>
        </w:rPr>
      </w:pPr>
      <w:r w:rsidRPr="00F37CCA">
        <w:rPr>
          <w:rFonts w:eastAsia="Aptos" w:cs="Arial"/>
          <w:noProof/>
          <w:sz w:val="22"/>
          <w:lang w:val="en-US"/>
        </w:rPr>
        <w:t xml:space="preserve">Johnson, R., &amp; Thom, G. (2012). </w:t>
      </w:r>
      <w:r w:rsidRPr="00F37CCA">
        <w:rPr>
          <w:rFonts w:eastAsia="Aptos" w:cs="Arial"/>
          <w:i/>
          <w:noProof/>
          <w:sz w:val="22"/>
          <w:lang w:val="en-US"/>
        </w:rPr>
        <w:t>Evaluation of the extended individual budget pilot programme for families with disabled children: the family journey one year on</w:t>
      </w:r>
      <w:r w:rsidRPr="00F37CCA">
        <w:rPr>
          <w:rFonts w:eastAsia="Aptos" w:cs="Arial"/>
          <w:noProof/>
          <w:sz w:val="22"/>
          <w:lang w:val="en-US"/>
        </w:rPr>
        <w:t xml:space="preserve">. London, UK: Department of Education. Retrieved 6 September, 2024 from </w:t>
      </w:r>
      <w:hyperlink r:id="rId346" w:history="1">
        <w:r w:rsidR="00D83DE5" w:rsidRPr="00F37CCA">
          <w:rPr>
            <w:rStyle w:val="Hyperlink"/>
            <w:rFonts w:eastAsia="Aptos" w:cs="Arial"/>
            <w:noProof/>
            <w:sz w:val="22"/>
            <w:lang w:val="en-US"/>
          </w:rPr>
          <w:t>http://dera.ioe.ac.uk/15776/1/DFE-RR232b%20report.pdf</w:t>
        </w:r>
      </w:hyperlink>
      <w:r w:rsidR="00D83DE5">
        <w:rPr>
          <w:rFonts w:eastAsia="Aptos" w:cs="Arial"/>
          <w:noProof/>
          <w:sz w:val="22"/>
          <w:lang w:val="en-US"/>
        </w:rPr>
        <w:t xml:space="preserve"> </w:t>
      </w:r>
    </w:p>
    <w:p w14:paraId="2A711D1D" w14:textId="77777777" w:rsidR="00F37CCA" w:rsidRPr="00F37CCA" w:rsidRDefault="00F37CCA" w:rsidP="00F37CCA">
      <w:pPr>
        <w:spacing w:before="0" w:after="0"/>
        <w:ind w:left="720" w:hanging="720"/>
        <w:rPr>
          <w:rFonts w:eastAsia="Aptos" w:cs="Arial"/>
          <w:noProof/>
          <w:sz w:val="22"/>
          <w:lang w:val="en-US"/>
        </w:rPr>
      </w:pPr>
      <w:r w:rsidRPr="00F37CCA">
        <w:rPr>
          <w:rFonts w:eastAsia="Aptos" w:cs="Arial"/>
          <w:noProof/>
          <w:sz w:val="22"/>
          <w:lang w:val="en-US"/>
        </w:rPr>
        <w:tab/>
      </w:r>
    </w:p>
    <w:p w14:paraId="50769CCE" w14:textId="2BE2D0F5" w:rsidR="00F37CCA" w:rsidRDefault="00F37CCA" w:rsidP="00F37CCA">
      <w:pPr>
        <w:spacing w:before="0" w:after="160"/>
        <w:ind w:left="720" w:hanging="720"/>
        <w:rPr>
          <w:rFonts w:eastAsia="Aptos" w:cs="Arial"/>
          <w:noProof/>
          <w:sz w:val="22"/>
          <w:lang w:val="en-US"/>
        </w:rPr>
      </w:pPr>
      <w:r w:rsidRPr="00F37CCA">
        <w:rPr>
          <w:rFonts w:eastAsia="Aptos" w:cs="Arial"/>
          <w:noProof/>
          <w:sz w:val="22"/>
          <w:lang w:val="en-US"/>
        </w:rPr>
        <w:t xml:space="preserve">Johnson, R., Thom, G., &amp; Prabhakar, M. (2011). </w:t>
      </w:r>
      <w:r w:rsidRPr="00F37CCA">
        <w:rPr>
          <w:rFonts w:eastAsia="Aptos" w:cs="Arial"/>
          <w:i/>
          <w:noProof/>
          <w:sz w:val="22"/>
          <w:lang w:val="en-US"/>
        </w:rPr>
        <w:t>Individual budgets for families with disabled children. Final evaluation report: The family journey</w:t>
      </w:r>
      <w:r w:rsidRPr="00F37CCA">
        <w:rPr>
          <w:rFonts w:eastAsia="Aptos" w:cs="Arial"/>
          <w:noProof/>
          <w:sz w:val="22"/>
          <w:lang w:val="en-US"/>
        </w:rPr>
        <w:t xml:space="preserve">. London, UK: Department for Education. Retrieved 6 September, 2024 from </w:t>
      </w:r>
      <w:hyperlink r:id="rId347" w:history="1">
        <w:r w:rsidR="00D83DE5" w:rsidRPr="00F37CCA">
          <w:rPr>
            <w:rStyle w:val="Hyperlink"/>
            <w:rFonts w:eastAsia="Aptos" w:cs="Arial"/>
            <w:noProof/>
            <w:sz w:val="22"/>
            <w:lang w:val="en-US"/>
          </w:rPr>
          <w:t>https://assets.publishing.service.gov.uk/media/5a7ade3fed915d670dd7f21d/DFE-RR145b.pdf</w:t>
        </w:r>
      </w:hyperlink>
    </w:p>
    <w:p w14:paraId="66CD6DF9" w14:textId="77777777" w:rsidR="00D83DE5" w:rsidRPr="00F37CCA" w:rsidRDefault="00D83DE5" w:rsidP="00F37CCA">
      <w:pPr>
        <w:spacing w:before="0" w:after="160"/>
        <w:ind w:left="720" w:hanging="720"/>
        <w:rPr>
          <w:rFonts w:eastAsia="Aptos" w:cs="Arial"/>
          <w:noProof/>
          <w:sz w:val="22"/>
          <w:lang w:val="en-US"/>
        </w:rPr>
      </w:pPr>
    </w:p>
    <w:p w14:paraId="421FC80C" w14:textId="2A345478" w:rsidR="001D5FFB" w:rsidRPr="001D5FFB" w:rsidRDefault="001D5FFB" w:rsidP="001D5FFB">
      <w:pPr>
        <w:spacing w:before="0" w:after="160"/>
        <w:ind w:left="720" w:hanging="720"/>
        <w:rPr>
          <w:rFonts w:eastAsia="Aptos" w:cs="Arial"/>
          <w:noProof/>
          <w:sz w:val="22"/>
          <w:lang w:val="en-US"/>
        </w:rPr>
      </w:pPr>
      <w:r w:rsidRPr="001D5FFB">
        <w:rPr>
          <w:rFonts w:eastAsia="Aptos" w:cs="Arial"/>
          <w:noProof/>
          <w:sz w:val="22"/>
          <w:lang w:val="en-US"/>
        </w:rPr>
        <w:t xml:space="preserve">Johnsson, G., &amp; Bulkeley, K. (2024). </w:t>
      </w:r>
      <w:r w:rsidRPr="001D5FFB">
        <w:rPr>
          <w:rFonts w:eastAsia="Aptos" w:cs="Arial"/>
          <w:i/>
          <w:noProof/>
          <w:sz w:val="22"/>
          <w:lang w:val="en-US"/>
        </w:rPr>
        <w:t>Best practice for who? The role of national guidelines in best practice guidance in early childhood intervention</w:t>
      </w:r>
      <w:r w:rsidRPr="001D5FFB">
        <w:rPr>
          <w:rFonts w:eastAsia="Aptos" w:cs="Arial"/>
          <w:noProof/>
          <w:sz w:val="22"/>
          <w:lang w:val="en-US"/>
        </w:rPr>
        <w:t xml:space="preserve">. Sydney, NSW: Centre for Disability Research and Policy (CDRP), University of Sydney, and Reimagine Australia. Retrieved 6 September, 2024 from </w:t>
      </w:r>
      <w:hyperlink r:id="rId348" w:history="1">
        <w:r w:rsidR="00D83DE5" w:rsidRPr="001D5FFB">
          <w:rPr>
            <w:rStyle w:val="Hyperlink"/>
            <w:rFonts w:eastAsia="Aptos" w:cs="Arial"/>
            <w:noProof/>
            <w:sz w:val="22"/>
            <w:lang w:val="en-US"/>
          </w:rPr>
          <w:t>https://ses.library.usyd.edu.au/handle/2123/32516</w:t>
        </w:r>
      </w:hyperlink>
      <w:r w:rsidR="00D83DE5">
        <w:rPr>
          <w:rFonts w:eastAsia="Aptos" w:cs="Arial"/>
          <w:noProof/>
          <w:sz w:val="22"/>
          <w:lang w:val="en-US"/>
        </w:rPr>
        <w:t xml:space="preserve"> </w:t>
      </w:r>
      <w:r w:rsidRPr="001D5FFB">
        <w:rPr>
          <w:rFonts w:eastAsia="Aptos" w:cs="Arial"/>
          <w:noProof/>
          <w:sz w:val="22"/>
          <w:lang w:val="en-US"/>
        </w:rPr>
        <w:t xml:space="preserve"> </w:t>
      </w:r>
    </w:p>
    <w:p w14:paraId="584A52C5" w14:textId="77777777" w:rsidR="001D5FFB" w:rsidRPr="001D5FFB" w:rsidRDefault="001D5FFB" w:rsidP="001D5FFB">
      <w:pPr>
        <w:spacing w:before="0" w:after="0"/>
        <w:ind w:left="720" w:hanging="720"/>
        <w:rPr>
          <w:rFonts w:eastAsia="Aptos" w:cs="Arial"/>
          <w:noProof/>
          <w:sz w:val="22"/>
          <w:lang w:val="en-US"/>
        </w:rPr>
      </w:pPr>
      <w:r w:rsidRPr="001D5FFB">
        <w:rPr>
          <w:rFonts w:eastAsia="Aptos" w:cs="Arial"/>
          <w:noProof/>
          <w:sz w:val="22"/>
          <w:lang w:val="en-US"/>
        </w:rPr>
        <w:tab/>
      </w:r>
    </w:p>
    <w:p w14:paraId="36562450" w14:textId="77777777" w:rsidR="001D5FFB" w:rsidRPr="001D5FFB" w:rsidRDefault="001D5FFB" w:rsidP="001D5FFB">
      <w:pPr>
        <w:spacing w:before="0" w:after="160"/>
        <w:ind w:left="720" w:hanging="720"/>
        <w:rPr>
          <w:rFonts w:eastAsia="Aptos" w:cs="Arial"/>
          <w:noProof/>
          <w:sz w:val="22"/>
          <w:lang w:val="en-US"/>
        </w:rPr>
      </w:pPr>
      <w:r w:rsidRPr="001D5FFB">
        <w:rPr>
          <w:rFonts w:eastAsia="Aptos" w:cs="Arial"/>
          <w:noProof/>
          <w:sz w:val="22"/>
          <w:lang w:val="en-US"/>
        </w:rPr>
        <w:t xml:space="preserve">Johnston, J., Luscombe, D., &amp; Fordham, L. (2017). Working with families in early childhood intervention: Family-centred practices in an individualised funding landscape. In H. Sukkar, C. J. Dunst, &amp; K. J. (Eds.), </w:t>
      </w:r>
      <w:r w:rsidRPr="001D5FFB">
        <w:rPr>
          <w:rFonts w:eastAsia="Aptos" w:cs="Arial"/>
          <w:i/>
          <w:noProof/>
          <w:sz w:val="22"/>
          <w:lang w:val="en-US"/>
        </w:rPr>
        <w:t>Early Childhood Intervention: Working with Families of Young Children with Special Needs</w:t>
      </w:r>
      <w:r w:rsidRPr="001D5FFB">
        <w:rPr>
          <w:rFonts w:eastAsia="Aptos" w:cs="Arial"/>
          <w:noProof/>
          <w:sz w:val="22"/>
          <w:lang w:val="en-US"/>
        </w:rPr>
        <w:t xml:space="preserve"> (1st ed., pp. 129-142). London and New York: Taylor &amp; Francis. </w:t>
      </w:r>
    </w:p>
    <w:p w14:paraId="21BBD540" w14:textId="77777777" w:rsidR="001D5FFB" w:rsidRPr="001D5FFB" w:rsidRDefault="001D5FFB" w:rsidP="001D5FFB">
      <w:pPr>
        <w:spacing w:before="0" w:after="0"/>
        <w:ind w:left="720" w:hanging="720"/>
        <w:rPr>
          <w:rFonts w:eastAsia="Aptos" w:cs="Arial"/>
          <w:noProof/>
          <w:sz w:val="22"/>
          <w:lang w:val="en-US"/>
        </w:rPr>
      </w:pPr>
      <w:r w:rsidRPr="001D5FFB">
        <w:rPr>
          <w:rFonts w:eastAsia="Aptos" w:cs="Arial"/>
          <w:noProof/>
          <w:sz w:val="22"/>
          <w:lang w:val="en-US"/>
        </w:rPr>
        <w:tab/>
      </w:r>
    </w:p>
    <w:p w14:paraId="3DF0B6F7" w14:textId="77777777" w:rsidR="001D5FFB" w:rsidRDefault="001D5FFB" w:rsidP="001D5FFB">
      <w:pPr>
        <w:spacing w:before="0" w:after="160"/>
        <w:ind w:left="720" w:hanging="720"/>
        <w:rPr>
          <w:rFonts w:eastAsia="Aptos" w:cs="Arial"/>
          <w:noProof/>
          <w:sz w:val="22"/>
          <w:lang w:val="en-US"/>
        </w:rPr>
      </w:pPr>
      <w:r w:rsidRPr="001D5FFB">
        <w:rPr>
          <w:rFonts w:eastAsia="Aptos" w:cs="Arial"/>
          <w:noProof/>
          <w:sz w:val="22"/>
          <w:lang w:val="en-US"/>
        </w:rPr>
        <w:t xml:space="preserve">Jones, L. (2023). </w:t>
      </w:r>
      <w:r w:rsidRPr="001D5FFB">
        <w:rPr>
          <w:rFonts w:eastAsia="Aptos" w:cs="Arial"/>
          <w:i/>
          <w:noProof/>
          <w:sz w:val="22"/>
          <w:lang w:val="en-US"/>
        </w:rPr>
        <w:t>Matrescence: On the metamorphosis of pregnancy, childbirth and motherhood</w:t>
      </w:r>
      <w:r w:rsidRPr="001D5FFB">
        <w:rPr>
          <w:rFonts w:eastAsia="Aptos" w:cs="Arial"/>
          <w:noProof/>
          <w:sz w:val="22"/>
          <w:lang w:val="en-US"/>
        </w:rPr>
        <w:t xml:space="preserve">. London, UK: Random House. </w:t>
      </w:r>
    </w:p>
    <w:p w14:paraId="17D46AD6" w14:textId="77777777" w:rsidR="00D83DE5" w:rsidRPr="001D5FFB" w:rsidRDefault="00D83DE5" w:rsidP="001D5FFB">
      <w:pPr>
        <w:spacing w:before="0" w:after="160"/>
        <w:ind w:left="720" w:hanging="720"/>
        <w:rPr>
          <w:rFonts w:eastAsia="Aptos" w:cs="Arial"/>
          <w:noProof/>
          <w:sz w:val="22"/>
          <w:lang w:val="en-US"/>
        </w:rPr>
      </w:pPr>
    </w:p>
    <w:p w14:paraId="6C4C86FA" w14:textId="27212CAF" w:rsidR="000E4D9B" w:rsidRPr="000E4D9B" w:rsidRDefault="000E4D9B" w:rsidP="000E4D9B">
      <w:pPr>
        <w:spacing w:before="0" w:after="160"/>
        <w:ind w:left="720" w:hanging="720"/>
        <w:rPr>
          <w:rFonts w:cs="Arial"/>
          <w:noProof/>
          <w:sz w:val="22"/>
          <w:lang w:val="en-US"/>
        </w:rPr>
      </w:pPr>
      <w:r w:rsidRPr="000E4D9B">
        <w:rPr>
          <w:rFonts w:cs="Arial"/>
          <w:noProof/>
          <w:sz w:val="22"/>
          <w:lang w:val="en-US"/>
        </w:rPr>
        <w:t xml:space="preserve">Joyce, C. (2017). Person-centred services? Rhetoric versus reality. </w:t>
      </w:r>
      <w:r w:rsidRPr="000E4D9B">
        <w:rPr>
          <w:rFonts w:cs="Arial"/>
          <w:i/>
          <w:noProof/>
          <w:sz w:val="22"/>
          <w:lang w:val="en-US"/>
        </w:rPr>
        <w:t>Australian Journal of Primary Health</w:t>
      </w:r>
      <w:r w:rsidRPr="000E4D9B">
        <w:rPr>
          <w:rFonts w:cs="Arial"/>
          <w:noProof/>
          <w:sz w:val="22"/>
          <w:lang w:val="en-US"/>
        </w:rPr>
        <w:t>,</w:t>
      </w:r>
      <w:r w:rsidRPr="000E4D9B">
        <w:rPr>
          <w:rFonts w:cs="Arial"/>
          <w:i/>
          <w:noProof/>
          <w:sz w:val="22"/>
          <w:lang w:val="en-US"/>
        </w:rPr>
        <w:t xml:space="preserve"> 23</w:t>
      </w:r>
      <w:r w:rsidRPr="000E4D9B">
        <w:rPr>
          <w:rFonts w:cs="Arial"/>
          <w:noProof/>
          <w:sz w:val="22"/>
          <w:lang w:val="en-US"/>
        </w:rPr>
        <w:t xml:space="preserve">(1), 10-14. </w:t>
      </w:r>
      <w:hyperlink r:id="rId349" w:history="1">
        <w:r w:rsidR="00CB2B49" w:rsidRPr="000E4D9B">
          <w:rPr>
            <w:rStyle w:val="Hyperlink"/>
            <w:rFonts w:cs="Arial"/>
            <w:noProof/>
            <w:sz w:val="22"/>
            <w:lang w:val="en-US"/>
          </w:rPr>
          <w:t>https://doi.org/10.1071/PY15035</w:t>
        </w:r>
      </w:hyperlink>
      <w:r w:rsidR="00CB2B49">
        <w:rPr>
          <w:rFonts w:cs="Arial"/>
          <w:noProof/>
          <w:sz w:val="22"/>
          <w:lang w:val="en-US"/>
        </w:rPr>
        <w:t xml:space="preserve"> </w:t>
      </w:r>
      <w:r w:rsidRPr="000E4D9B">
        <w:rPr>
          <w:rFonts w:cs="Arial"/>
          <w:noProof/>
          <w:sz w:val="22"/>
          <w:lang w:val="en-US"/>
        </w:rPr>
        <w:t xml:space="preserve"> </w:t>
      </w:r>
    </w:p>
    <w:p w14:paraId="4EE31B0E" w14:textId="77777777" w:rsidR="000E4D9B" w:rsidRPr="000E4D9B" w:rsidRDefault="000E4D9B" w:rsidP="000E4D9B">
      <w:pPr>
        <w:spacing w:before="0" w:after="160"/>
        <w:ind w:left="720" w:hanging="720"/>
        <w:rPr>
          <w:rFonts w:cs="Arial"/>
          <w:noProof/>
          <w:sz w:val="22"/>
          <w:lang w:val="en-US"/>
        </w:rPr>
      </w:pPr>
      <w:r w:rsidRPr="000E4D9B">
        <w:rPr>
          <w:rFonts w:cs="Arial"/>
          <w:noProof/>
          <w:sz w:val="22"/>
          <w:lang w:val="en-US"/>
        </w:rPr>
        <w:tab/>
      </w:r>
    </w:p>
    <w:p w14:paraId="7991DA33" w14:textId="7BA6CE64" w:rsidR="000E4D9B" w:rsidRPr="000E4D9B" w:rsidRDefault="000E4D9B" w:rsidP="000E4D9B">
      <w:pPr>
        <w:spacing w:before="0" w:after="160"/>
        <w:ind w:left="720" w:hanging="720"/>
        <w:rPr>
          <w:rFonts w:cs="Arial"/>
          <w:noProof/>
          <w:sz w:val="22"/>
          <w:lang w:val="en-US"/>
        </w:rPr>
      </w:pPr>
      <w:r w:rsidRPr="000E4D9B">
        <w:rPr>
          <w:rFonts w:cs="Arial"/>
          <w:noProof/>
          <w:sz w:val="22"/>
          <w:lang w:val="en-US"/>
        </w:rPr>
        <w:t xml:space="preserve">Kaelin, V. C., Bosak, D. L., Villegas, V. C., Imms, C., &amp; Khetani, M. A. (2021). Participation-focused strategy use among caregivers of children receiving early intervention. </w:t>
      </w:r>
      <w:r w:rsidRPr="000E4D9B">
        <w:rPr>
          <w:rFonts w:cs="Arial"/>
          <w:i/>
          <w:noProof/>
          <w:sz w:val="22"/>
          <w:lang w:val="en-US"/>
        </w:rPr>
        <w:t>The American Journal of Occupational Therapy</w:t>
      </w:r>
      <w:r w:rsidRPr="000E4D9B">
        <w:rPr>
          <w:rFonts w:cs="Arial"/>
          <w:noProof/>
          <w:sz w:val="22"/>
          <w:lang w:val="en-US"/>
        </w:rPr>
        <w:t>,</w:t>
      </w:r>
      <w:r w:rsidRPr="000E4D9B">
        <w:rPr>
          <w:rFonts w:cs="Arial"/>
          <w:i/>
          <w:noProof/>
          <w:sz w:val="22"/>
          <w:lang w:val="en-US"/>
        </w:rPr>
        <w:t xml:space="preserve"> 75</w:t>
      </w:r>
      <w:r w:rsidRPr="000E4D9B">
        <w:rPr>
          <w:rFonts w:cs="Arial"/>
          <w:noProof/>
          <w:sz w:val="22"/>
          <w:lang w:val="en-US"/>
        </w:rPr>
        <w:t xml:space="preserve">(1), 1-11. </w:t>
      </w:r>
      <w:hyperlink r:id="rId350" w:history="1">
        <w:r w:rsidR="00CB2B49" w:rsidRPr="000E4D9B">
          <w:rPr>
            <w:rStyle w:val="Hyperlink"/>
            <w:rFonts w:cs="Arial"/>
            <w:noProof/>
            <w:sz w:val="22"/>
            <w:lang w:val="en-US"/>
          </w:rPr>
          <w:t>https://doi.org/10.5014/ajot.2021.041962</w:t>
        </w:r>
      </w:hyperlink>
      <w:r w:rsidR="00CB2B49">
        <w:rPr>
          <w:rFonts w:cs="Arial"/>
          <w:noProof/>
          <w:sz w:val="22"/>
          <w:lang w:val="en-US"/>
        </w:rPr>
        <w:t xml:space="preserve"> </w:t>
      </w:r>
      <w:r w:rsidRPr="000E4D9B">
        <w:rPr>
          <w:rFonts w:cs="Arial"/>
          <w:noProof/>
          <w:sz w:val="22"/>
          <w:lang w:val="en-US"/>
        </w:rPr>
        <w:t xml:space="preserve"> </w:t>
      </w:r>
    </w:p>
    <w:p w14:paraId="6B6CC8DE" w14:textId="77777777" w:rsidR="000E4D9B" w:rsidRPr="000E4D9B" w:rsidRDefault="000E4D9B" w:rsidP="000E4D9B">
      <w:pPr>
        <w:spacing w:before="0" w:after="160"/>
        <w:ind w:left="720" w:hanging="720"/>
        <w:rPr>
          <w:rFonts w:cs="Arial"/>
          <w:noProof/>
          <w:sz w:val="22"/>
          <w:lang w:val="en-US"/>
        </w:rPr>
      </w:pPr>
      <w:r w:rsidRPr="000E4D9B">
        <w:rPr>
          <w:rFonts w:cs="Arial"/>
          <w:noProof/>
          <w:sz w:val="22"/>
          <w:lang w:val="en-US"/>
        </w:rPr>
        <w:tab/>
      </w:r>
    </w:p>
    <w:p w14:paraId="4762CDAE" w14:textId="13E15372" w:rsidR="000E4D9B" w:rsidRPr="000E4D9B" w:rsidRDefault="000E4D9B" w:rsidP="000E4D9B">
      <w:pPr>
        <w:spacing w:before="0" w:after="160"/>
        <w:ind w:left="720" w:hanging="720"/>
        <w:rPr>
          <w:rFonts w:cs="Arial"/>
          <w:noProof/>
          <w:sz w:val="22"/>
          <w:lang w:val="en-US"/>
        </w:rPr>
      </w:pPr>
      <w:r w:rsidRPr="000E4D9B">
        <w:rPr>
          <w:rFonts w:cs="Arial"/>
          <w:noProof/>
          <w:sz w:val="22"/>
          <w:lang w:val="en-US"/>
        </w:rPr>
        <w:t xml:space="preserve">Kahn, N. F., Sequeira, G. M., Garrison, M. M., Orlich, F., Christakis, D. A., Aye, T., Conard, L. A. E., Dowshen, N., Kazak, A. E., &amp; Nahata, L. (2023). Co-occurring autism spectrum disorder and gender dysphoria in adolescents. </w:t>
      </w:r>
      <w:r w:rsidRPr="000E4D9B">
        <w:rPr>
          <w:rFonts w:cs="Arial"/>
          <w:i/>
          <w:noProof/>
          <w:sz w:val="22"/>
          <w:lang w:val="en-US"/>
        </w:rPr>
        <w:t>Pediatrics</w:t>
      </w:r>
      <w:r w:rsidRPr="000E4D9B">
        <w:rPr>
          <w:rFonts w:cs="Arial"/>
          <w:noProof/>
          <w:sz w:val="22"/>
          <w:lang w:val="en-US"/>
        </w:rPr>
        <w:t>,</w:t>
      </w:r>
      <w:r w:rsidRPr="000E4D9B">
        <w:rPr>
          <w:rFonts w:cs="Arial"/>
          <w:i/>
          <w:noProof/>
          <w:sz w:val="22"/>
          <w:lang w:val="en-US"/>
        </w:rPr>
        <w:t xml:space="preserve"> 152</w:t>
      </w:r>
      <w:r w:rsidRPr="000E4D9B">
        <w:rPr>
          <w:rFonts w:cs="Arial"/>
          <w:noProof/>
          <w:sz w:val="22"/>
          <w:lang w:val="en-US"/>
        </w:rPr>
        <w:t xml:space="preserve">(2), e2023061363. </w:t>
      </w:r>
      <w:hyperlink r:id="rId351" w:history="1">
        <w:r w:rsidR="00CB2B49" w:rsidRPr="000E4D9B">
          <w:rPr>
            <w:rStyle w:val="Hyperlink"/>
            <w:rFonts w:cs="Arial"/>
            <w:noProof/>
            <w:sz w:val="22"/>
            <w:lang w:val="en-US"/>
          </w:rPr>
          <w:t>https://doi.org/10.1542/peds.2023-061363</w:t>
        </w:r>
      </w:hyperlink>
      <w:r w:rsidR="00CB2B49">
        <w:rPr>
          <w:rFonts w:cs="Arial"/>
          <w:noProof/>
          <w:sz w:val="22"/>
          <w:lang w:val="en-US"/>
        </w:rPr>
        <w:t xml:space="preserve"> </w:t>
      </w:r>
      <w:r w:rsidRPr="000E4D9B">
        <w:rPr>
          <w:rFonts w:cs="Arial"/>
          <w:noProof/>
          <w:sz w:val="22"/>
          <w:lang w:val="en-US"/>
        </w:rPr>
        <w:t xml:space="preserve"> </w:t>
      </w:r>
    </w:p>
    <w:p w14:paraId="34796EBE" w14:textId="77777777" w:rsidR="000E4D9B" w:rsidRPr="000E4D9B" w:rsidRDefault="000E4D9B" w:rsidP="000E4D9B">
      <w:pPr>
        <w:spacing w:before="0" w:after="160"/>
        <w:ind w:left="720" w:hanging="720"/>
        <w:rPr>
          <w:rFonts w:cs="Arial"/>
          <w:noProof/>
          <w:sz w:val="22"/>
          <w:lang w:val="en-US"/>
        </w:rPr>
      </w:pPr>
      <w:r w:rsidRPr="000E4D9B">
        <w:rPr>
          <w:rFonts w:cs="Arial"/>
          <w:noProof/>
          <w:sz w:val="22"/>
          <w:lang w:val="en-US"/>
        </w:rPr>
        <w:tab/>
      </w:r>
    </w:p>
    <w:p w14:paraId="319A4365" w14:textId="03ADFFE1" w:rsidR="000E4D9B" w:rsidRPr="000E4D9B" w:rsidRDefault="000E4D9B" w:rsidP="000E4D9B">
      <w:pPr>
        <w:spacing w:before="0" w:after="160"/>
        <w:ind w:left="720" w:hanging="720"/>
        <w:rPr>
          <w:rFonts w:cs="Arial"/>
          <w:noProof/>
          <w:sz w:val="22"/>
          <w:lang w:val="en-US"/>
        </w:rPr>
      </w:pPr>
      <w:r w:rsidRPr="000E4D9B">
        <w:rPr>
          <w:rFonts w:cs="Arial"/>
          <w:noProof/>
          <w:sz w:val="22"/>
          <w:lang w:val="en-US"/>
        </w:rPr>
        <w:t xml:space="preserve">Kaiser, A. P., &amp; Hemmeter, M. L. (2013). Treatment fidelity in early childhood special education research: Introduction to the special issue. </w:t>
      </w:r>
      <w:r w:rsidRPr="000E4D9B">
        <w:rPr>
          <w:rFonts w:cs="Arial"/>
          <w:i/>
          <w:noProof/>
          <w:sz w:val="22"/>
          <w:lang w:val="en-US"/>
        </w:rPr>
        <w:t>Journal of Early Intervention</w:t>
      </w:r>
      <w:r w:rsidRPr="000E4D9B">
        <w:rPr>
          <w:rFonts w:cs="Arial"/>
          <w:noProof/>
          <w:sz w:val="22"/>
          <w:lang w:val="en-US"/>
        </w:rPr>
        <w:t>,</w:t>
      </w:r>
      <w:r w:rsidRPr="000E4D9B">
        <w:rPr>
          <w:rFonts w:cs="Arial"/>
          <w:i/>
          <w:noProof/>
          <w:sz w:val="22"/>
          <w:lang w:val="en-US"/>
        </w:rPr>
        <w:t xml:space="preserve"> 35</w:t>
      </w:r>
      <w:r w:rsidRPr="000E4D9B">
        <w:rPr>
          <w:rFonts w:cs="Arial"/>
          <w:noProof/>
          <w:sz w:val="22"/>
          <w:lang w:val="en-US"/>
        </w:rPr>
        <w:t xml:space="preserve">(2), 79-84. </w:t>
      </w:r>
      <w:hyperlink r:id="rId352" w:history="1">
        <w:r w:rsidR="00CB2B49" w:rsidRPr="000E4D9B">
          <w:rPr>
            <w:rStyle w:val="Hyperlink"/>
            <w:rFonts w:cs="Arial"/>
            <w:noProof/>
            <w:sz w:val="22"/>
            <w:lang w:val="en-US"/>
          </w:rPr>
          <w:t>https://doi.org/10.1177/1053815113515181</w:t>
        </w:r>
      </w:hyperlink>
      <w:r w:rsidR="00CB2B49">
        <w:rPr>
          <w:rFonts w:cs="Arial"/>
          <w:noProof/>
          <w:sz w:val="22"/>
          <w:lang w:val="en-US"/>
        </w:rPr>
        <w:t xml:space="preserve"> </w:t>
      </w:r>
      <w:r w:rsidRPr="000E4D9B">
        <w:rPr>
          <w:rFonts w:cs="Arial"/>
          <w:noProof/>
          <w:sz w:val="22"/>
          <w:lang w:val="en-US"/>
        </w:rPr>
        <w:t xml:space="preserve"> </w:t>
      </w:r>
    </w:p>
    <w:p w14:paraId="06184167" w14:textId="77777777" w:rsidR="000E4D9B" w:rsidRPr="000E4D9B" w:rsidRDefault="000E4D9B" w:rsidP="000E4D9B">
      <w:pPr>
        <w:spacing w:before="0" w:after="160"/>
        <w:ind w:left="720" w:hanging="720"/>
        <w:rPr>
          <w:rFonts w:cs="Arial"/>
          <w:noProof/>
          <w:sz w:val="22"/>
          <w:lang w:val="en-US"/>
        </w:rPr>
      </w:pPr>
      <w:r w:rsidRPr="000E4D9B">
        <w:rPr>
          <w:rFonts w:cs="Arial"/>
          <w:noProof/>
          <w:sz w:val="22"/>
          <w:lang w:val="en-US"/>
        </w:rPr>
        <w:tab/>
      </w:r>
    </w:p>
    <w:p w14:paraId="6B91B95F" w14:textId="77777777" w:rsidR="000E4D9B" w:rsidRDefault="000E4D9B" w:rsidP="000E4D9B">
      <w:pPr>
        <w:spacing w:before="0" w:after="160"/>
        <w:ind w:left="720" w:hanging="720"/>
        <w:rPr>
          <w:rFonts w:cs="Arial"/>
          <w:noProof/>
          <w:sz w:val="22"/>
          <w:lang w:val="en-US"/>
        </w:rPr>
      </w:pPr>
      <w:r w:rsidRPr="000E4D9B">
        <w:rPr>
          <w:rFonts w:cs="Arial"/>
          <w:noProof/>
          <w:sz w:val="22"/>
          <w:lang w:val="en-US"/>
        </w:rPr>
        <w:t xml:space="preserve">Karakochuk, C. D., Whitfield, K. C., Green, T. J., &amp; Kraemer, K. (2017). </w:t>
      </w:r>
      <w:r w:rsidRPr="000E4D9B">
        <w:rPr>
          <w:rFonts w:cs="Arial"/>
          <w:i/>
          <w:noProof/>
          <w:sz w:val="22"/>
          <w:lang w:val="en-US"/>
        </w:rPr>
        <w:t>The biology of the first 1,000 days</w:t>
      </w:r>
      <w:r w:rsidRPr="000E4D9B">
        <w:rPr>
          <w:rFonts w:cs="Arial"/>
          <w:noProof/>
          <w:sz w:val="22"/>
          <w:lang w:val="en-US"/>
        </w:rPr>
        <w:t xml:space="preserve">. Taylor &amp; Francis. </w:t>
      </w:r>
    </w:p>
    <w:p w14:paraId="673AD159" w14:textId="77777777" w:rsidR="00367828" w:rsidRPr="000E4D9B" w:rsidRDefault="00367828" w:rsidP="000E4D9B">
      <w:pPr>
        <w:spacing w:before="0" w:after="160"/>
        <w:ind w:left="720" w:hanging="720"/>
        <w:rPr>
          <w:rFonts w:cs="Arial"/>
          <w:noProof/>
          <w:sz w:val="22"/>
          <w:lang w:val="en-US"/>
        </w:rPr>
      </w:pPr>
    </w:p>
    <w:p w14:paraId="573651D2" w14:textId="09179D00"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Kausar, S., Jevne, R. F., &amp; Sobsey, D. (2003). Hope in families of children with developmental disabilities. </w:t>
      </w:r>
      <w:r w:rsidRPr="00C5086C">
        <w:rPr>
          <w:rFonts w:eastAsia="Aptos" w:cs="Arial"/>
          <w:i/>
          <w:noProof/>
          <w:sz w:val="22"/>
          <w:lang w:val="en-US"/>
        </w:rPr>
        <w:t>Journal on developmental disabilities</w:t>
      </w:r>
      <w:r w:rsidRPr="00C5086C">
        <w:rPr>
          <w:rFonts w:eastAsia="Aptos" w:cs="Arial"/>
          <w:noProof/>
          <w:sz w:val="22"/>
          <w:lang w:val="en-US"/>
        </w:rPr>
        <w:t>,</w:t>
      </w:r>
      <w:r w:rsidRPr="00C5086C">
        <w:rPr>
          <w:rFonts w:eastAsia="Aptos" w:cs="Arial"/>
          <w:i/>
          <w:noProof/>
          <w:sz w:val="22"/>
          <w:lang w:val="en-US"/>
        </w:rPr>
        <w:t xml:space="preserve"> 10</w:t>
      </w:r>
      <w:r w:rsidRPr="00C5086C">
        <w:rPr>
          <w:rFonts w:eastAsia="Aptos" w:cs="Arial"/>
          <w:noProof/>
          <w:sz w:val="22"/>
          <w:lang w:val="en-US"/>
        </w:rPr>
        <w:t xml:space="preserve">(1), 35-46. </w:t>
      </w:r>
      <w:hyperlink r:id="rId353" w:history="1">
        <w:r w:rsidR="00CB2B49" w:rsidRPr="00C5086C">
          <w:rPr>
            <w:rStyle w:val="Hyperlink"/>
            <w:rFonts w:eastAsia="Aptos" w:cs="Arial"/>
            <w:noProof/>
            <w:sz w:val="22"/>
            <w:lang w:val="en-US"/>
          </w:rPr>
          <w:t>https://oadd.org/wp-content/uploads/2016/12/kauser_etal.pdf</w:t>
        </w:r>
      </w:hyperlink>
      <w:r w:rsidR="00CB2B49">
        <w:rPr>
          <w:rFonts w:eastAsia="Aptos" w:cs="Arial"/>
          <w:noProof/>
          <w:sz w:val="22"/>
          <w:lang w:val="en-US"/>
        </w:rPr>
        <w:t xml:space="preserve"> </w:t>
      </w:r>
      <w:r w:rsidRPr="00C5086C">
        <w:rPr>
          <w:rFonts w:eastAsia="Aptos" w:cs="Arial"/>
          <w:noProof/>
          <w:sz w:val="22"/>
          <w:lang w:val="en-US"/>
        </w:rPr>
        <w:t xml:space="preserve"> </w:t>
      </w:r>
    </w:p>
    <w:p w14:paraId="59EDDAA0"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14E91733" w14:textId="77777777"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Kawachi, I., &amp; Berkman, L. F. (2014). Social capital, social cohesion, and health. In L.F. Berkman, I. Kawachi, &amp; M. Glymour (Eds.), </w:t>
      </w:r>
      <w:r w:rsidRPr="00C5086C">
        <w:rPr>
          <w:rFonts w:eastAsia="Aptos" w:cs="Arial"/>
          <w:i/>
          <w:noProof/>
          <w:sz w:val="22"/>
          <w:lang w:val="en-US"/>
        </w:rPr>
        <w:t>Social epidemiology</w:t>
      </w:r>
      <w:r w:rsidRPr="00C5086C">
        <w:rPr>
          <w:rFonts w:eastAsia="Aptos" w:cs="Arial"/>
          <w:noProof/>
          <w:sz w:val="22"/>
          <w:lang w:val="en-US"/>
        </w:rPr>
        <w:t xml:space="preserve"> (2nd ed., pp. 290-319). New York: Oxford University Press USA. </w:t>
      </w:r>
    </w:p>
    <w:p w14:paraId="4D2BC8A8"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23BDB9A9" w14:textId="58813E22"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Keeley, B. (2015). </w:t>
      </w:r>
      <w:r w:rsidRPr="00C5086C">
        <w:rPr>
          <w:rFonts w:eastAsia="Aptos" w:cs="Arial"/>
          <w:i/>
          <w:noProof/>
          <w:sz w:val="22"/>
          <w:lang w:val="en-US"/>
        </w:rPr>
        <w:t>Income inequality: The gap between rich and poor.</w:t>
      </w:r>
      <w:r w:rsidRPr="00C5086C">
        <w:rPr>
          <w:rFonts w:eastAsia="Aptos" w:cs="Arial"/>
          <w:noProof/>
          <w:sz w:val="22"/>
          <w:lang w:val="en-US"/>
        </w:rPr>
        <w:t xml:space="preserve"> Paris, France: OECD Publishing. </w:t>
      </w:r>
      <w:hyperlink r:id="rId354" w:history="1">
        <w:r w:rsidR="00CB2B49" w:rsidRPr="00C5086C">
          <w:rPr>
            <w:rStyle w:val="Hyperlink"/>
            <w:rFonts w:eastAsia="Aptos" w:cs="Arial"/>
            <w:noProof/>
            <w:sz w:val="22"/>
            <w:lang w:val="en-US"/>
          </w:rPr>
          <w:t>https://doi.org/10.1787/9789264246010-en</w:t>
        </w:r>
      </w:hyperlink>
      <w:r w:rsidR="00CB2B49">
        <w:rPr>
          <w:rFonts w:eastAsia="Aptos" w:cs="Arial"/>
          <w:noProof/>
          <w:sz w:val="22"/>
          <w:lang w:val="en-US"/>
        </w:rPr>
        <w:t xml:space="preserve"> </w:t>
      </w:r>
      <w:r w:rsidRPr="00C5086C">
        <w:rPr>
          <w:rFonts w:eastAsia="Aptos" w:cs="Arial"/>
          <w:noProof/>
          <w:sz w:val="22"/>
          <w:lang w:val="en-US"/>
        </w:rPr>
        <w:t xml:space="preserve"> </w:t>
      </w:r>
    </w:p>
    <w:p w14:paraId="40886010"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4ADA0D38" w14:textId="77777777"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Keilty, B. (2016). </w:t>
      </w:r>
      <w:r w:rsidRPr="00C5086C">
        <w:rPr>
          <w:rFonts w:eastAsia="Aptos" w:cs="Arial"/>
          <w:i/>
          <w:noProof/>
          <w:sz w:val="22"/>
          <w:lang w:val="en-US"/>
        </w:rPr>
        <w:t>The early intervention guidebook for families and professionals: Partnering for success</w:t>
      </w:r>
      <w:r w:rsidRPr="00C5086C">
        <w:rPr>
          <w:rFonts w:eastAsia="Aptos" w:cs="Arial"/>
          <w:noProof/>
          <w:sz w:val="22"/>
          <w:lang w:val="en-US"/>
        </w:rPr>
        <w:t xml:space="preserve"> (2nd ed.). New York: Teachers College Press. </w:t>
      </w:r>
    </w:p>
    <w:p w14:paraId="2A39FB28"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0D64F0E5" w14:textId="77777777"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Keilty, B. (2017). </w:t>
      </w:r>
      <w:r w:rsidRPr="00C5086C">
        <w:rPr>
          <w:rFonts w:eastAsia="Aptos" w:cs="Arial"/>
          <w:i/>
          <w:noProof/>
          <w:sz w:val="22"/>
          <w:lang w:val="en-US"/>
        </w:rPr>
        <w:t>Seven essentials for family–professional partnerships in early intervention</w:t>
      </w:r>
      <w:r w:rsidRPr="00C5086C">
        <w:rPr>
          <w:rFonts w:eastAsia="Aptos" w:cs="Arial"/>
          <w:noProof/>
          <w:sz w:val="22"/>
          <w:lang w:val="en-US"/>
        </w:rPr>
        <w:t xml:space="preserve">. New York: Teachers College Press. </w:t>
      </w:r>
    </w:p>
    <w:p w14:paraId="747A3FFA"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10F56245" w14:textId="7C7B986C"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Keilty, B. (2020). Assessing the home environment to promote infant-toddler learning within everyday family routines. </w:t>
      </w:r>
      <w:r w:rsidRPr="00C5086C">
        <w:rPr>
          <w:rFonts w:eastAsia="Aptos" w:cs="Arial"/>
          <w:i/>
          <w:noProof/>
          <w:sz w:val="22"/>
          <w:lang w:val="en-US"/>
        </w:rPr>
        <w:t>Young Exceptional Children</w:t>
      </w:r>
      <w:r w:rsidRPr="00C5086C">
        <w:rPr>
          <w:rFonts w:eastAsia="Aptos" w:cs="Arial"/>
          <w:noProof/>
          <w:sz w:val="22"/>
          <w:lang w:val="en-US"/>
        </w:rPr>
        <w:t>,</w:t>
      </w:r>
      <w:r w:rsidRPr="00C5086C">
        <w:rPr>
          <w:rFonts w:eastAsia="Aptos" w:cs="Arial"/>
          <w:i/>
          <w:noProof/>
          <w:sz w:val="22"/>
          <w:lang w:val="en-US"/>
        </w:rPr>
        <w:t xml:space="preserve"> 23</w:t>
      </w:r>
      <w:r w:rsidRPr="00C5086C">
        <w:rPr>
          <w:rFonts w:eastAsia="Aptos" w:cs="Arial"/>
          <w:noProof/>
          <w:sz w:val="22"/>
          <w:lang w:val="en-US"/>
        </w:rPr>
        <w:t xml:space="preserve">(4), 199-211. </w:t>
      </w:r>
      <w:hyperlink r:id="rId355" w:history="1">
        <w:r w:rsidR="00CB2B49" w:rsidRPr="00C5086C">
          <w:rPr>
            <w:rStyle w:val="Hyperlink"/>
            <w:rFonts w:eastAsia="Aptos" w:cs="Arial"/>
            <w:noProof/>
            <w:sz w:val="22"/>
            <w:lang w:val="en-US"/>
          </w:rPr>
          <w:t>https://doi.org/10.1177/1096250619864076</w:t>
        </w:r>
      </w:hyperlink>
      <w:r w:rsidR="00CB2B49">
        <w:rPr>
          <w:rFonts w:eastAsia="Aptos" w:cs="Arial"/>
          <w:noProof/>
          <w:sz w:val="22"/>
          <w:lang w:val="en-US"/>
        </w:rPr>
        <w:t xml:space="preserve"> </w:t>
      </w:r>
      <w:r w:rsidRPr="00C5086C">
        <w:rPr>
          <w:rFonts w:eastAsia="Aptos" w:cs="Arial"/>
          <w:noProof/>
          <w:sz w:val="22"/>
          <w:lang w:val="en-US"/>
        </w:rPr>
        <w:t xml:space="preserve"> </w:t>
      </w:r>
    </w:p>
    <w:p w14:paraId="30C79BB4"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74AD096D" w14:textId="1565F352"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Keilty, T. (2014). </w:t>
      </w:r>
      <w:r w:rsidRPr="00C5086C">
        <w:rPr>
          <w:rFonts w:eastAsia="Aptos" w:cs="Arial"/>
          <w:i/>
          <w:noProof/>
          <w:sz w:val="22"/>
          <w:lang w:val="en-US"/>
        </w:rPr>
        <w:t>Self-directed support and early intervention</w:t>
      </w:r>
      <w:r w:rsidRPr="00C5086C">
        <w:rPr>
          <w:rFonts w:eastAsia="Aptos" w:cs="Arial"/>
          <w:noProof/>
          <w:sz w:val="22"/>
          <w:lang w:val="en-US"/>
        </w:rPr>
        <w:t xml:space="preserve">. Wythall, West Midlands: In Control. Retrieved 2024, 6 September from </w:t>
      </w:r>
      <w:hyperlink r:id="rId356" w:history="1">
        <w:r w:rsidR="00CB2B49" w:rsidRPr="00C5086C">
          <w:rPr>
            <w:rStyle w:val="Hyperlink"/>
            <w:rFonts w:eastAsia="Aptos" w:cs="Arial"/>
            <w:noProof/>
            <w:sz w:val="22"/>
            <w:lang w:val="en-US"/>
          </w:rPr>
          <w:t>https://blogs.glowscotland.org.uk/glowblogs/public/fvpp/uploads/sites/9924/2017/12/14153756/sds-and-early-intervention-final.pdf</w:t>
        </w:r>
      </w:hyperlink>
      <w:r w:rsidR="00CB2B49">
        <w:rPr>
          <w:rFonts w:eastAsia="Aptos" w:cs="Arial"/>
          <w:noProof/>
          <w:sz w:val="22"/>
          <w:lang w:val="en-US"/>
        </w:rPr>
        <w:t xml:space="preserve"> </w:t>
      </w:r>
    </w:p>
    <w:p w14:paraId="2D4F8DEA"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60041276" w14:textId="77777777"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Kelly, J. F., &amp; Barnard, K. E. (2000). Assessment of parent-child interaction: Implications for early intervention. In </w:t>
      </w:r>
      <w:r w:rsidRPr="00C5086C">
        <w:rPr>
          <w:rFonts w:eastAsia="Aptos" w:cs="Arial"/>
          <w:i/>
          <w:noProof/>
          <w:sz w:val="22"/>
          <w:lang w:val="en-US"/>
        </w:rPr>
        <w:t>Handbook of early childhood intervention</w:t>
      </w:r>
      <w:r w:rsidRPr="00C5086C">
        <w:rPr>
          <w:rFonts w:eastAsia="Aptos" w:cs="Arial"/>
          <w:noProof/>
          <w:sz w:val="22"/>
          <w:lang w:val="en-US"/>
        </w:rPr>
        <w:t xml:space="preserve"> (2nd ed., Vol. 2, pp. 258-289). Cambridge, UK: Cambridge University Press. </w:t>
      </w:r>
    </w:p>
    <w:p w14:paraId="17452B83"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53A2F09E" w14:textId="40560F77"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Kemp, C. R. (2016). Early childhood inclusion in Australia. </w:t>
      </w:r>
      <w:r w:rsidRPr="00C5086C">
        <w:rPr>
          <w:rFonts w:eastAsia="Aptos" w:cs="Arial"/>
          <w:i/>
          <w:noProof/>
          <w:sz w:val="22"/>
          <w:lang w:val="en-US"/>
        </w:rPr>
        <w:t>Infants &amp; Young Children</w:t>
      </w:r>
      <w:r w:rsidRPr="00C5086C">
        <w:rPr>
          <w:rFonts w:eastAsia="Aptos" w:cs="Arial"/>
          <w:noProof/>
          <w:sz w:val="22"/>
          <w:lang w:val="en-US"/>
        </w:rPr>
        <w:t>,</w:t>
      </w:r>
      <w:r w:rsidRPr="00C5086C">
        <w:rPr>
          <w:rFonts w:eastAsia="Aptos" w:cs="Arial"/>
          <w:i/>
          <w:noProof/>
          <w:sz w:val="22"/>
          <w:lang w:val="en-US"/>
        </w:rPr>
        <w:t xml:space="preserve"> 29</w:t>
      </w:r>
      <w:r w:rsidRPr="00C5086C">
        <w:rPr>
          <w:rFonts w:eastAsia="Aptos" w:cs="Arial"/>
          <w:noProof/>
          <w:sz w:val="22"/>
          <w:lang w:val="en-US"/>
        </w:rPr>
        <w:t xml:space="preserve">(3), 178-187. </w:t>
      </w:r>
      <w:hyperlink r:id="rId357" w:history="1">
        <w:r w:rsidR="00CB2B49" w:rsidRPr="00C5086C">
          <w:rPr>
            <w:rStyle w:val="Hyperlink"/>
            <w:rFonts w:eastAsia="Aptos" w:cs="Arial"/>
            <w:noProof/>
            <w:sz w:val="22"/>
            <w:lang w:val="en-US"/>
          </w:rPr>
          <w:t>https://doi.org/10.1097/IYC.0000000000000062</w:t>
        </w:r>
      </w:hyperlink>
      <w:r w:rsidR="00CB2B49">
        <w:rPr>
          <w:rFonts w:eastAsia="Aptos" w:cs="Arial"/>
          <w:noProof/>
          <w:sz w:val="22"/>
          <w:lang w:val="en-US"/>
        </w:rPr>
        <w:t xml:space="preserve"> </w:t>
      </w:r>
      <w:r w:rsidRPr="00C5086C">
        <w:rPr>
          <w:rFonts w:eastAsia="Aptos" w:cs="Arial"/>
          <w:noProof/>
          <w:sz w:val="22"/>
          <w:lang w:val="en-US"/>
        </w:rPr>
        <w:t xml:space="preserve"> </w:t>
      </w:r>
    </w:p>
    <w:p w14:paraId="2CF5C7CC"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6BFEB440" w14:textId="77777777" w:rsidR="00C5086C" w:rsidRP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Kemp, P., &amp; Turnbull, A. P. (2014). Coaching with parents in early intervention: An interdisciplinary research synthesis. </w:t>
      </w:r>
      <w:r w:rsidRPr="00C5086C">
        <w:rPr>
          <w:rFonts w:eastAsia="Aptos" w:cs="Arial"/>
          <w:i/>
          <w:noProof/>
          <w:sz w:val="22"/>
          <w:lang w:val="en-US"/>
        </w:rPr>
        <w:t>Infants &amp; Young Children</w:t>
      </w:r>
      <w:r w:rsidRPr="00C5086C">
        <w:rPr>
          <w:rFonts w:eastAsia="Aptos" w:cs="Arial"/>
          <w:noProof/>
          <w:sz w:val="22"/>
          <w:lang w:val="en-US"/>
        </w:rPr>
        <w:t>,</w:t>
      </w:r>
      <w:r w:rsidRPr="00C5086C">
        <w:rPr>
          <w:rFonts w:eastAsia="Aptos" w:cs="Arial"/>
          <w:i/>
          <w:noProof/>
          <w:sz w:val="22"/>
          <w:lang w:val="en-US"/>
        </w:rPr>
        <w:t xml:space="preserve"> 27</w:t>
      </w:r>
      <w:r w:rsidRPr="00C5086C">
        <w:rPr>
          <w:rFonts w:eastAsia="Aptos" w:cs="Arial"/>
          <w:noProof/>
          <w:sz w:val="22"/>
          <w:lang w:val="en-US"/>
        </w:rPr>
        <w:t xml:space="preserve">(4), 305-324. </w:t>
      </w:r>
    </w:p>
    <w:p w14:paraId="2555DE9B" w14:textId="77777777" w:rsidR="00C5086C" w:rsidRPr="00C5086C" w:rsidRDefault="00C5086C" w:rsidP="00C5086C">
      <w:pPr>
        <w:spacing w:before="0" w:after="0"/>
        <w:ind w:left="720" w:hanging="720"/>
        <w:rPr>
          <w:rFonts w:eastAsia="Aptos" w:cs="Arial"/>
          <w:noProof/>
          <w:sz w:val="22"/>
          <w:lang w:val="en-US"/>
        </w:rPr>
      </w:pPr>
      <w:r w:rsidRPr="00C5086C">
        <w:rPr>
          <w:rFonts w:eastAsia="Aptos" w:cs="Arial"/>
          <w:noProof/>
          <w:sz w:val="22"/>
          <w:lang w:val="en-US"/>
        </w:rPr>
        <w:tab/>
      </w:r>
    </w:p>
    <w:p w14:paraId="6A49B4C0" w14:textId="77777777" w:rsidR="00C5086C" w:rsidRDefault="00C5086C" w:rsidP="00C5086C">
      <w:pPr>
        <w:spacing w:before="0" w:after="160"/>
        <w:ind w:left="720" w:hanging="720"/>
        <w:rPr>
          <w:rFonts w:eastAsia="Aptos" w:cs="Arial"/>
          <w:noProof/>
          <w:sz w:val="22"/>
          <w:lang w:val="en-US"/>
        </w:rPr>
      </w:pPr>
      <w:r w:rsidRPr="00C5086C">
        <w:rPr>
          <w:rFonts w:eastAsia="Aptos" w:cs="Arial"/>
          <w:noProof/>
          <w:sz w:val="22"/>
          <w:lang w:val="en-US"/>
        </w:rPr>
        <w:t xml:space="preserve">Kennedy, A. (2017). Reimagining family partnerships: Shifting practice from a focus on disadvantage to engagement and empowerment. In H. Sukkar, C.J. Dunst, &amp; J. Kirkby (Eds.), </w:t>
      </w:r>
      <w:r w:rsidRPr="00C5086C">
        <w:rPr>
          <w:rFonts w:eastAsia="Aptos" w:cs="Arial"/>
          <w:i/>
          <w:noProof/>
          <w:sz w:val="22"/>
          <w:lang w:val="en-US"/>
        </w:rPr>
        <w:t>Early Childhood Intervention: Working with Families of Young Children with Special Needs</w:t>
      </w:r>
      <w:r w:rsidRPr="00C5086C">
        <w:rPr>
          <w:rFonts w:eastAsia="Aptos" w:cs="Arial"/>
          <w:noProof/>
          <w:sz w:val="22"/>
          <w:lang w:val="en-US"/>
        </w:rPr>
        <w:t xml:space="preserve"> (pp. 112-125). London and New York: Routledge. </w:t>
      </w:r>
    </w:p>
    <w:p w14:paraId="55D20494" w14:textId="77777777" w:rsidR="00D83DE5" w:rsidRPr="00C5086C" w:rsidRDefault="00D83DE5" w:rsidP="00C5086C">
      <w:pPr>
        <w:spacing w:before="0" w:after="160"/>
        <w:ind w:left="720" w:hanging="720"/>
        <w:rPr>
          <w:rFonts w:eastAsia="Aptos" w:cs="Arial"/>
          <w:noProof/>
          <w:sz w:val="22"/>
          <w:lang w:val="en-US"/>
        </w:rPr>
      </w:pPr>
    </w:p>
    <w:p w14:paraId="4B37FF19" w14:textId="415EE310" w:rsidR="0090429A" w:rsidRPr="0090429A" w:rsidRDefault="0090429A" w:rsidP="0090429A">
      <w:pPr>
        <w:spacing w:before="0" w:after="160"/>
        <w:ind w:left="720" w:hanging="720"/>
        <w:rPr>
          <w:rFonts w:cs="Arial"/>
          <w:noProof/>
          <w:sz w:val="22"/>
          <w:lang w:val="en-US"/>
        </w:rPr>
      </w:pPr>
      <w:r w:rsidRPr="0090429A">
        <w:rPr>
          <w:rFonts w:cs="Arial"/>
          <w:noProof/>
          <w:sz w:val="22"/>
          <w:lang w:val="en-US"/>
        </w:rPr>
        <w:t xml:space="preserve">Kern, M. L., Williams, P., Spong, C., Colla, R., Sharma, K., Downie, A., Taylor, J. A., Sharp, S., Siokou, C., &amp; Oades, L. G. (2020). Systems informed positive psychology. </w:t>
      </w:r>
      <w:r w:rsidRPr="0090429A">
        <w:rPr>
          <w:rFonts w:cs="Arial"/>
          <w:i/>
          <w:noProof/>
          <w:sz w:val="22"/>
          <w:lang w:val="en-US"/>
        </w:rPr>
        <w:t>The Journal of Positive Psychology</w:t>
      </w:r>
      <w:r w:rsidRPr="0090429A">
        <w:rPr>
          <w:rFonts w:cs="Arial"/>
          <w:noProof/>
          <w:sz w:val="22"/>
          <w:lang w:val="en-US"/>
        </w:rPr>
        <w:t>,</w:t>
      </w:r>
      <w:r w:rsidRPr="0090429A">
        <w:rPr>
          <w:rFonts w:cs="Arial"/>
          <w:i/>
          <w:noProof/>
          <w:sz w:val="22"/>
          <w:lang w:val="en-US"/>
        </w:rPr>
        <w:t xml:space="preserve"> 15</w:t>
      </w:r>
      <w:r w:rsidRPr="0090429A">
        <w:rPr>
          <w:rFonts w:cs="Arial"/>
          <w:noProof/>
          <w:sz w:val="22"/>
          <w:lang w:val="en-US"/>
        </w:rPr>
        <w:t xml:space="preserve">(6), 705-715. </w:t>
      </w:r>
      <w:hyperlink r:id="rId358" w:history="1">
        <w:r w:rsidR="00CB2B49" w:rsidRPr="0090429A">
          <w:rPr>
            <w:rStyle w:val="Hyperlink"/>
            <w:rFonts w:cs="Arial"/>
            <w:noProof/>
            <w:sz w:val="22"/>
            <w:lang w:val="en-US"/>
          </w:rPr>
          <w:t>https://doi.org/10.1080/17439760.2019.1639799</w:t>
        </w:r>
      </w:hyperlink>
      <w:r w:rsidR="00CB2B49">
        <w:rPr>
          <w:rFonts w:cs="Arial"/>
          <w:noProof/>
          <w:sz w:val="22"/>
          <w:lang w:val="en-US"/>
        </w:rPr>
        <w:t xml:space="preserve"> </w:t>
      </w:r>
      <w:r w:rsidRPr="0090429A">
        <w:rPr>
          <w:rFonts w:cs="Arial"/>
          <w:noProof/>
          <w:sz w:val="22"/>
          <w:lang w:val="en-US"/>
        </w:rPr>
        <w:t xml:space="preserve"> </w:t>
      </w:r>
    </w:p>
    <w:p w14:paraId="3E424D3B" w14:textId="77777777" w:rsidR="0090429A" w:rsidRPr="0090429A" w:rsidRDefault="0090429A" w:rsidP="0090429A">
      <w:pPr>
        <w:spacing w:before="0" w:after="160"/>
        <w:ind w:left="720" w:hanging="720"/>
        <w:rPr>
          <w:rFonts w:cs="Arial"/>
          <w:noProof/>
          <w:sz w:val="22"/>
          <w:lang w:val="en-US"/>
        </w:rPr>
      </w:pPr>
      <w:r w:rsidRPr="0090429A">
        <w:rPr>
          <w:rFonts w:cs="Arial"/>
          <w:noProof/>
          <w:sz w:val="22"/>
          <w:lang w:val="en-US"/>
        </w:rPr>
        <w:tab/>
      </w:r>
    </w:p>
    <w:p w14:paraId="1099A089" w14:textId="1168F62B" w:rsidR="0090429A" w:rsidRPr="0090429A" w:rsidRDefault="0090429A" w:rsidP="0090429A">
      <w:pPr>
        <w:spacing w:before="0" w:after="160"/>
        <w:ind w:left="720" w:hanging="720"/>
        <w:rPr>
          <w:rFonts w:cs="Arial"/>
          <w:noProof/>
          <w:sz w:val="22"/>
          <w:lang w:val="en-US"/>
        </w:rPr>
      </w:pPr>
      <w:r w:rsidRPr="0090429A">
        <w:rPr>
          <w:rFonts w:cs="Arial"/>
          <w:noProof/>
          <w:sz w:val="22"/>
          <w:lang w:val="en-US"/>
        </w:rPr>
        <w:t xml:space="preserve">Kerr, C., Imms, C., Shields, N., Novak, I., Harvey, A., Foley, S., &amp; Reddihough, D. (2015). Extent of goal setting and selection of evidence-based interventions by paediatric physiotherapists working with children with cerebral palsy in Australia. </w:t>
      </w:r>
      <w:r w:rsidRPr="0090429A">
        <w:rPr>
          <w:rFonts w:cs="Arial"/>
          <w:i/>
          <w:noProof/>
          <w:sz w:val="22"/>
          <w:lang w:val="en-US"/>
        </w:rPr>
        <w:t>Physiotherapy</w:t>
      </w:r>
      <w:r w:rsidRPr="0090429A">
        <w:rPr>
          <w:rFonts w:cs="Arial"/>
          <w:noProof/>
          <w:sz w:val="22"/>
          <w:lang w:val="en-US"/>
        </w:rPr>
        <w:t>,</w:t>
      </w:r>
      <w:r w:rsidRPr="0090429A">
        <w:rPr>
          <w:rFonts w:cs="Arial"/>
          <w:i/>
          <w:noProof/>
          <w:sz w:val="22"/>
          <w:lang w:val="en-US"/>
        </w:rPr>
        <w:t xml:space="preserve"> 101</w:t>
      </w:r>
      <w:r w:rsidRPr="0090429A">
        <w:rPr>
          <w:rFonts w:cs="Arial"/>
          <w:noProof/>
          <w:sz w:val="22"/>
          <w:lang w:val="en-US"/>
        </w:rPr>
        <w:t xml:space="preserve">, e740-e741. </w:t>
      </w:r>
      <w:hyperlink r:id="rId359" w:history="1">
        <w:r w:rsidR="00CB2B49" w:rsidRPr="0090429A">
          <w:rPr>
            <w:rStyle w:val="Hyperlink"/>
            <w:rFonts w:cs="Arial"/>
            <w:noProof/>
            <w:sz w:val="22"/>
            <w:lang w:val="en-US"/>
          </w:rPr>
          <w:t>https://doi.org/10.1016/j.physio.2015.03.3604</w:t>
        </w:r>
      </w:hyperlink>
      <w:r w:rsidR="00CB2B49">
        <w:rPr>
          <w:rFonts w:cs="Arial"/>
          <w:noProof/>
          <w:sz w:val="22"/>
          <w:lang w:val="en-US"/>
        </w:rPr>
        <w:t xml:space="preserve"> </w:t>
      </w:r>
      <w:r w:rsidRPr="0090429A">
        <w:rPr>
          <w:rFonts w:cs="Arial"/>
          <w:noProof/>
          <w:sz w:val="22"/>
          <w:lang w:val="en-US"/>
        </w:rPr>
        <w:t xml:space="preserve"> </w:t>
      </w:r>
    </w:p>
    <w:p w14:paraId="70B061E9" w14:textId="77777777" w:rsidR="0090429A" w:rsidRPr="0090429A" w:rsidRDefault="0090429A" w:rsidP="0090429A">
      <w:pPr>
        <w:spacing w:before="0" w:after="160"/>
        <w:ind w:left="720" w:hanging="720"/>
        <w:rPr>
          <w:rFonts w:cs="Arial"/>
          <w:noProof/>
          <w:sz w:val="22"/>
          <w:lang w:val="en-US"/>
        </w:rPr>
      </w:pPr>
      <w:r w:rsidRPr="0090429A">
        <w:rPr>
          <w:rFonts w:cs="Arial"/>
          <w:noProof/>
          <w:sz w:val="22"/>
          <w:lang w:val="en-US"/>
        </w:rPr>
        <w:tab/>
      </w:r>
    </w:p>
    <w:p w14:paraId="39A9260D" w14:textId="77777777" w:rsidR="0090429A" w:rsidRPr="0090429A" w:rsidRDefault="0090429A" w:rsidP="0090429A">
      <w:pPr>
        <w:spacing w:before="0" w:after="160"/>
        <w:ind w:left="720" w:hanging="720"/>
        <w:rPr>
          <w:rFonts w:cs="Arial"/>
          <w:noProof/>
          <w:sz w:val="22"/>
          <w:lang w:val="en-US"/>
        </w:rPr>
      </w:pPr>
      <w:r w:rsidRPr="0090429A">
        <w:rPr>
          <w:rFonts w:cs="Arial"/>
          <w:noProof/>
          <w:sz w:val="22"/>
          <w:lang w:val="en-US"/>
        </w:rPr>
        <w:t xml:space="preserve">Keyser, J. (2006). </w:t>
      </w:r>
      <w:r w:rsidRPr="0090429A">
        <w:rPr>
          <w:rFonts w:cs="Arial"/>
          <w:i/>
          <w:noProof/>
          <w:sz w:val="22"/>
          <w:lang w:val="en-US"/>
        </w:rPr>
        <w:t>From parents to partners: Building a family-centered early childhood program</w:t>
      </w:r>
      <w:r w:rsidRPr="0090429A">
        <w:rPr>
          <w:rFonts w:cs="Arial"/>
          <w:noProof/>
          <w:sz w:val="22"/>
          <w:lang w:val="en-US"/>
        </w:rPr>
        <w:t xml:space="preserve">. St Paul, MN: Redleaf Press. </w:t>
      </w:r>
    </w:p>
    <w:p w14:paraId="292584AF" w14:textId="77777777" w:rsidR="0090429A" w:rsidRPr="0090429A" w:rsidRDefault="0090429A" w:rsidP="0090429A">
      <w:pPr>
        <w:spacing w:before="0" w:after="160"/>
        <w:ind w:left="720" w:hanging="720"/>
        <w:rPr>
          <w:rFonts w:cs="Arial"/>
          <w:noProof/>
          <w:sz w:val="22"/>
          <w:lang w:val="en-US"/>
        </w:rPr>
      </w:pPr>
      <w:r w:rsidRPr="0090429A">
        <w:rPr>
          <w:rFonts w:cs="Arial"/>
          <w:noProof/>
          <w:sz w:val="22"/>
          <w:lang w:val="en-US"/>
        </w:rPr>
        <w:tab/>
      </w:r>
    </w:p>
    <w:p w14:paraId="1F5FFDC0" w14:textId="6C529433" w:rsidR="0090429A" w:rsidRDefault="0090429A" w:rsidP="0090429A">
      <w:pPr>
        <w:spacing w:before="0" w:after="160"/>
        <w:ind w:left="720" w:hanging="720"/>
        <w:rPr>
          <w:rFonts w:cs="Arial"/>
          <w:noProof/>
          <w:sz w:val="22"/>
          <w:lang w:val="en-US"/>
        </w:rPr>
      </w:pPr>
      <w:r w:rsidRPr="0090429A">
        <w:rPr>
          <w:rFonts w:cs="Arial"/>
          <w:noProof/>
          <w:sz w:val="22"/>
          <w:lang w:val="en-US"/>
        </w:rPr>
        <w:t xml:space="preserve">Kiernan, K., Crossman, S., &amp; Phimister, A. (2022). </w:t>
      </w:r>
      <w:r w:rsidRPr="0090429A">
        <w:rPr>
          <w:rFonts w:cs="Arial"/>
          <w:i/>
          <w:noProof/>
          <w:sz w:val="22"/>
          <w:lang w:val="en-US"/>
        </w:rPr>
        <w:t>Families and inequalities</w:t>
      </w:r>
      <w:r w:rsidRPr="0090429A">
        <w:rPr>
          <w:rFonts w:cs="Arial"/>
          <w:noProof/>
          <w:sz w:val="22"/>
          <w:lang w:val="en-US"/>
        </w:rPr>
        <w:t xml:space="preserve">. London, UK: IFS Deaton Review of Inequalities. Retrieved 6 September, 2024 from </w:t>
      </w:r>
      <w:hyperlink r:id="rId360" w:history="1">
        <w:r w:rsidR="00C358B2" w:rsidRPr="00326476">
          <w:rPr>
            <w:rStyle w:val="Hyperlink"/>
            <w:rFonts w:cs="Arial"/>
            <w:noProof/>
            <w:sz w:val="22"/>
            <w:lang w:val="en-US"/>
          </w:rPr>
          <w:t>https://ifs.org.uk/inequality/families-andinequalities</w:t>
        </w:r>
      </w:hyperlink>
    </w:p>
    <w:p w14:paraId="729B08CE" w14:textId="77777777" w:rsidR="00C358B2" w:rsidRPr="0090429A" w:rsidRDefault="00C358B2" w:rsidP="0090429A">
      <w:pPr>
        <w:spacing w:before="0" w:after="160"/>
        <w:ind w:left="720" w:hanging="720"/>
        <w:rPr>
          <w:rFonts w:cs="Arial"/>
          <w:noProof/>
          <w:sz w:val="22"/>
          <w:lang w:val="en-US"/>
        </w:rPr>
      </w:pPr>
    </w:p>
    <w:p w14:paraId="372BE0A1" w14:textId="77777777" w:rsidR="00323775" w:rsidRPr="00323775" w:rsidRDefault="00323775" w:rsidP="00323775">
      <w:pPr>
        <w:spacing w:before="0" w:after="160"/>
        <w:ind w:left="720" w:hanging="720"/>
        <w:rPr>
          <w:rFonts w:eastAsia="Aptos" w:cs="Arial"/>
          <w:noProof/>
          <w:sz w:val="22"/>
          <w:lang w:val="en-US"/>
        </w:rPr>
      </w:pPr>
      <w:r w:rsidRPr="00510DE3">
        <w:rPr>
          <w:rFonts w:eastAsia="Aptos" w:cs="Arial"/>
          <w:noProof/>
          <w:sz w:val="22"/>
          <w:lang w:val="en-US"/>
        </w:rPr>
        <w:t xml:space="preserve">Kilburn, J. E., Shapiro, C. J., &amp; Hardin, J. W. (2017). Linking implementation of evidence-based parenting programs to outcomes in early intervention. </w:t>
      </w:r>
      <w:r w:rsidRPr="00510DE3">
        <w:rPr>
          <w:rFonts w:eastAsia="Aptos" w:cs="Arial"/>
          <w:i/>
          <w:noProof/>
          <w:sz w:val="22"/>
          <w:lang w:val="en-US"/>
        </w:rPr>
        <w:t>Research in developmental disabilities</w:t>
      </w:r>
      <w:r w:rsidRPr="00510DE3">
        <w:rPr>
          <w:rFonts w:eastAsia="Aptos" w:cs="Arial"/>
          <w:noProof/>
          <w:sz w:val="22"/>
          <w:lang w:val="en-US"/>
        </w:rPr>
        <w:t>,</w:t>
      </w:r>
      <w:r w:rsidRPr="00510DE3">
        <w:rPr>
          <w:rFonts w:eastAsia="Aptos" w:cs="Arial"/>
          <w:i/>
          <w:noProof/>
          <w:sz w:val="22"/>
          <w:lang w:val="en-US"/>
        </w:rPr>
        <w:t xml:space="preserve"> 70</w:t>
      </w:r>
      <w:r w:rsidRPr="00510DE3">
        <w:rPr>
          <w:rFonts w:eastAsia="Aptos" w:cs="Arial"/>
          <w:noProof/>
          <w:sz w:val="22"/>
          <w:lang w:val="en-US"/>
        </w:rPr>
        <w:t>, 50-58.</w:t>
      </w:r>
      <w:r w:rsidRPr="00323775">
        <w:rPr>
          <w:rFonts w:eastAsia="Aptos" w:cs="Arial"/>
          <w:noProof/>
          <w:sz w:val="22"/>
          <w:lang w:val="en-US"/>
        </w:rPr>
        <w:t xml:space="preserve"> </w:t>
      </w:r>
    </w:p>
    <w:p w14:paraId="7440F288" w14:textId="77777777" w:rsidR="00713642" w:rsidRPr="00075790" w:rsidRDefault="00713642" w:rsidP="00090188">
      <w:pPr>
        <w:pStyle w:val="EndNoteBibliography"/>
        <w:spacing w:after="0"/>
      </w:pPr>
    </w:p>
    <w:p w14:paraId="751939EC" w14:textId="0F6978AC" w:rsidR="00FD4998" w:rsidRPr="00FD4998"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King, G. (2009). A relational goal-oriented model of optimal service delivery to children and families. </w:t>
      </w:r>
      <w:r w:rsidRPr="00FD4998">
        <w:rPr>
          <w:rFonts w:eastAsia="Aptos" w:cs="Arial"/>
          <w:i/>
          <w:noProof/>
          <w:sz w:val="22"/>
          <w:lang w:val="en-US"/>
        </w:rPr>
        <w:t>Physical &amp; Occupational Therapy in Pediatrics</w:t>
      </w:r>
      <w:r w:rsidRPr="00FD4998">
        <w:rPr>
          <w:rFonts w:eastAsia="Aptos" w:cs="Arial"/>
          <w:noProof/>
          <w:sz w:val="22"/>
          <w:lang w:val="en-US"/>
        </w:rPr>
        <w:t>,</w:t>
      </w:r>
      <w:r w:rsidRPr="00FD4998">
        <w:rPr>
          <w:rFonts w:eastAsia="Aptos" w:cs="Arial"/>
          <w:i/>
          <w:noProof/>
          <w:sz w:val="22"/>
          <w:lang w:val="en-US"/>
        </w:rPr>
        <w:t xml:space="preserve"> 29</w:t>
      </w:r>
      <w:r w:rsidRPr="00FD4998">
        <w:rPr>
          <w:rFonts w:eastAsia="Aptos" w:cs="Arial"/>
          <w:noProof/>
          <w:sz w:val="22"/>
          <w:lang w:val="en-US"/>
        </w:rPr>
        <w:t xml:space="preserve">(4), 384-408. </w:t>
      </w:r>
      <w:hyperlink r:id="rId361" w:history="1">
        <w:r w:rsidR="00CB2B49" w:rsidRPr="00FD4998">
          <w:rPr>
            <w:rStyle w:val="Hyperlink"/>
            <w:rFonts w:eastAsia="Aptos" w:cs="Arial"/>
            <w:noProof/>
            <w:sz w:val="22"/>
            <w:lang w:val="en-US"/>
          </w:rPr>
          <w:t>https://doi.org/10.3109/01942630903222118</w:t>
        </w:r>
      </w:hyperlink>
      <w:r w:rsidR="00CB2B49">
        <w:rPr>
          <w:rFonts w:eastAsia="Aptos" w:cs="Arial"/>
          <w:noProof/>
          <w:sz w:val="22"/>
          <w:lang w:val="en-US"/>
        </w:rPr>
        <w:t xml:space="preserve"> </w:t>
      </w:r>
      <w:r w:rsidRPr="00FD4998">
        <w:rPr>
          <w:rFonts w:eastAsia="Aptos" w:cs="Arial"/>
          <w:noProof/>
          <w:sz w:val="22"/>
          <w:lang w:val="en-US"/>
        </w:rPr>
        <w:t xml:space="preserve"> </w:t>
      </w:r>
    </w:p>
    <w:p w14:paraId="63D00F43" w14:textId="77777777" w:rsidR="00FD4998" w:rsidRPr="00FD4998" w:rsidRDefault="00FD4998" w:rsidP="00FD4998">
      <w:pPr>
        <w:spacing w:before="0" w:after="0"/>
        <w:ind w:left="720" w:hanging="720"/>
        <w:rPr>
          <w:rFonts w:eastAsia="Aptos" w:cs="Arial"/>
          <w:noProof/>
          <w:sz w:val="22"/>
          <w:lang w:val="en-US"/>
        </w:rPr>
      </w:pPr>
      <w:r w:rsidRPr="00FD4998">
        <w:rPr>
          <w:rFonts w:eastAsia="Aptos" w:cs="Arial"/>
          <w:noProof/>
          <w:sz w:val="22"/>
          <w:lang w:val="en-US"/>
        </w:rPr>
        <w:tab/>
      </w:r>
    </w:p>
    <w:p w14:paraId="3FE67959" w14:textId="69C7C6A9" w:rsidR="00FD4998" w:rsidRPr="00FD4998"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King, G. (2021). Central yet overlooked: engaged and person-centred listening in rehabilitation and healthcare conversations. </w:t>
      </w:r>
      <w:r w:rsidRPr="00FD4998">
        <w:rPr>
          <w:rFonts w:eastAsia="Aptos" w:cs="Arial"/>
          <w:i/>
          <w:noProof/>
          <w:sz w:val="22"/>
          <w:lang w:val="en-US"/>
        </w:rPr>
        <w:t>Disability and Rehabilitation</w:t>
      </w:r>
      <w:r w:rsidRPr="00FD4998">
        <w:rPr>
          <w:rFonts w:eastAsia="Aptos" w:cs="Arial"/>
          <w:noProof/>
          <w:sz w:val="22"/>
          <w:lang w:val="en-US"/>
        </w:rPr>
        <w:t>,</w:t>
      </w:r>
      <w:r w:rsidRPr="00FD4998">
        <w:rPr>
          <w:rFonts w:eastAsia="Aptos" w:cs="Arial"/>
          <w:i/>
          <w:noProof/>
          <w:sz w:val="22"/>
          <w:lang w:val="en-US"/>
        </w:rPr>
        <w:t xml:space="preserve"> 44</w:t>
      </w:r>
      <w:r w:rsidRPr="00FD4998">
        <w:rPr>
          <w:rFonts w:eastAsia="Aptos" w:cs="Arial"/>
          <w:noProof/>
          <w:sz w:val="22"/>
          <w:lang w:val="en-US"/>
        </w:rPr>
        <w:t xml:space="preserve">(24), 7664-7676. </w:t>
      </w:r>
      <w:hyperlink r:id="rId362" w:history="1">
        <w:r w:rsidR="00CB2B49" w:rsidRPr="00FD4998">
          <w:rPr>
            <w:rStyle w:val="Hyperlink"/>
            <w:rFonts w:eastAsia="Aptos" w:cs="Arial"/>
            <w:noProof/>
            <w:sz w:val="22"/>
            <w:lang w:val="en-US"/>
          </w:rPr>
          <w:t>https://doi.org/10.1080/09638288.2021.1982026</w:t>
        </w:r>
      </w:hyperlink>
      <w:r w:rsidR="00CB2B49">
        <w:rPr>
          <w:rFonts w:eastAsia="Aptos" w:cs="Arial"/>
          <w:noProof/>
          <w:sz w:val="22"/>
          <w:lang w:val="en-US"/>
        </w:rPr>
        <w:t xml:space="preserve"> </w:t>
      </w:r>
      <w:r w:rsidRPr="00FD4998">
        <w:rPr>
          <w:rFonts w:eastAsia="Aptos" w:cs="Arial"/>
          <w:noProof/>
          <w:sz w:val="22"/>
          <w:lang w:val="en-US"/>
        </w:rPr>
        <w:t xml:space="preserve"> </w:t>
      </w:r>
    </w:p>
    <w:p w14:paraId="07CA166A" w14:textId="77777777" w:rsidR="00FD4998" w:rsidRPr="00FD4998" w:rsidRDefault="00FD4998" w:rsidP="00FD4998">
      <w:pPr>
        <w:spacing w:before="0" w:after="0"/>
        <w:ind w:left="720" w:hanging="720"/>
        <w:rPr>
          <w:rFonts w:eastAsia="Aptos" w:cs="Arial"/>
          <w:noProof/>
          <w:sz w:val="22"/>
          <w:lang w:val="en-US"/>
        </w:rPr>
      </w:pPr>
      <w:r w:rsidRPr="00FD4998">
        <w:rPr>
          <w:rFonts w:eastAsia="Aptos" w:cs="Arial"/>
          <w:noProof/>
          <w:sz w:val="22"/>
          <w:lang w:val="en-US"/>
        </w:rPr>
        <w:tab/>
      </w:r>
    </w:p>
    <w:p w14:paraId="6ECA9422" w14:textId="6DF2D5A1" w:rsidR="00FD4998" w:rsidRPr="00FD4998"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King, G., &amp; Chiarello, L. (2014). Family-centered care for children with cerebral palsy: Conceptual and practical considerations to advance care and practice. </w:t>
      </w:r>
      <w:r w:rsidRPr="00FD4998">
        <w:rPr>
          <w:rFonts w:eastAsia="Aptos" w:cs="Arial"/>
          <w:i/>
          <w:noProof/>
          <w:sz w:val="22"/>
          <w:lang w:val="en-US"/>
        </w:rPr>
        <w:t>Journal of child neurology</w:t>
      </w:r>
      <w:r w:rsidRPr="00FD4998">
        <w:rPr>
          <w:rFonts w:eastAsia="Aptos" w:cs="Arial"/>
          <w:noProof/>
          <w:sz w:val="22"/>
          <w:lang w:val="en-US"/>
        </w:rPr>
        <w:t>,</w:t>
      </w:r>
      <w:r w:rsidRPr="00FD4998">
        <w:rPr>
          <w:rFonts w:eastAsia="Aptos" w:cs="Arial"/>
          <w:i/>
          <w:noProof/>
          <w:sz w:val="22"/>
          <w:lang w:val="en-US"/>
        </w:rPr>
        <w:t xml:space="preserve"> 29</w:t>
      </w:r>
      <w:r w:rsidRPr="00FD4998">
        <w:rPr>
          <w:rFonts w:eastAsia="Aptos" w:cs="Arial"/>
          <w:noProof/>
          <w:sz w:val="22"/>
          <w:lang w:val="en-US"/>
        </w:rPr>
        <w:t xml:space="preserve">(8), 1046-1054. </w:t>
      </w:r>
      <w:hyperlink r:id="rId363" w:history="1">
        <w:r w:rsidR="00CB2B49" w:rsidRPr="00FD4998">
          <w:rPr>
            <w:rStyle w:val="Hyperlink"/>
            <w:rFonts w:eastAsia="Aptos" w:cs="Arial"/>
            <w:noProof/>
            <w:sz w:val="22"/>
            <w:lang w:val="en-US"/>
          </w:rPr>
          <w:t>https://doi.org/10.1177/0883073814533009</w:t>
        </w:r>
      </w:hyperlink>
      <w:r w:rsidR="00CB2B49">
        <w:rPr>
          <w:rFonts w:eastAsia="Aptos" w:cs="Arial"/>
          <w:noProof/>
          <w:sz w:val="22"/>
          <w:lang w:val="en-US"/>
        </w:rPr>
        <w:t xml:space="preserve"> </w:t>
      </w:r>
      <w:r w:rsidRPr="00FD4998">
        <w:rPr>
          <w:rFonts w:eastAsia="Aptos" w:cs="Arial"/>
          <w:noProof/>
          <w:sz w:val="22"/>
          <w:lang w:val="en-US"/>
        </w:rPr>
        <w:t xml:space="preserve"> </w:t>
      </w:r>
    </w:p>
    <w:p w14:paraId="6CA1BBF5" w14:textId="77777777" w:rsidR="00FD4998" w:rsidRPr="00FD4998" w:rsidRDefault="00FD4998" w:rsidP="00FD4998">
      <w:pPr>
        <w:spacing w:before="0" w:after="0"/>
        <w:ind w:left="720" w:hanging="720"/>
        <w:rPr>
          <w:rFonts w:eastAsia="Aptos" w:cs="Arial"/>
          <w:noProof/>
          <w:sz w:val="22"/>
          <w:lang w:val="en-US"/>
        </w:rPr>
      </w:pPr>
      <w:r w:rsidRPr="00FD4998">
        <w:rPr>
          <w:rFonts w:eastAsia="Aptos" w:cs="Arial"/>
          <w:noProof/>
          <w:sz w:val="22"/>
          <w:lang w:val="en-US"/>
        </w:rPr>
        <w:tab/>
      </w:r>
    </w:p>
    <w:p w14:paraId="13B49D84" w14:textId="48AA7579" w:rsidR="00FD4998" w:rsidRPr="00FD4998"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King, G., Imms, C., Stewart, D., Freeman, M., &amp; Nguyen, T. (2018). A transactional framework for pediatric rehabilitation: shifting the focus to situated contexts, transactional processes, and adaptive developmental outcomes. </w:t>
      </w:r>
      <w:r w:rsidRPr="00FD4998">
        <w:rPr>
          <w:rFonts w:eastAsia="Aptos" w:cs="Arial"/>
          <w:i/>
          <w:noProof/>
          <w:sz w:val="22"/>
          <w:lang w:val="en-US"/>
        </w:rPr>
        <w:t>Disability and Rehabilitation</w:t>
      </w:r>
      <w:r w:rsidRPr="00FD4998">
        <w:rPr>
          <w:rFonts w:eastAsia="Aptos" w:cs="Arial"/>
          <w:noProof/>
          <w:sz w:val="22"/>
          <w:lang w:val="en-US"/>
        </w:rPr>
        <w:t>,</w:t>
      </w:r>
      <w:r w:rsidRPr="00FD4998">
        <w:rPr>
          <w:rFonts w:eastAsia="Aptos" w:cs="Arial"/>
          <w:i/>
          <w:noProof/>
          <w:sz w:val="22"/>
          <w:lang w:val="en-US"/>
        </w:rPr>
        <w:t xml:space="preserve"> 40</w:t>
      </w:r>
      <w:r w:rsidRPr="00FD4998">
        <w:rPr>
          <w:rFonts w:eastAsia="Aptos" w:cs="Arial"/>
          <w:noProof/>
          <w:sz w:val="22"/>
          <w:lang w:val="en-US"/>
        </w:rPr>
        <w:t xml:space="preserve">(15), 1829-1841. </w:t>
      </w:r>
      <w:hyperlink r:id="rId364" w:history="1">
        <w:r w:rsidR="00CB2B49" w:rsidRPr="00FD4998">
          <w:rPr>
            <w:rStyle w:val="Hyperlink"/>
            <w:rFonts w:eastAsia="Aptos" w:cs="Arial"/>
            <w:noProof/>
            <w:sz w:val="22"/>
            <w:lang w:val="en-US"/>
          </w:rPr>
          <w:t>https://doi.org/10.1080/09638288.2017.1309583</w:t>
        </w:r>
      </w:hyperlink>
      <w:r w:rsidR="00CB2B49">
        <w:rPr>
          <w:rFonts w:eastAsia="Aptos" w:cs="Arial"/>
          <w:noProof/>
          <w:sz w:val="22"/>
          <w:lang w:val="en-US"/>
        </w:rPr>
        <w:t xml:space="preserve"> </w:t>
      </w:r>
      <w:r w:rsidRPr="00FD4998">
        <w:rPr>
          <w:rFonts w:eastAsia="Aptos" w:cs="Arial"/>
          <w:noProof/>
          <w:sz w:val="22"/>
          <w:lang w:val="en-US"/>
        </w:rPr>
        <w:t xml:space="preserve"> </w:t>
      </w:r>
    </w:p>
    <w:p w14:paraId="130BA001" w14:textId="77777777" w:rsidR="00FD4998" w:rsidRPr="00FD4998" w:rsidRDefault="00FD4998" w:rsidP="00FD4998">
      <w:pPr>
        <w:spacing w:before="0" w:after="0"/>
        <w:ind w:left="720" w:hanging="720"/>
        <w:rPr>
          <w:rFonts w:eastAsia="Aptos" w:cs="Arial"/>
          <w:noProof/>
          <w:sz w:val="22"/>
          <w:lang w:val="en-US"/>
        </w:rPr>
      </w:pPr>
      <w:r w:rsidRPr="00FD4998">
        <w:rPr>
          <w:rFonts w:eastAsia="Aptos" w:cs="Arial"/>
          <w:noProof/>
          <w:sz w:val="22"/>
          <w:lang w:val="en-US"/>
        </w:rPr>
        <w:tab/>
      </w:r>
    </w:p>
    <w:p w14:paraId="4006120B" w14:textId="0F6CEDDC" w:rsidR="00FD4998" w:rsidRPr="00FD4998"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King, G., Phoenix, M., VanderKaay, S., &amp; Pinto, M. (2023). Seeing the light versus being in the dark: parent, child, and service providers’ use of metaphors to express system complexity, therapy engagement, and personal experiences of adaptation. </w:t>
      </w:r>
      <w:r w:rsidRPr="00FD4998">
        <w:rPr>
          <w:rFonts w:eastAsia="Aptos" w:cs="Arial"/>
          <w:i/>
          <w:noProof/>
          <w:sz w:val="22"/>
          <w:lang w:val="en-US"/>
        </w:rPr>
        <w:t>Disability and Rehabilitation</w:t>
      </w:r>
      <w:r w:rsidRPr="00FD4998">
        <w:rPr>
          <w:rFonts w:eastAsia="Aptos" w:cs="Arial"/>
          <w:noProof/>
          <w:sz w:val="22"/>
          <w:lang w:val="en-US"/>
        </w:rPr>
        <w:t xml:space="preserve">, 1-11. </w:t>
      </w:r>
      <w:hyperlink r:id="rId365" w:history="1">
        <w:r w:rsidR="00CB2B49" w:rsidRPr="00FD4998">
          <w:rPr>
            <w:rStyle w:val="Hyperlink"/>
            <w:rFonts w:eastAsia="Aptos" w:cs="Arial"/>
            <w:noProof/>
            <w:sz w:val="22"/>
            <w:lang w:val="en-US"/>
          </w:rPr>
          <w:t>https://doi.org/10.1080/09638288.2023.2266372</w:t>
        </w:r>
      </w:hyperlink>
      <w:r w:rsidR="00CB2B49">
        <w:rPr>
          <w:rFonts w:eastAsia="Aptos" w:cs="Arial"/>
          <w:noProof/>
          <w:sz w:val="22"/>
          <w:lang w:val="en-US"/>
        </w:rPr>
        <w:t xml:space="preserve"> </w:t>
      </w:r>
      <w:r w:rsidRPr="00FD4998">
        <w:rPr>
          <w:rFonts w:eastAsia="Aptos" w:cs="Arial"/>
          <w:noProof/>
          <w:sz w:val="22"/>
          <w:lang w:val="en-US"/>
        </w:rPr>
        <w:t xml:space="preserve"> </w:t>
      </w:r>
    </w:p>
    <w:p w14:paraId="43EEF501" w14:textId="77777777" w:rsidR="00FD4998" w:rsidRPr="00FD4998" w:rsidRDefault="00FD4998" w:rsidP="00FD4998">
      <w:pPr>
        <w:spacing w:before="0" w:after="0"/>
        <w:ind w:left="720" w:hanging="720"/>
        <w:rPr>
          <w:rFonts w:eastAsia="Aptos" w:cs="Arial"/>
          <w:noProof/>
          <w:sz w:val="22"/>
          <w:lang w:val="en-US"/>
        </w:rPr>
      </w:pPr>
      <w:r w:rsidRPr="00FD4998">
        <w:rPr>
          <w:rFonts w:eastAsia="Aptos" w:cs="Arial"/>
          <w:noProof/>
          <w:sz w:val="22"/>
          <w:lang w:val="en-US"/>
        </w:rPr>
        <w:tab/>
      </w:r>
    </w:p>
    <w:p w14:paraId="413A0C5E" w14:textId="019EB752" w:rsidR="00FD4998" w:rsidRPr="00FD4998"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King, G., Strachan, D., Tucker, M., Duwyn, B., Desserud, S., &amp; Shillington, M. (2009). The application of a transdisciplinary model for early intervention services. </w:t>
      </w:r>
      <w:r w:rsidRPr="00FD4998">
        <w:rPr>
          <w:rFonts w:eastAsia="Aptos" w:cs="Arial"/>
          <w:i/>
          <w:noProof/>
          <w:sz w:val="22"/>
          <w:lang w:val="en-US"/>
        </w:rPr>
        <w:t>Infants &amp; Young Children</w:t>
      </w:r>
      <w:r w:rsidRPr="00FD4998">
        <w:rPr>
          <w:rFonts w:eastAsia="Aptos" w:cs="Arial"/>
          <w:noProof/>
          <w:sz w:val="22"/>
          <w:lang w:val="en-US"/>
        </w:rPr>
        <w:t>,</w:t>
      </w:r>
      <w:r w:rsidRPr="00FD4998">
        <w:rPr>
          <w:rFonts w:eastAsia="Aptos" w:cs="Arial"/>
          <w:i/>
          <w:noProof/>
          <w:sz w:val="22"/>
          <w:lang w:val="en-US"/>
        </w:rPr>
        <w:t xml:space="preserve"> 22</w:t>
      </w:r>
      <w:r w:rsidRPr="00FD4998">
        <w:rPr>
          <w:rFonts w:eastAsia="Aptos" w:cs="Arial"/>
          <w:noProof/>
          <w:sz w:val="22"/>
          <w:lang w:val="en-US"/>
        </w:rPr>
        <w:t xml:space="preserve">(3), 211-223. </w:t>
      </w:r>
      <w:hyperlink r:id="rId366" w:history="1">
        <w:r w:rsidR="00CB2B49" w:rsidRPr="00FD4998">
          <w:rPr>
            <w:rStyle w:val="Hyperlink"/>
            <w:rFonts w:eastAsia="Aptos" w:cs="Arial"/>
            <w:noProof/>
            <w:sz w:val="22"/>
            <w:lang w:val="en-US"/>
          </w:rPr>
          <w:t>https://doi.org/10.1097/IYC.0b013e3181abe1c3</w:t>
        </w:r>
      </w:hyperlink>
      <w:r w:rsidR="00CB2B49">
        <w:rPr>
          <w:rFonts w:eastAsia="Aptos" w:cs="Arial"/>
          <w:noProof/>
          <w:sz w:val="22"/>
          <w:lang w:val="en-US"/>
        </w:rPr>
        <w:t xml:space="preserve"> </w:t>
      </w:r>
      <w:r w:rsidRPr="00FD4998">
        <w:rPr>
          <w:rFonts w:eastAsia="Aptos" w:cs="Arial"/>
          <w:noProof/>
          <w:sz w:val="22"/>
          <w:lang w:val="en-US"/>
        </w:rPr>
        <w:t xml:space="preserve"> </w:t>
      </w:r>
    </w:p>
    <w:p w14:paraId="6AF9464A" w14:textId="77777777" w:rsidR="00FD4998" w:rsidRPr="00FD4998" w:rsidRDefault="00FD4998" w:rsidP="00FD4998">
      <w:pPr>
        <w:spacing w:before="0" w:after="0"/>
        <w:ind w:left="720" w:hanging="720"/>
        <w:rPr>
          <w:rFonts w:eastAsia="Aptos" w:cs="Arial"/>
          <w:noProof/>
          <w:sz w:val="22"/>
          <w:lang w:val="en-US"/>
        </w:rPr>
      </w:pPr>
      <w:r w:rsidRPr="00FD4998">
        <w:rPr>
          <w:rFonts w:eastAsia="Aptos" w:cs="Arial"/>
          <w:noProof/>
          <w:sz w:val="22"/>
          <w:lang w:val="en-US"/>
        </w:rPr>
        <w:tab/>
      </w:r>
    </w:p>
    <w:p w14:paraId="780A8468" w14:textId="2C3E598A" w:rsidR="00FD4998" w:rsidRPr="00FD4998"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King, G. A., Zwaigenbaum, L., King, S., Baxter, D., Rosenbaum, P., &amp; Bates, A. (2006). A qualitative investigation of changes in the belief systems of families of children with autism or Down syndrome. </w:t>
      </w:r>
      <w:r w:rsidRPr="00FD4998">
        <w:rPr>
          <w:rFonts w:eastAsia="Aptos" w:cs="Arial"/>
          <w:i/>
          <w:noProof/>
          <w:sz w:val="22"/>
          <w:lang w:val="en-US"/>
        </w:rPr>
        <w:t>Child: care, health and development</w:t>
      </w:r>
      <w:r w:rsidRPr="00FD4998">
        <w:rPr>
          <w:rFonts w:eastAsia="Aptos" w:cs="Arial"/>
          <w:noProof/>
          <w:sz w:val="22"/>
          <w:lang w:val="en-US"/>
        </w:rPr>
        <w:t>,</w:t>
      </w:r>
      <w:r w:rsidRPr="00FD4998">
        <w:rPr>
          <w:rFonts w:eastAsia="Aptos" w:cs="Arial"/>
          <w:i/>
          <w:noProof/>
          <w:sz w:val="22"/>
          <w:lang w:val="en-US"/>
        </w:rPr>
        <w:t xml:space="preserve"> 32</w:t>
      </w:r>
      <w:r w:rsidRPr="00FD4998">
        <w:rPr>
          <w:rFonts w:eastAsia="Aptos" w:cs="Arial"/>
          <w:noProof/>
          <w:sz w:val="22"/>
          <w:lang w:val="en-US"/>
        </w:rPr>
        <w:t xml:space="preserve">(3), 353-369. </w:t>
      </w:r>
      <w:hyperlink r:id="rId367" w:history="1">
        <w:r w:rsidR="00CB2B49" w:rsidRPr="00FD4998">
          <w:rPr>
            <w:rStyle w:val="Hyperlink"/>
            <w:rFonts w:eastAsia="Aptos" w:cs="Arial"/>
            <w:noProof/>
            <w:sz w:val="22"/>
            <w:lang w:val="en-US"/>
          </w:rPr>
          <w:t>https://doi.org/10.1111/j.1365-2214.2006.00571.x</w:t>
        </w:r>
      </w:hyperlink>
      <w:r w:rsidR="00CB2B49">
        <w:rPr>
          <w:rFonts w:eastAsia="Aptos" w:cs="Arial"/>
          <w:noProof/>
          <w:sz w:val="22"/>
          <w:lang w:val="en-US"/>
        </w:rPr>
        <w:t xml:space="preserve"> </w:t>
      </w:r>
      <w:r w:rsidRPr="00FD4998">
        <w:rPr>
          <w:rFonts w:eastAsia="Aptos" w:cs="Arial"/>
          <w:noProof/>
          <w:sz w:val="22"/>
          <w:lang w:val="en-US"/>
        </w:rPr>
        <w:t xml:space="preserve"> </w:t>
      </w:r>
    </w:p>
    <w:p w14:paraId="46868FFA" w14:textId="77777777" w:rsidR="00FD4998" w:rsidRPr="00FD4998" w:rsidRDefault="00FD4998" w:rsidP="00FD4998">
      <w:pPr>
        <w:spacing w:before="0" w:after="0"/>
        <w:ind w:left="720" w:hanging="720"/>
        <w:rPr>
          <w:rFonts w:eastAsia="Aptos" w:cs="Arial"/>
          <w:noProof/>
          <w:sz w:val="22"/>
          <w:lang w:val="en-US"/>
        </w:rPr>
      </w:pPr>
      <w:r w:rsidRPr="00FD4998">
        <w:rPr>
          <w:rFonts w:eastAsia="Aptos" w:cs="Arial"/>
          <w:noProof/>
          <w:sz w:val="22"/>
          <w:lang w:val="en-US"/>
        </w:rPr>
        <w:tab/>
      </w:r>
    </w:p>
    <w:p w14:paraId="334E4FF3" w14:textId="6639F41C" w:rsidR="00FD4998" w:rsidRPr="00FD4998"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Kleinman, R., Ayoub, C., Del Grosso, P., Harding, J. F., Hsu, R., Gaither, M., Mondi-Rago, C., Kalb, M., O’Brien, J., &amp; Roberts, J. (2023, 25 January). </w:t>
      </w:r>
      <w:r w:rsidRPr="00FD4998">
        <w:rPr>
          <w:rFonts w:eastAsia="Aptos" w:cs="Arial"/>
          <w:i/>
          <w:noProof/>
          <w:sz w:val="22"/>
          <w:lang w:val="en-US"/>
        </w:rPr>
        <w:t>Understanding family engagement in home visiting: Literature synthesis</w:t>
      </w:r>
      <w:r w:rsidRPr="00FD4998">
        <w:rPr>
          <w:rFonts w:eastAsia="Aptos" w:cs="Arial"/>
          <w:noProof/>
          <w:sz w:val="22"/>
          <w:lang w:val="en-US"/>
        </w:rPr>
        <w:t xml:space="preserve">. Washington, DC: Office of Planning, Research, and Evaluation, Administration for Children and Families, U.S. Department of Health and Human Services. Retrieved 6 September, 2024 from </w:t>
      </w:r>
      <w:hyperlink r:id="rId368" w:history="1">
        <w:r w:rsidR="00CB2B49" w:rsidRPr="00FD4998">
          <w:rPr>
            <w:rStyle w:val="Hyperlink"/>
            <w:rFonts w:eastAsia="Aptos" w:cs="Arial"/>
            <w:noProof/>
            <w:sz w:val="22"/>
            <w:lang w:val="en-US"/>
          </w:rPr>
          <w:t>https://www.acf.hhs.gov/opre/report/understanding-family-engagement-home-visiting-literature-synthesis</w:t>
        </w:r>
      </w:hyperlink>
      <w:r w:rsidR="00CB2B49">
        <w:rPr>
          <w:rFonts w:eastAsia="Aptos" w:cs="Arial"/>
          <w:noProof/>
          <w:sz w:val="22"/>
          <w:lang w:val="en-US"/>
        </w:rPr>
        <w:t xml:space="preserve"> </w:t>
      </w:r>
    </w:p>
    <w:p w14:paraId="5E5DE6DB" w14:textId="77777777" w:rsidR="00FD4998" w:rsidRPr="00FD4998" w:rsidRDefault="00FD4998" w:rsidP="00FD4998">
      <w:pPr>
        <w:spacing w:before="0" w:after="0"/>
        <w:ind w:left="720" w:hanging="720"/>
        <w:rPr>
          <w:rFonts w:eastAsia="Aptos" w:cs="Arial"/>
          <w:noProof/>
          <w:sz w:val="22"/>
          <w:lang w:val="en-US"/>
        </w:rPr>
      </w:pPr>
      <w:r w:rsidRPr="00FD4998">
        <w:rPr>
          <w:rFonts w:eastAsia="Aptos" w:cs="Arial"/>
          <w:noProof/>
          <w:sz w:val="22"/>
          <w:lang w:val="en-US"/>
        </w:rPr>
        <w:tab/>
      </w:r>
    </w:p>
    <w:p w14:paraId="6AD54639" w14:textId="77777777" w:rsidR="00CB2B49"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Kogan, M. D., Vladutiu, C. J., Schieve, L. A., Ghandour, R. M., Blumberg, S. J., Zablotsky, B., Perrin, J. M., Shattuck, P., Kuhlthau, K. A., &amp; Harwood, R. L. (2018). The prevalence of parent-reported autism spectrum disorder among US children. </w:t>
      </w:r>
      <w:r w:rsidRPr="00FD4998">
        <w:rPr>
          <w:rFonts w:eastAsia="Aptos" w:cs="Arial"/>
          <w:i/>
          <w:noProof/>
          <w:sz w:val="22"/>
          <w:lang w:val="en-US"/>
        </w:rPr>
        <w:t>Pediatrics</w:t>
      </w:r>
      <w:r w:rsidRPr="00FD4998">
        <w:rPr>
          <w:rFonts w:eastAsia="Aptos" w:cs="Arial"/>
          <w:noProof/>
          <w:sz w:val="22"/>
          <w:lang w:val="en-US"/>
        </w:rPr>
        <w:t>,</w:t>
      </w:r>
      <w:r w:rsidRPr="00FD4998">
        <w:rPr>
          <w:rFonts w:eastAsia="Aptos" w:cs="Arial"/>
          <w:i/>
          <w:noProof/>
          <w:sz w:val="22"/>
          <w:lang w:val="en-US"/>
        </w:rPr>
        <w:t xml:space="preserve"> 142</w:t>
      </w:r>
      <w:r w:rsidRPr="00FD4998">
        <w:rPr>
          <w:rFonts w:eastAsia="Aptos" w:cs="Arial"/>
          <w:noProof/>
          <w:sz w:val="22"/>
          <w:lang w:val="en-US"/>
        </w:rPr>
        <w:t xml:space="preserve">(6). </w:t>
      </w:r>
      <w:hyperlink r:id="rId369" w:history="1">
        <w:r w:rsidR="00CB2B49" w:rsidRPr="00FD4998">
          <w:rPr>
            <w:rStyle w:val="Hyperlink"/>
            <w:rFonts w:eastAsia="Aptos" w:cs="Arial"/>
            <w:noProof/>
            <w:sz w:val="22"/>
            <w:lang w:val="en-US"/>
          </w:rPr>
          <w:t>https://doi.org/10.1542/peds.2017-4161</w:t>
        </w:r>
      </w:hyperlink>
      <w:r w:rsidR="00CB2B49">
        <w:rPr>
          <w:rFonts w:eastAsia="Aptos" w:cs="Arial"/>
          <w:noProof/>
          <w:sz w:val="22"/>
          <w:lang w:val="en-US"/>
        </w:rPr>
        <w:t xml:space="preserve"> </w:t>
      </w:r>
    </w:p>
    <w:p w14:paraId="536E47A2" w14:textId="128A9DD2" w:rsidR="00FD4998" w:rsidRPr="00FD4998" w:rsidRDefault="00FD4998" w:rsidP="00FD4998">
      <w:pPr>
        <w:spacing w:before="0" w:after="160"/>
        <w:ind w:left="720" w:hanging="720"/>
        <w:rPr>
          <w:rFonts w:eastAsia="Aptos" w:cs="Arial"/>
          <w:noProof/>
          <w:sz w:val="22"/>
          <w:lang w:val="en-US"/>
        </w:rPr>
      </w:pPr>
      <w:r w:rsidRPr="00FD4998">
        <w:rPr>
          <w:rFonts w:eastAsia="Aptos" w:cs="Arial"/>
          <w:noProof/>
          <w:sz w:val="22"/>
          <w:lang w:val="en-US"/>
        </w:rPr>
        <w:t xml:space="preserve"> </w:t>
      </w:r>
    </w:p>
    <w:p w14:paraId="528BC1FF" w14:textId="1A0F3961" w:rsidR="009247A0" w:rsidRPr="009247A0" w:rsidRDefault="009247A0" w:rsidP="009247A0">
      <w:pPr>
        <w:spacing w:before="0" w:after="160"/>
        <w:ind w:left="720" w:hanging="720"/>
        <w:rPr>
          <w:rFonts w:eastAsia="Aptos" w:cs="Arial"/>
          <w:noProof/>
          <w:sz w:val="22"/>
          <w:lang w:val="en-US"/>
        </w:rPr>
      </w:pPr>
      <w:r w:rsidRPr="009247A0">
        <w:rPr>
          <w:rFonts w:eastAsia="Aptos" w:cs="Arial"/>
          <w:noProof/>
          <w:sz w:val="22"/>
          <w:lang w:val="en-US"/>
        </w:rPr>
        <w:t xml:space="preserve">Kolb, B., Harker, A., &amp; Gibb, R. (2017). Principles of plasticity in the developing brain. </w:t>
      </w:r>
      <w:r w:rsidRPr="009247A0">
        <w:rPr>
          <w:rFonts w:eastAsia="Aptos" w:cs="Arial"/>
          <w:i/>
          <w:noProof/>
          <w:sz w:val="22"/>
          <w:lang w:val="en-US"/>
        </w:rPr>
        <w:t>Developmental Medicine &amp; Child Neurology</w:t>
      </w:r>
      <w:r w:rsidRPr="009247A0">
        <w:rPr>
          <w:rFonts w:eastAsia="Aptos" w:cs="Arial"/>
          <w:noProof/>
          <w:sz w:val="22"/>
          <w:lang w:val="en-US"/>
        </w:rPr>
        <w:t>,</w:t>
      </w:r>
      <w:r w:rsidRPr="009247A0">
        <w:rPr>
          <w:rFonts w:eastAsia="Aptos" w:cs="Arial"/>
          <w:i/>
          <w:noProof/>
          <w:sz w:val="22"/>
          <w:lang w:val="en-US"/>
        </w:rPr>
        <w:t xml:space="preserve"> 59</w:t>
      </w:r>
      <w:r w:rsidRPr="009247A0">
        <w:rPr>
          <w:rFonts w:eastAsia="Aptos" w:cs="Arial"/>
          <w:noProof/>
          <w:sz w:val="22"/>
          <w:lang w:val="en-US"/>
        </w:rPr>
        <w:t xml:space="preserve">(12), 1218-1223. </w:t>
      </w:r>
      <w:hyperlink r:id="rId370" w:history="1">
        <w:r w:rsidR="00CB2B49" w:rsidRPr="009247A0">
          <w:rPr>
            <w:rStyle w:val="Hyperlink"/>
            <w:rFonts w:eastAsia="Aptos" w:cs="Arial"/>
            <w:noProof/>
            <w:sz w:val="22"/>
            <w:lang w:val="en-US"/>
          </w:rPr>
          <w:t>https://doi.org/10.1111/dmcn.13546</w:t>
        </w:r>
      </w:hyperlink>
      <w:r w:rsidR="00CB2B49">
        <w:rPr>
          <w:rFonts w:eastAsia="Aptos" w:cs="Arial"/>
          <w:noProof/>
          <w:sz w:val="22"/>
          <w:lang w:val="en-US"/>
        </w:rPr>
        <w:t xml:space="preserve"> </w:t>
      </w:r>
      <w:r w:rsidRPr="009247A0">
        <w:rPr>
          <w:rFonts w:eastAsia="Aptos" w:cs="Arial"/>
          <w:noProof/>
          <w:sz w:val="22"/>
          <w:lang w:val="en-US"/>
        </w:rPr>
        <w:t xml:space="preserve"> </w:t>
      </w:r>
    </w:p>
    <w:p w14:paraId="569E2E13" w14:textId="77777777" w:rsidR="009247A0" w:rsidRPr="009247A0" w:rsidRDefault="009247A0" w:rsidP="009247A0">
      <w:pPr>
        <w:spacing w:before="0" w:after="0"/>
        <w:ind w:left="720" w:hanging="720"/>
        <w:rPr>
          <w:rFonts w:eastAsia="Aptos" w:cs="Arial"/>
          <w:noProof/>
          <w:sz w:val="22"/>
          <w:lang w:val="en-US"/>
        </w:rPr>
      </w:pPr>
      <w:r w:rsidRPr="009247A0">
        <w:rPr>
          <w:rFonts w:eastAsia="Aptos" w:cs="Arial"/>
          <w:noProof/>
          <w:sz w:val="22"/>
          <w:lang w:val="en-US"/>
        </w:rPr>
        <w:tab/>
      </w:r>
    </w:p>
    <w:p w14:paraId="0D5A71F6" w14:textId="1FAB73D2" w:rsidR="009247A0" w:rsidRPr="009247A0" w:rsidRDefault="009247A0" w:rsidP="009247A0">
      <w:pPr>
        <w:spacing w:before="0" w:after="160"/>
        <w:ind w:left="720" w:hanging="720"/>
        <w:rPr>
          <w:rFonts w:eastAsia="Aptos" w:cs="Arial"/>
          <w:noProof/>
          <w:sz w:val="22"/>
          <w:lang w:val="en-US"/>
        </w:rPr>
      </w:pPr>
      <w:r w:rsidRPr="009247A0">
        <w:rPr>
          <w:rFonts w:eastAsia="Aptos" w:cs="Arial"/>
          <w:noProof/>
          <w:sz w:val="22"/>
          <w:lang w:val="en-US"/>
        </w:rPr>
        <w:t xml:space="preserve">Kong, N. Y., Parks, S., Lindeman, D. P., Horn, E. M., &amp; Hurless, N. (2024). Understanding early intervention and early childhood special education professional access to and utilization of evidence-based practices. </w:t>
      </w:r>
      <w:r w:rsidRPr="009247A0">
        <w:rPr>
          <w:rFonts w:eastAsia="Aptos" w:cs="Arial"/>
          <w:i/>
          <w:noProof/>
          <w:sz w:val="22"/>
          <w:lang w:val="en-US"/>
        </w:rPr>
        <w:t>Exceptionality</w:t>
      </w:r>
      <w:r w:rsidRPr="009247A0">
        <w:rPr>
          <w:rFonts w:eastAsia="Aptos" w:cs="Arial"/>
          <w:noProof/>
          <w:sz w:val="22"/>
          <w:lang w:val="en-US"/>
        </w:rPr>
        <w:t xml:space="preserve">, 1-15. </w:t>
      </w:r>
      <w:hyperlink r:id="rId371" w:history="1">
        <w:r w:rsidR="00CB2B49" w:rsidRPr="009247A0">
          <w:rPr>
            <w:rStyle w:val="Hyperlink"/>
            <w:rFonts w:eastAsia="Aptos" w:cs="Arial"/>
            <w:noProof/>
            <w:sz w:val="22"/>
            <w:lang w:val="en-US"/>
          </w:rPr>
          <w:t>https://doi.org/10.1080/09362835.2024.2333774</w:t>
        </w:r>
      </w:hyperlink>
      <w:r w:rsidR="00CB2B49">
        <w:rPr>
          <w:rFonts w:eastAsia="Aptos" w:cs="Arial"/>
          <w:noProof/>
          <w:sz w:val="22"/>
          <w:lang w:val="en-US"/>
        </w:rPr>
        <w:t xml:space="preserve"> </w:t>
      </w:r>
      <w:r w:rsidRPr="009247A0">
        <w:rPr>
          <w:rFonts w:eastAsia="Aptos" w:cs="Arial"/>
          <w:noProof/>
          <w:sz w:val="22"/>
          <w:lang w:val="en-US"/>
        </w:rPr>
        <w:t xml:space="preserve"> </w:t>
      </w:r>
    </w:p>
    <w:p w14:paraId="61D2A2C9" w14:textId="77777777" w:rsidR="009247A0" w:rsidRPr="009247A0" w:rsidRDefault="009247A0" w:rsidP="009247A0">
      <w:pPr>
        <w:spacing w:before="0" w:after="0"/>
        <w:ind w:left="720" w:hanging="720"/>
        <w:rPr>
          <w:rFonts w:eastAsia="Aptos" w:cs="Arial"/>
          <w:noProof/>
          <w:sz w:val="22"/>
          <w:lang w:val="en-US"/>
        </w:rPr>
      </w:pPr>
      <w:r w:rsidRPr="009247A0">
        <w:rPr>
          <w:rFonts w:eastAsia="Aptos" w:cs="Arial"/>
          <w:noProof/>
          <w:sz w:val="22"/>
          <w:lang w:val="en-US"/>
        </w:rPr>
        <w:tab/>
      </w:r>
    </w:p>
    <w:p w14:paraId="68BBF09A" w14:textId="674C87B5" w:rsidR="009247A0" w:rsidRDefault="009247A0" w:rsidP="009247A0">
      <w:pPr>
        <w:spacing w:before="0" w:after="160"/>
        <w:ind w:left="720" w:hanging="720"/>
        <w:rPr>
          <w:rFonts w:eastAsia="Aptos" w:cs="Arial"/>
          <w:noProof/>
          <w:sz w:val="22"/>
          <w:lang w:val="en-US"/>
        </w:rPr>
      </w:pPr>
      <w:r w:rsidRPr="009247A0">
        <w:rPr>
          <w:rFonts w:eastAsia="Aptos" w:cs="Arial"/>
          <w:noProof/>
          <w:sz w:val="22"/>
          <w:lang w:val="en-US"/>
        </w:rPr>
        <w:t xml:space="preserve">KPMG. (2011). </w:t>
      </w:r>
      <w:r w:rsidRPr="009247A0">
        <w:rPr>
          <w:rFonts w:eastAsia="Aptos" w:cs="Arial"/>
          <w:i/>
          <w:noProof/>
          <w:sz w:val="22"/>
          <w:lang w:val="en-US"/>
        </w:rPr>
        <w:t>Reviewing the evidence on the effectiveness of early childhood intervention</w:t>
      </w:r>
      <w:r w:rsidRPr="009247A0">
        <w:rPr>
          <w:rFonts w:eastAsia="Aptos" w:cs="Arial"/>
          <w:noProof/>
          <w:sz w:val="22"/>
          <w:lang w:val="en-US"/>
        </w:rPr>
        <w:t xml:space="preserve">. Melbourne, Victoria: Department of Families, Housing, Community Services and Indigenous Affairs (Australia). Retrieved 6 September, 2024 from </w:t>
      </w:r>
      <w:hyperlink r:id="rId372" w:history="1">
        <w:r w:rsidR="00510DE3" w:rsidRPr="00326476">
          <w:rPr>
            <w:rStyle w:val="Hyperlink"/>
            <w:rFonts w:eastAsia="Aptos" w:cs="Arial"/>
            <w:noProof/>
            <w:sz w:val="22"/>
            <w:lang w:val="en-US"/>
          </w:rPr>
          <w:t>https://apo.org.au/node/27667</w:t>
        </w:r>
      </w:hyperlink>
    </w:p>
    <w:p w14:paraId="061A31D6" w14:textId="77777777" w:rsidR="00510DE3" w:rsidRPr="009247A0" w:rsidRDefault="00510DE3" w:rsidP="009247A0">
      <w:pPr>
        <w:spacing w:before="0" w:after="160"/>
        <w:ind w:left="720" w:hanging="720"/>
        <w:rPr>
          <w:rFonts w:eastAsia="Aptos" w:cs="Arial"/>
          <w:noProof/>
          <w:sz w:val="22"/>
          <w:lang w:val="en-US"/>
        </w:rPr>
      </w:pPr>
    </w:p>
    <w:p w14:paraId="7B79D2C2" w14:textId="329D0576" w:rsidR="009F79D0" w:rsidRPr="009F79D0" w:rsidRDefault="009F79D0" w:rsidP="009F79D0">
      <w:pPr>
        <w:spacing w:before="0" w:after="160"/>
        <w:ind w:left="720" w:hanging="720"/>
        <w:rPr>
          <w:rFonts w:eastAsia="Aptos" w:cs="Arial"/>
          <w:noProof/>
          <w:sz w:val="22"/>
          <w:lang w:val="en-US"/>
        </w:rPr>
      </w:pPr>
      <w:r w:rsidRPr="009F79D0">
        <w:rPr>
          <w:rFonts w:eastAsia="Aptos" w:cs="Arial"/>
          <w:noProof/>
          <w:sz w:val="22"/>
          <w:lang w:val="en-US"/>
        </w:rPr>
        <w:t xml:space="preserve">Kruk, K. E. (2013). Parental income and the dynamics of health inequality in early childhood—evidence from the UK. </w:t>
      </w:r>
      <w:r w:rsidRPr="009F79D0">
        <w:rPr>
          <w:rFonts w:eastAsia="Aptos" w:cs="Arial"/>
          <w:i/>
          <w:noProof/>
          <w:sz w:val="22"/>
          <w:lang w:val="en-US"/>
        </w:rPr>
        <w:t>Health Economics</w:t>
      </w:r>
      <w:r w:rsidRPr="009F79D0">
        <w:rPr>
          <w:rFonts w:eastAsia="Aptos" w:cs="Arial"/>
          <w:noProof/>
          <w:sz w:val="22"/>
          <w:lang w:val="en-US"/>
        </w:rPr>
        <w:t>,</w:t>
      </w:r>
      <w:r w:rsidRPr="009F79D0">
        <w:rPr>
          <w:rFonts w:eastAsia="Aptos" w:cs="Arial"/>
          <w:i/>
          <w:noProof/>
          <w:sz w:val="22"/>
          <w:lang w:val="en-US"/>
        </w:rPr>
        <w:t xml:space="preserve"> 22</w:t>
      </w:r>
      <w:r w:rsidRPr="009F79D0">
        <w:rPr>
          <w:rFonts w:eastAsia="Aptos" w:cs="Arial"/>
          <w:noProof/>
          <w:sz w:val="22"/>
          <w:lang w:val="en-US"/>
        </w:rPr>
        <w:t xml:space="preserve">(10), 1199-1214. </w:t>
      </w:r>
      <w:hyperlink r:id="rId373" w:history="1">
        <w:r w:rsidR="00CB2B49" w:rsidRPr="009F79D0">
          <w:rPr>
            <w:rStyle w:val="Hyperlink"/>
            <w:rFonts w:eastAsia="Aptos" w:cs="Arial"/>
            <w:noProof/>
            <w:sz w:val="22"/>
            <w:lang w:val="en-US"/>
          </w:rPr>
          <w:t>https://doi.org/10.1002/hec.2876</w:t>
        </w:r>
      </w:hyperlink>
      <w:r w:rsidR="00CB2B49">
        <w:rPr>
          <w:rFonts w:eastAsia="Aptos" w:cs="Arial"/>
          <w:noProof/>
          <w:sz w:val="22"/>
          <w:lang w:val="en-US"/>
        </w:rPr>
        <w:t xml:space="preserve"> </w:t>
      </w:r>
      <w:r w:rsidRPr="009F79D0">
        <w:rPr>
          <w:rFonts w:eastAsia="Aptos" w:cs="Arial"/>
          <w:noProof/>
          <w:sz w:val="22"/>
          <w:lang w:val="en-US"/>
        </w:rPr>
        <w:t xml:space="preserve"> </w:t>
      </w:r>
    </w:p>
    <w:p w14:paraId="0B975830" w14:textId="77777777" w:rsidR="009F79D0" w:rsidRPr="009F79D0" w:rsidRDefault="009F79D0" w:rsidP="009F79D0">
      <w:pPr>
        <w:spacing w:before="0" w:after="0"/>
        <w:ind w:left="720" w:hanging="720"/>
        <w:rPr>
          <w:rFonts w:eastAsia="Aptos" w:cs="Arial"/>
          <w:noProof/>
          <w:sz w:val="22"/>
          <w:lang w:val="en-US"/>
        </w:rPr>
      </w:pPr>
      <w:r w:rsidRPr="009F79D0">
        <w:rPr>
          <w:rFonts w:eastAsia="Aptos" w:cs="Arial"/>
          <w:noProof/>
          <w:sz w:val="22"/>
          <w:lang w:val="en-US"/>
        </w:rPr>
        <w:tab/>
      </w:r>
    </w:p>
    <w:p w14:paraId="481ED8B8" w14:textId="6794EC10" w:rsidR="009F79D0" w:rsidRPr="009F79D0" w:rsidRDefault="009F79D0" w:rsidP="009F79D0">
      <w:pPr>
        <w:spacing w:before="0" w:after="160"/>
        <w:ind w:left="720" w:hanging="720"/>
        <w:rPr>
          <w:rFonts w:eastAsia="Aptos" w:cs="Arial"/>
          <w:noProof/>
          <w:sz w:val="22"/>
          <w:lang w:val="en-US"/>
        </w:rPr>
      </w:pPr>
      <w:r w:rsidRPr="009F79D0">
        <w:rPr>
          <w:rFonts w:eastAsia="Aptos" w:cs="Arial"/>
          <w:noProof/>
          <w:sz w:val="22"/>
          <w:lang w:val="en-US"/>
        </w:rPr>
        <w:t xml:space="preserve">Kuhn, M., &amp; Marvin, C. A. (2016). “Dosage” decisions for early intervention services. </w:t>
      </w:r>
      <w:r w:rsidRPr="009F79D0">
        <w:rPr>
          <w:rFonts w:eastAsia="Aptos" w:cs="Arial"/>
          <w:i/>
          <w:noProof/>
          <w:sz w:val="22"/>
          <w:lang w:val="en-US"/>
        </w:rPr>
        <w:t>Young Exceptional Children</w:t>
      </w:r>
      <w:r w:rsidRPr="009F79D0">
        <w:rPr>
          <w:rFonts w:eastAsia="Aptos" w:cs="Arial"/>
          <w:noProof/>
          <w:sz w:val="22"/>
          <w:lang w:val="en-US"/>
        </w:rPr>
        <w:t>,</w:t>
      </w:r>
      <w:r w:rsidRPr="009F79D0">
        <w:rPr>
          <w:rFonts w:eastAsia="Aptos" w:cs="Arial"/>
          <w:i/>
          <w:noProof/>
          <w:sz w:val="22"/>
          <w:lang w:val="en-US"/>
        </w:rPr>
        <w:t xml:space="preserve"> 19</w:t>
      </w:r>
      <w:r w:rsidRPr="009F79D0">
        <w:rPr>
          <w:rFonts w:eastAsia="Aptos" w:cs="Arial"/>
          <w:noProof/>
          <w:sz w:val="22"/>
          <w:lang w:val="en-US"/>
        </w:rPr>
        <w:t xml:space="preserve">(4), 20-34. </w:t>
      </w:r>
      <w:hyperlink r:id="rId374" w:history="1">
        <w:r w:rsidR="00CB2B49" w:rsidRPr="009F79D0">
          <w:rPr>
            <w:rStyle w:val="Hyperlink"/>
            <w:rFonts w:eastAsia="Aptos" w:cs="Arial"/>
            <w:noProof/>
            <w:sz w:val="22"/>
            <w:lang w:val="en-US"/>
          </w:rPr>
          <w:t>https://doi.org/10.1177/1096250615576807</w:t>
        </w:r>
      </w:hyperlink>
      <w:r w:rsidR="00CB2B49">
        <w:rPr>
          <w:rFonts w:eastAsia="Aptos" w:cs="Arial"/>
          <w:noProof/>
          <w:sz w:val="22"/>
          <w:lang w:val="en-US"/>
        </w:rPr>
        <w:t xml:space="preserve"> </w:t>
      </w:r>
      <w:r w:rsidRPr="009F79D0">
        <w:rPr>
          <w:rFonts w:eastAsia="Aptos" w:cs="Arial"/>
          <w:noProof/>
          <w:sz w:val="22"/>
          <w:lang w:val="en-US"/>
        </w:rPr>
        <w:t xml:space="preserve"> </w:t>
      </w:r>
    </w:p>
    <w:p w14:paraId="626CD5EC" w14:textId="77777777" w:rsidR="009F79D0" w:rsidRPr="009F79D0" w:rsidRDefault="009F79D0" w:rsidP="009F79D0">
      <w:pPr>
        <w:spacing w:before="0" w:after="0"/>
        <w:ind w:left="720" w:hanging="720"/>
        <w:rPr>
          <w:rFonts w:eastAsia="Aptos" w:cs="Arial"/>
          <w:noProof/>
          <w:sz w:val="22"/>
          <w:lang w:val="en-US"/>
        </w:rPr>
      </w:pPr>
      <w:r w:rsidRPr="009F79D0">
        <w:rPr>
          <w:rFonts w:eastAsia="Aptos" w:cs="Arial"/>
          <w:noProof/>
          <w:sz w:val="22"/>
          <w:lang w:val="en-US"/>
        </w:rPr>
        <w:tab/>
      </w:r>
    </w:p>
    <w:p w14:paraId="045798BA" w14:textId="1B0148FB" w:rsidR="009F79D0" w:rsidRPr="009F79D0" w:rsidRDefault="009F79D0" w:rsidP="009F79D0">
      <w:pPr>
        <w:spacing w:before="0" w:after="160"/>
        <w:ind w:left="720" w:hanging="720"/>
        <w:rPr>
          <w:rFonts w:eastAsia="Aptos" w:cs="Arial"/>
          <w:noProof/>
          <w:sz w:val="22"/>
          <w:lang w:val="en-US"/>
        </w:rPr>
      </w:pPr>
      <w:r w:rsidRPr="009F79D0">
        <w:rPr>
          <w:rFonts w:eastAsia="Aptos" w:cs="Arial"/>
          <w:noProof/>
          <w:sz w:val="22"/>
          <w:lang w:val="en-US"/>
        </w:rPr>
        <w:t xml:space="preserve">Kulage, K. M., Goldberg, J., Usseglio, J., Romero, D., Bain, J. M., &amp; Smaldone, A. M. (2020). How has DSM-5 affected autism diagnosis? A 5-year follow-up systematic literature review and meta-analysis. </w:t>
      </w:r>
      <w:r w:rsidRPr="009F79D0">
        <w:rPr>
          <w:rFonts w:eastAsia="Aptos" w:cs="Arial"/>
          <w:i/>
          <w:noProof/>
          <w:sz w:val="22"/>
          <w:lang w:val="en-US"/>
        </w:rPr>
        <w:t>Journal of Autism and Developmental Disorders</w:t>
      </w:r>
      <w:r w:rsidRPr="009F79D0">
        <w:rPr>
          <w:rFonts w:eastAsia="Aptos" w:cs="Arial"/>
          <w:noProof/>
          <w:sz w:val="22"/>
          <w:lang w:val="en-US"/>
        </w:rPr>
        <w:t>,</w:t>
      </w:r>
      <w:r w:rsidRPr="009F79D0">
        <w:rPr>
          <w:rFonts w:eastAsia="Aptos" w:cs="Arial"/>
          <w:i/>
          <w:noProof/>
          <w:sz w:val="22"/>
          <w:lang w:val="en-US"/>
        </w:rPr>
        <w:t xml:space="preserve"> 50</w:t>
      </w:r>
      <w:r w:rsidRPr="009F79D0">
        <w:rPr>
          <w:rFonts w:eastAsia="Aptos" w:cs="Arial"/>
          <w:noProof/>
          <w:sz w:val="22"/>
          <w:lang w:val="en-US"/>
        </w:rPr>
        <w:t xml:space="preserve">, 2102-2127. </w:t>
      </w:r>
      <w:hyperlink r:id="rId375" w:history="1">
        <w:r w:rsidR="00CB2B49" w:rsidRPr="009F79D0">
          <w:rPr>
            <w:rStyle w:val="Hyperlink"/>
            <w:rFonts w:eastAsia="Aptos" w:cs="Arial"/>
            <w:noProof/>
            <w:sz w:val="22"/>
            <w:lang w:val="en-US"/>
          </w:rPr>
          <w:t>https://doi.org/10.1007/s10803-019-03967-5</w:t>
        </w:r>
      </w:hyperlink>
      <w:r w:rsidR="00CB2B49">
        <w:rPr>
          <w:rFonts w:eastAsia="Aptos" w:cs="Arial"/>
          <w:noProof/>
          <w:sz w:val="22"/>
          <w:lang w:val="en-US"/>
        </w:rPr>
        <w:t xml:space="preserve"> </w:t>
      </w:r>
      <w:r w:rsidRPr="009F79D0">
        <w:rPr>
          <w:rFonts w:eastAsia="Aptos" w:cs="Arial"/>
          <w:noProof/>
          <w:sz w:val="22"/>
          <w:lang w:val="en-US"/>
        </w:rPr>
        <w:t xml:space="preserve"> </w:t>
      </w:r>
    </w:p>
    <w:p w14:paraId="2F8AD0D1" w14:textId="77777777" w:rsidR="009F79D0" w:rsidRPr="009F79D0" w:rsidRDefault="009F79D0" w:rsidP="009F79D0">
      <w:pPr>
        <w:spacing w:before="0" w:after="0"/>
        <w:ind w:left="720" w:hanging="720"/>
        <w:rPr>
          <w:rFonts w:eastAsia="Aptos" w:cs="Arial"/>
          <w:noProof/>
          <w:sz w:val="22"/>
          <w:lang w:val="en-US"/>
        </w:rPr>
      </w:pPr>
      <w:r w:rsidRPr="009F79D0">
        <w:rPr>
          <w:rFonts w:eastAsia="Aptos" w:cs="Arial"/>
          <w:noProof/>
          <w:sz w:val="22"/>
          <w:lang w:val="en-US"/>
        </w:rPr>
        <w:tab/>
      </w:r>
    </w:p>
    <w:p w14:paraId="7B79B312" w14:textId="3DAD4240" w:rsidR="009F79D0" w:rsidRDefault="009F79D0" w:rsidP="009F79D0">
      <w:pPr>
        <w:spacing w:before="0" w:after="160"/>
        <w:ind w:left="720" w:hanging="720"/>
        <w:rPr>
          <w:rFonts w:eastAsia="Aptos" w:cs="Arial"/>
          <w:noProof/>
          <w:sz w:val="22"/>
          <w:lang w:val="en-US"/>
        </w:rPr>
      </w:pPr>
      <w:r w:rsidRPr="009F79D0">
        <w:rPr>
          <w:rFonts w:eastAsia="Aptos" w:cs="Arial"/>
          <w:noProof/>
          <w:sz w:val="22"/>
          <w:lang w:val="en-US"/>
        </w:rPr>
        <w:t xml:space="preserve">Kyzar, K. B., Turnbull, A. P., Summers, J. A., &amp; Gómez, V. A. (2012). The relationship of family support to family outcomes: A synthesis of key findings from research on severe disability. </w:t>
      </w:r>
      <w:r w:rsidRPr="009F79D0">
        <w:rPr>
          <w:rFonts w:eastAsia="Aptos" w:cs="Arial"/>
          <w:i/>
          <w:noProof/>
          <w:sz w:val="22"/>
          <w:lang w:val="en-US"/>
        </w:rPr>
        <w:t>Research and Practice for Persons with Severe Disabilities</w:t>
      </w:r>
      <w:r w:rsidRPr="009F79D0">
        <w:rPr>
          <w:rFonts w:eastAsia="Aptos" w:cs="Arial"/>
          <w:noProof/>
          <w:sz w:val="22"/>
          <w:lang w:val="en-US"/>
        </w:rPr>
        <w:t>,</w:t>
      </w:r>
      <w:r w:rsidRPr="009F79D0">
        <w:rPr>
          <w:rFonts w:eastAsia="Aptos" w:cs="Arial"/>
          <w:i/>
          <w:noProof/>
          <w:sz w:val="22"/>
          <w:lang w:val="en-US"/>
        </w:rPr>
        <w:t xml:space="preserve"> 37</w:t>
      </w:r>
      <w:r w:rsidRPr="009F79D0">
        <w:rPr>
          <w:rFonts w:eastAsia="Aptos" w:cs="Arial"/>
          <w:noProof/>
          <w:sz w:val="22"/>
          <w:lang w:val="en-US"/>
        </w:rPr>
        <w:t xml:space="preserve">(1), 31-44. </w:t>
      </w:r>
      <w:hyperlink r:id="rId376" w:history="1">
        <w:r w:rsidR="00D83DE5" w:rsidRPr="009F79D0">
          <w:rPr>
            <w:rStyle w:val="Hyperlink"/>
            <w:rFonts w:eastAsia="Aptos" w:cs="Arial"/>
            <w:noProof/>
            <w:sz w:val="22"/>
            <w:lang w:val="en-US"/>
          </w:rPr>
          <w:t>https://doi.org/10.2511/027494812800903247</w:t>
        </w:r>
      </w:hyperlink>
      <w:r w:rsidRPr="009F79D0">
        <w:rPr>
          <w:rFonts w:eastAsia="Aptos" w:cs="Arial"/>
          <w:noProof/>
          <w:sz w:val="22"/>
          <w:lang w:val="en-US"/>
        </w:rPr>
        <w:t xml:space="preserve"> </w:t>
      </w:r>
    </w:p>
    <w:p w14:paraId="049D1F9D" w14:textId="77777777" w:rsidR="00D83DE5" w:rsidRPr="009F79D0" w:rsidRDefault="00D83DE5" w:rsidP="009F79D0">
      <w:pPr>
        <w:spacing w:before="0" w:after="160"/>
        <w:ind w:left="720" w:hanging="720"/>
        <w:rPr>
          <w:rFonts w:eastAsia="Aptos" w:cs="Arial"/>
          <w:noProof/>
          <w:sz w:val="22"/>
          <w:lang w:val="en-US"/>
        </w:rPr>
      </w:pPr>
    </w:p>
    <w:p w14:paraId="5948EE32" w14:textId="77777777"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Lamont, M. (2023). </w:t>
      </w:r>
      <w:r w:rsidRPr="00DB25FC">
        <w:rPr>
          <w:rFonts w:eastAsia="Aptos" w:cs="Arial"/>
          <w:i/>
          <w:noProof/>
          <w:sz w:val="22"/>
          <w:lang w:val="en-US"/>
        </w:rPr>
        <w:t>Seeing others: How to redefine worth in a divided world</w:t>
      </w:r>
      <w:r w:rsidRPr="00DB25FC">
        <w:rPr>
          <w:rFonts w:eastAsia="Aptos" w:cs="Arial"/>
          <w:noProof/>
          <w:sz w:val="22"/>
          <w:lang w:val="en-US"/>
        </w:rPr>
        <w:t xml:space="preserve">. London, UK: Random House. </w:t>
      </w:r>
    </w:p>
    <w:p w14:paraId="5DE6D053"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7AD2EA06" w14:textId="450E6547"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Lancaster, K., Kern, M. L., Harding, K., Bayasgalan, M., Janson, A., Mahmic, S., &amp; Bhopti, A. (2024). Exploring long</w:t>
      </w:r>
      <w:r w:rsidRPr="00DB25FC">
        <w:rPr>
          <w:rFonts w:ascii="Cambria Math" w:eastAsia="Aptos" w:hAnsi="Cambria Math" w:cs="Cambria Math"/>
          <w:noProof/>
          <w:sz w:val="22"/>
          <w:lang w:val="en-US"/>
        </w:rPr>
        <w:t>‐</w:t>
      </w:r>
      <w:r w:rsidRPr="00DB25FC">
        <w:rPr>
          <w:rFonts w:eastAsia="Aptos" w:cs="Arial"/>
          <w:noProof/>
          <w:sz w:val="22"/>
          <w:lang w:val="en-US"/>
        </w:rPr>
        <w:t xml:space="preserve">term outcomes of a peer support programme for parents* of children with disability in Australia. </w:t>
      </w:r>
      <w:r w:rsidRPr="00DB25FC">
        <w:rPr>
          <w:rFonts w:eastAsia="Aptos" w:cs="Arial"/>
          <w:i/>
          <w:noProof/>
          <w:sz w:val="22"/>
          <w:lang w:val="en-US"/>
        </w:rPr>
        <w:t>Child: care, health and development</w:t>
      </w:r>
      <w:r w:rsidRPr="00DB25FC">
        <w:rPr>
          <w:rFonts w:eastAsia="Aptos" w:cs="Arial"/>
          <w:noProof/>
          <w:sz w:val="22"/>
          <w:lang w:val="en-US"/>
        </w:rPr>
        <w:t>,</w:t>
      </w:r>
      <w:r w:rsidRPr="00DB25FC">
        <w:rPr>
          <w:rFonts w:eastAsia="Aptos" w:cs="Arial"/>
          <w:i/>
          <w:noProof/>
          <w:sz w:val="22"/>
          <w:lang w:val="en-US"/>
        </w:rPr>
        <w:t xml:space="preserve"> 50</w:t>
      </w:r>
      <w:r w:rsidRPr="00DB25FC">
        <w:rPr>
          <w:rFonts w:eastAsia="Aptos" w:cs="Arial"/>
          <w:noProof/>
          <w:sz w:val="22"/>
          <w:lang w:val="en-US"/>
        </w:rPr>
        <w:t xml:space="preserve">(2), e13236. </w:t>
      </w:r>
      <w:hyperlink r:id="rId377" w:history="1">
        <w:r w:rsidR="00CB2B49" w:rsidRPr="00DB25FC">
          <w:rPr>
            <w:rStyle w:val="Hyperlink"/>
            <w:rFonts w:eastAsia="Aptos" w:cs="Arial"/>
            <w:noProof/>
            <w:sz w:val="22"/>
            <w:lang w:val="en-US"/>
          </w:rPr>
          <w:t>https://doi.org/10.1111/cch.13236</w:t>
        </w:r>
      </w:hyperlink>
      <w:r w:rsidR="00CB2B49">
        <w:rPr>
          <w:rFonts w:eastAsia="Aptos" w:cs="Arial"/>
          <w:noProof/>
          <w:sz w:val="22"/>
          <w:lang w:val="en-US"/>
        </w:rPr>
        <w:t xml:space="preserve"> </w:t>
      </w:r>
      <w:r w:rsidRPr="00DB25FC">
        <w:rPr>
          <w:rFonts w:eastAsia="Aptos" w:cs="Arial"/>
          <w:noProof/>
          <w:sz w:val="22"/>
          <w:lang w:val="en-US"/>
        </w:rPr>
        <w:t xml:space="preserve"> </w:t>
      </w:r>
    </w:p>
    <w:p w14:paraId="0868DB46"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39B0BFE8" w14:textId="1EACA63C"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Landsman, G. (2005). Mothers and models of disability. </w:t>
      </w:r>
      <w:r w:rsidRPr="00DB25FC">
        <w:rPr>
          <w:rFonts w:eastAsia="Aptos" w:cs="Arial"/>
          <w:i/>
          <w:noProof/>
          <w:sz w:val="22"/>
          <w:lang w:val="en-US"/>
        </w:rPr>
        <w:t>Journal of Medical Humanities</w:t>
      </w:r>
      <w:r w:rsidRPr="00DB25FC">
        <w:rPr>
          <w:rFonts w:eastAsia="Aptos" w:cs="Arial"/>
          <w:noProof/>
          <w:sz w:val="22"/>
          <w:lang w:val="en-US"/>
        </w:rPr>
        <w:t>,</w:t>
      </w:r>
      <w:r w:rsidRPr="00DB25FC">
        <w:rPr>
          <w:rFonts w:eastAsia="Aptos" w:cs="Arial"/>
          <w:i/>
          <w:noProof/>
          <w:sz w:val="22"/>
          <w:lang w:val="en-US"/>
        </w:rPr>
        <w:t xml:space="preserve"> 26</w:t>
      </w:r>
      <w:r w:rsidRPr="00DB25FC">
        <w:rPr>
          <w:rFonts w:eastAsia="Aptos" w:cs="Arial"/>
          <w:noProof/>
          <w:sz w:val="22"/>
          <w:lang w:val="en-US"/>
        </w:rPr>
        <w:t xml:space="preserve">(2/3), 121-139. </w:t>
      </w:r>
      <w:hyperlink r:id="rId378" w:history="1">
        <w:r w:rsidR="00CB2B49" w:rsidRPr="00DB25FC">
          <w:rPr>
            <w:rStyle w:val="Hyperlink"/>
            <w:rFonts w:eastAsia="Aptos" w:cs="Arial"/>
            <w:noProof/>
            <w:sz w:val="22"/>
            <w:lang w:val="en-US"/>
          </w:rPr>
          <w:t>https://doi.org/10.1007/s10912-005-2914-2</w:t>
        </w:r>
      </w:hyperlink>
      <w:r w:rsidR="00CB2B49">
        <w:rPr>
          <w:rFonts w:eastAsia="Aptos" w:cs="Arial"/>
          <w:noProof/>
          <w:sz w:val="22"/>
          <w:lang w:val="en-US"/>
        </w:rPr>
        <w:t xml:space="preserve"> </w:t>
      </w:r>
      <w:r w:rsidRPr="00DB25FC">
        <w:rPr>
          <w:rFonts w:eastAsia="Aptos" w:cs="Arial"/>
          <w:noProof/>
          <w:sz w:val="22"/>
          <w:lang w:val="en-US"/>
        </w:rPr>
        <w:t xml:space="preserve"> </w:t>
      </w:r>
    </w:p>
    <w:p w14:paraId="4CBEF8F4"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55618207" w14:textId="77777777"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Landsman, G. (2008). </w:t>
      </w:r>
      <w:r w:rsidRPr="00DB25FC">
        <w:rPr>
          <w:rFonts w:eastAsia="Aptos" w:cs="Arial"/>
          <w:i/>
          <w:noProof/>
          <w:sz w:val="22"/>
          <w:lang w:val="en-US"/>
        </w:rPr>
        <w:t>Reconstructing motherhood and disability in the age of perfect babies</w:t>
      </w:r>
      <w:r w:rsidRPr="00DB25FC">
        <w:rPr>
          <w:rFonts w:eastAsia="Aptos" w:cs="Arial"/>
          <w:noProof/>
          <w:sz w:val="22"/>
          <w:lang w:val="en-US"/>
        </w:rPr>
        <w:t xml:space="preserve">. Routledge. </w:t>
      </w:r>
    </w:p>
    <w:p w14:paraId="18C63B22"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07D7531C" w14:textId="4D765270"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Laragy, C., David, C., &amp; Moran, N. (2016). A framework for providing information in individualised funding programmes. </w:t>
      </w:r>
      <w:r w:rsidRPr="00DB25FC">
        <w:rPr>
          <w:rFonts w:eastAsia="Aptos" w:cs="Arial"/>
          <w:i/>
          <w:noProof/>
          <w:sz w:val="22"/>
          <w:lang w:val="en-US"/>
        </w:rPr>
        <w:t>Qualitative Social Work</w:t>
      </w:r>
      <w:r w:rsidRPr="00DB25FC">
        <w:rPr>
          <w:rFonts w:eastAsia="Aptos" w:cs="Arial"/>
          <w:noProof/>
          <w:sz w:val="22"/>
          <w:lang w:val="en-US"/>
        </w:rPr>
        <w:t>,</w:t>
      </w:r>
      <w:r w:rsidRPr="00DB25FC">
        <w:rPr>
          <w:rFonts w:eastAsia="Aptos" w:cs="Arial"/>
          <w:i/>
          <w:noProof/>
          <w:sz w:val="22"/>
          <w:lang w:val="en-US"/>
        </w:rPr>
        <w:t xml:space="preserve"> 15</w:t>
      </w:r>
      <w:r w:rsidRPr="00DB25FC">
        <w:rPr>
          <w:rFonts w:eastAsia="Aptos" w:cs="Arial"/>
          <w:noProof/>
          <w:sz w:val="22"/>
          <w:lang w:val="en-US"/>
        </w:rPr>
        <w:t xml:space="preserve">(2), 190-208. </w:t>
      </w:r>
      <w:hyperlink r:id="rId379" w:history="1">
        <w:r w:rsidR="00CB2B49" w:rsidRPr="00DB25FC">
          <w:rPr>
            <w:rStyle w:val="Hyperlink"/>
            <w:rFonts w:eastAsia="Aptos" w:cs="Arial"/>
            <w:noProof/>
            <w:sz w:val="22"/>
            <w:lang w:val="en-US"/>
          </w:rPr>
          <w:t>https://doi.org/10.1177/1473325015589402</w:t>
        </w:r>
      </w:hyperlink>
      <w:r w:rsidR="00CB2B49">
        <w:rPr>
          <w:rFonts w:eastAsia="Aptos" w:cs="Arial"/>
          <w:noProof/>
          <w:sz w:val="22"/>
          <w:lang w:val="en-US"/>
        </w:rPr>
        <w:t xml:space="preserve"> </w:t>
      </w:r>
      <w:r w:rsidRPr="00DB25FC">
        <w:rPr>
          <w:rFonts w:eastAsia="Aptos" w:cs="Arial"/>
          <w:noProof/>
          <w:sz w:val="22"/>
          <w:lang w:val="en-US"/>
        </w:rPr>
        <w:t xml:space="preserve"> </w:t>
      </w:r>
    </w:p>
    <w:p w14:paraId="6A9BFEC9"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7D8A45E6" w14:textId="71231C9B"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Laragy, C., &amp; Ottmann, G. (2011). Towards a framework for implementing individual funding based on an Australian case study. </w:t>
      </w:r>
      <w:r w:rsidRPr="00DB25FC">
        <w:rPr>
          <w:rFonts w:eastAsia="Aptos" w:cs="Arial"/>
          <w:i/>
          <w:noProof/>
          <w:sz w:val="22"/>
          <w:lang w:val="en-US"/>
        </w:rPr>
        <w:t>Journal of Policy and Practice in Intellectual Disabilities</w:t>
      </w:r>
      <w:r w:rsidRPr="00DB25FC">
        <w:rPr>
          <w:rFonts w:eastAsia="Aptos" w:cs="Arial"/>
          <w:noProof/>
          <w:sz w:val="22"/>
          <w:lang w:val="en-US"/>
        </w:rPr>
        <w:t>,</w:t>
      </w:r>
      <w:r w:rsidRPr="00DB25FC">
        <w:rPr>
          <w:rFonts w:eastAsia="Aptos" w:cs="Arial"/>
          <w:i/>
          <w:noProof/>
          <w:sz w:val="22"/>
          <w:lang w:val="en-US"/>
        </w:rPr>
        <w:t xml:space="preserve"> 8</w:t>
      </w:r>
      <w:r w:rsidRPr="00DB25FC">
        <w:rPr>
          <w:rFonts w:eastAsia="Aptos" w:cs="Arial"/>
          <w:noProof/>
          <w:sz w:val="22"/>
          <w:lang w:val="en-US"/>
        </w:rPr>
        <w:t xml:space="preserve">(1), 18-27. </w:t>
      </w:r>
      <w:hyperlink r:id="rId380" w:history="1">
        <w:r w:rsidR="00CB2B49" w:rsidRPr="00DB25FC">
          <w:rPr>
            <w:rStyle w:val="Hyperlink"/>
            <w:rFonts w:eastAsia="Aptos" w:cs="Arial"/>
            <w:noProof/>
            <w:sz w:val="22"/>
            <w:lang w:val="en-US"/>
          </w:rPr>
          <w:t>https://doi.org/10.1111/j.1741-1130.2011.00283.x</w:t>
        </w:r>
      </w:hyperlink>
      <w:r w:rsidR="00CB2B49">
        <w:rPr>
          <w:rFonts w:eastAsia="Aptos" w:cs="Arial"/>
          <w:noProof/>
          <w:sz w:val="22"/>
          <w:lang w:val="en-US"/>
        </w:rPr>
        <w:t xml:space="preserve"> </w:t>
      </w:r>
      <w:r w:rsidRPr="00DB25FC">
        <w:rPr>
          <w:rFonts w:eastAsia="Aptos" w:cs="Arial"/>
          <w:noProof/>
          <w:sz w:val="22"/>
          <w:lang w:val="en-US"/>
        </w:rPr>
        <w:t xml:space="preserve"> </w:t>
      </w:r>
    </w:p>
    <w:p w14:paraId="3CA88370"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27C73555" w14:textId="29D2DDFE"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Law, M., &amp; Darrah, J. (2014). Emerging therapy approaches: an emphasis on function. </w:t>
      </w:r>
      <w:r w:rsidRPr="00DB25FC">
        <w:rPr>
          <w:rFonts w:eastAsia="Aptos" w:cs="Arial"/>
          <w:i/>
          <w:noProof/>
          <w:sz w:val="22"/>
          <w:lang w:val="en-US"/>
        </w:rPr>
        <w:t>Journal of child neurology</w:t>
      </w:r>
      <w:r w:rsidRPr="00DB25FC">
        <w:rPr>
          <w:rFonts w:eastAsia="Aptos" w:cs="Arial"/>
          <w:noProof/>
          <w:sz w:val="22"/>
          <w:lang w:val="en-US"/>
        </w:rPr>
        <w:t>,</w:t>
      </w:r>
      <w:r w:rsidRPr="00DB25FC">
        <w:rPr>
          <w:rFonts w:eastAsia="Aptos" w:cs="Arial"/>
          <w:i/>
          <w:noProof/>
          <w:sz w:val="22"/>
          <w:lang w:val="en-US"/>
        </w:rPr>
        <w:t xml:space="preserve"> 29</w:t>
      </w:r>
      <w:r w:rsidRPr="00DB25FC">
        <w:rPr>
          <w:rFonts w:eastAsia="Aptos" w:cs="Arial"/>
          <w:noProof/>
          <w:sz w:val="22"/>
          <w:lang w:val="en-US"/>
        </w:rPr>
        <w:t xml:space="preserve">(8), 1101-1107. </w:t>
      </w:r>
      <w:hyperlink r:id="rId381" w:history="1">
        <w:r w:rsidR="00CB2B49" w:rsidRPr="00DB25FC">
          <w:rPr>
            <w:rStyle w:val="Hyperlink"/>
            <w:rFonts w:eastAsia="Aptos" w:cs="Arial"/>
            <w:noProof/>
            <w:sz w:val="22"/>
            <w:lang w:val="en-US"/>
          </w:rPr>
          <w:t>https://doi.org/10.1177/0883073814533151</w:t>
        </w:r>
      </w:hyperlink>
      <w:r w:rsidR="00CB2B49">
        <w:rPr>
          <w:rFonts w:eastAsia="Aptos" w:cs="Arial"/>
          <w:noProof/>
          <w:sz w:val="22"/>
          <w:lang w:val="en-US"/>
        </w:rPr>
        <w:t xml:space="preserve"> </w:t>
      </w:r>
      <w:r w:rsidRPr="00DB25FC">
        <w:rPr>
          <w:rFonts w:eastAsia="Aptos" w:cs="Arial"/>
          <w:noProof/>
          <w:sz w:val="22"/>
          <w:lang w:val="en-US"/>
        </w:rPr>
        <w:t xml:space="preserve"> </w:t>
      </w:r>
    </w:p>
    <w:p w14:paraId="2055C8F6"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160B38FF" w14:textId="188F9D5F"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Law, M., Rosenbaum, P., King, G., King, S., Burke-Gaffney, J., Moning, J., Szkut, T., Kertoy, M., Pollock, N., Viscardis, L., &amp; Teplicky, R. (2003). </w:t>
      </w:r>
      <w:r w:rsidRPr="00DB25FC">
        <w:rPr>
          <w:rFonts w:eastAsia="Aptos" w:cs="Arial"/>
          <w:i/>
          <w:noProof/>
          <w:sz w:val="22"/>
          <w:lang w:val="en-US"/>
        </w:rPr>
        <w:t>Effective communication in family-centred service</w:t>
      </w:r>
      <w:r w:rsidRPr="00DB25FC">
        <w:rPr>
          <w:rFonts w:eastAsia="Aptos" w:cs="Arial"/>
          <w:noProof/>
          <w:sz w:val="22"/>
          <w:lang w:val="en-US"/>
        </w:rPr>
        <w:t xml:space="preserve">. Hamilton, Ontario, Canada: CanChild Centre for Childhood Disability Research, McMaster University. Retrieved 6 September, 2024 from </w:t>
      </w:r>
      <w:hyperlink r:id="rId382" w:history="1">
        <w:r w:rsidR="00CB2B49" w:rsidRPr="00DB25FC">
          <w:rPr>
            <w:rStyle w:val="Hyperlink"/>
            <w:rFonts w:eastAsia="Aptos" w:cs="Arial"/>
            <w:noProof/>
            <w:sz w:val="22"/>
            <w:lang w:val="en-US"/>
          </w:rPr>
          <w:t>https://www.canchild.ca/system/tenon/assets/attachments/000/001/273/original/FCS8.pdf</w:t>
        </w:r>
      </w:hyperlink>
      <w:r w:rsidR="00CB2B49">
        <w:rPr>
          <w:rFonts w:eastAsia="Aptos" w:cs="Arial"/>
          <w:noProof/>
          <w:sz w:val="22"/>
          <w:lang w:val="en-US"/>
        </w:rPr>
        <w:t xml:space="preserve"> </w:t>
      </w:r>
    </w:p>
    <w:p w14:paraId="479647E2"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6B507A3F" w14:textId="0CA30D45"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Law, M. C., Darrah, J., Pollock, N., Wilson, B., Russell, D. J., Walter, S. D., Rosenbaum, P., &amp; Galuppi, B. (2011). Focus on function: a cluster, randomized controlled trial comparing child</w:t>
      </w:r>
      <w:r w:rsidRPr="00DB25FC">
        <w:rPr>
          <w:rFonts w:ascii="Cambria Math" w:eastAsia="Aptos" w:hAnsi="Cambria Math" w:cs="Cambria Math"/>
          <w:noProof/>
          <w:sz w:val="22"/>
          <w:lang w:val="en-US"/>
        </w:rPr>
        <w:t>‐</w:t>
      </w:r>
      <w:r w:rsidRPr="00DB25FC">
        <w:rPr>
          <w:rFonts w:eastAsia="Aptos" w:cs="Arial"/>
          <w:noProof/>
          <w:sz w:val="22"/>
          <w:lang w:val="en-US"/>
        </w:rPr>
        <w:t>versus context</w:t>
      </w:r>
      <w:r w:rsidRPr="00DB25FC">
        <w:rPr>
          <w:rFonts w:ascii="Cambria Math" w:eastAsia="Aptos" w:hAnsi="Cambria Math" w:cs="Cambria Math"/>
          <w:noProof/>
          <w:sz w:val="22"/>
          <w:lang w:val="en-US"/>
        </w:rPr>
        <w:t>‐</w:t>
      </w:r>
      <w:r w:rsidRPr="00DB25FC">
        <w:rPr>
          <w:rFonts w:eastAsia="Aptos" w:cs="Arial"/>
          <w:noProof/>
          <w:sz w:val="22"/>
          <w:lang w:val="en-US"/>
        </w:rPr>
        <w:t xml:space="preserve">focused intervention for young children with cerebral palsy. </w:t>
      </w:r>
      <w:r w:rsidRPr="00DB25FC">
        <w:rPr>
          <w:rFonts w:eastAsia="Aptos" w:cs="Arial"/>
          <w:i/>
          <w:noProof/>
          <w:sz w:val="22"/>
          <w:lang w:val="en-US"/>
        </w:rPr>
        <w:t>Developmental Medicine &amp; Child Neurology</w:t>
      </w:r>
      <w:r w:rsidRPr="00DB25FC">
        <w:rPr>
          <w:rFonts w:eastAsia="Aptos" w:cs="Arial"/>
          <w:noProof/>
          <w:sz w:val="22"/>
          <w:lang w:val="en-US"/>
        </w:rPr>
        <w:t>,</w:t>
      </w:r>
      <w:r w:rsidRPr="00DB25FC">
        <w:rPr>
          <w:rFonts w:eastAsia="Aptos" w:cs="Arial"/>
          <w:i/>
          <w:noProof/>
          <w:sz w:val="22"/>
          <w:lang w:val="en-US"/>
        </w:rPr>
        <w:t xml:space="preserve"> 53</w:t>
      </w:r>
      <w:r w:rsidRPr="00DB25FC">
        <w:rPr>
          <w:rFonts w:eastAsia="Aptos" w:cs="Arial"/>
          <w:noProof/>
          <w:sz w:val="22"/>
          <w:lang w:val="en-US"/>
        </w:rPr>
        <w:t xml:space="preserve">(7), 621-629. </w:t>
      </w:r>
      <w:hyperlink r:id="rId383" w:history="1">
        <w:r w:rsidR="00CB2B49" w:rsidRPr="00DB25FC">
          <w:rPr>
            <w:rStyle w:val="Hyperlink"/>
            <w:rFonts w:eastAsia="Aptos" w:cs="Arial"/>
            <w:noProof/>
            <w:sz w:val="22"/>
            <w:lang w:val="en-US"/>
          </w:rPr>
          <w:t>https://doi.org/10.1111/j.1469-8749.2011.03962.x</w:t>
        </w:r>
      </w:hyperlink>
      <w:r w:rsidRPr="00DB25FC">
        <w:rPr>
          <w:rFonts w:eastAsia="Aptos" w:cs="Arial"/>
          <w:noProof/>
          <w:sz w:val="22"/>
          <w:lang w:val="en-US"/>
        </w:rPr>
        <w:t>.</w:t>
      </w:r>
      <w:r w:rsidR="00CB2B49">
        <w:rPr>
          <w:rFonts w:eastAsia="Aptos" w:cs="Arial"/>
          <w:noProof/>
          <w:sz w:val="22"/>
          <w:lang w:val="en-US"/>
        </w:rPr>
        <w:t xml:space="preserve"> </w:t>
      </w:r>
      <w:r w:rsidRPr="00DB25FC">
        <w:rPr>
          <w:rFonts w:eastAsia="Aptos" w:cs="Arial"/>
          <w:noProof/>
          <w:sz w:val="22"/>
          <w:lang w:val="en-US"/>
        </w:rPr>
        <w:t xml:space="preserve"> </w:t>
      </w:r>
    </w:p>
    <w:p w14:paraId="096EB83A"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779E4DED" w14:textId="3287D2CD"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Laxton, S., Moriarty, C., Sapiets, S. J., Hastings, R. P., &amp; Totsika, V. (2024). Neighbourhood deprivation and access to early intervention and support for families of children with intellectual and developmental disabilities. </w:t>
      </w:r>
      <w:r w:rsidRPr="00DB25FC">
        <w:rPr>
          <w:rFonts w:eastAsia="Aptos" w:cs="Arial"/>
          <w:i/>
          <w:noProof/>
          <w:sz w:val="22"/>
          <w:lang w:val="en-US"/>
        </w:rPr>
        <w:t>Journal of Policy and Practice in Intellectual Disabilities</w:t>
      </w:r>
      <w:r w:rsidRPr="00DB25FC">
        <w:rPr>
          <w:rFonts w:eastAsia="Aptos" w:cs="Arial"/>
          <w:noProof/>
          <w:sz w:val="22"/>
          <w:lang w:val="en-US"/>
        </w:rPr>
        <w:t>,</w:t>
      </w:r>
      <w:r w:rsidRPr="00DB25FC">
        <w:rPr>
          <w:rFonts w:eastAsia="Aptos" w:cs="Arial"/>
          <w:i/>
          <w:noProof/>
          <w:sz w:val="22"/>
          <w:lang w:val="en-US"/>
        </w:rPr>
        <w:t xml:space="preserve"> 21</w:t>
      </w:r>
      <w:r w:rsidRPr="00DB25FC">
        <w:rPr>
          <w:rFonts w:eastAsia="Aptos" w:cs="Arial"/>
          <w:noProof/>
          <w:sz w:val="22"/>
          <w:lang w:val="en-US"/>
        </w:rPr>
        <w:t xml:space="preserve">(2), e12486. </w:t>
      </w:r>
      <w:hyperlink r:id="rId384" w:history="1">
        <w:r w:rsidR="00CB2B49" w:rsidRPr="00DB25FC">
          <w:rPr>
            <w:rStyle w:val="Hyperlink"/>
            <w:rFonts w:eastAsia="Aptos" w:cs="Arial"/>
            <w:noProof/>
            <w:sz w:val="22"/>
            <w:lang w:val="en-US"/>
          </w:rPr>
          <w:t>https://doi.org/10.1111/jppi.12486</w:t>
        </w:r>
      </w:hyperlink>
      <w:r w:rsidR="00CB2B49">
        <w:rPr>
          <w:rFonts w:eastAsia="Aptos" w:cs="Arial"/>
          <w:noProof/>
          <w:sz w:val="22"/>
          <w:lang w:val="en-US"/>
        </w:rPr>
        <w:t xml:space="preserve"> </w:t>
      </w:r>
      <w:r w:rsidRPr="00DB25FC">
        <w:rPr>
          <w:rFonts w:eastAsia="Aptos" w:cs="Arial"/>
          <w:noProof/>
          <w:sz w:val="22"/>
          <w:lang w:val="en-US"/>
        </w:rPr>
        <w:t xml:space="preserve"> </w:t>
      </w:r>
    </w:p>
    <w:p w14:paraId="0F207A88"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6C096994" w14:textId="77777777"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Leadbeater, C. (2004). </w:t>
      </w:r>
      <w:r w:rsidRPr="00DB25FC">
        <w:rPr>
          <w:rFonts w:eastAsia="Aptos" w:cs="Arial"/>
          <w:i/>
          <w:noProof/>
          <w:sz w:val="22"/>
          <w:lang w:val="en-US"/>
        </w:rPr>
        <w:t>Personalisation through participation: A new script for public services</w:t>
      </w:r>
      <w:r w:rsidRPr="00DB25FC">
        <w:rPr>
          <w:rFonts w:eastAsia="Aptos" w:cs="Arial"/>
          <w:noProof/>
          <w:sz w:val="22"/>
          <w:lang w:val="en-US"/>
        </w:rPr>
        <w:t xml:space="preserve">. London, UK: Demos. </w:t>
      </w:r>
    </w:p>
    <w:p w14:paraId="4024391E"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48B01288" w14:textId="77777777" w:rsidR="00DB25FC" w:rsidRP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Leadbeater, C., Bartlett, J., &amp; Gallagher, N. (2008). </w:t>
      </w:r>
      <w:r w:rsidRPr="00DB25FC">
        <w:rPr>
          <w:rFonts w:eastAsia="Aptos" w:cs="Arial"/>
          <w:i/>
          <w:noProof/>
          <w:sz w:val="22"/>
          <w:lang w:val="en-US"/>
        </w:rPr>
        <w:t>Making it personal</w:t>
      </w:r>
      <w:r w:rsidRPr="00DB25FC">
        <w:rPr>
          <w:rFonts w:eastAsia="Aptos" w:cs="Arial"/>
          <w:noProof/>
          <w:sz w:val="22"/>
          <w:lang w:val="en-US"/>
        </w:rPr>
        <w:t xml:space="preserve">. London, UK: Demos. </w:t>
      </w:r>
    </w:p>
    <w:p w14:paraId="25C3D50F" w14:textId="77777777" w:rsidR="00DB25FC" w:rsidRPr="00DB25FC" w:rsidRDefault="00DB25FC" w:rsidP="00DB25FC">
      <w:pPr>
        <w:spacing w:before="0" w:after="0"/>
        <w:ind w:left="720" w:hanging="720"/>
        <w:rPr>
          <w:rFonts w:eastAsia="Aptos" w:cs="Arial"/>
          <w:noProof/>
          <w:sz w:val="22"/>
          <w:lang w:val="en-US"/>
        </w:rPr>
      </w:pPr>
      <w:r w:rsidRPr="00DB25FC">
        <w:rPr>
          <w:rFonts w:eastAsia="Aptos" w:cs="Arial"/>
          <w:noProof/>
          <w:sz w:val="22"/>
          <w:lang w:val="en-US"/>
        </w:rPr>
        <w:tab/>
      </w:r>
    </w:p>
    <w:p w14:paraId="64D15845" w14:textId="6E972EF3" w:rsidR="00DB25FC" w:rsidRDefault="00DB25FC" w:rsidP="00DB25FC">
      <w:pPr>
        <w:spacing w:before="0" w:after="160"/>
        <w:ind w:left="720" w:hanging="720"/>
        <w:rPr>
          <w:rFonts w:eastAsia="Aptos" w:cs="Arial"/>
          <w:noProof/>
          <w:sz w:val="22"/>
          <w:lang w:val="en-US"/>
        </w:rPr>
      </w:pPr>
      <w:r w:rsidRPr="00DB25FC">
        <w:rPr>
          <w:rFonts w:eastAsia="Aptos" w:cs="Arial"/>
          <w:noProof/>
          <w:sz w:val="22"/>
          <w:lang w:val="en-US"/>
        </w:rPr>
        <w:t xml:space="preserve">Lederman, N. G., &amp; Lederman, J. S. (2015). What is a theoretical framework? A practical answer. </w:t>
      </w:r>
      <w:r w:rsidRPr="00DB25FC">
        <w:rPr>
          <w:rFonts w:eastAsia="Aptos" w:cs="Arial"/>
          <w:i/>
          <w:noProof/>
          <w:sz w:val="22"/>
          <w:lang w:val="en-US"/>
        </w:rPr>
        <w:t>Journal of Science Teacher Education</w:t>
      </w:r>
      <w:r w:rsidRPr="00DB25FC">
        <w:rPr>
          <w:rFonts w:eastAsia="Aptos" w:cs="Arial"/>
          <w:noProof/>
          <w:sz w:val="22"/>
          <w:lang w:val="en-US"/>
        </w:rPr>
        <w:t>,</w:t>
      </w:r>
      <w:r w:rsidRPr="00DB25FC">
        <w:rPr>
          <w:rFonts w:eastAsia="Aptos" w:cs="Arial"/>
          <w:i/>
          <w:noProof/>
          <w:sz w:val="22"/>
          <w:lang w:val="en-US"/>
        </w:rPr>
        <w:t xml:space="preserve"> 26</w:t>
      </w:r>
      <w:r w:rsidRPr="00DB25FC">
        <w:rPr>
          <w:rFonts w:eastAsia="Aptos" w:cs="Arial"/>
          <w:noProof/>
          <w:sz w:val="22"/>
          <w:lang w:val="en-US"/>
        </w:rPr>
        <w:t xml:space="preserve">(7), 593-597. </w:t>
      </w:r>
      <w:hyperlink r:id="rId385" w:history="1">
        <w:r w:rsidR="00D83DE5" w:rsidRPr="00DB25FC">
          <w:rPr>
            <w:rStyle w:val="Hyperlink"/>
            <w:rFonts w:eastAsia="Aptos" w:cs="Arial"/>
            <w:noProof/>
            <w:sz w:val="22"/>
            <w:lang w:val="en-US"/>
          </w:rPr>
          <w:t>https://doi.org/10.1007/s10972-015-9443-2</w:t>
        </w:r>
      </w:hyperlink>
      <w:r w:rsidRPr="00DB25FC">
        <w:rPr>
          <w:rFonts w:eastAsia="Aptos" w:cs="Arial"/>
          <w:noProof/>
          <w:sz w:val="22"/>
          <w:lang w:val="en-US"/>
        </w:rPr>
        <w:t xml:space="preserve"> </w:t>
      </w:r>
    </w:p>
    <w:p w14:paraId="3B2B7B8C" w14:textId="77777777" w:rsidR="00D83DE5" w:rsidRPr="00DB25FC" w:rsidRDefault="00D83DE5" w:rsidP="00DB25FC">
      <w:pPr>
        <w:spacing w:before="0" w:after="160"/>
        <w:ind w:left="720" w:hanging="720"/>
        <w:rPr>
          <w:rFonts w:eastAsia="Aptos" w:cs="Arial"/>
          <w:noProof/>
          <w:sz w:val="22"/>
          <w:lang w:val="en-US"/>
        </w:rPr>
      </w:pPr>
    </w:p>
    <w:p w14:paraId="130CD184" w14:textId="7968CEA5" w:rsidR="00744966" w:rsidRPr="00744966" w:rsidRDefault="00744966" w:rsidP="00744966">
      <w:pPr>
        <w:spacing w:before="0" w:after="160"/>
        <w:ind w:left="720" w:hanging="720"/>
        <w:rPr>
          <w:rFonts w:eastAsia="Aptos" w:cs="Arial"/>
          <w:noProof/>
          <w:sz w:val="22"/>
          <w:lang w:val="en-US"/>
        </w:rPr>
      </w:pPr>
      <w:r w:rsidRPr="00744966">
        <w:rPr>
          <w:rFonts w:eastAsia="Aptos" w:cs="Arial"/>
          <w:noProof/>
          <w:sz w:val="22"/>
          <w:lang w:val="en-US"/>
        </w:rPr>
        <w:t xml:space="preserve">Ledford, J., &amp; Wehby, J. (2015). Teaching children with autism in small groups with students who are at-risk for academic problems: Effects on academic and social behaviors. </w:t>
      </w:r>
      <w:r w:rsidRPr="00744966">
        <w:rPr>
          <w:rFonts w:eastAsia="Aptos" w:cs="Arial"/>
          <w:i/>
          <w:noProof/>
          <w:sz w:val="22"/>
          <w:lang w:val="en-US"/>
        </w:rPr>
        <w:t>Journal of Autism &amp; Developmental Disorders</w:t>
      </w:r>
      <w:r w:rsidRPr="00744966">
        <w:rPr>
          <w:rFonts w:eastAsia="Aptos" w:cs="Arial"/>
          <w:noProof/>
          <w:sz w:val="22"/>
          <w:lang w:val="en-US"/>
        </w:rPr>
        <w:t>,</w:t>
      </w:r>
      <w:r w:rsidRPr="00744966">
        <w:rPr>
          <w:rFonts w:eastAsia="Aptos" w:cs="Arial"/>
          <w:i/>
          <w:noProof/>
          <w:sz w:val="22"/>
          <w:lang w:val="en-US"/>
        </w:rPr>
        <w:t xml:space="preserve"> 45</w:t>
      </w:r>
      <w:r w:rsidRPr="00744966">
        <w:rPr>
          <w:rFonts w:eastAsia="Aptos" w:cs="Arial"/>
          <w:noProof/>
          <w:sz w:val="22"/>
          <w:lang w:val="en-US"/>
        </w:rPr>
        <w:t xml:space="preserve">(6), 1624-1635. </w:t>
      </w:r>
      <w:hyperlink r:id="rId386" w:history="1">
        <w:r w:rsidR="00CB2B49" w:rsidRPr="00744966">
          <w:rPr>
            <w:rStyle w:val="Hyperlink"/>
            <w:rFonts w:eastAsia="Aptos" w:cs="Arial"/>
            <w:noProof/>
            <w:sz w:val="22"/>
            <w:lang w:val="en-US"/>
          </w:rPr>
          <w:t>https://doi.org/10.1007/s10803-014-2317-1</w:t>
        </w:r>
      </w:hyperlink>
      <w:r w:rsidR="00CB2B49">
        <w:rPr>
          <w:rFonts w:eastAsia="Aptos" w:cs="Arial"/>
          <w:noProof/>
          <w:sz w:val="22"/>
          <w:lang w:val="en-US"/>
        </w:rPr>
        <w:t xml:space="preserve"> </w:t>
      </w:r>
      <w:r w:rsidRPr="00744966">
        <w:rPr>
          <w:rFonts w:eastAsia="Aptos" w:cs="Arial"/>
          <w:noProof/>
          <w:sz w:val="22"/>
          <w:lang w:val="en-US"/>
        </w:rPr>
        <w:t xml:space="preserve"> </w:t>
      </w:r>
    </w:p>
    <w:p w14:paraId="6DCE674D" w14:textId="77777777" w:rsidR="00744966" w:rsidRPr="00744966" w:rsidRDefault="00744966" w:rsidP="00744966">
      <w:pPr>
        <w:spacing w:before="0" w:after="0"/>
        <w:ind w:left="720" w:hanging="720"/>
        <w:rPr>
          <w:rFonts w:eastAsia="Aptos" w:cs="Arial"/>
          <w:noProof/>
          <w:sz w:val="22"/>
          <w:lang w:val="en-US"/>
        </w:rPr>
      </w:pPr>
      <w:r w:rsidRPr="00744966">
        <w:rPr>
          <w:rFonts w:eastAsia="Aptos" w:cs="Arial"/>
          <w:noProof/>
          <w:sz w:val="22"/>
          <w:lang w:val="en-US"/>
        </w:rPr>
        <w:tab/>
      </w:r>
    </w:p>
    <w:p w14:paraId="225DF793" w14:textId="17CA7084" w:rsidR="00744966" w:rsidRPr="00744966" w:rsidRDefault="00744966" w:rsidP="00744966">
      <w:pPr>
        <w:spacing w:before="0" w:after="160"/>
        <w:ind w:left="720" w:hanging="720"/>
        <w:rPr>
          <w:rFonts w:eastAsia="Aptos" w:cs="Arial"/>
          <w:noProof/>
          <w:sz w:val="22"/>
          <w:lang w:val="en-US"/>
        </w:rPr>
      </w:pPr>
      <w:r w:rsidRPr="00744966">
        <w:rPr>
          <w:rFonts w:eastAsia="Aptos" w:cs="Arial"/>
          <w:noProof/>
          <w:sz w:val="22"/>
          <w:lang w:val="en-US"/>
        </w:rPr>
        <w:t xml:space="preserve">Lee, B. (2015). </w:t>
      </w:r>
      <w:r w:rsidRPr="00744966">
        <w:rPr>
          <w:rFonts w:eastAsia="Aptos" w:cs="Arial"/>
          <w:i/>
          <w:noProof/>
          <w:sz w:val="22"/>
          <w:lang w:val="en-US"/>
        </w:rPr>
        <w:t>10 ‘Autism Interventions’ for Families Embracing the Neurodiversity Paradigm</w:t>
      </w:r>
      <w:r w:rsidRPr="00744966">
        <w:rPr>
          <w:rFonts w:eastAsia="Aptos" w:cs="Arial"/>
          <w:noProof/>
          <w:sz w:val="22"/>
          <w:lang w:val="en-US"/>
        </w:rPr>
        <w:t xml:space="preserve">. Respectfully Connected. Retrieved 6 September, 2024 from </w:t>
      </w:r>
      <w:hyperlink r:id="rId387" w:history="1">
        <w:r w:rsidR="00CB2B49" w:rsidRPr="00744966">
          <w:rPr>
            <w:rStyle w:val="Hyperlink"/>
            <w:rFonts w:eastAsia="Aptos" w:cs="Arial"/>
            <w:noProof/>
            <w:sz w:val="22"/>
            <w:lang w:val="en-US"/>
          </w:rPr>
          <w:t>https://respectfullyconnected.com/2015/11/10-neurodiversity-friendly</w:t>
        </w:r>
      </w:hyperlink>
      <w:r w:rsidR="00CB2B49">
        <w:rPr>
          <w:rFonts w:eastAsia="Aptos" w:cs="Arial"/>
          <w:noProof/>
          <w:sz w:val="22"/>
          <w:lang w:val="en-US"/>
        </w:rPr>
        <w:t xml:space="preserve"> </w:t>
      </w:r>
    </w:p>
    <w:p w14:paraId="09EF8CF6" w14:textId="77777777" w:rsidR="00744966" w:rsidRPr="00744966" w:rsidRDefault="00744966" w:rsidP="00744966">
      <w:pPr>
        <w:spacing w:before="0" w:after="0"/>
        <w:ind w:left="720" w:hanging="720"/>
        <w:rPr>
          <w:rFonts w:eastAsia="Aptos" w:cs="Arial"/>
          <w:noProof/>
          <w:sz w:val="22"/>
          <w:lang w:val="en-US"/>
        </w:rPr>
      </w:pPr>
      <w:r w:rsidRPr="00744966">
        <w:rPr>
          <w:rFonts w:eastAsia="Aptos" w:cs="Arial"/>
          <w:noProof/>
          <w:sz w:val="22"/>
          <w:lang w:val="en-US"/>
        </w:rPr>
        <w:tab/>
      </w:r>
    </w:p>
    <w:p w14:paraId="45FF6294" w14:textId="54C86C48" w:rsidR="00744966" w:rsidRPr="00744966" w:rsidRDefault="00744966" w:rsidP="00744966">
      <w:pPr>
        <w:spacing w:before="0" w:after="160"/>
        <w:ind w:left="720" w:hanging="720"/>
        <w:rPr>
          <w:rFonts w:eastAsia="Aptos" w:cs="Arial"/>
          <w:noProof/>
          <w:sz w:val="22"/>
          <w:lang w:val="en-US"/>
        </w:rPr>
      </w:pPr>
      <w:r w:rsidRPr="00744966">
        <w:rPr>
          <w:rFonts w:eastAsia="Aptos" w:cs="Arial"/>
          <w:noProof/>
          <w:sz w:val="22"/>
          <w:lang w:val="en-US"/>
        </w:rPr>
        <w:t xml:space="preserve">Lee, Y. H. (2015). The paradox of early intervention: families’ participation driven by professionals throughout service process. </w:t>
      </w:r>
      <w:r w:rsidRPr="00744966">
        <w:rPr>
          <w:rFonts w:eastAsia="Aptos" w:cs="Arial"/>
          <w:i/>
          <w:noProof/>
          <w:sz w:val="22"/>
          <w:lang w:val="en-US"/>
        </w:rPr>
        <w:t>International Journal of Child Care and Education Policy</w:t>
      </w:r>
      <w:r w:rsidRPr="00744966">
        <w:rPr>
          <w:rFonts w:eastAsia="Aptos" w:cs="Arial"/>
          <w:noProof/>
          <w:sz w:val="22"/>
          <w:lang w:val="en-US"/>
        </w:rPr>
        <w:t>,</w:t>
      </w:r>
      <w:r w:rsidRPr="00744966">
        <w:rPr>
          <w:rFonts w:eastAsia="Aptos" w:cs="Arial"/>
          <w:i/>
          <w:noProof/>
          <w:sz w:val="22"/>
          <w:lang w:val="en-US"/>
        </w:rPr>
        <w:t xml:space="preserve"> 9</w:t>
      </w:r>
      <w:r w:rsidRPr="00744966">
        <w:rPr>
          <w:rFonts w:eastAsia="Aptos" w:cs="Arial"/>
          <w:noProof/>
          <w:sz w:val="22"/>
          <w:lang w:val="en-US"/>
        </w:rPr>
        <w:t xml:space="preserve">(1), 1-19. </w:t>
      </w:r>
      <w:hyperlink r:id="rId388" w:history="1">
        <w:r w:rsidR="00CB2B49" w:rsidRPr="00744966">
          <w:rPr>
            <w:rStyle w:val="Hyperlink"/>
            <w:rFonts w:eastAsia="Aptos" w:cs="Arial"/>
            <w:noProof/>
            <w:sz w:val="22"/>
            <w:lang w:val="en-US"/>
          </w:rPr>
          <w:t>https://doi.org/10.1186/s40723-015-0007-x</w:t>
        </w:r>
      </w:hyperlink>
      <w:r w:rsidR="00CB2B49">
        <w:rPr>
          <w:rFonts w:eastAsia="Aptos" w:cs="Arial"/>
          <w:noProof/>
          <w:sz w:val="22"/>
          <w:lang w:val="en-US"/>
        </w:rPr>
        <w:t xml:space="preserve"> </w:t>
      </w:r>
      <w:r w:rsidRPr="00744966">
        <w:rPr>
          <w:rFonts w:eastAsia="Aptos" w:cs="Arial"/>
          <w:noProof/>
          <w:sz w:val="22"/>
          <w:lang w:val="en-US"/>
        </w:rPr>
        <w:t xml:space="preserve"> </w:t>
      </w:r>
    </w:p>
    <w:p w14:paraId="71759DDB" w14:textId="77777777" w:rsidR="00744966" w:rsidRPr="00744966" w:rsidRDefault="00744966" w:rsidP="00744966">
      <w:pPr>
        <w:spacing w:before="0" w:after="0"/>
        <w:ind w:left="720" w:hanging="720"/>
        <w:rPr>
          <w:rFonts w:eastAsia="Aptos" w:cs="Arial"/>
          <w:noProof/>
          <w:sz w:val="22"/>
          <w:lang w:val="en-US"/>
        </w:rPr>
      </w:pPr>
      <w:r w:rsidRPr="00744966">
        <w:rPr>
          <w:rFonts w:eastAsia="Aptos" w:cs="Arial"/>
          <w:noProof/>
          <w:sz w:val="22"/>
          <w:lang w:val="en-US"/>
        </w:rPr>
        <w:tab/>
      </w:r>
    </w:p>
    <w:p w14:paraId="4835CF72" w14:textId="77777777" w:rsidR="00744966" w:rsidRPr="00744966" w:rsidRDefault="00744966" w:rsidP="00744966">
      <w:pPr>
        <w:spacing w:before="0" w:after="160"/>
        <w:ind w:left="720" w:hanging="720"/>
        <w:rPr>
          <w:rFonts w:eastAsia="Aptos" w:cs="Arial"/>
          <w:noProof/>
          <w:sz w:val="22"/>
          <w:lang w:val="en-US"/>
        </w:rPr>
      </w:pPr>
      <w:r w:rsidRPr="00744966">
        <w:rPr>
          <w:rFonts w:eastAsia="Aptos" w:cs="Arial"/>
          <w:noProof/>
          <w:sz w:val="22"/>
          <w:lang w:val="en-US"/>
        </w:rPr>
        <w:t xml:space="preserve">Leigh, A. (2010). </w:t>
      </w:r>
      <w:r w:rsidRPr="00744966">
        <w:rPr>
          <w:rFonts w:eastAsia="Aptos" w:cs="Arial"/>
          <w:i/>
          <w:noProof/>
          <w:sz w:val="22"/>
          <w:lang w:val="en-US"/>
        </w:rPr>
        <w:t>Disconnected</w:t>
      </w:r>
      <w:r w:rsidRPr="00744966">
        <w:rPr>
          <w:rFonts w:eastAsia="Aptos" w:cs="Arial"/>
          <w:noProof/>
          <w:sz w:val="22"/>
          <w:lang w:val="en-US"/>
        </w:rPr>
        <w:t xml:space="preserve">. Sydney, NSW: University of New South Wales Press. </w:t>
      </w:r>
    </w:p>
    <w:p w14:paraId="5364300A" w14:textId="77777777" w:rsidR="00744966" w:rsidRPr="00744966" w:rsidRDefault="00744966" w:rsidP="00744966">
      <w:pPr>
        <w:spacing w:before="0" w:after="0"/>
        <w:ind w:left="720" w:hanging="720"/>
        <w:rPr>
          <w:rFonts w:eastAsia="Aptos" w:cs="Arial"/>
          <w:noProof/>
          <w:sz w:val="22"/>
          <w:lang w:val="en-US"/>
        </w:rPr>
      </w:pPr>
      <w:r w:rsidRPr="00744966">
        <w:rPr>
          <w:rFonts w:eastAsia="Aptos" w:cs="Arial"/>
          <w:noProof/>
          <w:sz w:val="22"/>
          <w:lang w:val="en-US"/>
        </w:rPr>
        <w:tab/>
      </w:r>
    </w:p>
    <w:p w14:paraId="4593D17D" w14:textId="77777777" w:rsidR="00744966" w:rsidRDefault="00744966" w:rsidP="00744966">
      <w:pPr>
        <w:spacing w:before="0" w:after="160"/>
        <w:ind w:left="720" w:hanging="720"/>
        <w:rPr>
          <w:rFonts w:eastAsia="Aptos" w:cs="Arial"/>
          <w:noProof/>
          <w:sz w:val="22"/>
          <w:lang w:val="en-US"/>
        </w:rPr>
      </w:pPr>
      <w:r w:rsidRPr="00744966">
        <w:rPr>
          <w:rFonts w:eastAsia="Aptos" w:cs="Arial"/>
          <w:noProof/>
          <w:sz w:val="22"/>
          <w:lang w:val="en-US"/>
        </w:rPr>
        <w:t xml:space="preserve">Leigh, A. (2013). </w:t>
      </w:r>
      <w:r w:rsidRPr="00744966">
        <w:rPr>
          <w:rFonts w:eastAsia="Aptos" w:cs="Arial"/>
          <w:i/>
          <w:noProof/>
          <w:sz w:val="22"/>
          <w:lang w:val="en-US"/>
        </w:rPr>
        <w:t>Battlers and billionaires: The story of inequality in Australia</w:t>
      </w:r>
      <w:r w:rsidRPr="00744966">
        <w:rPr>
          <w:rFonts w:eastAsia="Aptos" w:cs="Arial"/>
          <w:noProof/>
          <w:sz w:val="22"/>
          <w:lang w:val="en-US"/>
        </w:rPr>
        <w:t xml:space="preserve"> (Vol. 1). Collingwood, VIC: Redback. </w:t>
      </w:r>
    </w:p>
    <w:p w14:paraId="1DCADB14" w14:textId="77777777" w:rsidR="00D83DE5" w:rsidRPr="00744966" w:rsidRDefault="00D83DE5" w:rsidP="00744966">
      <w:pPr>
        <w:spacing w:before="0" w:after="160"/>
        <w:ind w:left="720" w:hanging="720"/>
        <w:rPr>
          <w:rFonts w:eastAsia="Aptos" w:cs="Arial"/>
          <w:noProof/>
          <w:sz w:val="22"/>
          <w:lang w:val="en-US"/>
        </w:rPr>
      </w:pPr>
    </w:p>
    <w:p w14:paraId="7A110C21" w14:textId="245911F2" w:rsidR="00DF6838" w:rsidRPr="00DF6838" w:rsidRDefault="00DF6838" w:rsidP="00DF6838">
      <w:pPr>
        <w:spacing w:before="0" w:after="160"/>
        <w:ind w:left="720" w:hanging="720"/>
        <w:rPr>
          <w:rFonts w:eastAsia="Aptos" w:cs="Arial"/>
          <w:noProof/>
          <w:sz w:val="22"/>
          <w:lang w:val="en-US"/>
        </w:rPr>
      </w:pPr>
      <w:r w:rsidRPr="00DF6838">
        <w:rPr>
          <w:rFonts w:eastAsia="Aptos" w:cs="Arial"/>
          <w:noProof/>
          <w:sz w:val="22"/>
          <w:lang w:val="en-US"/>
        </w:rPr>
        <w:t xml:space="preserve">Leonard, S. (2017). Current concepts in Noninvasive Prenatal Screening (NIPS). </w:t>
      </w:r>
      <w:r w:rsidRPr="00DF6838">
        <w:rPr>
          <w:rFonts w:eastAsia="Aptos" w:cs="Arial"/>
          <w:i/>
          <w:noProof/>
          <w:sz w:val="22"/>
          <w:lang w:val="en-US"/>
        </w:rPr>
        <w:t>Journal of fetal medicine</w:t>
      </w:r>
      <w:r w:rsidRPr="00DF6838">
        <w:rPr>
          <w:rFonts w:eastAsia="Aptos" w:cs="Arial"/>
          <w:noProof/>
          <w:sz w:val="22"/>
          <w:lang w:val="en-US"/>
        </w:rPr>
        <w:t>,</w:t>
      </w:r>
      <w:r w:rsidRPr="00DF6838">
        <w:rPr>
          <w:rFonts w:eastAsia="Aptos" w:cs="Arial"/>
          <w:i/>
          <w:noProof/>
          <w:sz w:val="22"/>
          <w:lang w:val="en-US"/>
        </w:rPr>
        <w:t xml:space="preserve"> 4</w:t>
      </w:r>
      <w:r w:rsidRPr="00DF6838">
        <w:rPr>
          <w:rFonts w:eastAsia="Aptos" w:cs="Arial"/>
          <w:noProof/>
          <w:sz w:val="22"/>
          <w:lang w:val="en-US"/>
        </w:rPr>
        <w:t xml:space="preserve">(3), 125-130. </w:t>
      </w:r>
      <w:hyperlink r:id="rId389" w:history="1">
        <w:r w:rsidR="00CB2B49" w:rsidRPr="00DF6838">
          <w:rPr>
            <w:rStyle w:val="Hyperlink"/>
            <w:rFonts w:eastAsia="Aptos" w:cs="Arial"/>
            <w:noProof/>
            <w:sz w:val="22"/>
            <w:lang w:val="en-US"/>
          </w:rPr>
          <w:t>https://doi.org/10.1007/s40556-017-0122-6</w:t>
        </w:r>
      </w:hyperlink>
      <w:r w:rsidR="00CB2B49">
        <w:rPr>
          <w:rFonts w:eastAsia="Aptos" w:cs="Arial"/>
          <w:noProof/>
          <w:sz w:val="22"/>
          <w:lang w:val="en-US"/>
        </w:rPr>
        <w:t xml:space="preserve"> </w:t>
      </w:r>
      <w:r w:rsidRPr="00DF6838">
        <w:rPr>
          <w:rFonts w:eastAsia="Aptos" w:cs="Arial"/>
          <w:noProof/>
          <w:sz w:val="22"/>
          <w:lang w:val="en-US"/>
        </w:rPr>
        <w:t xml:space="preserve"> </w:t>
      </w:r>
    </w:p>
    <w:p w14:paraId="7B0B3EC1" w14:textId="77777777" w:rsidR="00DF6838" w:rsidRPr="00DF6838" w:rsidRDefault="00DF6838" w:rsidP="00DF6838">
      <w:pPr>
        <w:spacing w:before="0" w:after="0"/>
        <w:ind w:left="720" w:hanging="720"/>
        <w:rPr>
          <w:rFonts w:eastAsia="Aptos" w:cs="Arial"/>
          <w:noProof/>
          <w:sz w:val="22"/>
          <w:lang w:val="en-US"/>
        </w:rPr>
      </w:pPr>
      <w:r w:rsidRPr="00DF6838">
        <w:rPr>
          <w:rFonts w:eastAsia="Aptos" w:cs="Arial"/>
          <w:noProof/>
          <w:sz w:val="22"/>
          <w:lang w:val="en-US"/>
        </w:rPr>
        <w:tab/>
      </w:r>
    </w:p>
    <w:p w14:paraId="79735A2F" w14:textId="77777777" w:rsidR="00DF6838" w:rsidRPr="00DF6838" w:rsidRDefault="00DF6838" w:rsidP="00DF6838">
      <w:pPr>
        <w:spacing w:before="0" w:after="160"/>
        <w:ind w:left="720" w:hanging="720"/>
        <w:rPr>
          <w:rFonts w:eastAsia="Aptos" w:cs="Arial"/>
          <w:noProof/>
          <w:sz w:val="22"/>
          <w:lang w:val="en-US"/>
        </w:rPr>
      </w:pPr>
      <w:r w:rsidRPr="00DF6838">
        <w:rPr>
          <w:rFonts w:eastAsia="Aptos" w:cs="Arial"/>
          <w:noProof/>
          <w:sz w:val="22"/>
          <w:lang w:val="en-US"/>
        </w:rPr>
        <w:t xml:space="preserve">Levine, K. (2013). Capacity building and empowerment practice. In B. Trute &amp; D. Hiebert-Murphy (Eds.), </w:t>
      </w:r>
      <w:r w:rsidRPr="00DF6838">
        <w:rPr>
          <w:rFonts w:eastAsia="Aptos" w:cs="Arial"/>
          <w:i/>
          <w:noProof/>
          <w:sz w:val="22"/>
          <w:lang w:val="en-US"/>
        </w:rPr>
        <w:t>Partnering with parents: Family-centred practice in children’s services</w:t>
      </w:r>
      <w:r w:rsidRPr="00DF6838">
        <w:rPr>
          <w:rFonts w:eastAsia="Aptos" w:cs="Arial"/>
          <w:noProof/>
          <w:sz w:val="22"/>
          <w:lang w:val="en-US"/>
        </w:rPr>
        <w:t xml:space="preserve"> (pp. 107-129). Toronto, Canada: University of Toronto Press. </w:t>
      </w:r>
    </w:p>
    <w:p w14:paraId="5957C8D0" w14:textId="77777777" w:rsidR="00DF6838" w:rsidRPr="00DF6838" w:rsidRDefault="00DF6838" w:rsidP="00DF6838">
      <w:pPr>
        <w:spacing w:before="0" w:after="0"/>
        <w:ind w:left="720" w:hanging="720"/>
        <w:rPr>
          <w:rFonts w:eastAsia="Aptos" w:cs="Arial"/>
          <w:noProof/>
          <w:sz w:val="22"/>
          <w:lang w:val="en-US"/>
        </w:rPr>
      </w:pPr>
      <w:r w:rsidRPr="00DF6838">
        <w:rPr>
          <w:rFonts w:eastAsia="Aptos" w:cs="Arial"/>
          <w:noProof/>
          <w:sz w:val="22"/>
          <w:lang w:val="en-US"/>
        </w:rPr>
        <w:tab/>
      </w:r>
    </w:p>
    <w:p w14:paraId="17BFCAA0" w14:textId="5C52CB28" w:rsidR="00DF6838" w:rsidRDefault="00DF6838" w:rsidP="00DF6838">
      <w:pPr>
        <w:spacing w:before="0" w:after="160"/>
        <w:ind w:left="720" w:hanging="720"/>
        <w:rPr>
          <w:rFonts w:eastAsia="Aptos" w:cs="Arial"/>
          <w:noProof/>
          <w:sz w:val="22"/>
          <w:lang w:val="en-US"/>
        </w:rPr>
      </w:pPr>
      <w:r w:rsidRPr="00DF6838">
        <w:rPr>
          <w:rFonts w:eastAsia="Aptos" w:cs="Arial"/>
          <w:noProof/>
          <w:sz w:val="22"/>
          <w:lang w:val="en-US"/>
        </w:rPr>
        <w:t xml:space="preserve">Leyenaar, J. K., Arakelyan, M., Schaefer, A. P., Freyleue, S. D., Austin, A. M., Simon, T. D., Van Cleave, J., Ahuja, N., Chien, A. T., &amp; Moen, E. L. (2024). Neurodevelopmental and mental health conditions in children with medical complexity. </w:t>
      </w:r>
      <w:r w:rsidRPr="00DF6838">
        <w:rPr>
          <w:rFonts w:eastAsia="Aptos" w:cs="Arial"/>
          <w:i/>
          <w:noProof/>
          <w:sz w:val="22"/>
          <w:lang w:val="en-US"/>
        </w:rPr>
        <w:t>Pediatrics</w:t>
      </w:r>
      <w:r w:rsidRPr="00DF6838">
        <w:rPr>
          <w:rFonts w:eastAsia="Aptos" w:cs="Arial"/>
          <w:noProof/>
          <w:sz w:val="22"/>
          <w:lang w:val="en-US"/>
        </w:rPr>
        <w:t>,</w:t>
      </w:r>
      <w:r w:rsidRPr="00DF6838">
        <w:rPr>
          <w:rFonts w:eastAsia="Aptos" w:cs="Arial"/>
          <w:i/>
          <w:noProof/>
          <w:sz w:val="22"/>
          <w:lang w:val="en-US"/>
        </w:rPr>
        <w:t xml:space="preserve"> 154</w:t>
      </w:r>
      <w:r w:rsidRPr="00DF6838">
        <w:rPr>
          <w:rFonts w:eastAsia="Aptos" w:cs="Arial"/>
          <w:noProof/>
          <w:sz w:val="22"/>
          <w:lang w:val="en-US"/>
        </w:rPr>
        <w:t xml:space="preserve">(3). </w:t>
      </w:r>
      <w:hyperlink r:id="rId390" w:history="1">
        <w:r w:rsidR="00D83DE5" w:rsidRPr="00DF6838">
          <w:rPr>
            <w:rStyle w:val="Hyperlink"/>
            <w:rFonts w:eastAsia="Aptos" w:cs="Arial"/>
            <w:noProof/>
            <w:sz w:val="22"/>
            <w:lang w:val="en-US"/>
          </w:rPr>
          <w:t>https://doi.org/10.1542/peds.2024-065650</w:t>
        </w:r>
      </w:hyperlink>
      <w:r w:rsidRPr="00DF6838">
        <w:rPr>
          <w:rFonts w:eastAsia="Aptos" w:cs="Arial"/>
          <w:noProof/>
          <w:sz w:val="22"/>
          <w:lang w:val="en-US"/>
        </w:rPr>
        <w:t xml:space="preserve"> </w:t>
      </w:r>
    </w:p>
    <w:p w14:paraId="360A1B50" w14:textId="77777777" w:rsidR="00D83DE5" w:rsidRPr="00DF6838" w:rsidRDefault="00D83DE5" w:rsidP="00DF6838">
      <w:pPr>
        <w:spacing w:before="0" w:after="160"/>
        <w:ind w:left="720" w:hanging="720"/>
        <w:rPr>
          <w:rFonts w:eastAsia="Aptos" w:cs="Arial"/>
          <w:noProof/>
          <w:sz w:val="22"/>
          <w:lang w:val="en-US"/>
        </w:rPr>
      </w:pPr>
    </w:p>
    <w:p w14:paraId="3890BBA2" w14:textId="231C3F9E" w:rsidR="00283AD2" w:rsidRPr="00283AD2" w:rsidRDefault="00283AD2" w:rsidP="00283AD2">
      <w:pPr>
        <w:spacing w:before="0" w:after="160"/>
        <w:ind w:left="720" w:hanging="720"/>
        <w:rPr>
          <w:rFonts w:eastAsia="Aptos" w:cs="Arial"/>
          <w:noProof/>
          <w:sz w:val="22"/>
          <w:lang w:val="en-US"/>
        </w:rPr>
      </w:pPr>
      <w:r w:rsidRPr="00283AD2">
        <w:rPr>
          <w:rFonts w:eastAsia="Aptos" w:cs="Arial"/>
          <w:noProof/>
          <w:sz w:val="22"/>
          <w:lang w:val="en-US"/>
        </w:rPr>
        <w:t xml:space="preserve">Li, J., McMurray, A., &amp; Stanley, F. (2008). Modernity’s paradox and the structural determinants of child health and well-being. </w:t>
      </w:r>
      <w:r w:rsidRPr="00283AD2">
        <w:rPr>
          <w:rFonts w:eastAsia="Aptos" w:cs="Arial"/>
          <w:i/>
          <w:noProof/>
          <w:sz w:val="22"/>
          <w:lang w:val="en-US"/>
        </w:rPr>
        <w:t>Health Sociology Review</w:t>
      </w:r>
      <w:r w:rsidRPr="00283AD2">
        <w:rPr>
          <w:rFonts w:eastAsia="Aptos" w:cs="Arial"/>
          <w:noProof/>
          <w:sz w:val="22"/>
          <w:lang w:val="en-US"/>
        </w:rPr>
        <w:t>,</w:t>
      </w:r>
      <w:r w:rsidRPr="00283AD2">
        <w:rPr>
          <w:rFonts w:eastAsia="Aptos" w:cs="Arial"/>
          <w:i/>
          <w:noProof/>
          <w:sz w:val="22"/>
          <w:lang w:val="en-US"/>
        </w:rPr>
        <w:t xml:space="preserve"> 17</w:t>
      </w:r>
      <w:r w:rsidRPr="00283AD2">
        <w:rPr>
          <w:rFonts w:eastAsia="Aptos" w:cs="Arial"/>
          <w:noProof/>
          <w:sz w:val="22"/>
          <w:lang w:val="en-US"/>
        </w:rPr>
        <w:t xml:space="preserve">(1), 64-77. </w:t>
      </w:r>
      <w:hyperlink r:id="rId391" w:history="1">
        <w:r w:rsidR="00CB2B49" w:rsidRPr="00283AD2">
          <w:rPr>
            <w:rStyle w:val="Hyperlink"/>
            <w:rFonts w:eastAsia="Aptos" w:cs="Arial"/>
            <w:noProof/>
            <w:sz w:val="22"/>
            <w:lang w:val="en-US"/>
          </w:rPr>
          <w:t>https://doi.org/10.5172/hesr.451.17.1.64</w:t>
        </w:r>
      </w:hyperlink>
      <w:r w:rsidR="00CB2B49">
        <w:rPr>
          <w:rFonts w:eastAsia="Aptos" w:cs="Arial"/>
          <w:noProof/>
          <w:sz w:val="22"/>
          <w:lang w:val="en-US"/>
        </w:rPr>
        <w:t xml:space="preserve"> </w:t>
      </w:r>
      <w:r w:rsidRPr="00283AD2">
        <w:rPr>
          <w:rFonts w:eastAsia="Aptos" w:cs="Arial"/>
          <w:noProof/>
          <w:sz w:val="22"/>
          <w:lang w:val="en-US"/>
        </w:rPr>
        <w:t xml:space="preserve"> </w:t>
      </w:r>
    </w:p>
    <w:p w14:paraId="237B0A86" w14:textId="77777777" w:rsidR="00283AD2" w:rsidRPr="00283AD2" w:rsidRDefault="00283AD2" w:rsidP="00283AD2">
      <w:pPr>
        <w:spacing w:before="0" w:after="0"/>
        <w:ind w:left="720" w:hanging="720"/>
        <w:rPr>
          <w:rFonts w:eastAsia="Aptos" w:cs="Arial"/>
          <w:noProof/>
          <w:sz w:val="22"/>
          <w:lang w:val="en-US"/>
        </w:rPr>
      </w:pPr>
      <w:r w:rsidRPr="00283AD2">
        <w:rPr>
          <w:rFonts w:eastAsia="Aptos" w:cs="Arial"/>
          <w:noProof/>
          <w:sz w:val="22"/>
          <w:lang w:val="en-US"/>
        </w:rPr>
        <w:tab/>
      </w:r>
    </w:p>
    <w:p w14:paraId="424F73E5" w14:textId="77777777" w:rsidR="00283AD2" w:rsidRPr="00283AD2" w:rsidRDefault="00283AD2" w:rsidP="00283AD2">
      <w:pPr>
        <w:spacing w:before="0" w:after="160"/>
        <w:ind w:left="720" w:hanging="720"/>
        <w:rPr>
          <w:rFonts w:eastAsia="Aptos" w:cs="Arial"/>
          <w:noProof/>
          <w:sz w:val="22"/>
          <w:lang w:val="en-US"/>
        </w:rPr>
      </w:pPr>
      <w:r w:rsidRPr="00283AD2">
        <w:rPr>
          <w:rFonts w:eastAsia="Aptos" w:cs="Arial"/>
          <w:noProof/>
          <w:sz w:val="22"/>
          <w:lang w:val="en-US"/>
        </w:rPr>
        <w:t xml:space="preserve">Lieberman, M. D. (2013). </w:t>
      </w:r>
      <w:r w:rsidRPr="00283AD2">
        <w:rPr>
          <w:rFonts w:eastAsia="Aptos" w:cs="Arial"/>
          <w:i/>
          <w:noProof/>
          <w:sz w:val="22"/>
          <w:lang w:val="en-US"/>
        </w:rPr>
        <w:t>Social: Why our brains are wired to connect</w:t>
      </w:r>
      <w:r w:rsidRPr="00283AD2">
        <w:rPr>
          <w:rFonts w:eastAsia="Aptos" w:cs="Arial"/>
          <w:noProof/>
          <w:sz w:val="22"/>
          <w:lang w:val="en-US"/>
        </w:rPr>
        <w:t xml:space="preserve">. Oxford, UK: Oxford University Press. </w:t>
      </w:r>
    </w:p>
    <w:p w14:paraId="7D1E0163" w14:textId="77777777" w:rsidR="00283AD2" w:rsidRPr="00283AD2" w:rsidRDefault="00283AD2" w:rsidP="00283AD2">
      <w:pPr>
        <w:spacing w:before="0" w:after="0"/>
        <w:ind w:left="720" w:hanging="720"/>
        <w:rPr>
          <w:rFonts w:eastAsia="Aptos" w:cs="Arial"/>
          <w:noProof/>
          <w:sz w:val="22"/>
          <w:lang w:val="en-US"/>
        </w:rPr>
      </w:pPr>
      <w:r w:rsidRPr="00283AD2">
        <w:rPr>
          <w:rFonts w:eastAsia="Aptos" w:cs="Arial"/>
          <w:noProof/>
          <w:sz w:val="22"/>
          <w:lang w:val="en-US"/>
        </w:rPr>
        <w:tab/>
      </w:r>
    </w:p>
    <w:p w14:paraId="03283412" w14:textId="03D227CF" w:rsidR="00283AD2" w:rsidRPr="00283AD2" w:rsidRDefault="00283AD2" w:rsidP="00283AD2">
      <w:pPr>
        <w:spacing w:before="0" w:after="160"/>
        <w:ind w:left="720" w:hanging="720"/>
        <w:rPr>
          <w:rFonts w:eastAsia="Aptos" w:cs="Arial"/>
          <w:noProof/>
          <w:sz w:val="22"/>
          <w:lang w:val="en-US"/>
        </w:rPr>
      </w:pPr>
      <w:r w:rsidRPr="00283AD2">
        <w:rPr>
          <w:rFonts w:eastAsia="Aptos" w:cs="Arial"/>
          <w:noProof/>
          <w:sz w:val="22"/>
          <w:lang w:val="en-US"/>
        </w:rPr>
        <w:t xml:space="preserve">Lietz, C. A., &amp; Geiger, J. M. (2017). Guest editorial: Advancing a family-centered practice agenda in child welfare. </w:t>
      </w:r>
      <w:r w:rsidRPr="00283AD2">
        <w:rPr>
          <w:rFonts w:eastAsia="Aptos" w:cs="Arial"/>
          <w:i/>
          <w:noProof/>
          <w:sz w:val="22"/>
          <w:lang w:val="en-US"/>
        </w:rPr>
        <w:t>Journal of Family Social Work</w:t>
      </w:r>
      <w:r w:rsidRPr="00283AD2">
        <w:rPr>
          <w:rFonts w:eastAsia="Aptos" w:cs="Arial"/>
          <w:noProof/>
          <w:sz w:val="22"/>
          <w:lang w:val="en-US"/>
        </w:rPr>
        <w:t>,</w:t>
      </w:r>
      <w:r w:rsidRPr="00283AD2">
        <w:rPr>
          <w:rFonts w:eastAsia="Aptos" w:cs="Arial"/>
          <w:i/>
          <w:noProof/>
          <w:sz w:val="22"/>
          <w:lang w:val="en-US"/>
        </w:rPr>
        <w:t xml:space="preserve"> 20</w:t>
      </w:r>
      <w:r w:rsidRPr="00283AD2">
        <w:rPr>
          <w:rFonts w:eastAsia="Aptos" w:cs="Arial"/>
          <w:noProof/>
          <w:sz w:val="22"/>
          <w:lang w:val="en-US"/>
        </w:rPr>
        <w:t xml:space="preserve">(4), 267-270. </w:t>
      </w:r>
      <w:hyperlink r:id="rId392" w:history="1">
        <w:r w:rsidR="00CB2B49" w:rsidRPr="00283AD2">
          <w:rPr>
            <w:rStyle w:val="Hyperlink"/>
            <w:rFonts w:eastAsia="Aptos" w:cs="Arial"/>
            <w:noProof/>
            <w:sz w:val="22"/>
            <w:lang w:val="en-US"/>
          </w:rPr>
          <w:t>https://doi.org/10.1080/10522158.2017.1348105</w:t>
        </w:r>
      </w:hyperlink>
      <w:r w:rsidR="00CB2B49">
        <w:rPr>
          <w:rFonts w:eastAsia="Aptos" w:cs="Arial"/>
          <w:noProof/>
          <w:sz w:val="22"/>
          <w:lang w:val="en-US"/>
        </w:rPr>
        <w:t xml:space="preserve"> </w:t>
      </w:r>
      <w:r w:rsidRPr="00283AD2">
        <w:rPr>
          <w:rFonts w:eastAsia="Aptos" w:cs="Arial"/>
          <w:noProof/>
          <w:sz w:val="22"/>
          <w:lang w:val="en-US"/>
        </w:rPr>
        <w:t xml:space="preserve"> </w:t>
      </w:r>
    </w:p>
    <w:p w14:paraId="386248D1" w14:textId="77777777" w:rsidR="00283AD2" w:rsidRPr="00283AD2" w:rsidRDefault="00283AD2" w:rsidP="00283AD2">
      <w:pPr>
        <w:spacing w:before="0" w:after="0"/>
        <w:ind w:left="720" w:hanging="720"/>
        <w:rPr>
          <w:rFonts w:eastAsia="Aptos" w:cs="Arial"/>
          <w:noProof/>
          <w:sz w:val="22"/>
          <w:lang w:val="en-US"/>
        </w:rPr>
      </w:pPr>
      <w:r w:rsidRPr="00283AD2">
        <w:rPr>
          <w:rFonts w:eastAsia="Aptos" w:cs="Arial"/>
          <w:noProof/>
          <w:sz w:val="22"/>
          <w:lang w:val="en-US"/>
        </w:rPr>
        <w:tab/>
      </w:r>
    </w:p>
    <w:p w14:paraId="2D904F33" w14:textId="77777777" w:rsidR="00283AD2" w:rsidRPr="00283AD2" w:rsidRDefault="00283AD2" w:rsidP="00283AD2">
      <w:pPr>
        <w:spacing w:before="0" w:after="160"/>
        <w:ind w:left="720" w:hanging="720"/>
        <w:rPr>
          <w:rFonts w:eastAsia="Aptos" w:cs="Arial"/>
          <w:noProof/>
          <w:sz w:val="22"/>
          <w:lang w:val="en-US"/>
        </w:rPr>
      </w:pPr>
      <w:r w:rsidRPr="00283AD2">
        <w:rPr>
          <w:rFonts w:eastAsia="Aptos" w:cs="Arial"/>
          <w:noProof/>
          <w:sz w:val="22"/>
          <w:lang w:val="en-US"/>
        </w:rPr>
        <w:t xml:space="preserve">Limbrick, P. (2009). </w:t>
      </w:r>
      <w:r w:rsidRPr="00283AD2">
        <w:rPr>
          <w:rFonts w:eastAsia="Aptos" w:cs="Arial"/>
          <w:i/>
          <w:noProof/>
          <w:sz w:val="22"/>
          <w:lang w:val="en-US"/>
        </w:rPr>
        <w:t>TAC for the 21st century: Nine essays on team around the child</w:t>
      </w:r>
      <w:r w:rsidRPr="00283AD2">
        <w:rPr>
          <w:rFonts w:eastAsia="Aptos" w:cs="Arial"/>
          <w:noProof/>
          <w:sz w:val="22"/>
          <w:lang w:val="en-US"/>
        </w:rPr>
        <w:t xml:space="preserve">. Clifford, Herefordshire, UK: Interconnections. </w:t>
      </w:r>
    </w:p>
    <w:p w14:paraId="143B16C5" w14:textId="77777777" w:rsidR="00283AD2" w:rsidRPr="00283AD2" w:rsidRDefault="00283AD2" w:rsidP="00283AD2">
      <w:pPr>
        <w:spacing w:before="0" w:after="0"/>
        <w:ind w:left="720" w:hanging="720"/>
        <w:rPr>
          <w:rFonts w:eastAsia="Aptos" w:cs="Arial"/>
          <w:noProof/>
          <w:sz w:val="22"/>
          <w:lang w:val="en-US"/>
        </w:rPr>
      </w:pPr>
      <w:r w:rsidRPr="00283AD2">
        <w:rPr>
          <w:rFonts w:eastAsia="Aptos" w:cs="Arial"/>
          <w:noProof/>
          <w:sz w:val="22"/>
          <w:lang w:val="en-US"/>
        </w:rPr>
        <w:tab/>
      </w:r>
    </w:p>
    <w:p w14:paraId="39E542BB" w14:textId="77777777" w:rsidR="00283AD2" w:rsidRDefault="00283AD2" w:rsidP="00283AD2">
      <w:pPr>
        <w:spacing w:before="0" w:after="160"/>
        <w:ind w:left="720" w:hanging="720"/>
        <w:rPr>
          <w:rFonts w:eastAsia="Aptos" w:cs="Arial"/>
          <w:noProof/>
          <w:sz w:val="22"/>
          <w:lang w:val="en-US"/>
        </w:rPr>
      </w:pPr>
      <w:r w:rsidRPr="00283AD2">
        <w:rPr>
          <w:rFonts w:eastAsia="Aptos" w:cs="Arial"/>
          <w:noProof/>
          <w:sz w:val="22"/>
          <w:lang w:val="en-US"/>
        </w:rPr>
        <w:t xml:space="preserve">Limbrick, P. (2017). </w:t>
      </w:r>
      <w:r w:rsidRPr="00283AD2">
        <w:rPr>
          <w:rFonts w:eastAsia="Aptos" w:cs="Arial"/>
          <w:i/>
          <w:noProof/>
          <w:sz w:val="22"/>
          <w:lang w:val="en-US"/>
        </w:rPr>
        <w:t>Early Childhood Intervention Without Tears: Improving Support for Infants with Disabilities and Their Families</w:t>
      </w:r>
      <w:r w:rsidRPr="00283AD2">
        <w:rPr>
          <w:rFonts w:eastAsia="Aptos" w:cs="Arial"/>
          <w:noProof/>
          <w:sz w:val="22"/>
          <w:lang w:val="en-US"/>
        </w:rPr>
        <w:t xml:space="preserve">. Clifford, Herefordshire, UK: Interconnections. </w:t>
      </w:r>
    </w:p>
    <w:p w14:paraId="7236E281" w14:textId="77777777" w:rsidR="00D83DE5" w:rsidRPr="00283AD2" w:rsidRDefault="00D83DE5" w:rsidP="00283AD2">
      <w:pPr>
        <w:spacing w:before="0" w:after="160"/>
        <w:ind w:left="720" w:hanging="720"/>
        <w:rPr>
          <w:rFonts w:eastAsia="Aptos" w:cs="Arial"/>
          <w:noProof/>
          <w:sz w:val="22"/>
          <w:lang w:val="en-US"/>
        </w:rPr>
      </w:pPr>
    </w:p>
    <w:p w14:paraId="5D7ED1E2" w14:textId="77777777" w:rsidR="00D05187" w:rsidRPr="00D05187" w:rsidRDefault="00D05187" w:rsidP="00D05187">
      <w:pPr>
        <w:spacing w:before="0" w:after="160"/>
        <w:ind w:left="720" w:hanging="720"/>
        <w:rPr>
          <w:rFonts w:eastAsia="Aptos" w:cs="Arial"/>
          <w:noProof/>
          <w:sz w:val="22"/>
          <w:lang w:val="en-US"/>
        </w:rPr>
      </w:pPr>
      <w:r w:rsidRPr="00D05187">
        <w:rPr>
          <w:rFonts w:eastAsia="Aptos" w:cs="Arial"/>
          <w:noProof/>
          <w:sz w:val="22"/>
          <w:lang w:val="en-US"/>
        </w:rPr>
        <w:t xml:space="preserve">Lincoln, Y. S., &amp; Guba, E. G. (1985). </w:t>
      </w:r>
      <w:r w:rsidRPr="00D05187">
        <w:rPr>
          <w:rFonts w:eastAsia="Aptos" w:cs="Arial"/>
          <w:i/>
          <w:noProof/>
          <w:sz w:val="22"/>
          <w:lang w:val="en-US"/>
        </w:rPr>
        <w:t>Naturalistic inquiry</w:t>
      </w:r>
      <w:r w:rsidRPr="00D05187">
        <w:rPr>
          <w:rFonts w:eastAsia="Aptos" w:cs="Arial"/>
          <w:noProof/>
          <w:sz w:val="22"/>
          <w:lang w:val="en-US"/>
        </w:rPr>
        <w:t xml:space="preserve">. sage. </w:t>
      </w:r>
    </w:p>
    <w:p w14:paraId="6546B9C5" w14:textId="77777777" w:rsidR="00D05187" w:rsidRPr="00D05187" w:rsidRDefault="00D05187" w:rsidP="00D05187">
      <w:pPr>
        <w:spacing w:before="0" w:after="0"/>
        <w:ind w:left="720" w:hanging="720"/>
        <w:rPr>
          <w:rFonts w:eastAsia="Aptos" w:cs="Arial"/>
          <w:noProof/>
          <w:sz w:val="22"/>
          <w:lang w:val="en-US"/>
        </w:rPr>
      </w:pPr>
      <w:r w:rsidRPr="00D05187">
        <w:rPr>
          <w:rFonts w:eastAsia="Aptos" w:cs="Arial"/>
          <w:noProof/>
          <w:sz w:val="22"/>
          <w:lang w:val="en-US"/>
        </w:rPr>
        <w:tab/>
      </w:r>
    </w:p>
    <w:p w14:paraId="65519F45" w14:textId="16241479" w:rsidR="00D05187" w:rsidRPr="00D05187" w:rsidRDefault="00D05187" w:rsidP="00D05187">
      <w:pPr>
        <w:spacing w:before="0" w:after="160"/>
        <w:ind w:left="720" w:hanging="720"/>
        <w:rPr>
          <w:rFonts w:eastAsia="Aptos" w:cs="Arial"/>
          <w:noProof/>
          <w:sz w:val="22"/>
          <w:lang w:val="en-US"/>
        </w:rPr>
      </w:pPr>
      <w:r w:rsidRPr="00D05187">
        <w:rPr>
          <w:rFonts w:eastAsia="Aptos" w:cs="Arial"/>
          <w:noProof/>
          <w:sz w:val="22"/>
          <w:lang w:val="en-US"/>
        </w:rPr>
        <w:t xml:space="preserve">Link, B. G., &amp; Phelan, J. (1995). Social conditions as fundamental causes of disease. </w:t>
      </w:r>
      <w:r w:rsidRPr="00D05187">
        <w:rPr>
          <w:rFonts w:eastAsia="Aptos" w:cs="Arial"/>
          <w:i/>
          <w:noProof/>
          <w:sz w:val="22"/>
          <w:lang w:val="en-US"/>
        </w:rPr>
        <w:t>Journal of health and social behavior</w:t>
      </w:r>
      <w:r w:rsidRPr="00D05187">
        <w:rPr>
          <w:rFonts w:eastAsia="Aptos" w:cs="Arial"/>
          <w:noProof/>
          <w:sz w:val="22"/>
          <w:lang w:val="en-US"/>
        </w:rPr>
        <w:t xml:space="preserve">, 80-94. </w:t>
      </w:r>
      <w:hyperlink r:id="rId393" w:history="1">
        <w:r w:rsidR="00CB2B49" w:rsidRPr="00D05187">
          <w:rPr>
            <w:rStyle w:val="Hyperlink"/>
            <w:rFonts w:eastAsia="Aptos" w:cs="Arial"/>
            <w:noProof/>
            <w:sz w:val="22"/>
            <w:lang w:val="en-US"/>
          </w:rPr>
          <w:t>https://doi.org/10.2307/2626958</w:t>
        </w:r>
      </w:hyperlink>
      <w:r w:rsidR="00CB2B49">
        <w:rPr>
          <w:rFonts w:eastAsia="Aptos" w:cs="Arial"/>
          <w:noProof/>
          <w:sz w:val="22"/>
          <w:lang w:val="en-US"/>
        </w:rPr>
        <w:t xml:space="preserve"> </w:t>
      </w:r>
      <w:r w:rsidRPr="00D05187">
        <w:rPr>
          <w:rFonts w:eastAsia="Aptos" w:cs="Arial"/>
          <w:noProof/>
          <w:sz w:val="22"/>
          <w:lang w:val="en-US"/>
        </w:rPr>
        <w:t xml:space="preserve"> </w:t>
      </w:r>
    </w:p>
    <w:p w14:paraId="0757F8B4" w14:textId="77777777" w:rsidR="00D05187" w:rsidRPr="00D05187" w:rsidRDefault="00D05187" w:rsidP="00D05187">
      <w:pPr>
        <w:spacing w:before="0" w:after="0"/>
        <w:ind w:left="720" w:hanging="720"/>
        <w:rPr>
          <w:rFonts w:eastAsia="Aptos" w:cs="Arial"/>
          <w:noProof/>
          <w:sz w:val="22"/>
          <w:lang w:val="en-US"/>
        </w:rPr>
      </w:pPr>
      <w:r w:rsidRPr="00D05187">
        <w:rPr>
          <w:rFonts w:eastAsia="Aptos" w:cs="Arial"/>
          <w:noProof/>
          <w:sz w:val="22"/>
          <w:lang w:val="en-US"/>
        </w:rPr>
        <w:tab/>
      </w:r>
    </w:p>
    <w:p w14:paraId="54ECD4AD" w14:textId="5E170B67" w:rsidR="00D05187" w:rsidRPr="00D05187" w:rsidRDefault="00D05187" w:rsidP="00D05187">
      <w:pPr>
        <w:spacing w:before="0" w:after="160"/>
        <w:ind w:left="720" w:hanging="720"/>
        <w:rPr>
          <w:rFonts w:eastAsia="Aptos" w:cs="Arial"/>
          <w:noProof/>
          <w:sz w:val="22"/>
          <w:lang w:val="en-US"/>
        </w:rPr>
      </w:pPr>
      <w:r w:rsidRPr="00D05187">
        <w:rPr>
          <w:rFonts w:eastAsia="Aptos" w:cs="Arial"/>
          <w:noProof/>
          <w:sz w:val="22"/>
          <w:lang w:val="en-US"/>
        </w:rPr>
        <w:t xml:space="preserve">Lloyd, J., Bjornstad, G., Borek, A., Cuffe-Fuller, B., Fredlund, M., McDonald, A., Tarrant, M., Berry, V., Wilkinson, K., &amp; Mitchell, S. (2021). Healthy Parent Carers programme: mixed methods process evaluation and refinement of a health promotion intervention. </w:t>
      </w:r>
      <w:r w:rsidRPr="00D05187">
        <w:rPr>
          <w:rFonts w:eastAsia="Aptos" w:cs="Arial"/>
          <w:i/>
          <w:noProof/>
          <w:sz w:val="22"/>
          <w:lang w:val="en-US"/>
        </w:rPr>
        <w:t>BMJ open</w:t>
      </w:r>
      <w:r w:rsidRPr="00D05187">
        <w:rPr>
          <w:rFonts w:eastAsia="Aptos" w:cs="Arial"/>
          <w:noProof/>
          <w:sz w:val="22"/>
          <w:lang w:val="en-US"/>
        </w:rPr>
        <w:t>,</w:t>
      </w:r>
      <w:r w:rsidRPr="00D05187">
        <w:rPr>
          <w:rFonts w:eastAsia="Aptos" w:cs="Arial"/>
          <w:i/>
          <w:noProof/>
          <w:sz w:val="22"/>
          <w:lang w:val="en-US"/>
        </w:rPr>
        <w:t xml:space="preserve"> 11</w:t>
      </w:r>
      <w:r w:rsidRPr="00D05187">
        <w:rPr>
          <w:rFonts w:eastAsia="Aptos" w:cs="Arial"/>
          <w:noProof/>
          <w:sz w:val="22"/>
          <w:lang w:val="en-US"/>
        </w:rPr>
        <w:t xml:space="preserve">(8), e045570. </w:t>
      </w:r>
      <w:hyperlink r:id="rId394" w:history="1">
        <w:r w:rsidR="00CB2B49" w:rsidRPr="00D05187">
          <w:rPr>
            <w:rStyle w:val="Hyperlink"/>
            <w:rFonts w:eastAsia="Aptos" w:cs="Arial"/>
            <w:noProof/>
            <w:sz w:val="22"/>
            <w:lang w:val="en-US"/>
          </w:rPr>
          <w:t>https://doi.org/10.1136/bmjopen-2020-045570</w:t>
        </w:r>
      </w:hyperlink>
      <w:r w:rsidR="00CB2B49">
        <w:rPr>
          <w:rFonts w:eastAsia="Aptos" w:cs="Arial"/>
          <w:noProof/>
          <w:sz w:val="22"/>
          <w:lang w:val="en-US"/>
        </w:rPr>
        <w:t xml:space="preserve"> </w:t>
      </w:r>
      <w:r w:rsidRPr="00D05187">
        <w:rPr>
          <w:rFonts w:eastAsia="Aptos" w:cs="Arial"/>
          <w:noProof/>
          <w:sz w:val="22"/>
          <w:lang w:val="en-US"/>
        </w:rPr>
        <w:t xml:space="preserve"> </w:t>
      </w:r>
    </w:p>
    <w:p w14:paraId="1CA7CF09" w14:textId="77777777" w:rsidR="00D05187" w:rsidRPr="00D05187" w:rsidRDefault="00D05187" w:rsidP="00D05187">
      <w:pPr>
        <w:spacing w:before="0" w:after="0"/>
        <w:ind w:left="720" w:hanging="720"/>
        <w:rPr>
          <w:rFonts w:eastAsia="Aptos" w:cs="Arial"/>
          <w:noProof/>
          <w:sz w:val="22"/>
          <w:lang w:val="en-US"/>
        </w:rPr>
      </w:pPr>
      <w:r w:rsidRPr="00D05187">
        <w:rPr>
          <w:rFonts w:eastAsia="Aptos" w:cs="Arial"/>
          <w:noProof/>
          <w:sz w:val="22"/>
          <w:lang w:val="en-US"/>
        </w:rPr>
        <w:tab/>
      </w:r>
    </w:p>
    <w:p w14:paraId="6CBE4C1B" w14:textId="4CAF2183" w:rsidR="00D05187" w:rsidRDefault="00D05187" w:rsidP="00D05187">
      <w:pPr>
        <w:spacing w:before="0" w:after="160"/>
        <w:ind w:left="720" w:hanging="720"/>
        <w:rPr>
          <w:rFonts w:eastAsia="Aptos" w:cs="Arial"/>
          <w:noProof/>
          <w:sz w:val="22"/>
          <w:lang w:val="en-US"/>
        </w:rPr>
      </w:pPr>
      <w:r w:rsidRPr="00D05187">
        <w:rPr>
          <w:rFonts w:eastAsia="Aptos" w:cs="Arial"/>
          <w:noProof/>
          <w:sz w:val="22"/>
          <w:lang w:val="en-US"/>
        </w:rPr>
        <w:t xml:space="preserve">Long, T. (2024). Inclusion, participation, belonging= surviving, thriving, flourishing. </w:t>
      </w:r>
      <w:r w:rsidRPr="00D05187">
        <w:rPr>
          <w:rFonts w:eastAsia="Aptos" w:cs="Arial"/>
          <w:i/>
          <w:noProof/>
          <w:sz w:val="22"/>
          <w:lang w:val="en-US"/>
        </w:rPr>
        <w:t>Pediatric Physical Therapy</w:t>
      </w:r>
      <w:r w:rsidRPr="00D05187">
        <w:rPr>
          <w:rFonts w:eastAsia="Aptos" w:cs="Arial"/>
          <w:noProof/>
          <w:sz w:val="22"/>
          <w:lang w:val="en-US"/>
        </w:rPr>
        <w:t>,</w:t>
      </w:r>
      <w:r w:rsidRPr="00D05187">
        <w:rPr>
          <w:rFonts w:eastAsia="Aptos" w:cs="Arial"/>
          <w:i/>
          <w:noProof/>
          <w:sz w:val="22"/>
          <w:lang w:val="en-US"/>
        </w:rPr>
        <w:t xml:space="preserve"> 36</w:t>
      </w:r>
      <w:r w:rsidRPr="00D05187">
        <w:rPr>
          <w:rFonts w:eastAsia="Aptos" w:cs="Arial"/>
          <w:noProof/>
          <w:sz w:val="22"/>
          <w:lang w:val="en-US"/>
        </w:rPr>
        <w:t xml:space="preserve">(3), 298-306. </w:t>
      </w:r>
      <w:hyperlink r:id="rId395" w:history="1">
        <w:r w:rsidR="00510DE3" w:rsidRPr="00326476">
          <w:rPr>
            <w:rStyle w:val="Hyperlink"/>
            <w:rFonts w:eastAsia="Aptos" w:cs="Arial"/>
            <w:noProof/>
            <w:sz w:val="22"/>
            <w:lang w:val="en-US"/>
          </w:rPr>
          <w:t>https://doi.org/10.1097/PEP.0000000000001111</w:t>
        </w:r>
      </w:hyperlink>
      <w:r w:rsidRPr="00D05187">
        <w:rPr>
          <w:rFonts w:eastAsia="Aptos" w:cs="Arial"/>
          <w:noProof/>
          <w:sz w:val="22"/>
          <w:lang w:val="en-US"/>
        </w:rPr>
        <w:t xml:space="preserve"> </w:t>
      </w:r>
    </w:p>
    <w:p w14:paraId="5F42AA63" w14:textId="77777777" w:rsidR="00510DE3" w:rsidRPr="00D05187" w:rsidRDefault="00510DE3" w:rsidP="00D05187">
      <w:pPr>
        <w:spacing w:before="0" w:after="160"/>
        <w:ind w:left="720" w:hanging="720"/>
        <w:rPr>
          <w:rFonts w:eastAsia="Aptos" w:cs="Arial"/>
          <w:noProof/>
          <w:sz w:val="22"/>
          <w:lang w:val="en-US"/>
        </w:rPr>
      </w:pPr>
    </w:p>
    <w:p w14:paraId="6935DD3B" w14:textId="6BA4E279" w:rsidR="006A3E58" w:rsidRPr="006A3E58" w:rsidRDefault="006A3E58" w:rsidP="006A3E58">
      <w:pPr>
        <w:spacing w:before="0" w:after="160"/>
        <w:ind w:left="720" w:hanging="720"/>
        <w:rPr>
          <w:rFonts w:eastAsia="Aptos" w:cs="Arial"/>
          <w:noProof/>
          <w:sz w:val="22"/>
          <w:lang w:val="en-US"/>
        </w:rPr>
      </w:pPr>
      <w:r w:rsidRPr="006A3E58">
        <w:rPr>
          <w:rFonts w:eastAsia="Aptos" w:cs="Arial"/>
          <w:noProof/>
          <w:sz w:val="22"/>
          <w:lang w:val="en-US"/>
        </w:rPr>
        <w:t>Lord, C., Rapley, T., Marcroft, C., Pearse, J., &amp; Basu, A. (2018). Determinants of parent</w:t>
      </w:r>
      <w:r w:rsidRPr="006A3E58">
        <w:rPr>
          <w:rFonts w:ascii="Cambria Math" w:eastAsia="Aptos" w:hAnsi="Cambria Math" w:cs="Cambria Math"/>
          <w:noProof/>
          <w:sz w:val="22"/>
          <w:lang w:val="en-US"/>
        </w:rPr>
        <w:t>‐</w:t>
      </w:r>
      <w:r w:rsidRPr="006A3E58">
        <w:rPr>
          <w:rFonts w:eastAsia="Aptos" w:cs="Arial"/>
          <w:noProof/>
          <w:sz w:val="22"/>
          <w:lang w:val="en-US"/>
        </w:rPr>
        <w:t xml:space="preserve">delivered therapy interventions in children with cerebral palsy: A qualitative synthesis and checklist. </w:t>
      </w:r>
      <w:r w:rsidRPr="006A3E58">
        <w:rPr>
          <w:rFonts w:eastAsia="Aptos" w:cs="Arial"/>
          <w:i/>
          <w:noProof/>
          <w:sz w:val="22"/>
          <w:lang w:val="en-US"/>
        </w:rPr>
        <w:t>Child: care, health and development</w:t>
      </w:r>
      <w:r w:rsidRPr="006A3E58">
        <w:rPr>
          <w:rFonts w:eastAsia="Aptos" w:cs="Arial"/>
          <w:noProof/>
          <w:sz w:val="22"/>
          <w:lang w:val="en-US"/>
        </w:rPr>
        <w:t>,</w:t>
      </w:r>
      <w:r w:rsidRPr="006A3E58">
        <w:rPr>
          <w:rFonts w:eastAsia="Aptos" w:cs="Arial"/>
          <w:i/>
          <w:noProof/>
          <w:sz w:val="22"/>
          <w:lang w:val="en-US"/>
        </w:rPr>
        <w:t xml:space="preserve"> 44</w:t>
      </w:r>
      <w:r w:rsidRPr="006A3E58">
        <w:rPr>
          <w:rFonts w:eastAsia="Aptos" w:cs="Arial"/>
          <w:noProof/>
          <w:sz w:val="22"/>
          <w:lang w:val="en-US"/>
        </w:rPr>
        <w:t xml:space="preserve">(5), 659-669. </w:t>
      </w:r>
      <w:hyperlink r:id="rId396" w:history="1">
        <w:r w:rsidR="00CB2B49" w:rsidRPr="006A3E58">
          <w:rPr>
            <w:rStyle w:val="Hyperlink"/>
            <w:rFonts w:eastAsia="Aptos" w:cs="Arial"/>
            <w:noProof/>
            <w:sz w:val="22"/>
            <w:lang w:val="en-US"/>
          </w:rPr>
          <w:t>https://doi.org/10.1111/cch.12592</w:t>
        </w:r>
      </w:hyperlink>
      <w:r w:rsidR="00CB2B49">
        <w:rPr>
          <w:rFonts w:eastAsia="Aptos" w:cs="Arial"/>
          <w:noProof/>
          <w:sz w:val="22"/>
          <w:lang w:val="en-US"/>
        </w:rPr>
        <w:t xml:space="preserve"> </w:t>
      </w:r>
      <w:r w:rsidRPr="006A3E58">
        <w:rPr>
          <w:rFonts w:eastAsia="Aptos" w:cs="Arial"/>
          <w:noProof/>
          <w:sz w:val="22"/>
          <w:lang w:val="en-US"/>
        </w:rPr>
        <w:t xml:space="preserve"> </w:t>
      </w:r>
    </w:p>
    <w:p w14:paraId="52751971" w14:textId="77777777" w:rsidR="006A3E58" w:rsidRPr="006A3E58" w:rsidRDefault="006A3E58" w:rsidP="006A3E58">
      <w:pPr>
        <w:spacing w:before="0" w:after="0"/>
        <w:ind w:left="720" w:hanging="720"/>
        <w:rPr>
          <w:rFonts w:eastAsia="Aptos" w:cs="Arial"/>
          <w:noProof/>
          <w:sz w:val="22"/>
          <w:lang w:val="en-US"/>
        </w:rPr>
      </w:pPr>
      <w:r w:rsidRPr="006A3E58">
        <w:rPr>
          <w:rFonts w:eastAsia="Aptos" w:cs="Arial"/>
          <w:noProof/>
          <w:sz w:val="22"/>
          <w:lang w:val="en-US"/>
        </w:rPr>
        <w:tab/>
      </w:r>
    </w:p>
    <w:p w14:paraId="715DEB4D" w14:textId="3344C763" w:rsidR="006A3E58" w:rsidRPr="006A3E58" w:rsidRDefault="006A3E58" w:rsidP="006A3E58">
      <w:pPr>
        <w:spacing w:before="0" w:after="160"/>
        <w:ind w:left="720" w:hanging="720"/>
        <w:rPr>
          <w:rFonts w:eastAsia="Aptos" w:cs="Arial"/>
          <w:noProof/>
          <w:sz w:val="22"/>
          <w:lang w:val="en-US"/>
        </w:rPr>
      </w:pPr>
      <w:r w:rsidRPr="006A3E58">
        <w:rPr>
          <w:rFonts w:eastAsia="Aptos" w:cs="Arial"/>
          <w:noProof/>
          <w:sz w:val="22"/>
          <w:lang w:val="en-US"/>
        </w:rPr>
        <w:t xml:space="preserve">Lovell, N., &amp; Bibby, J. (2018). </w:t>
      </w:r>
      <w:r w:rsidRPr="006A3E58">
        <w:rPr>
          <w:rFonts w:eastAsia="Aptos" w:cs="Arial"/>
          <w:i/>
          <w:noProof/>
          <w:sz w:val="22"/>
          <w:lang w:val="en-US"/>
        </w:rPr>
        <w:t>What makes us healthy?: An introduction to the social determinants of health</w:t>
      </w:r>
      <w:r w:rsidRPr="006A3E58">
        <w:rPr>
          <w:rFonts w:eastAsia="Aptos" w:cs="Arial"/>
          <w:noProof/>
          <w:sz w:val="22"/>
          <w:lang w:val="en-US"/>
        </w:rPr>
        <w:t xml:space="preserve">. London, UK: The Health Foundation. </w:t>
      </w:r>
      <w:hyperlink r:id="rId397" w:history="1">
        <w:r w:rsidR="00CB2B49" w:rsidRPr="006A3E58">
          <w:rPr>
            <w:rStyle w:val="Hyperlink"/>
            <w:rFonts w:eastAsia="Aptos" w:cs="Arial"/>
            <w:noProof/>
            <w:sz w:val="22"/>
            <w:lang w:val="en-US"/>
          </w:rPr>
          <w:t>https://www.health.org.uk/sites/health/files/What-makes-us-healthy-quick-guide.pdf</w:t>
        </w:r>
      </w:hyperlink>
      <w:r w:rsidR="00CB2B49">
        <w:rPr>
          <w:rFonts w:eastAsia="Aptos" w:cs="Arial"/>
          <w:noProof/>
          <w:sz w:val="22"/>
          <w:lang w:val="en-US"/>
        </w:rPr>
        <w:t xml:space="preserve"> </w:t>
      </w:r>
    </w:p>
    <w:p w14:paraId="3B18CE5A" w14:textId="77777777" w:rsidR="006A3E58" w:rsidRPr="006A3E58" w:rsidRDefault="006A3E58" w:rsidP="006A3E58">
      <w:pPr>
        <w:spacing w:before="0" w:after="0"/>
        <w:ind w:left="720" w:hanging="720"/>
        <w:rPr>
          <w:rFonts w:eastAsia="Aptos" w:cs="Arial"/>
          <w:noProof/>
          <w:sz w:val="22"/>
          <w:lang w:val="en-US"/>
        </w:rPr>
      </w:pPr>
      <w:r w:rsidRPr="006A3E58">
        <w:rPr>
          <w:rFonts w:eastAsia="Aptos" w:cs="Arial"/>
          <w:noProof/>
          <w:sz w:val="22"/>
          <w:lang w:val="en-US"/>
        </w:rPr>
        <w:tab/>
      </w:r>
    </w:p>
    <w:p w14:paraId="41B12365" w14:textId="3BB5E752" w:rsidR="006A3E58" w:rsidRPr="006A3E58" w:rsidRDefault="006A3E58" w:rsidP="006A3E58">
      <w:pPr>
        <w:spacing w:before="0" w:after="160"/>
        <w:ind w:left="720" w:hanging="720"/>
        <w:rPr>
          <w:rFonts w:eastAsia="Aptos" w:cs="Arial"/>
          <w:noProof/>
          <w:sz w:val="22"/>
          <w:lang w:val="en-US"/>
        </w:rPr>
      </w:pPr>
      <w:r w:rsidRPr="006A3E58">
        <w:rPr>
          <w:rFonts w:eastAsia="Aptos" w:cs="Arial"/>
          <w:noProof/>
          <w:sz w:val="22"/>
          <w:lang w:val="en-US"/>
        </w:rPr>
        <w:t xml:space="preserve">Luby, J. L. (2015). Poverty’s most insidious damage: The developing brain. </w:t>
      </w:r>
      <w:r w:rsidRPr="006A3E58">
        <w:rPr>
          <w:rFonts w:eastAsia="Aptos" w:cs="Arial"/>
          <w:i/>
          <w:noProof/>
          <w:sz w:val="22"/>
          <w:lang w:val="en-US"/>
        </w:rPr>
        <w:t>JAMA pediatrics</w:t>
      </w:r>
      <w:r w:rsidRPr="006A3E58">
        <w:rPr>
          <w:rFonts w:eastAsia="Aptos" w:cs="Arial"/>
          <w:noProof/>
          <w:sz w:val="22"/>
          <w:lang w:val="en-US"/>
        </w:rPr>
        <w:t>,</w:t>
      </w:r>
      <w:r w:rsidRPr="006A3E58">
        <w:rPr>
          <w:rFonts w:eastAsia="Aptos" w:cs="Arial"/>
          <w:i/>
          <w:noProof/>
          <w:sz w:val="22"/>
          <w:lang w:val="en-US"/>
        </w:rPr>
        <w:t xml:space="preserve"> 169</w:t>
      </w:r>
      <w:r w:rsidRPr="006A3E58">
        <w:rPr>
          <w:rFonts w:eastAsia="Aptos" w:cs="Arial"/>
          <w:noProof/>
          <w:sz w:val="22"/>
          <w:lang w:val="en-US"/>
        </w:rPr>
        <w:t xml:space="preserve">(9), 810-811. </w:t>
      </w:r>
      <w:hyperlink r:id="rId398" w:history="1">
        <w:r w:rsidR="00CB2B49" w:rsidRPr="006A3E58">
          <w:rPr>
            <w:rStyle w:val="Hyperlink"/>
            <w:rFonts w:eastAsia="Aptos" w:cs="Arial"/>
            <w:noProof/>
            <w:sz w:val="22"/>
            <w:lang w:val="en-US"/>
          </w:rPr>
          <w:t>https://doi.org/10.1001/jamapediatrics.2015.1682</w:t>
        </w:r>
      </w:hyperlink>
      <w:r w:rsidR="00CB2B49">
        <w:rPr>
          <w:rFonts w:eastAsia="Aptos" w:cs="Arial"/>
          <w:noProof/>
          <w:sz w:val="22"/>
          <w:lang w:val="en-US"/>
        </w:rPr>
        <w:t xml:space="preserve"> </w:t>
      </w:r>
      <w:r w:rsidRPr="006A3E58">
        <w:rPr>
          <w:rFonts w:eastAsia="Aptos" w:cs="Arial"/>
          <w:noProof/>
          <w:sz w:val="22"/>
          <w:lang w:val="en-US"/>
        </w:rPr>
        <w:t xml:space="preserve"> </w:t>
      </w:r>
    </w:p>
    <w:p w14:paraId="43A7A538" w14:textId="77777777" w:rsidR="006A3E58" w:rsidRPr="006A3E58" w:rsidRDefault="006A3E58" w:rsidP="006A3E58">
      <w:pPr>
        <w:spacing w:before="0" w:after="0"/>
        <w:ind w:left="720" w:hanging="720"/>
        <w:rPr>
          <w:rFonts w:eastAsia="Aptos" w:cs="Arial"/>
          <w:noProof/>
          <w:sz w:val="22"/>
          <w:lang w:val="en-US"/>
        </w:rPr>
      </w:pPr>
      <w:r w:rsidRPr="006A3E58">
        <w:rPr>
          <w:rFonts w:eastAsia="Aptos" w:cs="Arial"/>
          <w:noProof/>
          <w:sz w:val="22"/>
          <w:lang w:val="en-US"/>
        </w:rPr>
        <w:tab/>
      </w:r>
    </w:p>
    <w:p w14:paraId="117A32C8" w14:textId="20477425" w:rsidR="006A3E58" w:rsidRDefault="006A3E58" w:rsidP="006A3E58">
      <w:pPr>
        <w:spacing w:before="0" w:after="160"/>
        <w:ind w:left="720" w:hanging="720"/>
        <w:rPr>
          <w:rFonts w:eastAsia="Aptos" w:cs="Arial"/>
          <w:noProof/>
          <w:sz w:val="22"/>
          <w:lang w:val="en-US"/>
        </w:rPr>
      </w:pPr>
      <w:r w:rsidRPr="006A3E58">
        <w:rPr>
          <w:rFonts w:eastAsia="Aptos" w:cs="Arial"/>
          <w:noProof/>
          <w:sz w:val="22"/>
          <w:lang w:val="en-US"/>
        </w:rPr>
        <w:t xml:space="preserve">Luby, J. L., Herzberg, M. P., Hoyniak, C., Tillman, R., Lean, R. E., Brady, R., Triplett, R., Alexopoulos, D., Loseille, D., &amp; Smyser, T. (2024). Basic environmental supports for positive brain and cognitive development in the first year of life. </w:t>
      </w:r>
      <w:r w:rsidRPr="006A3E58">
        <w:rPr>
          <w:rFonts w:eastAsia="Aptos" w:cs="Arial"/>
          <w:i/>
          <w:noProof/>
          <w:sz w:val="22"/>
          <w:lang w:val="en-US"/>
        </w:rPr>
        <w:t>JAMA pediatrics</w:t>
      </w:r>
      <w:r w:rsidRPr="006A3E58">
        <w:rPr>
          <w:rFonts w:eastAsia="Aptos" w:cs="Arial"/>
          <w:noProof/>
          <w:sz w:val="22"/>
          <w:lang w:val="en-US"/>
        </w:rPr>
        <w:t>,</w:t>
      </w:r>
      <w:r w:rsidRPr="006A3E58">
        <w:rPr>
          <w:rFonts w:eastAsia="Aptos" w:cs="Arial"/>
          <w:i/>
          <w:noProof/>
          <w:sz w:val="22"/>
          <w:lang w:val="en-US"/>
        </w:rPr>
        <w:t xml:space="preserve"> 178</w:t>
      </w:r>
      <w:r w:rsidRPr="006A3E58">
        <w:rPr>
          <w:rFonts w:eastAsia="Aptos" w:cs="Arial"/>
          <w:noProof/>
          <w:sz w:val="22"/>
          <w:lang w:val="en-US"/>
        </w:rPr>
        <w:t xml:space="preserve">(5), 465-472. </w:t>
      </w:r>
      <w:hyperlink r:id="rId399" w:history="1">
        <w:r w:rsidR="009733C7" w:rsidRPr="006A3E58">
          <w:rPr>
            <w:rStyle w:val="Hyperlink"/>
            <w:rFonts w:eastAsia="Aptos" w:cs="Arial"/>
            <w:noProof/>
            <w:sz w:val="22"/>
            <w:lang w:val="en-US"/>
          </w:rPr>
          <w:t>https://doi.org/10.1001/jamapediatrics.2024.0143</w:t>
        </w:r>
      </w:hyperlink>
      <w:r w:rsidRPr="006A3E58">
        <w:rPr>
          <w:rFonts w:eastAsia="Aptos" w:cs="Arial"/>
          <w:noProof/>
          <w:sz w:val="22"/>
          <w:lang w:val="en-US"/>
        </w:rPr>
        <w:t xml:space="preserve"> </w:t>
      </w:r>
    </w:p>
    <w:p w14:paraId="4489DEA3" w14:textId="77777777" w:rsidR="009733C7" w:rsidRPr="006A3E58" w:rsidRDefault="009733C7" w:rsidP="006A3E58">
      <w:pPr>
        <w:spacing w:before="0" w:after="160"/>
        <w:ind w:left="720" w:hanging="720"/>
        <w:rPr>
          <w:rFonts w:eastAsia="Aptos" w:cs="Arial"/>
          <w:noProof/>
          <w:sz w:val="22"/>
          <w:lang w:val="en-US"/>
        </w:rPr>
      </w:pPr>
    </w:p>
    <w:p w14:paraId="3FCF8765" w14:textId="07BA7A36" w:rsidR="0059331D" w:rsidRPr="0059331D" w:rsidRDefault="0059331D" w:rsidP="0059331D">
      <w:pPr>
        <w:spacing w:before="0" w:after="160"/>
        <w:ind w:left="720" w:hanging="720"/>
        <w:rPr>
          <w:rFonts w:eastAsia="Aptos" w:cs="Arial"/>
          <w:noProof/>
          <w:sz w:val="22"/>
          <w:lang w:val="en-US"/>
        </w:rPr>
      </w:pPr>
      <w:r w:rsidRPr="0059331D">
        <w:rPr>
          <w:rFonts w:eastAsia="Aptos" w:cs="Arial"/>
          <w:noProof/>
          <w:sz w:val="22"/>
          <w:lang w:val="en-US"/>
        </w:rPr>
        <w:t>Luckasson, R., Schalock, R., Tassé, M., &amp; Shogren, K. (2023). The intellectual and developmental disability shared citizenship paradigm: its cross</w:t>
      </w:r>
      <w:r w:rsidRPr="0059331D">
        <w:rPr>
          <w:rFonts w:ascii="Cambria Math" w:eastAsia="Aptos" w:hAnsi="Cambria Math" w:cs="Cambria Math"/>
          <w:noProof/>
          <w:sz w:val="22"/>
          <w:lang w:val="en-US"/>
        </w:rPr>
        <w:t>‐</w:t>
      </w:r>
      <w:r w:rsidRPr="0059331D">
        <w:rPr>
          <w:rFonts w:eastAsia="Aptos" w:cs="Arial"/>
          <w:noProof/>
          <w:sz w:val="22"/>
          <w:lang w:val="en-US"/>
        </w:rPr>
        <w:t xml:space="preserve">cultural status, implementation and confirmation. </w:t>
      </w:r>
      <w:r w:rsidRPr="0059331D">
        <w:rPr>
          <w:rFonts w:eastAsia="Aptos" w:cs="Arial"/>
          <w:i/>
          <w:noProof/>
          <w:sz w:val="22"/>
          <w:lang w:val="en-US"/>
        </w:rPr>
        <w:t>Journal of Intellectual Disability Research</w:t>
      </w:r>
      <w:r w:rsidRPr="0059331D">
        <w:rPr>
          <w:rFonts w:eastAsia="Aptos" w:cs="Arial"/>
          <w:noProof/>
          <w:sz w:val="22"/>
          <w:lang w:val="en-US"/>
        </w:rPr>
        <w:t>,</w:t>
      </w:r>
      <w:r w:rsidRPr="0059331D">
        <w:rPr>
          <w:rFonts w:eastAsia="Aptos" w:cs="Arial"/>
          <w:i/>
          <w:noProof/>
          <w:sz w:val="22"/>
          <w:lang w:val="en-US"/>
        </w:rPr>
        <w:t xml:space="preserve"> 67</w:t>
      </w:r>
      <w:r w:rsidRPr="0059331D">
        <w:rPr>
          <w:rFonts w:eastAsia="Aptos" w:cs="Arial"/>
          <w:noProof/>
          <w:sz w:val="22"/>
          <w:lang w:val="en-US"/>
        </w:rPr>
        <w:t xml:space="preserve">(1), 64-76. </w:t>
      </w:r>
      <w:hyperlink r:id="rId400" w:history="1">
        <w:r w:rsidR="00CB2B49" w:rsidRPr="0059331D">
          <w:rPr>
            <w:rStyle w:val="Hyperlink"/>
            <w:rFonts w:eastAsia="Aptos" w:cs="Arial"/>
            <w:noProof/>
            <w:sz w:val="22"/>
            <w:lang w:val="en-US"/>
          </w:rPr>
          <w:t>https://doi.org/10.1111/jir.12992</w:t>
        </w:r>
      </w:hyperlink>
      <w:r w:rsidR="00CB2B49">
        <w:rPr>
          <w:rFonts w:eastAsia="Aptos" w:cs="Arial"/>
          <w:noProof/>
          <w:sz w:val="22"/>
          <w:lang w:val="en-US"/>
        </w:rPr>
        <w:t xml:space="preserve"> </w:t>
      </w:r>
      <w:r w:rsidRPr="0059331D">
        <w:rPr>
          <w:rFonts w:eastAsia="Aptos" w:cs="Arial"/>
          <w:noProof/>
          <w:sz w:val="22"/>
          <w:lang w:val="en-US"/>
        </w:rPr>
        <w:t xml:space="preserve"> </w:t>
      </w:r>
    </w:p>
    <w:p w14:paraId="1789F6D3" w14:textId="77777777" w:rsidR="0059331D" w:rsidRPr="0059331D" w:rsidRDefault="0059331D" w:rsidP="0059331D">
      <w:pPr>
        <w:spacing w:before="0" w:after="0"/>
        <w:ind w:left="720" w:hanging="720"/>
        <w:rPr>
          <w:rFonts w:eastAsia="Aptos" w:cs="Arial"/>
          <w:noProof/>
          <w:sz w:val="22"/>
          <w:lang w:val="en-US"/>
        </w:rPr>
      </w:pPr>
      <w:r w:rsidRPr="0059331D">
        <w:rPr>
          <w:rFonts w:eastAsia="Aptos" w:cs="Arial"/>
          <w:noProof/>
          <w:sz w:val="22"/>
          <w:lang w:val="en-US"/>
        </w:rPr>
        <w:tab/>
      </w:r>
    </w:p>
    <w:p w14:paraId="22CEBAEB" w14:textId="7CF84053" w:rsidR="0059331D" w:rsidRPr="0059331D" w:rsidRDefault="0059331D" w:rsidP="0059331D">
      <w:pPr>
        <w:spacing w:before="0" w:after="160"/>
        <w:ind w:left="720" w:hanging="720"/>
        <w:rPr>
          <w:rFonts w:eastAsia="Aptos" w:cs="Arial"/>
          <w:noProof/>
          <w:sz w:val="22"/>
          <w:lang w:val="en-US"/>
        </w:rPr>
      </w:pPr>
      <w:r w:rsidRPr="0059331D">
        <w:rPr>
          <w:rFonts w:eastAsia="Aptos" w:cs="Arial"/>
          <w:noProof/>
          <w:sz w:val="22"/>
          <w:lang w:val="en-US"/>
        </w:rPr>
        <w:t xml:space="preserve">Lundy, L. (2007). ‘Voice’ is not enough: conceptualising Article 12 of the United Nations Convention on the Rights of the Child. </w:t>
      </w:r>
      <w:r w:rsidRPr="0059331D">
        <w:rPr>
          <w:rFonts w:eastAsia="Aptos" w:cs="Arial"/>
          <w:i/>
          <w:noProof/>
          <w:sz w:val="22"/>
          <w:lang w:val="en-US"/>
        </w:rPr>
        <w:t>British Educational Research Journal</w:t>
      </w:r>
      <w:r w:rsidRPr="0059331D">
        <w:rPr>
          <w:rFonts w:eastAsia="Aptos" w:cs="Arial"/>
          <w:noProof/>
          <w:sz w:val="22"/>
          <w:lang w:val="en-US"/>
        </w:rPr>
        <w:t>,</w:t>
      </w:r>
      <w:r w:rsidRPr="0059331D">
        <w:rPr>
          <w:rFonts w:eastAsia="Aptos" w:cs="Arial"/>
          <w:i/>
          <w:noProof/>
          <w:sz w:val="22"/>
          <w:lang w:val="en-US"/>
        </w:rPr>
        <w:t xml:space="preserve"> 33</w:t>
      </w:r>
      <w:r w:rsidRPr="0059331D">
        <w:rPr>
          <w:rFonts w:eastAsia="Aptos" w:cs="Arial"/>
          <w:noProof/>
          <w:sz w:val="22"/>
          <w:lang w:val="en-US"/>
        </w:rPr>
        <w:t xml:space="preserve">(6), 927-942. </w:t>
      </w:r>
      <w:hyperlink r:id="rId401" w:history="1">
        <w:r w:rsidR="00CB2B49" w:rsidRPr="0059331D">
          <w:rPr>
            <w:rStyle w:val="Hyperlink"/>
            <w:rFonts w:eastAsia="Aptos" w:cs="Arial"/>
            <w:noProof/>
            <w:sz w:val="22"/>
            <w:lang w:val="en-US"/>
          </w:rPr>
          <w:t>https://doi.org/10.1080/01411920701657033</w:t>
        </w:r>
      </w:hyperlink>
      <w:r w:rsidR="00CB2B49">
        <w:rPr>
          <w:rFonts w:eastAsia="Aptos" w:cs="Arial"/>
          <w:noProof/>
          <w:sz w:val="22"/>
          <w:lang w:val="en-US"/>
        </w:rPr>
        <w:t xml:space="preserve"> </w:t>
      </w:r>
      <w:r w:rsidRPr="0059331D">
        <w:rPr>
          <w:rFonts w:eastAsia="Aptos" w:cs="Arial"/>
          <w:noProof/>
          <w:sz w:val="22"/>
          <w:lang w:val="en-US"/>
        </w:rPr>
        <w:t xml:space="preserve"> </w:t>
      </w:r>
    </w:p>
    <w:p w14:paraId="6FE5A109" w14:textId="77777777" w:rsidR="0059331D" w:rsidRPr="0059331D" w:rsidRDefault="0059331D" w:rsidP="0059331D">
      <w:pPr>
        <w:spacing w:before="0" w:after="0"/>
        <w:ind w:left="720" w:hanging="720"/>
        <w:rPr>
          <w:rFonts w:eastAsia="Aptos" w:cs="Arial"/>
          <w:noProof/>
          <w:sz w:val="22"/>
          <w:lang w:val="en-US"/>
        </w:rPr>
      </w:pPr>
      <w:r w:rsidRPr="0059331D">
        <w:rPr>
          <w:rFonts w:eastAsia="Aptos" w:cs="Arial"/>
          <w:noProof/>
          <w:sz w:val="22"/>
          <w:lang w:val="en-US"/>
        </w:rPr>
        <w:tab/>
      </w:r>
    </w:p>
    <w:p w14:paraId="575FC40A" w14:textId="77777777" w:rsidR="0059331D" w:rsidRPr="0059331D" w:rsidRDefault="0059331D" w:rsidP="0059331D">
      <w:pPr>
        <w:spacing w:before="0" w:after="160"/>
        <w:ind w:left="720" w:hanging="720"/>
        <w:rPr>
          <w:rFonts w:eastAsia="Aptos" w:cs="Arial"/>
          <w:noProof/>
          <w:sz w:val="22"/>
          <w:lang w:val="en-US"/>
        </w:rPr>
      </w:pPr>
      <w:r w:rsidRPr="0059331D">
        <w:rPr>
          <w:rFonts w:eastAsia="Aptos" w:cs="Arial"/>
          <w:noProof/>
          <w:sz w:val="22"/>
          <w:lang w:val="en-US"/>
        </w:rPr>
        <w:t xml:space="preserve">Luscombe, D. (2009). Team around the child: Building the capacity of all. </w:t>
      </w:r>
      <w:r w:rsidRPr="0059331D">
        <w:rPr>
          <w:rFonts w:eastAsia="Aptos" w:cs="Arial"/>
          <w:i/>
          <w:noProof/>
          <w:sz w:val="22"/>
          <w:lang w:val="en-US"/>
        </w:rPr>
        <w:t>Intellectual Disability Australasia</w:t>
      </w:r>
      <w:r w:rsidRPr="0059331D">
        <w:rPr>
          <w:rFonts w:eastAsia="Aptos" w:cs="Arial"/>
          <w:noProof/>
          <w:sz w:val="22"/>
          <w:lang w:val="en-US"/>
        </w:rPr>
        <w:t>,</w:t>
      </w:r>
      <w:r w:rsidRPr="0059331D">
        <w:rPr>
          <w:rFonts w:eastAsia="Aptos" w:cs="Arial"/>
          <w:i/>
          <w:noProof/>
          <w:sz w:val="22"/>
          <w:lang w:val="en-US"/>
        </w:rPr>
        <w:t xml:space="preserve"> 30</w:t>
      </w:r>
      <w:r w:rsidRPr="0059331D">
        <w:rPr>
          <w:rFonts w:eastAsia="Aptos" w:cs="Arial"/>
          <w:noProof/>
          <w:sz w:val="22"/>
          <w:lang w:val="en-US"/>
        </w:rPr>
        <w:t xml:space="preserve">(3), 3-5. </w:t>
      </w:r>
    </w:p>
    <w:p w14:paraId="0FF09185" w14:textId="77777777" w:rsidR="0059331D" w:rsidRPr="0059331D" w:rsidRDefault="0059331D" w:rsidP="0059331D">
      <w:pPr>
        <w:spacing w:before="0" w:after="0"/>
        <w:ind w:left="720" w:hanging="720"/>
        <w:rPr>
          <w:rFonts w:eastAsia="Aptos" w:cs="Arial"/>
          <w:noProof/>
          <w:sz w:val="22"/>
          <w:lang w:val="en-US"/>
        </w:rPr>
      </w:pPr>
      <w:r w:rsidRPr="0059331D">
        <w:rPr>
          <w:rFonts w:eastAsia="Aptos" w:cs="Arial"/>
          <w:noProof/>
          <w:sz w:val="22"/>
          <w:lang w:val="en-US"/>
        </w:rPr>
        <w:tab/>
      </w:r>
    </w:p>
    <w:p w14:paraId="1B0B65A6" w14:textId="5D1F6E12" w:rsidR="0059331D" w:rsidRDefault="0059331D" w:rsidP="0059331D">
      <w:pPr>
        <w:spacing w:before="0" w:after="160"/>
        <w:ind w:left="720" w:hanging="720"/>
        <w:rPr>
          <w:rFonts w:eastAsia="Aptos" w:cs="Arial"/>
          <w:noProof/>
          <w:sz w:val="22"/>
          <w:lang w:val="en-US"/>
        </w:rPr>
      </w:pPr>
      <w:r w:rsidRPr="0059331D">
        <w:rPr>
          <w:rFonts w:eastAsia="Aptos" w:cs="Arial"/>
          <w:noProof/>
          <w:sz w:val="22"/>
          <w:lang w:val="en-US"/>
        </w:rPr>
        <w:t xml:space="preserve">Luskin-Saxby, S., Zimmer-Gembeck, M., Sulek, R., &amp; Paynter, J. (2024). Professional development and use of evidence-based practice in autism early intervention. </w:t>
      </w:r>
      <w:r w:rsidRPr="0059331D">
        <w:rPr>
          <w:rFonts w:eastAsia="Aptos" w:cs="Arial"/>
          <w:i/>
          <w:noProof/>
          <w:sz w:val="22"/>
          <w:lang w:val="en-US"/>
        </w:rPr>
        <w:t>Journal of Early Intervention</w:t>
      </w:r>
      <w:r w:rsidRPr="0059331D">
        <w:rPr>
          <w:rFonts w:eastAsia="Aptos" w:cs="Arial"/>
          <w:noProof/>
          <w:sz w:val="22"/>
          <w:lang w:val="en-US"/>
        </w:rPr>
        <w:t>,</w:t>
      </w:r>
      <w:r w:rsidRPr="0059331D">
        <w:rPr>
          <w:rFonts w:eastAsia="Aptos" w:cs="Arial"/>
          <w:i/>
          <w:noProof/>
          <w:sz w:val="22"/>
          <w:lang w:val="en-US"/>
        </w:rPr>
        <w:t xml:space="preserve"> 46</w:t>
      </w:r>
      <w:r w:rsidRPr="0059331D">
        <w:rPr>
          <w:rFonts w:eastAsia="Aptos" w:cs="Arial"/>
          <w:noProof/>
          <w:sz w:val="22"/>
          <w:lang w:val="en-US"/>
        </w:rPr>
        <w:t xml:space="preserve">(1), 94-112. </w:t>
      </w:r>
      <w:hyperlink r:id="rId402" w:history="1">
        <w:r w:rsidR="004F13BA" w:rsidRPr="00326476">
          <w:rPr>
            <w:rStyle w:val="Hyperlink"/>
            <w:rFonts w:eastAsia="Aptos" w:cs="Arial"/>
            <w:noProof/>
            <w:sz w:val="22"/>
            <w:lang w:val="en-US"/>
          </w:rPr>
          <w:t>https://doi.org/10.1177/10538151231159638</w:t>
        </w:r>
      </w:hyperlink>
      <w:r w:rsidRPr="0059331D">
        <w:rPr>
          <w:rFonts w:eastAsia="Aptos" w:cs="Arial"/>
          <w:noProof/>
          <w:sz w:val="22"/>
          <w:lang w:val="en-US"/>
        </w:rPr>
        <w:t xml:space="preserve"> </w:t>
      </w:r>
    </w:p>
    <w:p w14:paraId="64C1219E" w14:textId="77777777" w:rsidR="004F13BA" w:rsidRPr="0059331D" w:rsidRDefault="004F13BA" w:rsidP="0059331D">
      <w:pPr>
        <w:spacing w:before="0" w:after="160"/>
        <w:ind w:left="720" w:hanging="720"/>
        <w:rPr>
          <w:rFonts w:eastAsia="Aptos" w:cs="Arial"/>
          <w:noProof/>
          <w:sz w:val="22"/>
          <w:lang w:val="en-US"/>
        </w:rPr>
      </w:pPr>
    </w:p>
    <w:p w14:paraId="76B3C1B8" w14:textId="77777777" w:rsidR="007F6D5E" w:rsidRPr="007E27D1" w:rsidRDefault="007F6D5E" w:rsidP="007F6D5E">
      <w:pPr>
        <w:pStyle w:val="EndNoteBibliography"/>
        <w:ind w:left="720" w:hanging="720"/>
      </w:pPr>
      <w:r w:rsidRPr="004F13BA">
        <w:t xml:space="preserve">MacLeod, J., &amp; Nelson, G. (2000). Programs for the promotion of family wellness and the prevention of child maltreatment: A meta-analytic review. </w:t>
      </w:r>
      <w:r w:rsidRPr="004F13BA">
        <w:rPr>
          <w:i/>
        </w:rPr>
        <w:t>Child abuse &amp; neglect</w:t>
      </w:r>
      <w:r w:rsidRPr="004F13BA">
        <w:t>,</w:t>
      </w:r>
      <w:r w:rsidRPr="004F13BA">
        <w:rPr>
          <w:i/>
        </w:rPr>
        <w:t xml:space="preserve"> 24</w:t>
      </w:r>
      <w:r w:rsidRPr="004F13BA">
        <w:t>(9), 1127-1149.</w:t>
      </w:r>
      <w:r w:rsidRPr="007E27D1">
        <w:t xml:space="preserve"> </w:t>
      </w:r>
    </w:p>
    <w:p w14:paraId="1A1189D2" w14:textId="77777777" w:rsidR="007F6D5E" w:rsidRDefault="007F6D5E" w:rsidP="00090188">
      <w:pPr>
        <w:pStyle w:val="EndNoteBibliography"/>
        <w:spacing w:after="0"/>
      </w:pPr>
    </w:p>
    <w:p w14:paraId="1AC953BD" w14:textId="79771B95" w:rsidR="00CB1DDE" w:rsidRPr="00CB1DDE" w:rsidRDefault="00CB1DDE" w:rsidP="00CB1DDE">
      <w:pPr>
        <w:spacing w:before="0" w:after="160"/>
        <w:ind w:left="720" w:hanging="720"/>
        <w:rPr>
          <w:rFonts w:eastAsia="Aptos" w:cs="Arial"/>
          <w:noProof/>
          <w:sz w:val="22"/>
          <w:lang w:val="en-US"/>
        </w:rPr>
      </w:pPr>
      <w:r w:rsidRPr="00CB1DDE">
        <w:rPr>
          <w:rFonts w:eastAsia="Aptos" w:cs="Arial"/>
          <w:noProof/>
          <w:sz w:val="22"/>
          <w:lang w:val="en-US"/>
        </w:rPr>
        <w:t xml:space="preserve">Mahmic, S. (2016). </w:t>
      </w:r>
      <w:r w:rsidRPr="00CB1DDE">
        <w:rPr>
          <w:rFonts w:eastAsia="Aptos" w:cs="Arial"/>
          <w:i/>
          <w:noProof/>
          <w:sz w:val="22"/>
          <w:lang w:val="en-US"/>
        </w:rPr>
        <w:t>Family-centred practice: Are we there yet? Pauline McGregor Memorial Address presented at 12th Biennial National Conference of Early Childhood Intervention Australia</w:t>
      </w:r>
      <w:r w:rsidRPr="00CB1DDE">
        <w:rPr>
          <w:rFonts w:eastAsia="Aptos" w:cs="Arial"/>
          <w:noProof/>
          <w:sz w:val="22"/>
          <w:lang w:val="en-US"/>
        </w:rPr>
        <w:t xml:space="preserve">. Melbourne, VIC: Plumtree. Retrieved 6 September, 2024 from </w:t>
      </w:r>
      <w:hyperlink r:id="rId403" w:history="1">
        <w:r w:rsidR="00CB2B49" w:rsidRPr="00CB1DDE">
          <w:rPr>
            <w:rStyle w:val="Hyperlink"/>
            <w:rFonts w:eastAsia="Aptos" w:cs="Arial"/>
            <w:noProof/>
            <w:sz w:val="22"/>
            <w:lang w:val="en-US"/>
          </w:rPr>
          <w:t>https://plumtree.org.au/family-centred-practice-are-we-thereyet/</w:t>
        </w:r>
      </w:hyperlink>
      <w:r w:rsidR="00CB2B49">
        <w:rPr>
          <w:rFonts w:eastAsia="Aptos" w:cs="Arial"/>
          <w:noProof/>
          <w:sz w:val="22"/>
          <w:lang w:val="en-US"/>
        </w:rPr>
        <w:t xml:space="preserve"> </w:t>
      </w:r>
      <w:r w:rsidRPr="00CB1DDE">
        <w:rPr>
          <w:rFonts w:eastAsia="Aptos" w:cs="Arial"/>
          <w:noProof/>
          <w:sz w:val="22"/>
          <w:lang w:val="en-US"/>
        </w:rPr>
        <w:t xml:space="preserve"> </w:t>
      </w:r>
    </w:p>
    <w:p w14:paraId="389E4CD5" w14:textId="77777777" w:rsidR="00CB1DDE" w:rsidRPr="00CB1DDE" w:rsidRDefault="00CB1DDE" w:rsidP="00CB1DDE">
      <w:pPr>
        <w:spacing w:before="0" w:after="0"/>
        <w:ind w:left="720" w:hanging="720"/>
        <w:rPr>
          <w:rFonts w:eastAsia="Aptos" w:cs="Arial"/>
          <w:noProof/>
          <w:sz w:val="22"/>
          <w:lang w:val="en-US"/>
        </w:rPr>
      </w:pPr>
      <w:r w:rsidRPr="00CB1DDE">
        <w:rPr>
          <w:rFonts w:eastAsia="Aptos" w:cs="Arial"/>
          <w:noProof/>
          <w:sz w:val="22"/>
          <w:lang w:val="en-US"/>
        </w:rPr>
        <w:tab/>
      </w:r>
    </w:p>
    <w:p w14:paraId="2BF652AF" w14:textId="435F1620" w:rsidR="00CB1DDE" w:rsidRPr="00CB1DDE" w:rsidRDefault="00CB1DDE" w:rsidP="00CB1DDE">
      <w:pPr>
        <w:spacing w:before="0" w:after="160"/>
        <w:ind w:left="720" w:hanging="720"/>
        <w:rPr>
          <w:rFonts w:eastAsia="Aptos" w:cs="Arial"/>
          <w:noProof/>
          <w:sz w:val="22"/>
          <w:lang w:val="en-US"/>
        </w:rPr>
      </w:pPr>
      <w:r w:rsidRPr="00CB1DDE">
        <w:rPr>
          <w:rFonts w:eastAsia="Aptos" w:cs="Arial"/>
          <w:noProof/>
          <w:sz w:val="22"/>
          <w:lang w:val="en-US"/>
        </w:rPr>
        <w:t xml:space="preserve">Mahmic, S., &amp; Janson, A. (2018). </w:t>
      </w:r>
      <w:r w:rsidRPr="00CB1DDE">
        <w:rPr>
          <w:rFonts w:eastAsia="Aptos" w:cs="Arial"/>
          <w:i/>
          <w:noProof/>
          <w:sz w:val="22"/>
          <w:lang w:val="en-US"/>
        </w:rPr>
        <w:t>Now and next: An innovative leadership pipeline for families raising young children with disability or delay</w:t>
      </w:r>
      <w:r w:rsidRPr="00CB1DDE">
        <w:rPr>
          <w:rFonts w:eastAsia="Aptos" w:cs="Arial"/>
          <w:noProof/>
          <w:sz w:val="22"/>
          <w:lang w:val="en-US"/>
        </w:rPr>
        <w:t xml:space="preserve">. Centre for Welfare Reform. Retrieved 6 September, 2024 from </w:t>
      </w:r>
      <w:hyperlink r:id="rId404" w:history="1">
        <w:r w:rsidR="00CB2B49" w:rsidRPr="00CB1DDE">
          <w:rPr>
            <w:rStyle w:val="Hyperlink"/>
            <w:rFonts w:eastAsia="Aptos" w:cs="Arial"/>
            <w:noProof/>
            <w:sz w:val="22"/>
            <w:lang w:val="en-US"/>
          </w:rPr>
          <w:t>https://citizen-network.org/uploads/attachment/615/now-and-next.pdf</w:t>
        </w:r>
      </w:hyperlink>
      <w:r w:rsidR="00CB2B49">
        <w:rPr>
          <w:rFonts w:eastAsia="Aptos" w:cs="Arial"/>
          <w:noProof/>
          <w:sz w:val="22"/>
          <w:lang w:val="en-US"/>
        </w:rPr>
        <w:t xml:space="preserve"> </w:t>
      </w:r>
    </w:p>
    <w:p w14:paraId="23CECC1B" w14:textId="77777777" w:rsidR="00CB1DDE" w:rsidRPr="00CB1DDE" w:rsidRDefault="00CB1DDE" w:rsidP="00CB1DDE">
      <w:pPr>
        <w:spacing w:before="0" w:after="0"/>
        <w:ind w:left="720" w:hanging="720"/>
        <w:rPr>
          <w:rFonts w:eastAsia="Aptos" w:cs="Arial"/>
          <w:noProof/>
          <w:sz w:val="22"/>
          <w:lang w:val="en-US"/>
        </w:rPr>
      </w:pPr>
      <w:r w:rsidRPr="00CB1DDE">
        <w:rPr>
          <w:rFonts w:eastAsia="Aptos" w:cs="Arial"/>
          <w:noProof/>
          <w:sz w:val="22"/>
          <w:lang w:val="en-US"/>
        </w:rPr>
        <w:tab/>
      </w:r>
    </w:p>
    <w:p w14:paraId="4F78FB0E" w14:textId="2F3F8624" w:rsidR="00CB1DDE" w:rsidRDefault="00CB1DDE" w:rsidP="00CB1DDE">
      <w:pPr>
        <w:spacing w:before="0" w:after="160"/>
        <w:ind w:left="720" w:hanging="720"/>
        <w:rPr>
          <w:rFonts w:eastAsia="Aptos" w:cs="Arial"/>
          <w:noProof/>
          <w:sz w:val="22"/>
          <w:lang w:val="en-US"/>
        </w:rPr>
      </w:pPr>
      <w:r w:rsidRPr="00CB1DDE">
        <w:rPr>
          <w:rFonts w:eastAsia="Aptos" w:cs="Arial"/>
          <w:noProof/>
          <w:sz w:val="22"/>
          <w:lang w:val="en-US"/>
        </w:rPr>
        <w:t xml:space="preserve">Mahmic, S., Kern, M. L., &amp; Janson, A. (2021). Identifying and shifting disempowering paradigms for families of children with disability through a system informed positive psychology approach. </w:t>
      </w:r>
      <w:r w:rsidRPr="00CB1DDE">
        <w:rPr>
          <w:rFonts w:eastAsia="Aptos" w:cs="Arial"/>
          <w:i/>
          <w:noProof/>
          <w:sz w:val="22"/>
          <w:lang w:val="en-US"/>
        </w:rPr>
        <w:t>Frontiers in psychology</w:t>
      </w:r>
      <w:r w:rsidRPr="00CB1DDE">
        <w:rPr>
          <w:rFonts w:eastAsia="Aptos" w:cs="Arial"/>
          <w:noProof/>
          <w:sz w:val="22"/>
          <w:lang w:val="en-US"/>
        </w:rPr>
        <w:t>,</w:t>
      </w:r>
      <w:r w:rsidRPr="00CB1DDE">
        <w:rPr>
          <w:rFonts w:eastAsia="Aptos" w:cs="Arial"/>
          <w:i/>
          <w:noProof/>
          <w:sz w:val="22"/>
          <w:lang w:val="en-US"/>
        </w:rPr>
        <w:t xml:space="preserve"> 12</w:t>
      </w:r>
      <w:r w:rsidRPr="00CB1DDE">
        <w:rPr>
          <w:rFonts w:eastAsia="Aptos" w:cs="Arial"/>
          <w:noProof/>
          <w:sz w:val="22"/>
          <w:lang w:val="en-US"/>
        </w:rPr>
        <w:t xml:space="preserve">, 663640. </w:t>
      </w:r>
      <w:hyperlink r:id="rId405" w:history="1">
        <w:r w:rsidR="009733C7" w:rsidRPr="00CB1DDE">
          <w:rPr>
            <w:rStyle w:val="Hyperlink"/>
            <w:rFonts w:eastAsia="Aptos" w:cs="Arial"/>
            <w:noProof/>
            <w:sz w:val="22"/>
            <w:lang w:val="en-US"/>
          </w:rPr>
          <w:t>https://doi.org/10.3389/fpsyg.2021.663640</w:t>
        </w:r>
      </w:hyperlink>
      <w:r w:rsidRPr="00CB1DDE">
        <w:rPr>
          <w:rFonts w:eastAsia="Aptos" w:cs="Arial"/>
          <w:noProof/>
          <w:sz w:val="22"/>
          <w:lang w:val="en-US"/>
        </w:rPr>
        <w:t xml:space="preserve"> </w:t>
      </w:r>
    </w:p>
    <w:p w14:paraId="3DBFC401" w14:textId="77777777" w:rsidR="009733C7" w:rsidRPr="00CB1DDE" w:rsidRDefault="009733C7" w:rsidP="00CB1DDE">
      <w:pPr>
        <w:spacing w:before="0" w:after="160"/>
        <w:ind w:left="720" w:hanging="720"/>
        <w:rPr>
          <w:rFonts w:eastAsia="Aptos" w:cs="Arial"/>
          <w:noProof/>
          <w:sz w:val="22"/>
          <w:lang w:val="en-US"/>
        </w:rPr>
      </w:pPr>
    </w:p>
    <w:p w14:paraId="09E407AA" w14:textId="4821CADE" w:rsidR="005116EF" w:rsidRPr="005116EF" w:rsidRDefault="005116EF" w:rsidP="005116EF">
      <w:pPr>
        <w:spacing w:before="0" w:after="160"/>
        <w:ind w:left="720" w:hanging="720"/>
        <w:rPr>
          <w:rFonts w:eastAsia="Aptos" w:cs="Arial"/>
          <w:noProof/>
          <w:sz w:val="22"/>
          <w:lang w:val="en-US"/>
        </w:rPr>
      </w:pPr>
      <w:r w:rsidRPr="005116EF">
        <w:rPr>
          <w:rFonts w:eastAsia="Aptos" w:cs="Arial"/>
          <w:noProof/>
          <w:sz w:val="22"/>
          <w:lang w:val="en-US"/>
        </w:rPr>
        <w:t xml:space="preserve">Mahoney, G. (2013). Assimilative practice and developmental intervention. </w:t>
      </w:r>
      <w:r w:rsidRPr="005116EF">
        <w:rPr>
          <w:rFonts w:eastAsia="Aptos" w:cs="Arial"/>
          <w:i/>
          <w:noProof/>
          <w:sz w:val="22"/>
          <w:lang w:val="en-US"/>
        </w:rPr>
        <w:t>International Journal of Early Childhood Special Education</w:t>
      </w:r>
      <w:r w:rsidRPr="005116EF">
        <w:rPr>
          <w:rFonts w:eastAsia="Aptos" w:cs="Arial"/>
          <w:noProof/>
          <w:sz w:val="22"/>
          <w:lang w:val="en-US"/>
        </w:rPr>
        <w:t>,</w:t>
      </w:r>
      <w:r w:rsidRPr="005116EF">
        <w:rPr>
          <w:rFonts w:eastAsia="Aptos" w:cs="Arial"/>
          <w:i/>
          <w:noProof/>
          <w:sz w:val="22"/>
          <w:lang w:val="en-US"/>
        </w:rPr>
        <w:t xml:space="preserve"> 5</w:t>
      </w:r>
      <w:r w:rsidRPr="005116EF">
        <w:rPr>
          <w:rFonts w:eastAsia="Aptos" w:cs="Arial"/>
          <w:noProof/>
          <w:sz w:val="22"/>
          <w:lang w:val="en-US"/>
        </w:rPr>
        <w:t xml:space="preserve">(1), 45-65. </w:t>
      </w:r>
      <w:hyperlink r:id="rId406" w:history="1">
        <w:r w:rsidR="00CB2B49" w:rsidRPr="005116EF">
          <w:rPr>
            <w:rStyle w:val="Hyperlink"/>
            <w:rFonts w:eastAsia="Aptos" w:cs="Arial"/>
            <w:noProof/>
            <w:sz w:val="22"/>
            <w:lang w:val="en-US"/>
          </w:rPr>
          <w:t>https://doi.org/10.20489/intjecse.107926</w:t>
        </w:r>
      </w:hyperlink>
      <w:r w:rsidR="00CB2B49">
        <w:rPr>
          <w:rFonts w:eastAsia="Aptos" w:cs="Arial"/>
          <w:noProof/>
          <w:sz w:val="22"/>
          <w:lang w:val="en-US"/>
        </w:rPr>
        <w:t xml:space="preserve"> </w:t>
      </w:r>
      <w:r w:rsidRPr="005116EF">
        <w:rPr>
          <w:rFonts w:eastAsia="Aptos" w:cs="Arial"/>
          <w:noProof/>
          <w:sz w:val="22"/>
          <w:lang w:val="en-US"/>
        </w:rPr>
        <w:t xml:space="preserve"> </w:t>
      </w:r>
    </w:p>
    <w:p w14:paraId="0C06CABF" w14:textId="77777777" w:rsidR="005116EF" w:rsidRPr="005116EF" w:rsidRDefault="005116EF" w:rsidP="005116EF">
      <w:pPr>
        <w:spacing w:before="0" w:after="0"/>
        <w:ind w:left="720" w:hanging="720"/>
        <w:rPr>
          <w:rFonts w:eastAsia="Aptos" w:cs="Arial"/>
          <w:noProof/>
          <w:sz w:val="22"/>
          <w:lang w:val="en-US"/>
        </w:rPr>
      </w:pPr>
      <w:r w:rsidRPr="005116EF">
        <w:rPr>
          <w:rFonts w:eastAsia="Aptos" w:cs="Arial"/>
          <w:noProof/>
          <w:sz w:val="22"/>
          <w:lang w:val="en-US"/>
        </w:rPr>
        <w:tab/>
      </w:r>
    </w:p>
    <w:p w14:paraId="7B9CA786" w14:textId="77777777" w:rsidR="005116EF" w:rsidRPr="005116EF" w:rsidRDefault="005116EF" w:rsidP="005116EF">
      <w:pPr>
        <w:spacing w:before="0" w:after="160"/>
        <w:ind w:left="720" w:hanging="720"/>
        <w:rPr>
          <w:rFonts w:eastAsia="Aptos" w:cs="Arial"/>
          <w:noProof/>
          <w:sz w:val="22"/>
          <w:lang w:val="en-US"/>
        </w:rPr>
      </w:pPr>
      <w:r w:rsidRPr="005116EF">
        <w:rPr>
          <w:rFonts w:eastAsia="Aptos" w:cs="Arial"/>
          <w:noProof/>
          <w:sz w:val="22"/>
          <w:lang w:val="en-US"/>
        </w:rPr>
        <w:t xml:space="preserve">Mahoney, G. (2018). Lessons learned from relationship based interventions. In J. McCollum, J. Weglarz-Ward, &amp; R. M. Santos (Eds.), </w:t>
      </w:r>
      <w:r w:rsidRPr="005116EF">
        <w:rPr>
          <w:rFonts w:eastAsia="Aptos" w:cs="Arial"/>
          <w:i/>
          <w:noProof/>
          <w:sz w:val="22"/>
          <w:lang w:val="en-US"/>
        </w:rPr>
        <w:t>DEC recommended practices monograph series no. 5: Responsive interactions to support child development and learning</w:t>
      </w:r>
      <w:r w:rsidRPr="005116EF">
        <w:rPr>
          <w:rFonts w:eastAsia="Aptos" w:cs="Arial"/>
          <w:noProof/>
          <w:sz w:val="22"/>
          <w:lang w:val="en-US"/>
        </w:rPr>
        <w:t xml:space="preserve"> (5th ed.). Los Angeles, CA: Division for Early Childhood. </w:t>
      </w:r>
    </w:p>
    <w:p w14:paraId="43D3AAFA" w14:textId="77777777" w:rsidR="005116EF" w:rsidRPr="005116EF" w:rsidRDefault="005116EF" w:rsidP="005116EF">
      <w:pPr>
        <w:spacing w:before="0" w:after="0"/>
        <w:ind w:left="720" w:hanging="720"/>
        <w:rPr>
          <w:rFonts w:eastAsia="Aptos" w:cs="Arial"/>
          <w:noProof/>
          <w:sz w:val="22"/>
          <w:lang w:val="en-US"/>
        </w:rPr>
      </w:pPr>
      <w:r w:rsidRPr="005116EF">
        <w:rPr>
          <w:rFonts w:eastAsia="Aptos" w:cs="Arial"/>
          <w:noProof/>
          <w:sz w:val="22"/>
          <w:lang w:val="en-US"/>
        </w:rPr>
        <w:tab/>
      </w:r>
    </w:p>
    <w:p w14:paraId="2A5316DB" w14:textId="77777777" w:rsidR="005116EF" w:rsidRPr="005116EF" w:rsidRDefault="005116EF" w:rsidP="005116EF">
      <w:pPr>
        <w:spacing w:before="0" w:after="160"/>
        <w:ind w:left="720" w:hanging="720"/>
        <w:rPr>
          <w:rFonts w:eastAsia="Aptos" w:cs="Arial"/>
          <w:noProof/>
          <w:sz w:val="22"/>
          <w:lang w:val="en-US"/>
        </w:rPr>
      </w:pPr>
      <w:r w:rsidRPr="005116EF">
        <w:rPr>
          <w:rFonts w:eastAsia="Aptos" w:cs="Arial"/>
          <w:noProof/>
          <w:sz w:val="22"/>
          <w:lang w:val="en-US"/>
        </w:rPr>
        <w:t xml:space="preserve">Mahoney, G., &amp; MacDonald, J. D. (2007). </w:t>
      </w:r>
      <w:r w:rsidRPr="005116EF">
        <w:rPr>
          <w:rFonts w:eastAsia="Aptos" w:cs="Arial"/>
          <w:i/>
          <w:noProof/>
          <w:sz w:val="22"/>
          <w:lang w:val="en-US"/>
        </w:rPr>
        <w:t>Autism and developmental delays in young children: The responsive teaching curriculum for parents and professionals: Curriculum guide</w:t>
      </w:r>
      <w:r w:rsidRPr="005116EF">
        <w:rPr>
          <w:rFonts w:eastAsia="Aptos" w:cs="Arial"/>
          <w:noProof/>
          <w:sz w:val="22"/>
          <w:lang w:val="en-US"/>
        </w:rPr>
        <w:t xml:space="preserve">. Austin, Texas: PRO-ED. </w:t>
      </w:r>
    </w:p>
    <w:p w14:paraId="50A0A7D3" w14:textId="77777777" w:rsidR="005116EF" w:rsidRPr="005116EF" w:rsidRDefault="005116EF" w:rsidP="005116EF">
      <w:pPr>
        <w:spacing w:before="0" w:after="0"/>
        <w:ind w:left="720" w:hanging="720"/>
        <w:rPr>
          <w:rFonts w:eastAsia="Aptos" w:cs="Arial"/>
          <w:noProof/>
          <w:sz w:val="22"/>
          <w:lang w:val="en-US"/>
        </w:rPr>
      </w:pPr>
      <w:r w:rsidRPr="005116EF">
        <w:rPr>
          <w:rFonts w:eastAsia="Aptos" w:cs="Arial"/>
          <w:noProof/>
          <w:sz w:val="22"/>
          <w:lang w:val="en-US"/>
        </w:rPr>
        <w:tab/>
      </w:r>
    </w:p>
    <w:p w14:paraId="3E532271" w14:textId="5BCD1819" w:rsidR="005116EF" w:rsidRPr="005116EF" w:rsidRDefault="005116EF" w:rsidP="005116EF">
      <w:pPr>
        <w:spacing w:before="0" w:after="160"/>
        <w:ind w:left="720" w:hanging="720"/>
        <w:rPr>
          <w:rFonts w:eastAsia="Aptos" w:cs="Arial"/>
          <w:noProof/>
          <w:sz w:val="22"/>
          <w:lang w:val="en-US"/>
        </w:rPr>
      </w:pPr>
      <w:r w:rsidRPr="005116EF">
        <w:rPr>
          <w:rFonts w:eastAsia="Aptos" w:cs="Arial"/>
          <w:noProof/>
          <w:sz w:val="22"/>
          <w:lang w:val="en-US"/>
        </w:rPr>
        <w:t xml:space="preserve">Mahoney, G., &amp; Nam, S. (2011). The parenting model of developmental intervention. In R. M. Hodapp (Ed.), </w:t>
      </w:r>
      <w:r w:rsidRPr="005116EF">
        <w:rPr>
          <w:rFonts w:eastAsia="Aptos" w:cs="Arial"/>
          <w:i/>
          <w:noProof/>
          <w:sz w:val="22"/>
          <w:lang w:val="en-US"/>
        </w:rPr>
        <w:t>International review of research in developmental disabilities</w:t>
      </w:r>
      <w:r w:rsidRPr="005116EF">
        <w:rPr>
          <w:rFonts w:eastAsia="Aptos" w:cs="Arial"/>
          <w:noProof/>
          <w:sz w:val="22"/>
          <w:lang w:val="en-US"/>
        </w:rPr>
        <w:t xml:space="preserve"> (Vol. 41, pp. 73-125). Academic Press. </w:t>
      </w:r>
      <w:hyperlink r:id="rId407" w:history="1">
        <w:r w:rsidR="00CB2B49" w:rsidRPr="005116EF">
          <w:rPr>
            <w:rStyle w:val="Hyperlink"/>
            <w:rFonts w:eastAsia="Aptos" w:cs="Arial"/>
            <w:noProof/>
            <w:sz w:val="22"/>
            <w:lang w:val="en-US"/>
          </w:rPr>
          <w:t>https://doi.org/https://doi.org/10.1016/B978-0-12-386495-6.00003-5</w:t>
        </w:r>
      </w:hyperlink>
      <w:r w:rsidR="00CB2B49">
        <w:rPr>
          <w:rFonts w:eastAsia="Aptos" w:cs="Arial"/>
          <w:noProof/>
          <w:sz w:val="22"/>
          <w:lang w:val="en-US"/>
        </w:rPr>
        <w:t xml:space="preserve"> </w:t>
      </w:r>
      <w:r w:rsidRPr="005116EF">
        <w:rPr>
          <w:rFonts w:eastAsia="Aptos" w:cs="Arial"/>
          <w:noProof/>
          <w:sz w:val="22"/>
          <w:lang w:val="en-US"/>
        </w:rPr>
        <w:t xml:space="preserve"> </w:t>
      </w:r>
    </w:p>
    <w:p w14:paraId="165D2C42" w14:textId="77777777" w:rsidR="005116EF" w:rsidRPr="005116EF" w:rsidRDefault="005116EF" w:rsidP="005116EF">
      <w:pPr>
        <w:spacing w:before="0" w:after="0"/>
        <w:ind w:left="720" w:hanging="720"/>
        <w:rPr>
          <w:rFonts w:eastAsia="Aptos" w:cs="Arial"/>
          <w:noProof/>
          <w:sz w:val="22"/>
          <w:lang w:val="en-US"/>
        </w:rPr>
      </w:pPr>
      <w:r w:rsidRPr="005116EF">
        <w:rPr>
          <w:rFonts w:eastAsia="Aptos" w:cs="Arial"/>
          <w:noProof/>
          <w:sz w:val="22"/>
          <w:lang w:val="en-US"/>
        </w:rPr>
        <w:tab/>
      </w:r>
    </w:p>
    <w:p w14:paraId="0F77A656" w14:textId="214FAB08" w:rsidR="005116EF" w:rsidRPr="005116EF" w:rsidRDefault="005116EF" w:rsidP="005116EF">
      <w:pPr>
        <w:spacing w:before="0" w:after="160"/>
        <w:ind w:left="720" w:hanging="720"/>
        <w:rPr>
          <w:rFonts w:eastAsia="Aptos" w:cs="Arial"/>
          <w:noProof/>
          <w:sz w:val="22"/>
          <w:lang w:val="en-US"/>
        </w:rPr>
      </w:pPr>
      <w:r w:rsidRPr="005116EF">
        <w:rPr>
          <w:rFonts w:eastAsia="Aptos" w:cs="Arial"/>
          <w:noProof/>
          <w:sz w:val="22"/>
          <w:lang w:val="en-US"/>
        </w:rPr>
        <w:t xml:space="preserve">Mahoney, G., &amp; Perales, F. (2011). The role of parents of children with down syndrome and other disabilities in early intervention. In J.-A. Rondal, J. Perera, &amp; D. Spiker (Eds.), </w:t>
      </w:r>
      <w:r w:rsidRPr="005116EF">
        <w:rPr>
          <w:rFonts w:eastAsia="Aptos" w:cs="Arial"/>
          <w:i/>
          <w:noProof/>
          <w:sz w:val="22"/>
          <w:lang w:val="en-US"/>
        </w:rPr>
        <w:t>Neurocognitive Rehabilitation of Down Syndrome: The Early Years</w:t>
      </w:r>
      <w:r w:rsidRPr="005116EF">
        <w:rPr>
          <w:rFonts w:eastAsia="Aptos" w:cs="Arial"/>
          <w:noProof/>
          <w:sz w:val="22"/>
          <w:lang w:val="en-US"/>
        </w:rPr>
        <w:t xml:space="preserve">. Cambridge, UK: Cambridge University Press. </w:t>
      </w:r>
      <w:hyperlink r:id="rId408" w:history="1">
        <w:r w:rsidR="00FA1CC4" w:rsidRPr="005116EF">
          <w:rPr>
            <w:rStyle w:val="Hyperlink"/>
            <w:rFonts w:eastAsia="Aptos" w:cs="Arial"/>
            <w:noProof/>
            <w:sz w:val="22"/>
            <w:lang w:val="en-US"/>
          </w:rPr>
          <w:t>https://doi.org/10.1017/CBO9780511919299.017</w:t>
        </w:r>
      </w:hyperlink>
      <w:r w:rsidR="00FA1CC4">
        <w:rPr>
          <w:rFonts w:eastAsia="Aptos" w:cs="Arial"/>
          <w:noProof/>
          <w:sz w:val="22"/>
          <w:lang w:val="en-US"/>
        </w:rPr>
        <w:t xml:space="preserve"> </w:t>
      </w:r>
      <w:r w:rsidRPr="005116EF">
        <w:rPr>
          <w:rFonts w:eastAsia="Aptos" w:cs="Arial"/>
          <w:noProof/>
          <w:sz w:val="22"/>
          <w:lang w:val="en-US"/>
        </w:rPr>
        <w:t xml:space="preserve"> </w:t>
      </w:r>
    </w:p>
    <w:p w14:paraId="49D0E142" w14:textId="3B404318" w:rsidR="0030178D" w:rsidRPr="00075790" w:rsidRDefault="0030178D" w:rsidP="0030178D">
      <w:pPr>
        <w:pStyle w:val="EndNoteBibliography"/>
        <w:spacing w:after="0"/>
        <w:ind w:left="720" w:hanging="720"/>
      </w:pPr>
    </w:p>
    <w:p w14:paraId="3883769B" w14:textId="7219DE25" w:rsidR="00A743C1" w:rsidRPr="00A743C1" w:rsidRDefault="00A743C1" w:rsidP="00A743C1">
      <w:pPr>
        <w:spacing w:before="0" w:after="160"/>
        <w:ind w:left="720" w:hanging="720"/>
        <w:rPr>
          <w:rFonts w:eastAsia="Aptos" w:cs="Arial"/>
          <w:noProof/>
          <w:sz w:val="22"/>
          <w:lang w:val="en-US"/>
        </w:rPr>
      </w:pPr>
      <w:r w:rsidRPr="00A743C1">
        <w:rPr>
          <w:rFonts w:eastAsia="Aptos" w:cs="Arial"/>
          <w:noProof/>
          <w:sz w:val="22"/>
          <w:lang w:val="en-US"/>
        </w:rPr>
        <w:t xml:space="preserve">Malbon, E., Carey, G., &amp; Meltzer, A. (2019). Personalisation schemes in social care: are they growing social and health inequalities? </w:t>
      </w:r>
      <w:r w:rsidRPr="00A743C1">
        <w:rPr>
          <w:rFonts w:eastAsia="Aptos" w:cs="Arial"/>
          <w:i/>
          <w:noProof/>
          <w:sz w:val="22"/>
          <w:lang w:val="en-US"/>
        </w:rPr>
        <w:t>BMC Public Health</w:t>
      </w:r>
      <w:r w:rsidRPr="00A743C1">
        <w:rPr>
          <w:rFonts w:eastAsia="Aptos" w:cs="Arial"/>
          <w:noProof/>
          <w:sz w:val="22"/>
          <w:lang w:val="en-US"/>
        </w:rPr>
        <w:t>,</w:t>
      </w:r>
      <w:r w:rsidRPr="00A743C1">
        <w:rPr>
          <w:rFonts w:eastAsia="Aptos" w:cs="Arial"/>
          <w:i/>
          <w:noProof/>
          <w:sz w:val="22"/>
          <w:lang w:val="en-US"/>
        </w:rPr>
        <w:t xml:space="preserve"> 19</w:t>
      </w:r>
      <w:r w:rsidRPr="00A743C1">
        <w:rPr>
          <w:rFonts w:eastAsia="Aptos" w:cs="Arial"/>
          <w:noProof/>
          <w:sz w:val="22"/>
          <w:lang w:val="en-US"/>
        </w:rPr>
        <w:t xml:space="preserve">(1), 805. </w:t>
      </w:r>
      <w:hyperlink r:id="rId409" w:history="1">
        <w:r w:rsidR="00FA1CC4" w:rsidRPr="00A743C1">
          <w:rPr>
            <w:rStyle w:val="Hyperlink"/>
            <w:rFonts w:eastAsia="Aptos" w:cs="Arial"/>
            <w:noProof/>
            <w:sz w:val="22"/>
            <w:lang w:val="en-US"/>
          </w:rPr>
          <w:t>https://doi.org/10.1186/s12889-019-7168-4</w:t>
        </w:r>
      </w:hyperlink>
      <w:r w:rsidR="00FA1CC4">
        <w:rPr>
          <w:rFonts w:eastAsia="Aptos" w:cs="Arial"/>
          <w:noProof/>
          <w:sz w:val="22"/>
          <w:lang w:val="en-US"/>
        </w:rPr>
        <w:t xml:space="preserve"> </w:t>
      </w:r>
      <w:r w:rsidRPr="00A743C1">
        <w:rPr>
          <w:rFonts w:eastAsia="Aptos" w:cs="Arial"/>
          <w:noProof/>
          <w:sz w:val="22"/>
          <w:lang w:val="en-US"/>
        </w:rPr>
        <w:t xml:space="preserve"> </w:t>
      </w:r>
    </w:p>
    <w:p w14:paraId="2669FCCA" w14:textId="77777777" w:rsidR="00A743C1" w:rsidRPr="00A743C1" w:rsidRDefault="00A743C1" w:rsidP="00A743C1">
      <w:pPr>
        <w:spacing w:before="0" w:after="0"/>
        <w:ind w:left="720" w:hanging="720"/>
        <w:rPr>
          <w:rFonts w:eastAsia="Aptos" w:cs="Arial"/>
          <w:noProof/>
          <w:sz w:val="22"/>
          <w:lang w:val="en-US"/>
        </w:rPr>
      </w:pPr>
      <w:r w:rsidRPr="00A743C1">
        <w:rPr>
          <w:rFonts w:eastAsia="Aptos" w:cs="Arial"/>
          <w:noProof/>
          <w:sz w:val="22"/>
          <w:lang w:val="en-US"/>
        </w:rPr>
        <w:tab/>
      </w:r>
    </w:p>
    <w:p w14:paraId="56F0EF97" w14:textId="30084F73" w:rsidR="009263A9" w:rsidRPr="009263A9" w:rsidRDefault="009263A9" w:rsidP="009263A9">
      <w:pPr>
        <w:spacing w:before="0" w:after="160"/>
        <w:ind w:left="720" w:hanging="720"/>
        <w:rPr>
          <w:rFonts w:eastAsia="Aptos" w:cs="Arial"/>
          <w:noProof/>
          <w:sz w:val="22"/>
          <w:lang w:val="en-US"/>
        </w:rPr>
      </w:pPr>
      <w:r w:rsidRPr="009263A9">
        <w:rPr>
          <w:rFonts w:eastAsia="Aptos" w:cs="Arial"/>
          <w:noProof/>
          <w:sz w:val="22"/>
          <w:lang w:val="en-US"/>
        </w:rPr>
        <w:t xml:space="preserve">Malbon, E., Weier, M., Carey, G., &amp; Writer, T. (2022). How personalisation programs can exacerbate socio-economic inequities: findings from budget utilisation in the Australian National Disability Insurance Scheme. </w:t>
      </w:r>
      <w:r w:rsidRPr="009263A9">
        <w:rPr>
          <w:rFonts w:eastAsia="Aptos" w:cs="Arial"/>
          <w:i/>
          <w:noProof/>
          <w:sz w:val="22"/>
          <w:lang w:val="en-US"/>
        </w:rPr>
        <w:t>BMC Public Health</w:t>
      </w:r>
      <w:r w:rsidRPr="009263A9">
        <w:rPr>
          <w:rFonts w:eastAsia="Aptos" w:cs="Arial"/>
          <w:noProof/>
          <w:sz w:val="22"/>
          <w:lang w:val="en-US"/>
        </w:rPr>
        <w:t>,</w:t>
      </w:r>
      <w:r w:rsidRPr="009263A9">
        <w:rPr>
          <w:rFonts w:eastAsia="Aptos" w:cs="Arial"/>
          <w:i/>
          <w:noProof/>
          <w:sz w:val="22"/>
          <w:lang w:val="en-US"/>
        </w:rPr>
        <w:t xml:space="preserve"> 22</w:t>
      </w:r>
      <w:r w:rsidRPr="009263A9">
        <w:rPr>
          <w:rFonts w:eastAsia="Aptos" w:cs="Arial"/>
          <w:noProof/>
          <w:sz w:val="22"/>
          <w:lang w:val="en-US"/>
        </w:rPr>
        <w:t xml:space="preserve">(1), 878. </w:t>
      </w:r>
      <w:hyperlink r:id="rId410" w:history="1">
        <w:r w:rsidRPr="009263A9">
          <w:rPr>
            <w:rStyle w:val="Hyperlink"/>
            <w:rFonts w:eastAsia="Aptos" w:cs="Arial"/>
            <w:noProof/>
            <w:sz w:val="22"/>
            <w:lang w:val="en-US"/>
          </w:rPr>
          <w:t>https://doi.org/10.1186/s12889-022-13301-x</w:t>
        </w:r>
      </w:hyperlink>
      <w:r>
        <w:rPr>
          <w:rFonts w:eastAsia="Aptos" w:cs="Arial"/>
          <w:noProof/>
          <w:sz w:val="22"/>
          <w:lang w:val="en-US"/>
        </w:rPr>
        <w:t xml:space="preserve"> </w:t>
      </w:r>
      <w:r w:rsidRPr="009263A9">
        <w:rPr>
          <w:rFonts w:eastAsia="Aptos" w:cs="Arial"/>
          <w:noProof/>
          <w:sz w:val="22"/>
          <w:lang w:val="en-US"/>
        </w:rPr>
        <w:t xml:space="preserve"> </w:t>
      </w:r>
    </w:p>
    <w:p w14:paraId="6AB7DA27" w14:textId="77777777" w:rsidR="008F6F3E" w:rsidRDefault="008F6F3E" w:rsidP="0030178D">
      <w:pPr>
        <w:pStyle w:val="EndNoteBibliography"/>
        <w:spacing w:after="0"/>
        <w:ind w:left="720" w:hanging="720"/>
        <w:rPr>
          <w:rFonts w:ascii="Aptos" w:eastAsia="Aptos" w:hAnsi="Aptos" w:cs="Times New Roman"/>
          <w:noProof w:val="0"/>
          <w:sz w:val="24"/>
          <w:lang w:val="en-AU"/>
        </w:rPr>
      </w:pPr>
    </w:p>
    <w:p w14:paraId="6E574685" w14:textId="50F807C9" w:rsidR="00CA4472" w:rsidRPr="00CA4472" w:rsidRDefault="00CA4472" w:rsidP="00CA4472">
      <w:pPr>
        <w:spacing w:before="0" w:after="160"/>
        <w:ind w:left="720" w:hanging="720"/>
        <w:rPr>
          <w:rFonts w:eastAsia="Aptos" w:cs="Arial"/>
          <w:noProof/>
          <w:sz w:val="22"/>
          <w:lang w:val="en-US"/>
        </w:rPr>
      </w:pPr>
      <w:r w:rsidRPr="00CA4472">
        <w:rPr>
          <w:rFonts w:eastAsia="Aptos" w:cs="Arial"/>
          <w:noProof/>
          <w:sz w:val="22"/>
          <w:lang w:val="en-US"/>
        </w:rPr>
        <w:t xml:space="preserve">Manthorpe, J., Hindes, J., Martineau, S., Cornes, M., Ridley, J., Spandler, H., Rosengard, A., Hunter, S., Little, S., &amp; Gray, B. (2011). </w:t>
      </w:r>
      <w:r w:rsidRPr="00CA4472">
        <w:rPr>
          <w:rFonts w:eastAsia="Aptos" w:cs="Arial"/>
          <w:i/>
          <w:noProof/>
          <w:sz w:val="22"/>
          <w:lang w:val="en-US"/>
        </w:rPr>
        <w:t>Self-directed support: A review of the barriers and facilitators</w:t>
      </w:r>
      <w:r w:rsidRPr="00CA4472">
        <w:rPr>
          <w:rFonts w:eastAsia="Aptos" w:cs="Arial"/>
          <w:noProof/>
          <w:sz w:val="22"/>
          <w:lang w:val="en-US"/>
        </w:rPr>
        <w:t xml:space="preserve">. Edinburgh, Scotland: Scottish Government Social Research. </w:t>
      </w:r>
      <w:hyperlink r:id="rId411" w:history="1">
        <w:r w:rsidRPr="00CA4472">
          <w:rPr>
            <w:rStyle w:val="Hyperlink"/>
            <w:rFonts w:eastAsia="Aptos" w:cs="Arial"/>
            <w:noProof/>
            <w:sz w:val="22"/>
            <w:lang w:val="en-US"/>
          </w:rPr>
          <w:t>http://www.scotland.gov.uk/Resource/Doc/348067/0115948.pdf</w:t>
        </w:r>
      </w:hyperlink>
      <w:r>
        <w:rPr>
          <w:rFonts w:eastAsia="Aptos" w:cs="Arial"/>
          <w:noProof/>
          <w:sz w:val="22"/>
          <w:lang w:val="en-US"/>
        </w:rPr>
        <w:t xml:space="preserve"> </w:t>
      </w:r>
    </w:p>
    <w:p w14:paraId="2E451BEB" w14:textId="77777777" w:rsidR="009733C7" w:rsidRPr="00075790" w:rsidRDefault="009733C7" w:rsidP="0030178D">
      <w:pPr>
        <w:pStyle w:val="EndNoteBibliography"/>
        <w:spacing w:after="0"/>
        <w:ind w:left="720" w:hanging="720"/>
      </w:pPr>
    </w:p>
    <w:p w14:paraId="7F12A73E" w14:textId="516B4FE3" w:rsidR="000122C1" w:rsidRPr="000122C1" w:rsidRDefault="000122C1" w:rsidP="000122C1">
      <w:pPr>
        <w:spacing w:before="0" w:after="160"/>
        <w:ind w:left="720" w:hanging="720"/>
        <w:rPr>
          <w:rFonts w:eastAsia="Aptos" w:cs="Arial"/>
          <w:noProof/>
          <w:sz w:val="22"/>
          <w:lang w:val="en-US"/>
        </w:rPr>
      </w:pPr>
      <w:r w:rsidRPr="000122C1">
        <w:rPr>
          <w:rFonts w:eastAsia="Aptos" w:cs="Arial"/>
          <w:noProof/>
          <w:sz w:val="22"/>
          <w:lang w:val="en-US"/>
        </w:rPr>
        <w:t>Mantri</w:t>
      </w:r>
      <w:r w:rsidRPr="000122C1">
        <w:rPr>
          <w:rFonts w:ascii="Cambria Math" w:eastAsia="Aptos" w:hAnsi="Cambria Math" w:cs="Cambria Math"/>
          <w:noProof/>
          <w:sz w:val="22"/>
          <w:lang w:val="en-US"/>
        </w:rPr>
        <w:t>‐</w:t>
      </w:r>
      <w:r w:rsidRPr="000122C1">
        <w:rPr>
          <w:rFonts w:eastAsia="Aptos" w:cs="Arial"/>
          <w:noProof/>
          <w:sz w:val="22"/>
          <w:lang w:val="en-US"/>
        </w:rPr>
        <w:t xml:space="preserve">Langeveldt, A., Dada, S., &amp; Boshoff, K. (2019). Measures for social support in raising a child with a disability: A scoping review. </w:t>
      </w:r>
      <w:r w:rsidRPr="000122C1">
        <w:rPr>
          <w:rFonts w:eastAsia="Aptos" w:cs="Arial"/>
          <w:i/>
          <w:noProof/>
          <w:sz w:val="22"/>
          <w:lang w:val="en-US"/>
        </w:rPr>
        <w:t>Child: care, health and development</w:t>
      </w:r>
      <w:r w:rsidRPr="000122C1">
        <w:rPr>
          <w:rFonts w:eastAsia="Aptos" w:cs="Arial"/>
          <w:noProof/>
          <w:sz w:val="22"/>
          <w:lang w:val="en-US"/>
        </w:rPr>
        <w:t>,</w:t>
      </w:r>
      <w:r w:rsidRPr="000122C1">
        <w:rPr>
          <w:rFonts w:eastAsia="Aptos" w:cs="Arial"/>
          <w:i/>
          <w:noProof/>
          <w:sz w:val="22"/>
          <w:lang w:val="en-US"/>
        </w:rPr>
        <w:t xml:space="preserve"> 45</w:t>
      </w:r>
      <w:r w:rsidRPr="000122C1">
        <w:rPr>
          <w:rFonts w:eastAsia="Aptos" w:cs="Arial"/>
          <w:noProof/>
          <w:sz w:val="22"/>
          <w:lang w:val="en-US"/>
        </w:rPr>
        <w:t xml:space="preserve">(2), 159-174. </w:t>
      </w:r>
      <w:hyperlink r:id="rId412" w:history="1">
        <w:r w:rsidR="00CB2B49" w:rsidRPr="000122C1">
          <w:rPr>
            <w:rStyle w:val="Hyperlink"/>
            <w:rFonts w:eastAsia="Aptos" w:cs="Arial"/>
            <w:noProof/>
            <w:sz w:val="22"/>
            <w:lang w:val="en-US"/>
          </w:rPr>
          <w:t>https://doi.org/10.1111/cch.12646</w:t>
        </w:r>
      </w:hyperlink>
      <w:r w:rsidR="00CB2B49">
        <w:rPr>
          <w:rFonts w:eastAsia="Aptos" w:cs="Arial"/>
          <w:noProof/>
          <w:sz w:val="22"/>
          <w:lang w:val="en-US"/>
        </w:rPr>
        <w:t xml:space="preserve"> </w:t>
      </w:r>
      <w:r w:rsidRPr="000122C1">
        <w:rPr>
          <w:rFonts w:eastAsia="Aptos" w:cs="Arial"/>
          <w:noProof/>
          <w:sz w:val="22"/>
          <w:lang w:val="en-US"/>
        </w:rPr>
        <w:t xml:space="preserve"> </w:t>
      </w:r>
    </w:p>
    <w:p w14:paraId="09A6EB3D" w14:textId="77777777" w:rsidR="000122C1" w:rsidRPr="000122C1" w:rsidRDefault="000122C1" w:rsidP="000122C1">
      <w:pPr>
        <w:spacing w:before="0" w:after="0"/>
        <w:ind w:left="720" w:hanging="720"/>
        <w:rPr>
          <w:rFonts w:eastAsia="Aptos" w:cs="Arial"/>
          <w:noProof/>
          <w:sz w:val="22"/>
          <w:lang w:val="en-US"/>
        </w:rPr>
      </w:pPr>
      <w:r w:rsidRPr="000122C1">
        <w:rPr>
          <w:rFonts w:eastAsia="Aptos" w:cs="Arial"/>
          <w:noProof/>
          <w:sz w:val="22"/>
          <w:lang w:val="en-US"/>
        </w:rPr>
        <w:tab/>
      </w:r>
    </w:p>
    <w:p w14:paraId="639B446C" w14:textId="77777777" w:rsidR="000122C1" w:rsidRPr="000122C1" w:rsidRDefault="000122C1" w:rsidP="000122C1">
      <w:pPr>
        <w:spacing w:before="0" w:after="160"/>
        <w:ind w:left="720" w:hanging="720"/>
        <w:rPr>
          <w:rFonts w:eastAsia="Aptos" w:cs="Arial"/>
          <w:noProof/>
          <w:sz w:val="22"/>
          <w:lang w:val="en-US"/>
        </w:rPr>
      </w:pPr>
      <w:r w:rsidRPr="000122C1">
        <w:rPr>
          <w:rFonts w:eastAsia="Aptos" w:cs="Arial"/>
          <w:noProof/>
          <w:sz w:val="22"/>
          <w:lang w:val="en-US"/>
        </w:rPr>
        <w:t xml:space="preserve">Marmot, M. (2015). The health gap: the challenge of an unequal world. </w:t>
      </w:r>
      <w:r w:rsidRPr="000122C1">
        <w:rPr>
          <w:rFonts w:eastAsia="Aptos" w:cs="Arial"/>
          <w:i/>
          <w:noProof/>
          <w:sz w:val="22"/>
          <w:lang w:val="en-US"/>
        </w:rPr>
        <w:t>The Lancet</w:t>
      </w:r>
      <w:r w:rsidRPr="000122C1">
        <w:rPr>
          <w:rFonts w:eastAsia="Aptos" w:cs="Arial"/>
          <w:noProof/>
          <w:sz w:val="22"/>
          <w:lang w:val="en-US"/>
        </w:rPr>
        <w:t>,</w:t>
      </w:r>
      <w:r w:rsidRPr="000122C1">
        <w:rPr>
          <w:rFonts w:eastAsia="Aptos" w:cs="Arial"/>
          <w:i/>
          <w:noProof/>
          <w:sz w:val="22"/>
          <w:lang w:val="en-US"/>
        </w:rPr>
        <w:t xml:space="preserve"> 386</w:t>
      </w:r>
      <w:r w:rsidRPr="000122C1">
        <w:rPr>
          <w:rFonts w:eastAsia="Aptos" w:cs="Arial"/>
          <w:noProof/>
          <w:sz w:val="22"/>
          <w:lang w:val="en-US"/>
        </w:rPr>
        <w:t xml:space="preserve">(10011), 2442-2444. </w:t>
      </w:r>
    </w:p>
    <w:p w14:paraId="569CC517" w14:textId="77777777" w:rsidR="000122C1" w:rsidRPr="000122C1" w:rsidRDefault="000122C1" w:rsidP="000122C1">
      <w:pPr>
        <w:spacing w:before="0" w:after="0"/>
        <w:ind w:left="720" w:hanging="720"/>
        <w:rPr>
          <w:rFonts w:eastAsia="Aptos" w:cs="Arial"/>
          <w:noProof/>
          <w:sz w:val="22"/>
          <w:lang w:val="en-US"/>
        </w:rPr>
      </w:pPr>
      <w:r w:rsidRPr="000122C1">
        <w:rPr>
          <w:rFonts w:eastAsia="Aptos" w:cs="Arial"/>
          <w:noProof/>
          <w:sz w:val="22"/>
          <w:lang w:val="en-US"/>
        </w:rPr>
        <w:tab/>
      </w:r>
    </w:p>
    <w:p w14:paraId="5741E5BC" w14:textId="0438B33E" w:rsidR="000122C1" w:rsidRPr="000122C1" w:rsidRDefault="000122C1" w:rsidP="000122C1">
      <w:pPr>
        <w:spacing w:before="0" w:after="160"/>
        <w:ind w:left="720" w:hanging="720"/>
        <w:rPr>
          <w:rFonts w:eastAsia="Aptos" w:cs="Arial"/>
          <w:noProof/>
          <w:sz w:val="22"/>
          <w:lang w:val="en-US"/>
        </w:rPr>
      </w:pPr>
      <w:r w:rsidRPr="000122C1">
        <w:rPr>
          <w:rFonts w:eastAsia="Aptos" w:cs="Arial"/>
          <w:noProof/>
          <w:sz w:val="22"/>
          <w:lang w:val="en-US"/>
        </w:rPr>
        <w:t xml:space="preserve">Marmot, M. (2016). </w:t>
      </w:r>
      <w:r w:rsidRPr="000122C1">
        <w:rPr>
          <w:rFonts w:eastAsia="Aptos" w:cs="Arial"/>
          <w:i/>
          <w:noProof/>
          <w:sz w:val="22"/>
          <w:lang w:val="en-US"/>
        </w:rPr>
        <w:t>Fair Australia: Social justice and the health gap</w:t>
      </w:r>
      <w:r w:rsidRPr="000122C1">
        <w:rPr>
          <w:rFonts w:eastAsia="Aptos" w:cs="Arial"/>
          <w:noProof/>
          <w:sz w:val="22"/>
          <w:lang w:val="en-US"/>
        </w:rPr>
        <w:t xml:space="preserve">. Australia: ABC Radio National. Retrieved 6 September, 2024 from </w:t>
      </w:r>
      <w:hyperlink r:id="rId413" w:history="1">
        <w:r w:rsidR="00CB2B49" w:rsidRPr="000122C1">
          <w:rPr>
            <w:rStyle w:val="Hyperlink"/>
            <w:rFonts w:eastAsia="Aptos" w:cs="Arial"/>
            <w:noProof/>
            <w:sz w:val="22"/>
            <w:lang w:val="en-US"/>
          </w:rPr>
          <w:t>https://www.abc.net.au/listen/programs/bigideas/boyers-3&amp;4/7819306</w:t>
        </w:r>
      </w:hyperlink>
      <w:r w:rsidR="00CB2B49">
        <w:rPr>
          <w:rFonts w:eastAsia="Aptos" w:cs="Arial"/>
          <w:noProof/>
          <w:sz w:val="22"/>
          <w:lang w:val="en-US"/>
        </w:rPr>
        <w:t xml:space="preserve"> </w:t>
      </w:r>
    </w:p>
    <w:p w14:paraId="16174A18" w14:textId="77777777" w:rsidR="000122C1" w:rsidRPr="000122C1" w:rsidRDefault="000122C1" w:rsidP="000122C1">
      <w:pPr>
        <w:spacing w:before="0" w:after="0"/>
        <w:ind w:left="720" w:hanging="720"/>
        <w:rPr>
          <w:rFonts w:eastAsia="Aptos" w:cs="Arial"/>
          <w:noProof/>
          <w:sz w:val="22"/>
          <w:lang w:val="en-US"/>
        </w:rPr>
      </w:pPr>
      <w:r w:rsidRPr="000122C1">
        <w:rPr>
          <w:rFonts w:eastAsia="Aptos" w:cs="Arial"/>
          <w:noProof/>
          <w:sz w:val="22"/>
          <w:lang w:val="en-US"/>
        </w:rPr>
        <w:tab/>
      </w:r>
    </w:p>
    <w:p w14:paraId="16824AAC" w14:textId="2C03AD5F" w:rsidR="000122C1" w:rsidRPr="000122C1" w:rsidRDefault="000122C1" w:rsidP="000122C1">
      <w:pPr>
        <w:spacing w:before="0" w:after="160"/>
        <w:ind w:left="720" w:hanging="720"/>
        <w:rPr>
          <w:rFonts w:eastAsia="Aptos" w:cs="Arial"/>
          <w:noProof/>
          <w:sz w:val="22"/>
          <w:lang w:val="en-US"/>
        </w:rPr>
      </w:pPr>
      <w:r w:rsidRPr="000122C1">
        <w:rPr>
          <w:rFonts w:eastAsia="Aptos" w:cs="Arial"/>
          <w:noProof/>
          <w:sz w:val="22"/>
          <w:lang w:val="en-US"/>
        </w:rPr>
        <w:t xml:space="preserve">Marmot, M. (2018). An inverse care law for our time. </w:t>
      </w:r>
      <w:r w:rsidRPr="000122C1">
        <w:rPr>
          <w:rFonts w:eastAsia="Aptos" w:cs="Arial"/>
          <w:i/>
          <w:noProof/>
          <w:sz w:val="22"/>
          <w:lang w:val="en-US"/>
        </w:rPr>
        <w:t>BMJ (Clinical Research Ed.)</w:t>
      </w:r>
      <w:r w:rsidRPr="000122C1">
        <w:rPr>
          <w:rFonts w:eastAsia="Aptos" w:cs="Arial"/>
          <w:noProof/>
          <w:sz w:val="22"/>
          <w:lang w:val="en-US"/>
        </w:rPr>
        <w:t>,</w:t>
      </w:r>
      <w:r w:rsidRPr="000122C1">
        <w:rPr>
          <w:rFonts w:eastAsia="Aptos" w:cs="Arial"/>
          <w:i/>
          <w:noProof/>
          <w:sz w:val="22"/>
          <w:lang w:val="en-US"/>
        </w:rPr>
        <w:t xml:space="preserve"> 362</w:t>
      </w:r>
      <w:r w:rsidRPr="000122C1">
        <w:rPr>
          <w:rFonts w:eastAsia="Aptos" w:cs="Arial"/>
          <w:noProof/>
          <w:sz w:val="22"/>
          <w:lang w:val="en-US"/>
        </w:rPr>
        <w:t xml:space="preserve">, k3216. </w:t>
      </w:r>
      <w:hyperlink r:id="rId414" w:history="1">
        <w:r w:rsidR="00CB2B49" w:rsidRPr="000122C1">
          <w:rPr>
            <w:rStyle w:val="Hyperlink"/>
            <w:rFonts w:eastAsia="Aptos" w:cs="Arial"/>
            <w:noProof/>
            <w:sz w:val="22"/>
            <w:lang w:val="en-US"/>
          </w:rPr>
          <w:t>https://doi.org/10.1136/bmj.k3216</w:t>
        </w:r>
      </w:hyperlink>
      <w:r w:rsidR="00CB2B49">
        <w:rPr>
          <w:rFonts w:eastAsia="Aptos" w:cs="Arial"/>
          <w:noProof/>
          <w:sz w:val="22"/>
          <w:lang w:val="en-US"/>
        </w:rPr>
        <w:t xml:space="preserve"> </w:t>
      </w:r>
      <w:r w:rsidRPr="000122C1">
        <w:rPr>
          <w:rFonts w:eastAsia="Aptos" w:cs="Arial"/>
          <w:noProof/>
          <w:sz w:val="22"/>
          <w:lang w:val="en-US"/>
        </w:rPr>
        <w:t xml:space="preserve"> </w:t>
      </w:r>
    </w:p>
    <w:p w14:paraId="1F7754B2" w14:textId="77777777" w:rsidR="000122C1" w:rsidRPr="000122C1" w:rsidRDefault="000122C1" w:rsidP="000122C1">
      <w:pPr>
        <w:spacing w:before="0" w:after="0"/>
        <w:ind w:left="720" w:hanging="720"/>
        <w:rPr>
          <w:rFonts w:eastAsia="Aptos" w:cs="Arial"/>
          <w:noProof/>
          <w:sz w:val="22"/>
          <w:lang w:val="en-US"/>
        </w:rPr>
      </w:pPr>
      <w:r w:rsidRPr="000122C1">
        <w:rPr>
          <w:rFonts w:eastAsia="Aptos" w:cs="Arial"/>
          <w:noProof/>
          <w:sz w:val="22"/>
          <w:lang w:val="en-US"/>
        </w:rPr>
        <w:tab/>
      </w:r>
    </w:p>
    <w:p w14:paraId="3FF8EA95" w14:textId="25ABB860" w:rsidR="000122C1" w:rsidRPr="000122C1" w:rsidRDefault="000122C1" w:rsidP="000122C1">
      <w:pPr>
        <w:spacing w:before="0" w:after="160"/>
        <w:ind w:left="720" w:hanging="720"/>
        <w:rPr>
          <w:rFonts w:eastAsia="Aptos" w:cs="Arial"/>
          <w:noProof/>
          <w:sz w:val="22"/>
          <w:lang w:val="en-US"/>
        </w:rPr>
      </w:pPr>
      <w:r w:rsidRPr="000122C1">
        <w:rPr>
          <w:rFonts w:eastAsia="Aptos" w:cs="Arial"/>
          <w:noProof/>
          <w:sz w:val="22"/>
          <w:lang w:val="en-US"/>
        </w:rPr>
        <w:t xml:space="preserve">Marmot, M., Goldblatt, P., Allen, J., Boyce, T., McNeish, D., Grady, M., &amp; Geddes, I. (2010). </w:t>
      </w:r>
      <w:r w:rsidRPr="000122C1">
        <w:rPr>
          <w:rFonts w:eastAsia="Aptos" w:cs="Arial"/>
          <w:i/>
          <w:noProof/>
          <w:sz w:val="22"/>
          <w:lang w:val="en-US"/>
        </w:rPr>
        <w:t>Fair society, healthy lives: Strategic review of health inequalities in England post-2010</w:t>
      </w:r>
      <w:r w:rsidRPr="000122C1">
        <w:rPr>
          <w:rFonts w:eastAsia="Aptos" w:cs="Arial"/>
          <w:noProof/>
          <w:sz w:val="22"/>
          <w:lang w:val="en-US"/>
        </w:rPr>
        <w:t xml:space="preserve">. London, UK: The Marmot Review. Retrieved 6 September, 2024 from </w:t>
      </w:r>
      <w:hyperlink r:id="rId415" w:history="1">
        <w:r w:rsidR="00CB2B49" w:rsidRPr="000122C1">
          <w:rPr>
            <w:rStyle w:val="Hyperlink"/>
            <w:rFonts w:eastAsia="Aptos" w:cs="Arial"/>
            <w:noProof/>
            <w:sz w:val="22"/>
            <w:lang w:val="en-US"/>
          </w:rPr>
          <w:t>https://www.instituteofhealthequity.org/resources-reports/fair-society-healthy-lives-the-marmot-review</w:t>
        </w:r>
      </w:hyperlink>
      <w:r w:rsidR="00CB2B49">
        <w:rPr>
          <w:rFonts w:eastAsia="Aptos" w:cs="Arial"/>
          <w:noProof/>
          <w:sz w:val="22"/>
          <w:lang w:val="en-US"/>
        </w:rPr>
        <w:t xml:space="preserve"> </w:t>
      </w:r>
    </w:p>
    <w:p w14:paraId="4B4C3FA1" w14:textId="77777777" w:rsidR="000122C1" w:rsidRPr="000122C1" w:rsidRDefault="000122C1" w:rsidP="000122C1">
      <w:pPr>
        <w:spacing w:before="0" w:after="0"/>
        <w:ind w:left="720" w:hanging="720"/>
        <w:rPr>
          <w:rFonts w:eastAsia="Aptos" w:cs="Arial"/>
          <w:noProof/>
          <w:sz w:val="22"/>
          <w:lang w:val="en-US"/>
        </w:rPr>
      </w:pPr>
      <w:r w:rsidRPr="000122C1">
        <w:rPr>
          <w:rFonts w:eastAsia="Aptos" w:cs="Arial"/>
          <w:noProof/>
          <w:sz w:val="22"/>
          <w:lang w:val="en-US"/>
        </w:rPr>
        <w:tab/>
      </w:r>
    </w:p>
    <w:p w14:paraId="4731D3BD" w14:textId="77777777" w:rsidR="000122C1" w:rsidRPr="000122C1" w:rsidRDefault="000122C1" w:rsidP="000122C1">
      <w:pPr>
        <w:spacing w:before="0" w:after="160"/>
        <w:ind w:left="720" w:hanging="720"/>
        <w:rPr>
          <w:rFonts w:eastAsia="Aptos" w:cs="Arial"/>
          <w:noProof/>
          <w:sz w:val="22"/>
          <w:lang w:val="en-US"/>
        </w:rPr>
      </w:pPr>
      <w:r w:rsidRPr="000122C1">
        <w:rPr>
          <w:rFonts w:eastAsia="Aptos" w:cs="Arial"/>
          <w:noProof/>
          <w:sz w:val="22"/>
          <w:lang w:val="en-US"/>
        </w:rPr>
        <w:t xml:space="preserve">Marmot, M., &amp; Wilkinson, R. (2005). </w:t>
      </w:r>
      <w:r w:rsidRPr="000122C1">
        <w:rPr>
          <w:rFonts w:eastAsia="Aptos" w:cs="Arial"/>
          <w:i/>
          <w:noProof/>
          <w:sz w:val="22"/>
          <w:lang w:val="en-US"/>
        </w:rPr>
        <w:t>Social determinants of health</w:t>
      </w:r>
      <w:r w:rsidRPr="000122C1">
        <w:rPr>
          <w:rFonts w:eastAsia="Aptos" w:cs="Arial"/>
          <w:noProof/>
          <w:sz w:val="22"/>
          <w:lang w:val="en-US"/>
        </w:rPr>
        <w:t xml:space="preserve"> (2nd ed.). Oxford, UK: Oxford University. </w:t>
      </w:r>
    </w:p>
    <w:p w14:paraId="52385BDC" w14:textId="0747FA80" w:rsidR="0030178D" w:rsidRPr="00075790" w:rsidRDefault="0030178D" w:rsidP="0030178D">
      <w:pPr>
        <w:pStyle w:val="EndNoteBibliography"/>
        <w:spacing w:after="0"/>
        <w:ind w:left="720" w:hanging="720"/>
      </w:pPr>
    </w:p>
    <w:p w14:paraId="7AF4AAFB" w14:textId="77777777" w:rsidR="001F0E5E" w:rsidRPr="001F0E5E" w:rsidRDefault="001F0E5E" w:rsidP="001F0E5E">
      <w:pPr>
        <w:spacing w:before="0" w:after="160"/>
        <w:ind w:left="720" w:hanging="720"/>
        <w:rPr>
          <w:rFonts w:eastAsia="Aptos" w:cs="Arial"/>
          <w:noProof/>
          <w:sz w:val="22"/>
          <w:lang w:val="en-US"/>
        </w:rPr>
      </w:pPr>
      <w:r w:rsidRPr="001F0E5E">
        <w:rPr>
          <w:rFonts w:eastAsia="Aptos" w:cs="Arial"/>
          <w:noProof/>
          <w:sz w:val="22"/>
          <w:lang w:val="en-US"/>
        </w:rPr>
        <w:t xml:space="preserve">Marshall, K., Brown, W. H., Conroy, M. A., &amp; Knopf, H. (2017). Early intervention and prevention of disability: Preschoolers. In J. M. Kauffman, D. P. Hallahan, &amp; C. P. Pullen (Eds.), </w:t>
      </w:r>
      <w:r w:rsidRPr="001F0E5E">
        <w:rPr>
          <w:rFonts w:eastAsia="Aptos" w:cs="Arial"/>
          <w:i/>
          <w:noProof/>
          <w:sz w:val="22"/>
          <w:lang w:val="en-US"/>
        </w:rPr>
        <w:t>Handbook of special education</w:t>
      </w:r>
      <w:r w:rsidRPr="001F0E5E">
        <w:rPr>
          <w:rFonts w:eastAsia="Aptos" w:cs="Arial"/>
          <w:noProof/>
          <w:sz w:val="22"/>
          <w:lang w:val="en-US"/>
        </w:rPr>
        <w:t xml:space="preserve"> (2nd ed., pp. 850-864). New York: Routledge. </w:t>
      </w:r>
    </w:p>
    <w:p w14:paraId="17505174" w14:textId="77777777" w:rsidR="001F0E5E" w:rsidRPr="001F0E5E" w:rsidRDefault="001F0E5E" w:rsidP="001F0E5E">
      <w:pPr>
        <w:spacing w:before="0" w:after="0"/>
        <w:ind w:left="720" w:hanging="720"/>
        <w:rPr>
          <w:rFonts w:eastAsia="Aptos" w:cs="Arial"/>
          <w:noProof/>
          <w:sz w:val="22"/>
          <w:lang w:val="en-US"/>
        </w:rPr>
      </w:pPr>
      <w:r w:rsidRPr="001F0E5E">
        <w:rPr>
          <w:rFonts w:eastAsia="Aptos" w:cs="Arial"/>
          <w:noProof/>
          <w:sz w:val="22"/>
          <w:lang w:val="en-US"/>
        </w:rPr>
        <w:tab/>
      </w:r>
    </w:p>
    <w:p w14:paraId="7F5182C3" w14:textId="77777777" w:rsidR="001F0E5E" w:rsidRPr="001F0E5E" w:rsidRDefault="001F0E5E" w:rsidP="001F0E5E">
      <w:pPr>
        <w:spacing w:before="0" w:after="160"/>
        <w:ind w:left="720" w:hanging="720"/>
        <w:rPr>
          <w:rFonts w:eastAsia="Aptos" w:cs="Arial"/>
          <w:noProof/>
          <w:sz w:val="22"/>
          <w:lang w:val="en-US"/>
        </w:rPr>
      </w:pPr>
      <w:r w:rsidRPr="001F0E5E">
        <w:rPr>
          <w:rFonts w:eastAsia="Aptos" w:cs="Arial"/>
          <w:noProof/>
          <w:sz w:val="22"/>
          <w:lang w:val="en-US"/>
        </w:rPr>
        <w:t xml:space="preserve">Maté, G., &amp; Maté, D. (2022). </w:t>
      </w:r>
      <w:r w:rsidRPr="001F0E5E">
        <w:rPr>
          <w:rFonts w:eastAsia="Aptos" w:cs="Arial"/>
          <w:i/>
          <w:noProof/>
          <w:sz w:val="22"/>
          <w:lang w:val="en-US"/>
        </w:rPr>
        <w:t>The myth of normal: Trauma, illness &amp; healing in a toxic culture</w:t>
      </w:r>
      <w:r w:rsidRPr="001F0E5E">
        <w:rPr>
          <w:rFonts w:eastAsia="Aptos" w:cs="Arial"/>
          <w:noProof/>
          <w:sz w:val="22"/>
          <w:lang w:val="en-US"/>
        </w:rPr>
        <w:t xml:space="preserve">. London, UK: Vermillion / Penguin Random House. </w:t>
      </w:r>
    </w:p>
    <w:p w14:paraId="751278CF" w14:textId="77777777" w:rsidR="001F0E5E" w:rsidRPr="001F0E5E" w:rsidRDefault="001F0E5E" w:rsidP="001F0E5E">
      <w:pPr>
        <w:spacing w:before="0" w:after="0"/>
        <w:ind w:left="720" w:hanging="720"/>
        <w:rPr>
          <w:rFonts w:eastAsia="Aptos" w:cs="Arial"/>
          <w:noProof/>
          <w:sz w:val="22"/>
          <w:lang w:val="en-US"/>
        </w:rPr>
      </w:pPr>
      <w:r w:rsidRPr="001F0E5E">
        <w:rPr>
          <w:rFonts w:eastAsia="Aptos" w:cs="Arial"/>
          <w:noProof/>
          <w:sz w:val="22"/>
          <w:lang w:val="en-US"/>
        </w:rPr>
        <w:tab/>
      </w:r>
    </w:p>
    <w:p w14:paraId="60B194B5" w14:textId="262F08E5" w:rsidR="001F0E5E" w:rsidRPr="001F0E5E" w:rsidRDefault="001F0E5E" w:rsidP="001F0E5E">
      <w:pPr>
        <w:spacing w:before="0" w:after="160"/>
        <w:ind w:left="720" w:hanging="720"/>
        <w:rPr>
          <w:rFonts w:eastAsia="Aptos" w:cs="Arial"/>
          <w:noProof/>
          <w:sz w:val="22"/>
          <w:lang w:val="en-US"/>
        </w:rPr>
      </w:pPr>
      <w:r w:rsidRPr="001F0E5E">
        <w:rPr>
          <w:rFonts w:eastAsia="Aptos" w:cs="Arial"/>
          <w:noProof/>
          <w:sz w:val="22"/>
          <w:lang w:val="en-US"/>
        </w:rPr>
        <w:t xml:space="preserve">Matthews, J., Millward, C., Forbes, F., Wade, C., &amp; Seward, A. (2017). </w:t>
      </w:r>
      <w:r w:rsidRPr="001F0E5E">
        <w:rPr>
          <w:rFonts w:eastAsia="Aptos" w:cs="Arial"/>
          <w:i/>
          <w:noProof/>
          <w:sz w:val="22"/>
          <w:lang w:val="en-US"/>
        </w:rPr>
        <w:t>Parenting children with additional needs</w:t>
      </w:r>
      <w:r w:rsidRPr="001F0E5E">
        <w:rPr>
          <w:rFonts w:eastAsia="Aptos" w:cs="Arial"/>
          <w:noProof/>
          <w:sz w:val="22"/>
          <w:lang w:val="en-US"/>
        </w:rPr>
        <w:t xml:space="preserve">. Melbourne, VIC: Parenting Research Centre. Retrieved 6 September, 2024 from </w:t>
      </w:r>
      <w:hyperlink r:id="rId416" w:history="1">
        <w:r w:rsidR="00906A42" w:rsidRPr="001F0E5E">
          <w:rPr>
            <w:rStyle w:val="Hyperlink"/>
            <w:rFonts w:eastAsia="Aptos" w:cs="Arial"/>
            <w:noProof/>
            <w:sz w:val="22"/>
            <w:lang w:val="en-US"/>
          </w:rPr>
          <w:t>https://www.parentingrc.org.au/wpcontent/uploads/2017/11/PITV_Research_Brief_Additional_Needs_Nov2017-1.pdf</w:t>
        </w:r>
      </w:hyperlink>
      <w:r w:rsidR="00906A42">
        <w:rPr>
          <w:rFonts w:eastAsia="Aptos" w:cs="Arial"/>
          <w:noProof/>
          <w:sz w:val="22"/>
          <w:lang w:val="en-US"/>
        </w:rPr>
        <w:t xml:space="preserve"> </w:t>
      </w:r>
      <w:r w:rsidRPr="001F0E5E">
        <w:rPr>
          <w:rFonts w:eastAsia="Aptos" w:cs="Arial"/>
          <w:noProof/>
          <w:sz w:val="22"/>
          <w:lang w:val="en-US"/>
        </w:rPr>
        <w:t xml:space="preserve"> </w:t>
      </w:r>
    </w:p>
    <w:p w14:paraId="17A2D92B" w14:textId="77777777" w:rsidR="001F0E5E" w:rsidRPr="001F0E5E" w:rsidRDefault="001F0E5E" w:rsidP="001F0E5E">
      <w:pPr>
        <w:spacing w:before="0" w:after="0"/>
        <w:ind w:left="720" w:hanging="720"/>
        <w:rPr>
          <w:rFonts w:eastAsia="Aptos" w:cs="Arial"/>
          <w:noProof/>
          <w:sz w:val="22"/>
          <w:lang w:val="en-US"/>
        </w:rPr>
      </w:pPr>
      <w:r w:rsidRPr="001F0E5E">
        <w:rPr>
          <w:rFonts w:eastAsia="Aptos" w:cs="Arial"/>
          <w:noProof/>
          <w:sz w:val="22"/>
          <w:lang w:val="en-US"/>
        </w:rPr>
        <w:tab/>
      </w:r>
    </w:p>
    <w:p w14:paraId="3A21EED6" w14:textId="77777777" w:rsidR="00906A42" w:rsidRDefault="001F0E5E" w:rsidP="001F0E5E">
      <w:pPr>
        <w:spacing w:before="0" w:after="160"/>
        <w:ind w:left="720" w:hanging="720"/>
        <w:rPr>
          <w:rFonts w:eastAsia="Aptos" w:cs="Arial"/>
          <w:noProof/>
          <w:sz w:val="22"/>
          <w:lang w:val="en-US"/>
        </w:rPr>
      </w:pPr>
      <w:r w:rsidRPr="001F0E5E">
        <w:rPr>
          <w:rFonts w:eastAsia="Aptos" w:cs="Arial"/>
          <w:noProof/>
          <w:sz w:val="22"/>
          <w:lang w:val="en-US"/>
        </w:rPr>
        <w:t xml:space="preserve">Maxwell, S., Bower, C., &amp; O'Leary, P. (2015). Impact of prenatal screening and diagnostic testing on trends in Down syndrome births and terminations in Western Australia 1980 to 2013. </w:t>
      </w:r>
      <w:r w:rsidRPr="001F0E5E">
        <w:rPr>
          <w:rFonts w:eastAsia="Aptos" w:cs="Arial"/>
          <w:i/>
          <w:noProof/>
          <w:sz w:val="22"/>
          <w:lang w:val="en-US"/>
        </w:rPr>
        <w:t>Prenatal diagnosis</w:t>
      </w:r>
      <w:r w:rsidRPr="001F0E5E">
        <w:rPr>
          <w:rFonts w:eastAsia="Aptos" w:cs="Arial"/>
          <w:noProof/>
          <w:sz w:val="22"/>
          <w:lang w:val="en-US"/>
        </w:rPr>
        <w:t>,</w:t>
      </w:r>
      <w:r w:rsidRPr="001F0E5E">
        <w:rPr>
          <w:rFonts w:eastAsia="Aptos" w:cs="Arial"/>
          <w:i/>
          <w:noProof/>
          <w:sz w:val="22"/>
          <w:lang w:val="en-US"/>
        </w:rPr>
        <w:t xml:space="preserve"> 35</w:t>
      </w:r>
      <w:r w:rsidRPr="001F0E5E">
        <w:rPr>
          <w:rFonts w:eastAsia="Aptos" w:cs="Arial"/>
          <w:noProof/>
          <w:sz w:val="22"/>
          <w:lang w:val="en-US"/>
        </w:rPr>
        <w:t xml:space="preserve">(13), 1324-1330. </w:t>
      </w:r>
      <w:hyperlink r:id="rId417" w:history="1">
        <w:r w:rsidR="00906A42" w:rsidRPr="001F0E5E">
          <w:rPr>
            <w:rStyle w:val="Hyperlink"/>
            <w:rFonts w:eastAsia="Aptos" w:cs="Arial"/>
            <w:noProof/>
            <w:sz w:val="22"/>
            <w:lang w:val="en-US"/>
          </w:rPr>
          <w:t>https://doi.org/10.1002/pd.4698</w:t>
        </w:r>
      </w:hyperlink>
      <w:r w:rsidR="00906A42">
        <w:rPr>
          <w:rFonts w:eastAsia="Aptos" w:cs="Arial"/>
          <w:noProof/>
          <w:sz w:val="22"/>
          <w:lang w:val="en-US"/>
        </w:rPr>
        <w:t xml:space="preserve"> </w:t>
      </w:r>
    </w:p>
    <w:p w14:paraId="5D72124C" w14:textId="1A333917" w:rsidR="001F0E5E" w:rsidRPr="001F0E5E" w:rsidRDefault="001F0E5E" w:rsidP="001F0E5E">
      <w:pPr>
        <w:spacing w:before="0" w:after="160"/>
        <w:ind w:left="720" w:hanging="720"/>
        <w:rPr>
          <w:rFonts w:eastAsia="Aptos" w:cs="Arial"/>
          <w:noProof/>
          <w:sz w:val="22"/>
          <w:lang w:val="en-US"/>
        </w:rPr>
      </w:pPr>
      <w:r w:rsidRPr="001F0E5E">
        <w:rPr>
          <w:rFonts w:eastAsia="Aptos" w:cs="Arial"/>
          <w:noProof/>
          <w:sz w:val="22"/>
          <w:lang w:val="en-US"/>
        </w:rPr>
        <w:t xml:space="preserve"> </w:t>
      </w:r>
    </w:p>
    <w:p w14:paraId="0F2F6CE6" w14:textId="77777777" w:rsidR="007003A7" w:rsidRPr="007003A7" w:rsidRDefault="007003A7" w:rsidP="007003A7">
      <w:pPr>
        <w:spacing w:before="0" w:after="160"/>
        <w:ind w:left="720" w:hanging="720"/>
        <w:rPr>
          <w:rFonts w:eastAsia="Aptos" w:cs="Arial"/>
          <w:noProof/>
          <w:sz w:val="22"/>
          <w:lang w:val="en-US"/>
        </w:rPr>
      </w:pPr>
      <w:r w:rsidRPr="007003A7">
        <w:rPr>
          <w:rFonts w:eastAsia="Aptos" w:cs="Arial"/>
          <w:noProof/>
          <w:sz w:val="22"/>
          <w:lang w:val="en-US"/>
        </w:rPr>
        <w:t xml:space="preserve">Mayes, L., &amp; Lewis, M. (2012). </w:t>
      </w:r>
      <w:r w:rsidRPr="007003A7">
        <w:rPr>
          <w:rFonts w:eastAsia="Aptos" w:cs="Arial"/>
          <w:i/>
          <w:noProof/>
          <w:sz w:val="22"/>
          <w:lang w:val="en-US"/>
        </w:rPr>
        <w:t>The Cambridge Handbook of Environment in Human Development</w:t>
      </w:r>
      <w:r w:rsidRPr="007003A7">
        <w:rPr>
          <w:rFonts w:eastAsia="Aptos" w:cs="Arial"/>
          <w:noProof/>
          <w:sz w:val="22"/>
          <w:lang w:val="en-US"/>
        </w:rPr>
        <w:t xml:space="preserve">. Cambridge, UK: Cambridge University Press. </w:t>
      </w:r>
    </w:p>
    <w:p w14:paraId="2971635C" w14:textId="77777777" w:rsidR="007003A7" w:rsidRPr="007003A7" w:rsidRDefault="007003A7" w:rsidP="007003A7">
      <w:pPr>
        <w:spacing w:before="0" w:after="0"/>
        <w:ind w:left="720" w:hanging="720"/>
        <w:rPr>
          <w:rFonts w:eastAsia="Aptos" w:cs="Arial"/>
          <w:noProof/>
          <w:sz w:val="22"/>
          <w:lang w:val="en-US"/>
        </w:rPr>
      </w:pPr>
      <w:r w:rsidRPr="007003A7">
        <w:rPr>
          <w:rFonts w:eastAsia="Aptos" w:cs="Arial"/>
          <w:noProof/>
          <w:sz w:val="22"/>
          <w:lang w:val="en-US"/>
        </w:rPr>
        <w:tab/>
      </w:r>
    </w:p>
    <w:p w14:paraId="7DFD95E9" w14:textId="55EF660C" w:rsidR="007003A7" w:rsidRPr="007003A7" w:rsidRDefault="007003A7" w:rsidP="007003A7">
      <w:pPr>
        <w:spacing w:before="0" w:after="160"/>
        <w:ind w:left="720" w:hanging="720"/>
        <w:rPr>
          <w:rFonts w:eastAsia="Aptos" w:cs="Arial"/>
          <w:noProof/>
          <w:sz w:val="22"/>
          <w:lang w:val="en-US"/>
        </w:rPr>
      </w:pPr>
      <w:r w:rsidRPr="007003A7">
        <w:rPr>
          <w:rFonts w:eastAsia="Aptos" w:cs="Arial"/>
          <w:noProof/>
          <w:sz w:val="22"/>
          <w:lang w:val="en-US"/>
        </w:rPr>
        <w:t xml:space="preserve">McBride, B. A., Curtiss, S. J., Uchima, K., Laxman, D. J., Santos, R. M., Weglarz-Ward, J., Dyer, W. J., Jeans, L. M., &amp; Kern, J. (2017). Father involvement in early intervention: Exploring the gap between service providers’ perceptions and practices. </w:t>
      </w:r>
      <w:r w:rsidRPr="007003A7">
        <w:rPr>
          <w:rFonts w:eastAsia="Aptos" w:cs="Arial"/>
          <w:i/>
          <w:noProof/>
          <w:sz w:val="22"/>
          <w:lang w:val="en-US"/>
        </w:rPr>
        <w:t>Journal of Early Intervention</w:t>
      </w:r>
      <w:r w:rsidRPr="007003A7">
        <w:rPr>
          <w:rFonts w:eastAsia="Aptos" w:cs="Arial"/>
          <w:noProof/>
          <w:sz w:val="22"/>
          <w:lang w:val="en-US"/>
        </w:rPr>
        <w:t>,</w:t>
      </w:r>
      <w:r w:rsidRPr="007003A7">
        <w:rPr>
          <w:rFonts w:eastAsia="Aptos" w:cs="Arial"/>
          <w:i/>
          <w:noProof/>
          <w:sz w:val="22"/>
          <w:lang w:val="en-US"/>
        </w:rPr>
        <w:t xml:space="preserve"> 39</w:t>
      </w:r>
      <w:r w:rsidRPr="007003A7">
        <w:rPr>
          <w:rFonts w:eastAsia="Aptos" w:cs="Arial"/>
          <w:noProof/>
          <w:sz w:val="22"/>
          <w:lang w:val="en-US"/>
        </w:rPr>
        <w:t xml:space="preserve">(2), 71-87. </w:t>
      </w:r>
      <w:hyperlink r:id="rId418" w:history="1">
        <w:r w:rsidR="00906A42" w:rsidRPr="007003A7">
          <w:rPr>
            <w:rStyle w:val="Hyperlink"/>
            <w:rFonts w:eastAsia="Aptos" w:cs="Arial"/>
            <w:noProof/>
            <w:sz w:val="22"/>
            <w:lang w:val="en-US"/>
          </w:rPr>
          <w:t>https://doi.org/10.1177/1053815116686118</w:t>
        </w:r>
      </w:hyperlink>
      <w:r w:rsidR="00906A42">
        <w:rPr>
          <w:rFonts w:eastAsia="Aptos" w:cs="Arial"/>
          <w:noProof/>
          <w:sz w:val="22"/>
          <w:lang w:val="en-US"/>
        </w:rPr>
        <w:t xml:space="preserve"> </w:t>
      </w:r>
      <w:r w:rsidRPr="007003A7">
        <w:rPr>
          <w:rFonts w:eastAsia="Aptos" w:cs="Arial"/>
          <w:noProof/>
          <w:sz w:val="22"/>
          <w:lang w:val="en-US"/>
        </w:rPr>
        <w:t xml:space="preserve"> </w:t>
      </w:r>
    </w:p>
    <w:p w14:paraId="046D1584" w14:textId="77777777" w:rsidR="007003A7" w:rsidRPr="007003A7" w:rsidRDefault="007003A7" w:rsidP="007003A7">
      <w:pPr>
        <w:spacing w:before="0" w:after="0"/>
        <w:ind w:left="720" w:hanging="720"/>
        <w:rPr>
          <w:rFonts w:eastAsia="Aptos" w:cs="Arial"/>
          <w:noProof/>
          <w:sz w:val="22"/>
          <w:lang w:val="en-US"/>
        </w:rPr>
      </w:pPr>
      <w:r w:rsidRPr="007003A7">
        <w:rPr>
          <w:rFonts w:eastAsia="Aptos" w:cs="Arial"/>
          <w:noProof/>
          <w:sz w:val="22"/>
          <w:lang w:val="en-US"/>
        </w:rPr>
        <w:tab/>
      </w:r>
    </w:p>
    <w:p w14:paraId="67DF24D2" w14:textId="15A9E192" w:rsidR="007003A7" w:rsidRPr="007003A7" w:rsidRDefault="007003A7" w:rsidP="007003A7">
      <w:pPr>
        <w:spacing w:before="0" w:after="160"/>
        <w:ind w:left="720" w:hanging="720"/>
        <w:rPr>
          <w:rFonts w:eastAsia="Aptos" w:cs="Arial"/>
          <w:noProof/>
          <w:sz w:val="22"/>
          <w:lang w:val="en-US"/>
        </w:rPr>
      </w:pPr>
      <w:r w:rsidRPr="007003A7">
        <w:rPr>
          <w:rFonts w:eastAsia="Aptos" w:cs="Arial"/>
          <w:noProof/>
          <w:sz w:val="22"/>
          <w:lang w:val="en-US"/>
        </w:rPr>
        <w:t>McCarthy, E., &amp; Guerin, S. (2022). Family</w:t>
      </w:r>
      <w:r w:rsidRPr="007003A7">
        <w:rPr>
          <w:rFonts w:ascii="Cambria Math" w:eastAsia="Aptos" w:hAnsi="Cambria Math" w:cs="Cambria Math"/>
          <w:noProof/>
          <w:sz w:val="22"/>
          <w:lang w:val="en-US"/>
        </w:rPr>
        <w:t>‐</w:t>
      </w:r>
      <w:r w:rsidRPr="007003A7">
        <w:rPr>
          <w:rFonts w:eastAsia="Aptos" w:cs="Arial"/>
          <w:noProof/>
          <w:sz w:val="22"/>
          <w:lang w:val="en-US"/>
        </w:rPr>
        <w:t>centred care in early intervention: A systematic review of the processes and outcomes of family</w:t>
      </w:r>
      <w:r w:rsidRPr="007003A7">
        <w:rPr>
          <w:rFonts w:ascii="Cambria Math" w:eastAsia="Aptos" w:hAnsi="Cambria Math" w:cs="Cambria Math"/>
          <w:noProof/>
          <w:sz w:val="22"/>
          <w:lang w:val="en-US"/>
        </w:rPr>
        <w:t>‐</w:t>
      </w:r>
      <w:r w:rsidRPr="007003A7">
        <w:rPr>
          <w:rFonts w:eastAsia="Aptos" w:cs="Arial"/>
          <w:noProof/>
          <w:sz w:val="22"/>
          <w:lang w:val="en-US"/>
        </w:rPr>
        <w:t xml:space="preserve">centred care and impacting factors. </w:t>
      </w:r>
      <w:r w:rsidRPr="007003A7">
        <w:rPr>
          <w:rFonts w:eastAsia="Aptos" w:cs="Arial"/>
          <w:i/>
          <w:noProof/>
          <w:sz w:val="22"/>
          <w:lang w:val="en-US"/>
        </w:rPr>
        <w:t>Child: care, health and development</w:t>
      </w:r>
      <w:r w:rsidRPr="007003A7">
        <w:rPr>
          <w:rFonts w:eastAsia="Aptos" w:cs="Arial"/>
          <w:noProof/>
          <w:sz w:val="22"/>
          <w:lang w:val="en-US"/>
        </w:rPr>
        <w:t>,</w:t>
      </w:r>
      <w:r w:rsidRPr="007003A7">
        <w:rPr>
          <w:rFonts w:eastAsia="Aptos" w:cs="Arial"/>
          <w:i/>
          <w:noProof/>
          <w:sz w:val="22"/>
          <w:lang w:val="en-US"/>
        </w:rPr>
        <w:t xml:space="preserve"> 48</w:t>
      </w:r>
      <w:r w:rsidRPr="007003A7">
        <w:rPr>
          <w:rFonts w:eastAsia="Aptos" w:cs="Arial"/>
          <w:noProof/>
          <w:sz w:val="22"/>
          <w:lang w:val="en-US"/>
        </w:rPr>
        <w:t xml:space="preserve">(1), 1-32. </w:t>
      </w:r>
      <w:hyperlink r:id="rId419" w:history="1">
        <w:r w:rsidR="00906A42" w:rsidRPr="007003A7">
          <w:rPr>
            <w:rStyle w:val="Hyperlink"/>
            <w:rFonts w:eastAsia="Aptos" w:cs="Arial"/>
            <w:noProof/>
            <w:sz w:val="22"/>
            <w:lang w:val="en-US"/>
          </w:rPr>
          <w:t>https://doi.org/10.1111/cch.12901</w:t>
        </w:r>
      </w:hyperlink>
      <w:r w:rsidR="00906A42">
        <w:rPr>
          <w:rFonts w:eastAsia="Aptos" w:cs="Arial"/>
          <w:noProof/>
          <w:sz w:val="22"/>
          <w:lang w:val="en-US"/>
        </w:rPr>
        <w:t xml:space="preserve"> </w:t>
      </w:r>
      <w:r w:rsidRPr="007003A7">
        <w:rPr>
          <w:rFonts w:eastAsia="Aptos" w:cs="Arial"/>
          <w:noProof/>
          <w:sz w:val="22"/>
          <w:lang w:val="en-US"/>
        </w:rPr>
        <w:t xml:space="preserve"> </w:t>
      </w:r>
    </w:p>
    <w:p w14:paraId="76946B25" w14:textId="77777777" w:rsidR="007003A7" w:rsidRPr="007003A7" w:rsidRDefault="007003A7" w:rsidP="007003A7">
      <w:pPr>
        <w:spacing w:before="0" w:after="0"/>
        <w:ind w:left="720" w:hanging="720"/>
        <w:rPr>
          <w:rFonts w:eastAsia="Aptos" w:cs="Arial"/>
          <w:noProof/>
          <w:sz w:val="22"/>
          <w:lang w:val="en-US"/>
        </w:rPr>
      </w:pPr>
      <w:r w:rsidRPr="007003A7">
        <w:rPr>
          <w:rFonts w:eastAsia="Aptos" w:cs="Arial"/>
          <w:noProof/>
          <w:sz w:val="22"/>
          <w:lang w:val="en-US"/>
        </w:rPr>
        <w:tab/>
      </w:r>
    </w:p>
    <w:p w14:paraId="36DF68FF" w14:textId="77777777" w:rsidR="007003A7" w:rsidRPr="007003A7" w:rsidRDefault="007003A7" w:rsidP="007003A7">
      <w:pPr>
        <w:spacing w:before="0" w:after="160"/>
        <w:ind w:left="720" w:hanging="720"/>
        <w:rPr>
          <w:rFonts w:eastAsia="Aptos" w:cs="Arial"/>
          <w:noProof/>
          <w:sz w:val="22"/>
          <w:lang w:val="en-US"/>
        </w:rPr>
      </w:pPr>
      <w:r w:rsidRPr="007003A7">
        <w:rPr>
          <w:rFonts w:eastAsia="Aptos" w:cs="Arial"/>
          <w:noProof/>
          <w:sz w:val="22"/>
          <w:lang w:val="en-US"/>
        </w:rPr>
        <w:t xml:space="preserve">McCarthy, J., &amp; Rose, P. (2010). </w:t>
      </w:r>
      <w:r w:rsidRPr="007003A7">
        <w:rPr>
          <w:rFonts w:eastAsia="Aptos" w:cs="Arial"/>
          <w:i/>
          <w:noProof/>
          <w:sz w:val="22"/>
          <w:lang w:val="en-US"/>
        </w:rPr>
        <w:t>Values-based health &amp; social care: beyond evidence-based practice</w:t>
      </w:r>
      <w:r w:rsidRPr="007003A7">
        <w:rPr>
          <w:rFonts w:eastAsia="Aptos" w:cs="Arial"/>
          <w:noProof/>
          <w:sz w:val="22"/>
          <w:lang w:val="en-US"/>
        </w:rPr>
        <w:t xml:space="preserve">. London, UK: Sage Publications. </w:t>
      </w:r>
    </w:p>
    <w:p w14:paraId="33CBD089" w14:textId="77777777" w:rsidR="007003A7" w:rsidRPr="007003A7" w:rsidRDefault="007003A7" w:rsidP="007003A7">
      <w:pPr>
        <w:spacing w:before="0" w:after="0"/>
        <w:ind w:left="720" w:hanging="720"/>
        <w:rPr>
          <w:rFonts w:eastAsia="Aptos" w:cs="Arial"/>
          <w:noProof/>
          <w:sz w:val="22"/>
          <w:lang w:val="en-US"/>
        </w:rPr>
      </w:pPr>
      <w:r w:rsidRPr="007003A7">
        <w:rPr>
          <w:rFonts w:eastAsia="Aptos" w:cs="Arial"/>
          <w:noProof/>
          <w:sz w:val="22"/>
          <w:lang w:val="en-US"/>
        </w:rPr>
        <w:tab/>
      </w:r>
    </w:p>
    <w:p w14:paraId="2D0BDFB4" w14:textId="77777777" w:rsidR="007003A7" w:rsidRDefault="007003A7" w:rsidP="007003A7">
      <w:pPr>
        <w:spacing w:before="0" w:after="160"/>
        <w:ind w:left="720" w:hanging="720"/>
        <w:rPr>
          <w:rFonts w:eastAsia="Aptos" w:cs="Arial"/>
          <w:noProof/>
          <w:sz w:val="22"/>
          <w:lang w:val="en-US"/>
        </w:rPr>
      </w:pPr>
      <w:r w:rsidRPr="00C358B2">
        <w:rPr>
          <w:rFonts w:eastAsia="Aptos" w:cs="Arial"/>
          <w:noProof/>
          <w:sz w:val="22"/>
          <w:lang w:val="en-US"/>
        </w:rPr>
        <w:t xml:space="preserve">McColgan, M., &amp; McMullin, C. (2017). </w:t>
      </w:r>
      <w:r w:rsidRPr="00C358B2">
        <w:rPr>
          <w:rFonts w:eastAsia="Aptos" w:cs="Arial"/>
          <w:i/>
          <w:noProof/>
          <w:sz w:val="22"/>
          <w:lang w:val="en-US"/>
        </w:rPr>
        <w:t>Doing Relationship-Based Social Work: A Practical Guide to Building Relationships and Enabling Change</w:t>
      </w:r>
      <w:r w:rsidRPr="00C358B2">
        <w:rPr>
          <w:rFonts w:eastAsia="Aptos" w:cs="Arial"/>
          <w:noProof/>
          <w:sz w:val="22"/>
          <w:lang w:val="en-US"/>
        </w:rPr>
        <w:t>. London, UK: Jessica Kingsley.</w:t>
      </w:r>
      <w:r w:rsidRPr="007003A7">
        <w:rPr>
          <w:rFonts w:eastAsia="Aptos" w:cs="Arial"/>
          <w:noProof/>
          <w:sz w:val="22"/>
          <w:lang w:val="en-US"/>
        </w:rPr>
        <w:t xml:space="preserve"> </w:t>
      </w:r>
    </w:p>
    <w:p w14:paraId="4193C07C" w14:textId="77777777" w:rsidR="00906A42" w:rsidRPr="007003A7" w:rsidRDefault="00906A42" w:rsidP="007003A7">
      <w:pPr>
        <w:spacing w:before="0" w:after="160"/>
        <w:ind w:left="720" w:hanging="720"/>
        <w:rPr>
          <w:rFonts w:eastAsia="Aptos" w:cs="Arial"/>
          <w:noProof/>
          <w:sz w:val="22"/>
          <w:lang w:val="en-US"/>
        </w:rPr>
      </w:pPr>
    </w:p>
    <w:p w14:paraId="61C14093" w14:textId="666444E4" w:rsidR="009A13A9" w:rsidRPr="009A13A9" w:rsidRDefault="009A13A9" w:rsidP="009A13A9">
      <w:pPr>
        <w:spacing w:before="0" w:after="160"/>
        <w:ind w:left="720" w:hanging="720"/>
        <w:rPr>
          <w:rFonts w:eastAsia="Aptos" w:cs="Arial"/>
          <w:noProof/>
          <w:sz w:val="22"/>
          <w:lang w:val="en-US"/>
        </w:rPr>
      </w:pPr>
      <w:r w:rsidRPr="009A13A9">
        <w:rPr>
          <w:rFonts w:eastAsia="Aptos" w:cs="Arial"/>
          <w:noProof/>
          <w:sz w:val="22"/>
          <w:lang w:val="en-US"/>
        </w:rPr>
        <w:t xml:space="preserve">McConachie, H., Parr, J. R., Glod, M., Hanratty, J., Livingstone, N., Oono, I. P., Robalino, S., Baird, G., Beresford, B., &amp; Charman, T. (2015). Systematic review of tools to measure outcomes for young children with autism spectrum disorder. </w:t>
      </w:r>
      <w:r w:rsidRPr="009A13A9">
        <w:rPr>
          <w:rFonts w:eastAsia="Aptos" w:cs="Arial"/>
          <w:i/>
          <w:noProof/>
          <w:sz w:val="22"/>
          <w:lang w:val="en-US"/>
        </w:rPr>
        <w:t>Health Technology Assessment</w:t>
      </w:r>
      <w:r w:rsidRPr="009A13A9">
        <w:rPr>
          <w:rFonts w:eastAsia="Aptos" w:cs="Arial"/>
          <w:noProof/>
          <w:sz w:val="22"/>
          <w:lang w:val="en-US"/>
        </w:rPr>
        <w:t>,</w:t>
      </w:r>
      <w:r w:rsidRPr="009A13A9">
        <w:rPr>
          <w:rFonts w:eastAsia="Aptos" w:cs="Arial"/>
          <w:i/>
          <w:noProof/>
          <w:sz w:val="22"/>
          <w:lang w:val="en-US"/>
        </w:rPr>
        <w:t xml:space="preserve"> 19</w:t>
      </w:r>
      <w:r w:rsidRPr="009A13A9">
        <w:rPr>
          <w:rFonts w:eastAsia="Aptos" w:cs="Arial"/>
          <w:noProof/>
          <w:sz w:val="22"/>
          <w:lang w:val="en-US"/>
        </w:rPr>
        <w:t xml:space="preserve">(41), 1-506. </w:t>
      </w:r>
      <w:hyperlink r:id="rId420" w:history="1">
        <w:r w:rsidR="00CB2B49" w:rsidRPr="009A13A9">
          <w:rPr>
            <w:rStyle w:val="Hyperlink"/>
            <w:rFonts w:eastAsia="Aptos" w:cs="Arial"/>
            <w:noProof/>
            <w:sz w:val="22"/>
            <w:lang w:val="en-US"/>
          </w:rPr>
          <w:t>https://doi.org/10.3310/hta19410</w:t>
        </w:r>
      </w:hyperlink>
      <w:r w:rsidR="00CB2B49">
        <w:rPr>
          <w:rFonts w:eastAsia="Aptos" w:cs="Arial"/>
          <w:noProof/>
          <w:sz w:val="22"/>
          <w:lang w:val="en-US"/>
        </w:rPr>
        <w:t xml:space="preserve"> </w:t>
      </w:r>
      <w:r w:rsidRPr="009A13A9">
        <w:rPr>
          <w:rFonts w:eastAsia="Aptos" w:cs="Arial"/>
          <w:noProof/>
          <w:sz w:val="22"/>
          <w:lang w:val="en-US"/>
        </w:rPr>
        <w:t xml:space="preserve"> </w:t>
      </w:r>
    </w:p>
    <w:p w14:paraId="4DD736AC" w14:textId="77777777" w:rsidR="009A13A9" w:rsidRPr="009A13A9" w:rsidRDefault="009A13A9" w:rsidP="009A13A9">
      <w:pPr>
        <w:spacing w:before="0" w:after="0"/>
        <w:ind w:left="720" w:hanging="720"/>
        <w:rPr>
          <w:rFonts w:eastAsia="Aptos" w:cs="Arial"/>
          <w:noProof/>
          <w:sz w:val="22"/>
          <w:lang w:val="en-US"/>
        </w:rPr>
      </w:pPr>
      <w:r w:rsidRPr="009A13A9">
        <w:rPr>
          <w:rFonts w:eastAsia="Aptos" w:cs="Arial"/>
          <w:noProof/>
          <w:sz w:val="22"/>
          <w:lang w:val="en-US"/>
        </w:rPr>
        <w:tab/>
      </w:r>
    </w:p>
    <w:p w14:paraId="54593435" w14:textId="117341CF" w:rsidR="009A13A9" w:rsidRPr="009A13A9" w:rsidRDefault="009A13A9" w:rsidP="009A13A9">
      <w:pPr>
        <w:spacing w:before="0" w:after="160"/>
        <w:ind w:left="720" w:hanging="720"/>
        <w:rPr>
          <w:rFonts w:eastAsia="Aptos" w:cs="Arial"/>
          <w:noProof/>
          <w:sz w:val="22"/>
          <w:lang w:val="en-US"/>
        </w:rPr>
      </w:pPr>
      <w:r w:rsidRPr="009A13A9">
        <w:rPr>
          <w:rFonts w:eastAsia="Aptos" w:cs="Arial"/>
          <w:noProof/>
          <w:sz w:val="22"/>
          <w:lang w:val="en-US"/>
        </w:rPr>
        <w:t xml:space="preserve">McConnell, D., Parakkal, M., Savage, A., &amp; Rempel, G. (2015). Parent-mediated intervention: adherence and adverse effects. </w:t>
      </w:r>
      <w:r w:rsidRPr="009A13A9">
        <w:rPr>
          <w:rFonts w:eastAsia="Aptos" w:cs="Arial"/>
          <w:i/>
          <w:noProof/>
          <w:sz w:val="22"/>
          <w:lang w:val="en-US"/>
        </w:rPr>
        <w:t>Disability and Rehabilitation</w:t>
      </w:r>
      <w:r w:rsidRPr="009A13A9">
        <w:rPr>
          <w:rFonts w:eastAsia="Aptos" w:cs="Arial"/>
          <w:noProof/>
          <w:sz w:val="22"/>
          <w:lang w:val="en-US"/>
        </w:rPr>
        <w:t>,</w:t>
      </w:r>
      <w:r w:rsidRPr="009A13A9">
        <w:rPr>
          <w:rFonts w:eastAsia="Aptos" w:cs="Arial"/>
          <w:i/>
          <w:noProof/>
          <w:sz w:val="22"/>
          <w:lang w:val="en-US"/>
        </w:rPr>
        <w:t xml:space="preserve"> 37</w:t>
      </w:r>
      <w:r w:rsidRPr="009A13A9">
        <w:rPr>
          <w:rFonts w:eastAsia="Aptos" w:cs="Arial"/>
          <w:noProof/>
          <w:sz w:val="22"/>
          <w:lang w:val="en-US"/>
        </w:rPr>
        <w:t xml:space="preserve">(10), 864-872. </w:t>
      </w:r>
      <w:hyperlink r:id="rId421" w:history="1">
        <w:r w:rsidR="00CB2B49" w:rsidRPr="009A13A9">
          <w:rPr>
            <w:rStyle w:val="Hyperlink"/>
            <w:rFonts w:eastAsia="Aptos" w:cs="Arial"/>
            <w:noProof/>
            <w:sz w:val="22"/>
            <w:lang w:val="en-US"/>
          </w:rPr>
          <w:t>https://doi.org/10.3109/09638288.2014.946157</w:t>
        </w:r>
      </w:hyperlink>
      <w:r w:rsidR="00CB2B49">
        <w:rPr>
          <w:rFonts w:eastAsia="Aptos" w:cs="Arial"/>
          <w:noProof/>
          <w:sz w:val="22"/>
          <w:lang w:val="en-US"/>
        </w:rPr>
        <w:t xml:space="preserve"> </w:t>
      </w:r>
      <w:r w:rsidRPr="009A13A9">
        <w:rPr>
          <w:rFonts w:eastAsia="Aptos" w:cs="Arial"/>
          <w:noProof/>
          <w:sz w:val="22"/>
          <w:lang w:val="en-US"/>
        </w:rPr>
        <w:t xml:space="preserve"> </w:t>
      </w:r>
    </w:p>
    <w:p w14:paraId="7D34B948" w14:textId="77777777" w:rsidR="009A13A9" w:rsidRPr="009A13A9" w:rsidRDefault="009A13A9" w:rsidP="009A13A9">
      <w:pPr>
        <w:spacing w:before="0" w:after="0"/>
        <w:ind w:left="720" w:hanging="720"/>
        <w:rPr>
          <w:rFonts w:eastAsia="Aptos" w:cs="Arial"/>
          <w:noProof/>
          <w:sz w:val="22"/>
          <w:lang w:val="en-US"/>
        </w:rPr>
      </w:pPr>
      <w:r w:rsidRPr="009A13A9">
        <w:rPr>
          <w:rFonts w:eastAsia="Aptos" w:cs="Arial"/>
          <w:noProof/>
          <w:sz w:val="22"/>
          <w:lang w:val="en-US"/>
        </w:rPr>
        <w:tab/>
      </w:r>
    </w:p>
    <w:p w14:paraId="6AB4EBCD" w14:textId="272AFE7E" w:rsidR="009A13A9" w:rsidRPr="009A13A9" w:rsidRDefault="009A13A9" w:rsidP="009A13A9">
      <w:pPr>
        <w:spacing w:before="0" w:after="160"/>
        <w:ind w:left="720" w:hanging="720"/>
        <w:rPr>
          <w:rFonts w:eastAsia="Aptos" w:cs="Arial"/>
          <w:noProof/>
          <w:sz w:val="22"/>
          <w:lang w:val="en-US"/>
        </w:rPr>
      </w:pPr>
      <w:r w:rsidRPr="009A13A9">
        <w:rPr>
          <w:rFonts w:eastAsia="Aptos" w:cs="Arial"/>
          <w:noProof/>
          <w:sz w:val="22"/>
          <w:lang w:val="en-US"/>
        </w:rPr>
        <w:t xml:space="preserve">McDonald, M., Davis, K., &amp; Mahar, N. (2016). When funding meets practice: The fate of contemporary therapeutic approaches and self-determination in a consumer-centred disability funding scheme. </w:t>
      </w:r>
      <w:r w:rsidRPr="009A13A9">
        <w:rPr>
          <w:rFonts w:eastAsia="Aptos" w:cs="Arial"/>
          <w:i/>
          <w:noProof/>
          <w:sz w:val="22"/>
          <w:lang w:val="en-US"/>
        </w:rPr>
        <w:t>Journal of Policy and Practice in Intellectual Disabilities</w:t>
      </w:r>
      <w:r w:rsidRPr="009A13A9">
        <w:rPr>
          <w:rFonts w:eastAsia="Aptos" w:cs="Arial"/>
          <w:noProof/>
          <w:sz w:val="22"/>
          <w:lang w:val="en-US"/>
        </w:rPr>
        <w:t>,</w:t>
      </w:r>
      <w:r w:rsidRPr="009A13A9">
        <w:rPr>
          <w:rFonts w:eastAsia="Aptos" w:cs="Arial"/>
          <w:i/>
          <w:noProof/>
          <w:sz w:val="22"/>
          <w:lang w:val="en-US"/>
        </w:rPr>
        <w:t xml:space="preserve"> 13</w:t>
      </w:r>
      <w:r w:rsidRPr="009A13A9">
        <w:rPr>
          <w:rFonts w:eastAsia="Aptos" w:cs="Arial"/>
          <w:noProof/>
          <w:sz w:val="22"/>
          <w:lang w:val="en-US"/>
        </w:rPr>
        <w:t xml:space="preserve">(4), 277-286. </w:t>
      </w:r>
      <w:hyperlink r:id="rId422" w:history="1">
        <w:r w:rsidR="00CB2B49" w:rsidRPr="009A13A9">
          <w:rPr>
            <w:rStyle w:val="Hyperlink"/>
            <w:rFonts w:eastAsia="Aptos" w:cs="Arial"/>
            <w:noProof/>
            <w:sz w:val="22"/>
            <w:lang w:val="en-US"/>
          </w:rPr>
          <w:t>https://doi.org/https://doi.org/10.1111/jppi.12195</w:t>
        </w:r>
      </w:hyperlink>
      <w:r w:rsidR="00CB2B49">
        <w:rPr>
          <w:rFonts w:eastAsia="Aptos" w:cs="Arial"/>
          <w:noProof/>
          <w:sz w:val="22"/>
          <w:lang w:val="en-US"/>
        </w:rPr>
        <w:t xml:space="preserve"> </w:t>
      </w:r>
      <w:r w:rsidRPr="009A13A9">
        <w:rPr>
          <w:rFonts w:eastAsia="Aptos" w:cs="Arial"/>
          <w:noProof/>
          <w:sz w:val="22"/>
          <w:lang w:val="en-US"/>
        </w:rPr>
        <w:t xml:space="preserve"> </w:t>
      </w:r>
    </w:p>
    <w:p w14:paraId="39C70000" w14:textId="77777777" w:rsidR="009A13A9" w:rsidRPr="009A13A9" w:rsidRDefault="009A13A9" w:rsidP="009A13A9">
      <w:pPr>
        <w:spacing w:before="0" w:after="0"/>
        <w:ind w:left="720" w:hanging="720"/>
        <w:rPr>
          <w:rFonts w:eastAsia="Aptos" w:cs="Arial"/>
          <w:noProof/>
          <w:sz w:val="22"/>
          <w:lang w:val="en-US"/>
        </w:rPr>
      </w:pPr>
      <w:r w:rsidRPr="009A13A9">
        <w:rPr>
          <w:rFonts w:eastAsia="Aptos" w:cs="Arial"/>
          <w:noProof/>
          <w:sz w:val="22"/>
          <w:lang w:val="en-US"/>
        </w:rPr>
        <w:tab/>
      </w:r>
    </w:p>
    <w:p w14:paraId="2257C263" w14:textId="5B227CEC" w:rsidR="009A13A9" w:rsidRPr="009A13A9" w:rsidRDefault="009A13A9" w:rsidP="009A13A9">
      <w:pPr>
        <w:spacing w:before="0" w:after="160"/>
        <w:ind w:left="720" w:hanging="720"/>
        <w:rPr>
          <w:rFonts w:eastAsia="Aptos" w:cs="Arial"/>
          <w:noProof/>
          <w:sz w:val="22"/>
          <w:lang w:val="en-US"/>
        </w:rPr>
      </w:pPr>
      <w:r w:rsidRPr="009A13A9">
        <w:rPr>
          <w:rFonts w:eastAsia="Aptos" w:cs="Arial"/>
          <w:noProof/>
          <w:sz w:val="22"/>
          <w:lang w:val="en-US"/>
        </w:rPr>
        <w:t xml:space="preserve">McDonald, N. M., Hyde, C., Choi, A. B., Gulsrud, A. C., Kasari, C., Nelson, C. A., &amp; Jeste, S. S. (2020). Improving developmental abilities in infants with tuberous sclerosis complex: A pilot behavioral intervention study. </w:t>
      </w:r>
      <w:r w:rsidRPr="009A13A9">
        <w:rPr>
          <w:rFonts w:eastAsia="Aptos" w:cs="Arial"/>
          <w:i/>
          <w:noProof/>
          <w:sz w:val="22"/>
          <w:lang w:val="en-US"/>
        </w:rPr>
        <w:t>Infants &amp; Young Children</w:t>
      </w:r>
      <w:r w:rsidRPr="009A13A9">
        <w:rPr>
          <w:rFonts w:eastAsia="Aptos" w:cs="Arial"/>
          <w:noProof/>
          <w:sz w:val="22"/>
          <w:lang w:val="en-US"/>
        </w:rPr>
        <w:t>,</w:t>
      </w:r>
      <w:r w:rsidRPr="009A13A9">
        <w:rPr>
          <w:rFonts w:eastAsia="Aptos" w:cs="Arial"/>
          <w:i/>
          <w:noProof/>
          <w:sz w:val="22"/>
          <w:lang w:val="en-US"/>
        </w:rPr>
        <w:t xml:space="preserve"> 33</w:t>
      </w:r>
      <w:r w:rsidRPr="009A13A9">
        <w:rPr>
          <w:rFonts w:eastAsia="Aptos" w:cs="Arial"/>
          <w:noProof/>
          <w:sz w:val="22"/>
          <w:lang w:val="en-US"/>
        </w:rPr>
        <w:t xml:space="preserve">(2), 108-118. </w:t>
      </w:r>
      <w:hyperlink r:id="rId423" w:history="1">
        <w:r w:rsidR="00CB2B49" w:rsidRPr="009A13A9">
          <w:rPr>
            <w:rStyle w:val="Hyperlink"/>
            <w:rFonts w:eastAsia="Aptos" w:cs="Arial"/>
            <w:noProof/>
            <w:sz w:val="22"/>
            <w:lang w:val="en-US"/>
          </w:rPr>
          <w:t>https://doi.org/https://dx.doi.org/10.1097/IYC.0000000000000160</w:t>
        </w:r>
      </w:hyperlink>
      <w:r w:rsidR="00CB2B49">
        <w:rPr>
          <w:rFonts w:eastAsia="Aptos" w:cs="Arial"/>
          <w:noProof/>
          <w:sz w:val="22"/>
          <w:lang w:val="en-US"/>
        </w:rPr>
        <w:t xml:space="preserve"> </w:t>
      </w:r>
      <w:r w:rsidRPr="009A13A9">
        <w:rPr>
          <w:rFonts w:eastAsia="Aptos" w:cs="Arial"/>
          <w:noProof/>
          <w:sz w:val="22"/>
          <w:lang w:val="en-US"/>
        </w:rPr>
        <w:t xml:space="preserve"> </w:t>
      </w:r>
    </w:p>
    <w:p w14:paraId="1BC92742" w14:textId="77777777" w:rsidR="009A13A9" w:rsidRPr="009A13A9" w:rsidRDefault="009A13A9" w:rsidP="009A13A9">
      <w:pPr>
        <w:spacing w:before="0" w:after="0"/>
        <w:ind w:left="720" w:hanging="720"/>
        <w:rPr>
          <w:rFonts w:eastAsia="Aptos" w:cs="Arial"/>
          <w:noProof/>
          <w:sz w:val="22"/>
          <w:lang w:val="en-US"/>
        </w:rPr>
      </w:pPr>
      <w:r w:rsidRPr="009A13A9">
        <w:rPr>
          <w:rFonts w:eastAsia="Aptos" w:cs="Arial"/>
          <w:noProof/>
          <w:sz w:val="22"/>
          <w:lang w:val="en-US"/>
        </w:rPr>
        <w:tab/>
      </w:r>
    </w:p>
    <w:p w14:paraId="0EF3D9E8" w14:textId="0E6A0730" w:rsidR="009A13A9" w:rsidRDefault="009A13A9" w:rsidP="009A13A9">
      <w:pPr>
        <w:spacing w:before="0" w:after="160"/>
        <w:ind w:left="720" w:hanging="720"/>
        <w:rPr>
          <w:rFonts w:eastAsia="Aptos" w:cs="Arial"/>
          <w:noProof/>
          <w:sz w:val="22"/>
          <w:lang w:val="en-US"/>
        </w:rPr>
      </w:pPr>
      <w:r w:rsidRPr="009A13A9">
        <w:rPr>
          <w:rFonts w:eastAsia="Aptos" w:cs="Arial"/>
          <w:noProof/>
          <w:sz w:val="22"/>
          <w:lang w:val="en-US"/>
        </w:rPr>
        <w:t xml:space="preserve">McDowell, M. (2018). Child with multiple problems: Clinical complexity and uncertainty. </w:t>
      </w:r>
      <w:r w:rsidRPr="009A13A9">
        <w:rPr>
          <w:rFonts w:eastAsia="Aptos" w:cs="Arial"/>
          <w:i/>
          <w:noProof/>
          <w:sz w:val="22"/>
          <w:lang w:val="en-US"/>
        </w:rPr>
        <w:t>Journal of Paediatrics and Child Health</w:t>
      </w:r>
      <w:r w:rsidRPr="009A13A9">
        <w:rPr>
          <w:rFonts w:eastAsia="Aptos" w:cs="Arial"/>
          <w:noProof/>
          <w:sz w:val="22"/>
          <w:lang w:val="en-US"/>
        </w:rPr>
        <w:t>,</w:t>
      </w:r>
      <w:r w:rsidRPr="009A13A9">
        <w:rPr>
          <w:rFonts w:eastAsia="Aptos" w:cs="Arial"/>
          <w:i/>
          <w:noProof/>
          <w:sz w:val="22"/>
          <w:lang w:val="en-US"/>
        </w:rPr>
        <w:t xml:space="preserve"> 54</w:t>
      </w:r>
      <w:r w:rsidRPr="009A13A9">
        <w:rPr>
          <w:rFonts w:eastAsia="Aptos" w:cs="Arial"/>
          <w:noProof/>
          <w:sz w:val="22"/>
          <w:lang w:val="en-US"/>
        </w:rPr>
        <w:t xml:space="preserve">(10), 1084-1089. </w:t>
      </w:r>
      <w:hyperlink r:id="rId424" w:history="1">
        <w:r w:rsidR="00906A42" w:rsidRPr="009A13A9">
          <w:rPr>
            <w:rStyle w:val="Hyperlink"/>
            <w:rFonts w:eastAsia="Aptos" w:cs="Arial"/>
            <w:noProof/>
            <w:sz w:val="22"/>
            <w:lang w:val="en-US"/>
          </w:rPr>
          <w:t>https://doi.org/10.1111/jpc.14151</w:t>
        </w:r>
      </w:hyperlink>
      <w:r w:rsidRPr="009A13A9">
        <w:rPr>
          <w:rFonts w:eastAsia="Aptos" w:cs="Arial"/>
          <w:noProof/>
          <w:sz w:val="22"/>
          <w:lang w:val="en-US"/>
        </w:rPr>
        <w:t xml:space="preserve"> </w:t>
      </w:r>
    </w:p>
    <w:p w14:paraId="77FC7C6F" w14:textId="77777777" w:rsidR="00906A42" w:rsidRPr="009A13A9" w:rsidRDefault="00906A42" w:rsidP="009A13A9">
      <w:pPr>
        <w:spacing w:before="0" w:after="160"/>
        <w:ind w:left="720" w:hanging="720"/>
        <w:rPr>
          <w:rFonts w:eastAsia="Aptos" w:cs="Arial"/>
          <w:noProof/>
          <w:sz w:val="22"/>
          <w:lang w:val="en-US"/>
        </w:rPr>
      </w:pPr>
    </w:p>
    <w:p w14:paraId="7C1CDD08" w14:textId="777AB8A3" w:rsidR="0034394B" w:rsidRPr="0034394B" w:rsidRDefault="0034394B" w:rsidP="0034394B">
      <w:pPr>
        <w:spacing w:before="0" w:after="160"/>
        <w:ind w:left="720" w:hanging="720"/>
        <w:rPr>
          <w:rFonts w:eastAsia="Aptos" w:cs="Arial"/>
          <w:noProof/>
          <w:sz w:val="22"/>
          <w:lang w:val="en-US"/>
        </w:rPr>
      </w:pPr>
      <w:r w:rsidRPr="0034394B">
        <w:rPr>
          <w:rFonts w:eastAsia="Aptos" w:cs="Arial"/>
          <w:noProof/>
          <w:sz w:val="22"/>
          <w:lang w:val="en-US"/>
        </w:rPr>
        <w:t xml:space="preserve">McIntyre, L. L., Kunze, M., Barton, H., &amp; Luehring, M. (2021). Early intervention for children with intellectual and developmental disabilities. In L. M. Glidden, L. Abbeduto, L. L. McIntyre, &amp; M. J. Tassé (Eds.), </w:t>
      </w:r>
      <w:r w:rsidRPr="0034394B">
        <w:rPr>
          <w:rFonts w:eastAsia="Aptos" w:cs="Arial"/>
          <w:i/>
          <w:noProof/>
          <w:sz w:val="22"/>
          <w:lang w:val="en-US"/>
        </w:rPr>
        <w:t xml:space="preserve">APA handbook of intellectual and developmental disabilities: Clinical and educational implications: Prevention, intervention, and treatment </w:t>
      </w:r>
      <w:r w:rsidRPr="0034394B">
        <w:rPr>
          <w:rFonts w:eastAsia="Aptos" w:cs="Arial"/>
          <w:noProof/>
          <w:sz w:val="22"/>
          <w:lang w:val="en-US"/>
        </w:rPr>
        <w:t xml:space="preserve">(pp. 3-22). American Psychological Association. </w:t>
      </w:r>
      <w:hyperlink r:id="rId425" w:history="1">
        <w:r w:rsidR="00906A42" w:rsidRPr="0034394B">
          <w:rPr>
            <w:rStyle w:val="Hyperlink"/>
            <w:rFonts w:eastAsia="Aptos" w:cs="Arial"/>
            <w:noProof/>
            <w:sz w:val="22"/>
            <w:lang w:val="en-US"/>
          </w:rPr>
          <w:t>https://doi.org/10.1037/0000195-001</w:t>
        </w:r>
      </w:hyperlink>
      <w:r w:rsidR="00906A42">
        <w:rPr>
          <w:rFonts w:eastAsia="Aptos" w:cs="Arial"/>
          <w:noProof/>
          <w:sz w:val="22"/>
          <w:lang w:val="en-US"/>
        </w:rPr>
        <w:t xml:space="preserve"> </w:t>
      </w:r>
      <w:r w:rsidRPr="0034394B">
        <w:rPr>
          <w:rFonts w:eastAsia="Aptos" w:cs="Arial"/>
          <w:noProof/>
          <w:sz w:val="22"/>
          <w:lang w:val="en-US"/>
        </w:rPr>
        <w:t xml:space="preserve"> </w:t>
      </w:r>
    </w:p>
    <w:p w14:paraId="0BDA97AE" w14:textId="7A98C5C5" w:rsidR="0030178D" w:rsidRPr="00075790" w:rsidRDefault="0030178D" w:rsidP="0030178D">
      <w:pPr>
        <w:pStyle w:val="EndNoteBibliography"/>
        <w:spacing w:after="0"/>
        <w:ind w:left="720" w:hanging="720"/>
      </w:pPr>
    </w:p>
    <w:p w14:paraId="04F498ED" w14:textId="28BB89A4" w:rsidR="00906A42" w:rsidRPr="00D96A04" w:rsidRDefault="00D96A04" w:rsidP="00906A42">
      <w:pPr>
        <w:spacing w:before="0" w:after="160"/>
        <w:ind w:left="720" w:hanging="720"/>
        <w:rPr>
          <w:rFonts w:eastAsia="Aptos" w:cs="Arial"/>
          <w:noProof/>
          <w:sz w:val="22"/>
          <w:lang w:val="en-US"/>
        </w:rPr>
      </w:pPr>
      <w:r w:rsidRPr="00D96A04">
        <w:rPr>
          <w:rFonts w:eastAsia="Aptos" w:cs="Arial"/>
          <w:noProof/>
          <w:sz w:val="22"/>
          <w:lang w:val="en-US"/>
        </w:rPr>
        <w:t xml:space="preserve">McKay, S. (2023). </w:t>
      </w:r>
      <w:r w:rsidRPr="00D96A04">
        <w:rPr>
          <w:rFonts w:eastAsia="Aptos" w:cs="Arial"/>
          <w:i/>
          <w:noProof/>
          <w:sz w:val="22"/>
          <w:lang w:val="en-US"/>
        </w:rPr>
        <w:t>Baby Brain: The surprising neuroscience of how pregnancy and motherhood sculpt our brains and change our minds (for the better)</w:t>
      </w:r>
      <w:r w:rsidRPr="00D96A04">
        <w:rPr>
          <w:rFonts w:eastAsia="Aptos" w:cs="Arial"/>
          <w:noProof/>
          <w:sz w:val="22"/>
          <w:lang w:val="en-US"/>
        </w:rPr>
        <w:t xml:space="preserve">. Sydney, NSW: Hachette Australia. </w:t>
      </w:r>
    </w:p>
    <w:p w14:paraId="13C5202C"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0C6FFE7F" w14:textId="16FD83AD"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McLachlan, R., Gilfillan, G., &amp; Gordon, J. (2013). </w:t>
      </w:r>
      <w:r w:rsidRPr="00D96A04">
        <w:rPr>
          <w:rFonts w:eastAsia="Aptos" w:cs="Arial"/>
          <w:i/>
          <w:noProof/>
          <w:sz w:val="22"/>
          <w:lang w:val="en-US"/>
        </w:rPr>
        <w:t>Deep and persistent disadvantage in Australia</w:t>
      </w:r>
      <w:r w:rsidRPr="00D96A04">
        <w:rPr>
          <w:rFonts w:eastAsia="Aptos" w:cs="Arial"/>
          <w:noProof/>
          <w:sz w:val="22"/>
          <w:lang w:val="en-US"/>
        </w:rPr>
        <w:t xml:space="preserve">. Melbourne, VIC: Productivity Commission. Retrieved 6 September, 2024 from </w:t>
      </w:r>
      <w:hyperlink r:id="rId426" w:history="1">
        <w:r w:rsidR="00CB2B49" w:rsidRPr="00D96A04">
          <w:rPr>
            <w:rStyle w:val="Hyperlink"/>
            <w:rFonts w:eastAsia="Aptos" w:cs="Arial"/>
            <w:noProof/>
            <w:sz w:val="22"/>
            <w:lang w:val="en-US"/>
          </w:rPr>
          <w:t>http://www.pc.gov.au/__data/assets/pdf_file/0007/124549/deep-persistent-disadvantage.pdf</w:t>
        </w:r>
      </w:hyperlink>
      <w:r w:rsidR="00CB2B49">
        <w:rPr>
          <w:rFonts w:eastAsia="Aptos" w:cs="Arial"/>
          <w:noProof/>
          <w:sz w:val="22"/>
          <w:lang w:val="en-US"/>
        </w:rPr>
        <w:t xml:space="preserve"> </w:t>
      </w:r>
    </w:p>
    <w:p w14:paraId="3F82FEB1"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1F719AC1" w14:textId="77777777"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McLean, M. (2015). A history of the DEC recommended practices. In Division for Early Childhood (Ed.), </w:t>
      </w:r>
      <w:r w:rsidRPr="00D96A04">
        <w:rPr>
          <w:rFonts w:eastAsia="Aptos" w:cs="Arial"/>
          <w:i/>
          <w:noProof/>
          <w:sz w:val="22"/>
          <w:lang w:val="en-US"/>
        </w:rPr>
        <w:t>DEC recommended practices: Enhancing services for young children with disabilities and their families</w:t>
      </w:r>
      <w:r w:rsidRPr="00D96A04">
        <w:rPr>
          <w:rFonts w:eastAsia="Aptos" w:cs="Arial"/>
          <w:noProof/>
          <w:sz w:val="22"/>
          <w:lang w:val="en-US"/>
        </w:rPr>
        <w:t xml:space="preserve"> (pp. 11-24). Los Angeles, CA: Division for Early Childhood. </w:t>
      </w:r>
    </w:p>
    <w:p w14:paraId="644A9868"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1CC5B3C3" w14:textId="77777777"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McLennan, J. D. (2016). Understanding attention deficit hyperactivity disorder as a continuum. </w:t>
      </w:r>
      <w:r w:rsidRPr="00D96A04">
        <w:rPr>
          <w:rFonts w:eastAsia="Aptos" w:cs="Arial"/>
          <w:i/>
          <w:noProof/>
          <w:sz w:val="22"/>
          <w:lang w:val="en-US"/>
        </w:rPr>
        <w:t>Canadian Family Physician</w:t>
      </w:r>
      <w:r w:rsidRPr="00D96A04">
        <w:rPr>
          <w:rFonts w:eastAsia="Aptos" w:cs="Arial"/>
          <w:noProof/>
          <w:sz w:val="22"/>
          <w:lang w:val="en-US"/>
        </w:rPr>
        <w:t>,</w:t>
      </w:r>
      <w:r w:rsidRPr="00D96A04">
        <w:rPr>
          <w:rFonts w:eastAsia="Aptos" w:cs="Arial"/>
          <w:i/>
          <w:noProof/>
          <w:sz w:val="22"/>
          <w:lang w:val="en-US"/>
        </w:rPr>
        <w:t xml:space="preserve"> 62</w:t>
      </w:r>
      <w:r w:rsidRPr="00D96A04">
        <w:rPr>
          <w:rFonts w:eastAsia="Aptos" w:cs="Arial"/>
          <w:noProof/>
          <w:sz w:val="22"/>
          <w:lang w:val="en-US"/>
        </w:rPr>
        <w:t xml:space="preserve">(12), 979-982. </w:t>
      </w:r>
    </w:p>
    <w:p w14:paraId="678DFB7B"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4CF58E00" w14:textId="1B47D7D2"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McLeod, R. H., Hardy, J. K., &amp; Carden, K. C. (2024). A review of the literature: Distance coaching in early childhood settings. </w:t>
      </w:r>
      <w:r w:rsidRPr="00D96A04">
        <w:rPr>
          <w:rFonts w:eastAsia="Aptos" w:cs="Arial"/>
          <w:i/>
          <w:noProof/>
          <w:sz w:val="22"/>
          <w:lang w:val="en-US"/>
        </w:rPr>
        <w:t>Journal of Early Intervention</w:t>
      </w:r>
      <w:r w:rsidRPr="00D96A04">
        <w:rPr>
          <w:rFonts w:eastAsia="Aptos" w:cs="Arial"/>
          <w:noProof/>
          <w:sz w:val="22"/>
          <w:lang w:val="en-US"/>
        </w:rPr>
        <w:t>,</w:t>
      </w:r>
      <w:r w:rsidRPr="00D96A04">
        <w:rPr>
          <w:rFonts w:eastAsia="Aptos" w:cs="Arial"/>
          <w:i/>
          <w:noProof/>
          <w:sz w:val="22"/>
          <w:lang w:val="en-US"/>
        </w:rPr>
        <w:t xml:space="preserve"> 46</w:t>
      </w:r>
      <w:r w:rsidRPr="00D96A04">
        <w:rPr>
          <w:rFonts w:eastAsia="Aptos" w:cs="Arial"/>
          <w:noProof/>
          <w:sz w:val="22"/>
          <w:lang w:val="en-US"/>
        </w:rPr>
        <w:t xml:space="preserve">(1), 3-18. </w:t>
      </w:r>
      <w:hyperlink r:id="rId427" w:history="1">
        <w:r w:rsidR="00CB2B49" w:rsidRPr="00D96A04">
          <w:rPr>
            <w:rStyle w:val="Hyperlink"/>
            <w:rFonts w:eastAsia="Aptos" w:cs="Arial"/>
            <w:noProof/>
            <w:sz w:val="22"/>
            <w:lang w:val="en-US"/>
          </w:rPr>
          <w:t>https://doi.org/10.1177/10538151231159639</w:t>
        </w:r>
      </w:hyperlink>
      <w:r w:rsidR="00CB2B49">
        <w:rPr>
          <w:rFonts w:eastAsia="Aptos" w:cs="Arial"/>
          <w:noProof/>
          <w:sz w:val="22"/>
          <w:lang w:val="en-US"/>
        </w:rPr>
        <w:t xml:space="preserve"> </w:t>
      </w:r>
      <w:r w:rsidRPr="00D96A04">
        <w:rPr>
          <w:rFonts w:eastAsia="Aptos" w:cs="Arial"/>
          <w:noProof/>
          <w:sz w:val="22"/>
          <w:lang w:val="en-US"/>
        </w:rPr>
        <w:t xml:space="preserve"> </w:t>
      </w:r>
    </w:p>
    <w:p w14:paraId="03557A8F"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014B6A4A" w14:textId="744DA40E"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McMillan, G. (2019). </w:t>
      </w:r>
      <w:r w:rsidRPr="00D96A04">
        <w:rPr>
          <w:rFonts w:eastAsia="Aptos" w:cs="Arial"/>
          <w:i/>
          <w:noProof/>
          <w:sz w:val="22"/>
          <w:lang w:val="en-US"/>
        </w:rPr>
        <w:t>Participation: its impact on services and the people who use them</w:t>
      </w:r>
      <w:r w:rsidRPr="00D96A04">
        <w:rPr>
          <w:rFonts w:eastAsia="Aptos" w:cs="Arial"/>
          <w:noProof/>
          <w:sz w:val="22"/>
          <w:lang w:val="en-US"/>
        </w:rPr>
        <w:t>. Glasgow, Scotland: Iriss. Retrieved 6 September, 2024 from</w:t>
      </w:r>
      <w:r w:rsidR="00744368">
        <w:rPr>
          <w:rFonts w:eastAsia="Aptos" w:cs="Arial"/>
          <w:noProof/>
          <w:sz w:val="22"/>
          <w:lang w:val="en-US"/>
        </w:rPr>
        <w:t xml:space="preserve"> </w:t>
      </w:r>
      <w:hyperlink r:id="rId428" w:history="1">
        <w:r w:rsidR="00744368" w:rsidRPr="00326476">
          <w:rPr>
            <w:rStyle w:val="Hyperlink"/>
            <w:rFonts w:eastAsia="Aptos" w:cs="Arial"/>
            <w:noProof/>
            <w:sz w:val="22"/>
            <w:lang w:val="en-US"/>
          </w:rPr>
          <w:t>https://www.iriss.org.uk/sites/default/files/2019-01/insights-45_1.pdf</w:t>
        </w:r>
      </w:hyperlink>
      <w:r w:rsidR="00744368">
        <w:rPr>
          <w:rFonts w:eastAsia="Aptos" w:cs="Arial"/>
          <w:noProof/>
          <w:sz w:val="22"/>
          <w:lang w:val="en-US"/>
        </w:rPr>
        <w:t xml:space="preserve"> </w:t>
      </w:r>
      <w:r w:rsidRPr="00D96A04">
        <w:rPr>
          <w:rFonts w:eastAsia="Aptos" w:cs="Arial"/>
          <w:noProof/>
          <w:sz w:val="22"/>
          <w:lang w:val="en-US"/>
        </w:rPr>
        <w:t xml:space="preserve"> </w:t>
      </w:r>
    </w:p>
    <w:p w14:paraId="45393E0C"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400E2FCC" w14:textId="77777777"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McWilliam, R. (2010). Routines-based early intervention. </w:t>
      </w:r>
      <w:r w:rsidRPr="00D96A04">
        <w:rPr>
          <w:rFonts w:eastAsia="Aptos" w:cs="Arial"/>
          <w:i/>
          <w:noProof/>
          <w:sz w:val="22"/>
          <w:lang w:val="en-US"/>
        </w:rPr>
        <w:t>Supporting Young Children and Their Families. Baltimore: Brookes</w:t>
      </w:r>
      <w:r w:rsidRPr="00D96A04">
        <w:rPr>
          <w:rFonts w:eastAsia="Aptos" w:cs="Arial"/>
          <w:noProof/>
          <w:sz w:val="22"/>
          <w:lang w:val="en-US"/>
        </w:rPr>
        <w:t xml:space="preserve">. </w:t>
      </w:r>
    </w:p>
    <w:p w14:paraId="7B4C7774"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3F8F8EE2" w14:textId="77777777"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McWilliam, R. (2011). The top 10 mistakes in early intervention in natural environments—and the solutions. </w:t>
      </w:r>
      <w:r w:rsidRPr="00D96A04">
        <w:rPr>
          <w:rFonts w:eastAsia="Aptos" w:cs="Arial"/>
          <w:i/>
          <w:noProof/>
          <w:sz w:val="22"/>
          <w:lang w:val="en-US"/>
        </w:rPr>
        <w:t>ZERO TO THREE</w:t>
      </w:r>
      <w:r w:rsidRPr="00D96A04">
        <w:rPr>
          <w:rFonts w:eastAsia="Aptos" w:cs="Arial"/>
          <w:noProof/>
          <w:sz w:val="22"/>
          <w:lang w:val="en-US"/>
        </w:rPr>
        <w:t>,</w:t>
      </w:r>
      <w:r w:rsidRPr="00D96A04">
        <w:rPr>
          <w:rFonts w:eastAsia="Aptos" w:cs="Arial"/>
          <w:i/>
          <w:noProof/>
          <w:sz w:val="22"/>
          <w:lang w:val="en-US"/>
        </w:rPr>
        <w:t xml:space="preserve"> 31</w:t>
      </w:r>
      <w:r w:rsidRPr="00D96A04">
        <w:rPr>
          <w:rFonts w:eastAsia="Aptos" w:cs="Arial"/>
          <w:noProof/>
          <w:sz w:val="22"/>
          <w:lang w:val="en-US"/>
        </w:rPr>
        <w:t xml:space="preserve">(4), 11. </w:t>
      </w:r>
    </w:p>
    <w:p w14:paraId="016943C1"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3E58F9D0" w14:textId="79175208"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McWilliam, R. (2015). Future of early intervention with infants and toddlers for whom typical experiences are not effective. </w:t>
      </w:r>
      <w:r w:rsidRPr="00D96A04">
        <w:rPr>
          <w:rFonts w:eastAsia="Aptos" w:cs="Arial"/>
          <w:i/>
          <w:noProof/>
          <w:sz w:val="22"/>
          <w:lang w:val="en-US"/>
        </w:rPr>
        <w:t>Remedial and Special Education</w:t>
      </w:r>
      <w:r w:rsidRPr="00D96A04">
        <w:rPr>
          <w:rFonts w:eastAsia="Aptos" w:cs="Arial"/>
          <w:noProof/>
          <w:sz w:val="22"/>
          <w:lang w:val="en-US"/>
        </w:rPr>
        <w:t>,</w:t>
      </w:r>
      <w:r w:rsidRPr="00D96A04">
        <w:rPr>
          <w:rFonts w:eastAsia="Aptos" w:cs="Arial"/>
          <w:i/>
          <w:noProof/>
          <w:sz w:val="22"/>
          <w:lang w:val="en-US"/>
        </w:rPr>
        <w:t xml:space="preserve"> 36</w:t>
      </w:r>
      <w:r w:rsidRPr="00D96A04">
        <w:rPr>
          <w:rFonts w:eastAsia="Aptos" w:cs="Arial"/>
          <w:noProof/>
          <w:sz w:val="22"/>
          <w:lang w:val="en-US"/>
        </w:rPr>
        <w:t xml:space="preserve">(1), 33-38. </w:t>
      </w:r>
      <w:hyperlink r:id="rId429" w:history="1">
        <w:r w:rsidR="00D00A54" w:rsidRPr="00D96A04">
          <w:rPr>
            <w:rStyle w:val="Hyperlink"/>
            <w:rFonts w:eastAsia="Aptos" w:cs="Arial"/>
            <w:noProof/>
            <w:sz w:val="22"/>
            <w:lang w:val="en-US"/>
          </w:rPr>
          <w:t>https://doi.org/10.1177/0741932514554105</w:t>
        </w:r>
      </w:hyperlink>
      <w:r w:rsidR="00D00A54">
        <w:rPr>
          <w:rFonts w:eastAsia="Aptos" w:cs="Arial"/>
          <w:noProof/>
          <w:sz w:val="22"/>
          <w:lang w:val="en-US"/>
        </w:rPr>
        <w:t xml:space="preserve"> </w:t>
      </w:r>
      <w:r w:rsidRPr="00D96A04">
        <w:rPr>
          <w:rFonts w:eastAsia="Aptos" w:cs="Arial"/>
          <w:noProof/>
          <w:sz w:val="22"/>
          <w:lang w:val="en-US"/>
        </w:rPr>
        <w:t xml:space="preserve"> </w:t>
      </w:r>
    </w:p>
    <w:p w14:paraId="76746AF7"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6B387931" w14:textId="00736B8E"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McWilliam, R., Boavida, T., Bull, K., Cañadas, M., Hwang, A.-W., Józefacka, N., Lim, H. H., Pedernera, M., Sergnese, T., &amp; Woodward, J. (2020). The routines-based model internationally implemented. </w:t>
      </w:r>
      <w:r w:rsidRPr="00D96A04">
        <w:rPr>
          <w:rFonts w:eastAsia="Aptos" w:cs="Arial"/>
          <w:i/>
          <w:noProof/>
          <w:sz w:val="22"/>
          <w:lang w:val="en-US"/>
        </w:rPr>
        <w:t>International Journal of Environmental Research and Public Health</w:t>
      </w:r>
      <w:r w:rsidRPr="00D96A04">
        <w:rPr>
          <w:rFonts w:eastAsia="Aptos" w:cs="Arial"/>
          <w:noProof/>
          <w:sz w:val="22"/>
          <w:lang w:val="en-US"/>
        </w:rPr>
        <w:t>,</w:t>
      </w:r>
      <w:r w:rsidRPr="00D96A04">
        <w:rPr>
          <w:rFonts w:eastAsia="Aptos" w:cs="Arial"/>
          <w:i/>
          <w:noProof/>
          <w:sz w:val="22"/>
          <w:lang w:val="en-US"/>
        </w:rPr>
        <w:t xml:space="preserve"> 17</w:t>
      </w:r>
      <w:r w:rsidRPr="00D96A04">
        <w:rPr>
          <w:rFonts w:eastAsia="Aptos" w:cs="Arial"/>
          <w:noProof/>
          <w:sz w:val="22"/>
          <w:lang w:val="en-US"/>
        </w:rPr>
        <w:t xml:space="preserve">(22), 8308. </w:t>
      </w:r>
      <w:hyperlink r:id="rId430" w:history="1">
        <w:r w:rsidR="00D00A54" w:rsidRPr="00D96A04">
          <w:rPr>
            <w:rStyle w:val="Hyperlink"/>
            <w:rFonts w:eastAsia="Aptos" w:cs="Arial"/>
            <w:noProof/>
            <w:sz w:val="22"/>
            <w:lang w:val="en-US"/>
          </w:rPr>
          <w:t>https://doi.org/10.3390/ijerph17228308</w:t>
        </w:r>
      </w:hyperlink>
      <w:r w:rsidR="00D00A54">
        <w:rPr>
          <w:rFonts w:eastAsia="Aptos" w:cs="Arial"/>
          <w:noProof/>
          <w:sz w:val="22"/>
          <w:lang w:val="en-US"/>
        </w:rPr>
        <w:t xml:space="preserve"> </w:t>
      </w:r>
      <w:r w:rsidRPr="00D96A04">
        <w:rPr>
          <w:rFonts w:eastAsia="Aptos" w:cs="Arial"/>
          <w:noProof/>
          <w:sz w:val="22"/>
          <w:lang w:val="en-US"/>
        </w:rPr>
        <w:t xml:space="preserve"> </w:t>
      </w:r>
    </w:p>
    <w:p w14:paraId="708E498E"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1DA8B710" w14:textId="77777777"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McWilliam, R. A. (2016). Birth to three: Early intervention. In B. Reichow, B. Boyd, E. Barton, &amp; S. L. Odom (Eds.), </w:t>
      </w:r>
      <w:r w:rsidRPr="00D96A04">
        <w:rPr>
          <w:rFonts w:eastAsia="Aptos" w:cs="Arial"/>
          <w:i/>
          <w:noProof/>
          <w:sz w:val="22"/>
          <w:lang w:val="en-US"/>
        </w:rPr>
        <w:t>Handbook of early childhood special education</w:t>
      </w:r>
      <w:r w:rsidRPr="00D96A04">
        <w:rPr>
          <w:rFonts w:eastAsia="Aptos" w:cs="Arial"/>
          <w:noProof/>
          <w:sz w:val="22"/>
          <w:lang w:val="en-US"/>
        </w:rPr>
        <w:t xml:space="preserve"> (pp. 75-88). New York: Springer. </w:t>
      </w:r>
    </w:p>
    <w:p w14:paraId="6C8398A2" w14:textId="77777777" w:rsidR="00D96A04" w:rsidRPr="00D96A04" w:rsidRDefault="00D96A04" w:rsidP="00D96A04">
      <w:pPr>
        <w:spacing w:before="0" w:after="0"/>
        <w:ind w:left="720" w:hanging="720"/>
        <w:rPr>
          <w:rFonts w:eastAsia="Aptos" w:cs="Arial"/>
          <w:noProof/>
          <w:sz w:val="22"/>
          <w:lang w:val="en-US"/>
        </w:rPr>
      </w:pPr>
      <w:r w:rsidRPr="00D96A04">
        <w:rPr>
          <w:rFonts w:eastAsia="Aptos" w:cs="Arial"/>
          <w:noProof/>
          <w:sz w:val="22"/>
          <w:lang w:val="en-US"/>
        </w:rPr>
        <w:tab/>
      </w:r>
    </w:p>
    <w:p w14:paraId="0F83650F" w14:textId="0B4D1421" w:rsidR="00D96A04" w:rsidRPr="00D96A04" w:rsidRDefault="00D96A04" w:rsidP="00D96A04">
      <w:pPr>
        <w:spacing w:before="0" w:after="160"/>
        <w:ind w:left="720" w:hanging="720"/>
        <w:rPr>
          <w:rFonts w:eastAsia="Aptos" w:cs="Arial"/>
          <w:noProof/>
          <w:sz w:val="22"/>
          <w:lang w:val="en-US"/>
        </w:rPr>
      </w:pPr>
      <w:r w:rsidRPr="00D96A04">
        <w:rPr>
          <w:rFonts w:eastAsia="Aptos" w:cs="Arial"/>
          <w:noProof/>
          <w:sz w:val="22"/>
          <w:lang w:val="en-US"/>
        </w:rPr>
        <w:t xml:space="preserve">McWilliam, R. A., Casey, A. M., &amp; Sims, J. (2009). The routines-based interview: A method for gathering information and assessing needs. </w:t>
      </w:r>
      <w:r w:rsidRPr="00D96A04">
        <w:rPr>
          <w:rFonts w:eastAsia="Aptos" w:cs="Arial"/>
          <w:i/>
          <w:noProof/>
          <w:sz w:val="22"/>
          <w:lang w:val="en-US"/>
        </w:rPr>
        <w:t> Infants &amp; Young Children</w:t>
      </w:r>
      <w:r w:rsidRPr="00D96A04">
        <w:rPr>
          <w:rFonts w:eastAsia="Aptos" w:cs="Arial"/>
          <w:noProof/>
          <w:sz w:val="22"/>
          <w:lang w:val="en-US"/>
        </w:rPr>
        <w:t>,</w:t>
      </w:r>
      <w:r w:rsidRPr="00D96A04">
        <w:rPr>
          <w:rFonts w:eastAsia="Aptos" w:cs="Arial"/>
          <w:i/>
          <w:noProof/>
          <w:sz w:val="22"/>
          <w:lang w:val="en-US"/>
        </w:rPr>
        <w:t xml:space="preserve"> 22</w:t>
      </w:r>
      <w:r w:rsidRPr="00D96A04">
        <w:rPr>
          <w:rFonts w:eastAsia="Aptos" w:cs="Arial"/>
          <w:noProof/>
          <w:sz w:val="22"/>
          <w:lang w:val="en-US"/>
        </w:rPr>
        <w:t xml:space="preserve">(3), 224-233. </w:t>
      </w:r>
      <w:hyperlink r:id="rId431" w:history="1">
        <w:r w:rsidR="00D00A54" w:rsidRPr="00D96A04">
          <w:rPr>
            <w:rStyle w:val="Hyperlink"/>
            <w:rFonts w:eastAsia="Aptos" w:cs="Arial"/>
            <w:noProof/>
            <w:sz w:val="22"/>
            <w:lang w:val="en-US"/>
          </w:rPr>
          <w:t>https://doi.org/10.1097/IYC.0b013e3181abe1dd</w:t>
        </w:r>
      </w:hyperlink>
      <w:r w:rsidR="00D00A54">
        <w:rPr>
          <w:rFonts w:eastAsia="Aptos" w:cs="Arial"/>
          <w:noProof/>
          <w:sz w:val="22"/>
          <w:lang w:val="en-US"/>
        </w:rPr>
        <w:t xml:space="preserve"> </w:t>
      </w:r>
      <w:r w:rsidRPr="00D96A04">
        <w:rPr>
          <w:rFonts w:eastAsia="Aptos" w:cs="Arial"/>
          <w:noProof/>
          <w:sz w:val="22"/>
          <w:lang w:val="en-US"/>
        </w:rPr>
        <w:t xml:space="preserve"> </w:t>
      </w:r>
    </w:p>
    <w:p w14:paraId="5F5510EC" w14:textId="0E07B125" w:rsidR="008613ED" w:rsidRPr="008613ED" w:rsidRDefault="008613ED" w:rsidP="008613ED">
      <w:pPr>
        <w:spacing w:before="0" w:after="160"/>
        <w:ind w:left="720" w:hanging="720"/>
        <w:rPr>
          <w:rFonts w:eastAsia="Aptos" w:cs="Arial"/>
          <w:noProof/>
          <w:sz w:val="22"/>
          <w:lang w:val="en-US"/>
        </w:rPr>
      </w:pPr>
      <w:r w:rsidRPr="008613ED">
        <w:rPr>
          <w:rFonts w:eastAsia="Aptos" w:cs="Arial"/>
          <w:noProof/>
          <w:sz w:val="22"/>
          <w:lang w:val="en-US"/>
        </w:rPr>
        <w:t xml:space="preserve">Meadan, H., Angell, M. E., Stoner, J. B., &amp; Daczewitz, M. E. (2014). Parent-implemented social-pragmatic communication intervention: A pilot study. </w:t>
      </w:r>
      <w:r w:rsidRPr="008613ED">
        <w:rPr>
          <w:rFonts w:eastAsia="Aptos" w:cs="Arial"/>
          <w:i/>
          <w:noProof/>
          <w:sz w:val="22"/>
          <w:lang w:val="en-US"/>
        </w:rPr>
        <w:t>Focus on Autism and Other Developmental Disabilities</w:t>
      </w:r>
      <w:r w:rsidRPr="008613ED">
        <w:rPr>
          <w:rFonts w:eastAsia="Aptos" w:cs="Arial"/>
          <w:noProof/>
          <w:sz w:val="22"/>
          <w:lang w:val="en-US"/>
        </w:rPr>
        <w:t>,</w:t>
      </w:r>
      <w:r w:rsidRPr="008613ED">
        <w:rPr>
          <w:rFonts w:eastAsia="Aptos" w:cs="Arial"/>
          <w:i/>
          <w:noProof/>
          <w:sz w:val="22"/>
          <w:lang w:val="en-US"/>
        </w:rPr>
        <w:t xml:space="preserve"> 29</w:t>
      </w:r>
      <w:r w:rsidRPr="008613ED">
        <w:rPr>
          <w:rFonts w:eastAsia="Aptos" w:cs="Arial"/>
          <w:noProof/>
          <w:sz w:val="22"/>
          <w:lang w:val="en-US"/>
        </w:rPr>
        <w:t xml:space="preserve">(2), 95-110. </w:t>
      </w:r>
      <w:hyperlink r:id="rId432" w:history="1">
        <w:r w:rsidR="00D00A54" w:rsidRPr="008613ED">
          <w:rPr>
            <w:rStyle w:val="Hyperlink"/>
            <w:rFonts w:eastAsia="Aptos" w:cs="Arial"/>
            <w:noProof/>
            <w:sz w:val="22"/>
            <w:lang w:val="en-US"/>
          </w:rPr>
          <w:t>https://doi.org/10.1177/1088357613517504</w:t>
        </w:r>
      </w:hyperlink>
      <w:r w:rsidR="00D00A54">
        <w:rPr>
          <w:rFonts w:eastAsia="Aptos" w:cs="Arial"/>
          <w:noProof/>
          <w:sz w:val="22"/>
          <w:lang w:val="en-US"/>
        </w:rPr>
        <w:t xml:space="preserve"> </w:t>
      </w:r>
      <w:r w:rsidRPr="008613ED">
        <w:rPr>
          <w:rFonts w:eastAsia="Aptos" w:cs="Arial"/>
          <w:noProof/>
          <w:sz w:val="22"/>
          <w:lang w:val="en-US"/>
        </w:rPr>
        <w:t xml:space="preserve"> </w:t>
      </w:r>
    </w:p>
    <w:p w14:paraId="5D770E64" w14:textId="77777777" w:rsidR="008613ED" w:rsidRPr="008613ED" w:rsidRDefault="008613ED" w:rsidP="008613ED">
      <w:pPr>
        <w:spacing w:before="0" w:after="0"/>
        <w:ind w:left="720" w:hanging="720"/>
        <w:rPr>
          <w:rFonts w:eastAsia="Aptos" w:cs="Arial"/>
          <w:noProof/>
          <w:sz w:val="22"/>
          <w:lang w:val="en-US"/>
        </w:rPr>
      </w:pPr>
      <w:r w:rsidRPr="008613ED">
        <w:rPr>
          <w:rFonts w:eastAsia="Aptos" w:cs="Arial"/>
          <w:noProof/>
          <w:sz w:val="22"/>
          <w:lang w:val="en-US"/>
        </w:rPr>
        <w:tab/>
      </w:r>
    </w:p>
    <w:p w14:paraId="3B6FF84E" w14:textId="787B61BB" w:rsidR="008613ED" w:rsidRPr="008613ED" w:rsidRDefault="008613ED" w:rsidP="008613ED">
      <w:pPr>
        <w:spacing w:before="0" w:after="160"/>
        <w:ind w:left="720" w:hanging="720"/>
        <w:rPr>
          <w:rFonts w:eastAsia="Aptos" w:cs="Arial"/>
          <w:noProof/>
          <w:sz w:val="22"/>
          <w:lang w:val="en-US"/>
        </w:rPr>
      </w:pPr>
      <w:r w:rsidRPr="008613ED">
        <w:rPr>
          <w:rFonts w:eastAsia="Aptos" w:cs="Arial"/>
          <w:noProof/>
          <w:sz w:val="22"/>
          <w:lang w:val="en-US"/>
        </w:rPr>
        <w:t xml:space="preserve">Meadan, H., Douglas, S. N., Kammes, R., &amp; Schraml-Block, K. (2018). “I'm a different coach with every family”: Early interventionists' beliefs and practices. </w:t>
      </w:r>
      <w:r w:rsidRPr="008613ED">
        <w:rPr>
          <w:rFonts w:eastAsia="Aptos" w:cs="Arial"/>
          <w:i/>
          <w:noProof/>
          <w:sz w:val="22"/>
          <w:lang w:val="en-US"/>
        </w:rPr>
        <w:t>Infants &amp; Young Children</w:t>
      </w:r>
      <w:r w:rsidRPr="008613ED">
        <w:rPr>
          <w:rFonts w:eastAsia="Aptos" w:cs="Arial"/>
          <w:noProof/>
          <w:sz w:val="22"/>
          <w:lang w:val="en-US"/>
        </w:rPr>
        <w:t>,</w:t>
      </w:r>
      <w:r w:rsidRPr="008613ED">
        <w:rPr>
          <w:rFonts w:eastAsia="Aptos" w:cs="Arial"/>
          <w:i/>
          <w:noProof/>
          <w:sz w:val="22"/>
          <w:lang w:val="en-US"/>
        </w:rPr>
        <w:t xml:space="preserve"> 31</w:t>
      </w:r>
      <w:r w:rsidRPr="008613ED">
        <w:rPr>
          <w:rFonts w:eastAsia="Aptos" w:cs="Arial"/>
          <w:noProof/>
          <w:sz w:val="22"/>
          <w:lang w:val="en-US"/>
        </w:rPr>
        <w:t xml:space="preserve">(3), 200-214. </w:t>
      </w:r>
      <w:hyperlink r:id="rId433" w:history="1">
        <w:r w:rsidR="00D00A54" w:rsidRPr="008613ED">
          <w:rPr>
            <w:rStyle w:val="Hyperlink"/>
            <w:rFonts w:eastAsia="Aptos" w:cs="Arial"/>
            <w:noProof/>
            <w:sz w:val="22"/>
            <w:lang w:val="en-US"/>
          </w:rPr>
          <w:t>https://doi.org/10.1097/IYC.0000000000000118</w:t>
        </w:r>
      </w:hyperlink>
      <w:r w:rsidR="00D00A54">
        <w:rPr>
          <w:rFonts w:eastAsia="Aptos" w:cs="Arial"/>
          <w:noProof/>
          <w:sz w:val="22"/>
          <w:lang w:val="en-US"/>
        </w:rPr>
        <w:t xml:space="preserve"> </w:t>
      </w:r>
      <w:r w:rsidRPr="008613ED">
        <w:rPr>
          <w:rFonts w:eastAsia="Aptos" w:cs="Arial"/>
          <w:noProof/>
          <w:sz w:val="22"/>
          <w:lang w:val="en-US"/>
        </w:rPr>
        <w:t xml:space="preserve"> </w:t>
      </w:r>
    </w:p>
    <w:p w14:paraId="5195AA57" w14:textId="77777777" w:rsidR="008613ED" w:rsidRPr="008613ED" w:rsidRDefault="008613ED" w:rsidP="008613ED">
      <w:pPr>
        <w:spacing w:before="0" w:after="0"/>
        <w:ind w:left="720" w:hanging="720"/>
        <w:rPr>
          <w:rFonts w:eastAsia="Aptos" w:cs="Arial"/>
          <w:noProof/>
          <w:sz w:val="22"/>
          <w:lang w:val="en-US"/>
        </w:rPr>
      </w:pPr>
      <w:r w:rsidRPr="008613ED">
        <w:rPr>
          <w:rFonts w:eastAsia="Aptos" w:cs="Arial"/>
          <w:noProof/>
          <w:sz w:val="22"/>
          <w:lang w:val="en-US"/>
        </w:rPr>
        <w:tab/>
      </w:r>
    </w:p>
    <w:p w14:paraId="75B4BBEC" w14:textId="2564A6C4" w:rsidR="008613ED" w:rsidRPr="008613ED" w:rsidRDefault="008613ED" w:rsidP="008613ED">
      <w:pPr>
        <w:spacing w:before="0" w:after="160"/>
        <w:ind w:left="720" w:hanging="720"/>
        <w:rPr>
          <w:rFonts w:eastAsia="Aptos" w:cs="Arial"/>
          <w:noProof/>
          <w:sz w:val="22"/>
          <w:lang w:val="en-US"/>
        </w:rPr>
      </w:pPr>
      <w:r w:rsidRPr="008613ED">
        <w:rPr>
          <w:rFonts w:eastAsia="Aptos" w:cs="Arial"/>
          <w:noProof/>
          <w:sz w:val="22"/>
          <w:lang w:val="en-US"/>
        </w:rPr>
        <w:t xml:space="preserve">Meadan, H., Snodgrass, M. R., Meyer, L. E., Fisher, K. W., Chung, M. Y., &amp; Halle, J. W. (2016). Internet-Based Parent-Implemented Intervention for Young Children With Autism:A Pilot Study. </w:t>
      </w:r>
      <w:r w:rsidRPr="008613ED">
        <w:rPr>
          <w:rFonts w:eastAsia="Aptos" w:cs="Arial"/>
          <w:i/>
          <w:noProof/>
          <w:sz w:val="22"/>
          <w:lang w:val="en-US"/>
        </w:rPr>
        <w:t>Journal of Early Intervention</w:t>
      </w:r>
      <w:r w:rsidRPr="008613ED">
        <w:rPr>
          <w:rFonts w:eastAsia="Aptos" w:cs="Arial"/>
          <w:noProof/>
          <w:sz w:val="22"/>
          <w:lang w:val="en-US"/>
        </w:rPr>
        <w:t>,</w:t>
      </w:r>
      <w:r w:rsidRPr="008613ED">
        <w:rPr>
          <w:rFonts w:eastAsia="Aptos" w:cs="Arial"/>
          <w:i/>
          <w:noProof/>
          <w:sz w:val="22"/>
          <w:lang w:val="en-US"/>
        </w:rPr>
        <w:t xml:space="preserve"> 38</w:t>
      </w:r>
      <w:r w:rsidRPr="008613ED">
        <w:rPr>
          <w:rFonts w:eastAsia="Aptos" w:cs="Arial"/>
          <w:noProof/>
          <w:sz w:val="22"/>
          <w:lang w:val="en-US"/>
        </w:rPr>
        <w:t xml:space="preserve">(1), 3-23. </w:t>
      </w:r>
      <w:hyperlink r:id="rId434" w:history="1">
        <w:r w:rsidR="00D00A54" w:rsidRPr="008613ED">
          <w:rPr>
            <w:rStyle w:val="Hyperlink"/>
            <w:rFonts w:eastAsia="Aptos" w:cs="Arial"/>
            <w:noProof/>
            <w:sz w:val="22"/>
            <w:lang w:val="en-US"/>
          </w:rPr>
          <w:t>https://doi.org/10.1177/1053815116630327</w:t>
        </w:r>
      </w:hyperlink>
      <w:r w:rsidR="00D00A54">
        <w:rPr>
          <w:rFonts w:eastAsia="Aptos" w:cs="Arial"/>
          <w:noProof/>
          <w:sz w:val="22"/>
          <w:lang w:val="en-US"/>
        </w:rPr>
        <w:t xml:space="preserve"> </w:t>
      </w:r>
      <w:r w:rsidRPr="008613ED">
        <w:rPr>
          <w:rFonts w:eastAsia="Aptos" w:cs="Arial"/>
          <w:noProof/>
          <w:sz w:val="22"/>
          <w:lang w:val="en-US"/>
        </w:rPr>
        <w:t xml:space="preserve"> </w:t>
      </w:r>
    </w:p>
    <w:p w14:paraId="259A641C" w14:textId="75431718" w:rsidR="00EF0E76" w:rsidRPr="00EF0E76" w:rsidRDefault="00EF0E76" w:rsidP="00EF0E76">
      <w:pPr>
        <w:spacing w:before="0" w:after="160"/>
        <w:ind w:left="720" w:hanging="720"/>
        <w:rPr>
          <w:rFonts w:eastAsia="Aptos" w:cs="Arial"/>
          <w:noProof/>
          <w:sz w:val="22"/>
          <w:lang w:val="en-US"/>
        </w:rPr>
      </w:pPr>
      <w:r w:rsidRPr="00EF0E76">
        <w:rPr>
          <w:rFonts w:eastAsia="Aptos" w:cs="Arial"/>
          <w:noProof/>
          <w:sz w:val="22"/>
          <w:lang w:val="en-US"/>
        </w:rPr>
        <w:t xml:space="preserve">Megalogenis, G. (2019). </w:t>
      </w:r>
      <w:r w:rsidRPr="00EF0E76">
        <w:rPr>
          <w:rFonts w:eastAsia="Aptos" w:cs="Arial"/>
          <w:i/>
          <w:noProof/>
          <w:sz w:val="22"/>
          <w:lang w:val="en-US"/>
        </w:rPr>
        <w:t>Australasia rising: Who we are becoming</w:t>
      </w:r>
      <w:r w:rsidRPr="00EF0E76">
        <w:rPr>
          <w:rFonts w:eastAsia="Aptos" w:cs="Arial"/>
          <w:noProof/>
          <w:sz w:val="22"/>
          <w:lang w:val="en-US"/>
        </w:rPr>
        <w:t xml:space="preserve">. Sydney, NSW: The Sydney Morning Herald: Good Weekend Magazine. Retrieved 6 September, 2024 from </w:t>
      </w:r>
      <w:hyperlink r:id="rId435" w:history="1">
        <w:r w:rsidR="00D00A54" w:rsidRPr="00EF0E76">
          <w:rPr>
            <w:rStyle w:val="Hyperlink"/>
            <w:rFonts w:eastAsia="Aptos" w:cs="Arial"/>
            <w:noProof/>
            <w:sz w:val="22"/>
            <w:lang w:val="en-US"/>
          </w:rPr>
          <w:t>https://www.smh.com.au/national/australasia-rising-who-we-are-becoming-20190122-p50ssx.html</w:t>
        </w:r>
      </w:hyperlink>
      <w:r w:rsidR="00D00A54">
        <w:rPr>
          <w:rFonts w:eastAsia="Aptos" w:cs="Arial"/>
          <w:noProof/>
          <w:sz w:val="22"/>
          <w:lang w:val="en-US"/>
        </w:rPr>
        <w:t xml:space="preserve"> </w:t>
      </w:r>
    </w:p>
    <w:p w14:paraId="2EFF3D9F" w14:textId="77777777" w:rsidR="00EF0E76" w:rsidRPr="00EF0E76" w:rsidRDefault="00EF0E76" w:rsidP="00EF0E76">
      <w:pPr>
        <w:spacing w:before="0" w:after="0"/>
        <w:ind w:left="720" w:hanging="720"/>
        <w:rPr>
          <w:rFonts w:eastAsia="Aptos" w:cs="Arial"/>
          <w:noProof/>
          <w:sz w:val="22"/>
          <w:lang w:val="en-US"/>
        </w:rPr>
      </w:pPr>
      <w:r w:rsidRPr="00EF0E76">
        <w:rPr>
          <w:rFonts w:eastAsia="Aptos" w:cs="Arial"/>
          <w:noProof/>
          <w:sz w:val="22"/>
          <w:lang w:val="en-US"/>
        </w:rPr>
        <w:tab/>
      </w:r>
    </w:p>
    <w:p w14:paraId="10EBC020" w14:textId="461C4433" w:rsidR="00EF0E76" w:rsidRPr="00EF0E76" w:rsidRDefault="00EF0E76" w:rsidP="00EF0E76">
      <w:pPr>
        <w:spacing w:before="0" w:after="160"/>
        <w:ind w:left="720" w:hanging="720"/>
        <w:rPr>
          <w:rFonts w:eastAsia="Aptos" w:cs="Arial"/>
          <w:noProof/>
          <w:sz w:val="22"/>
          <w:lang w:val="en-US"/>
        </w:rPr>
      </w:pPr>
      <w:r w:rsidRPr="00EF0E76">
        <w:rPr>
          <w:rFonts w:eastAsia="Aptos" w:cs="Arial"/>
          <w:noProof/>
          <w:sz w:val="22"/>
          <w:lang w:val="en-US"/>
        </w:rPr>
        <w:t xml:space="preserve">Metz, A., &amp; Louison, L. (2018). </w:t>
      </w:r>
      <w:r w:rsidRPr="00EF0E76">
        <w:rPr>
          <w:rFonts w:eastAsia="Aptos" w:cs="Arial"/>
          <w:i/>
          <w:noProof/>
          <w:sz w:val="22"/>
          <w:lang w:val="en-US"/>
        </w:rPr>
        <w:t>The Hexagon Tool: Exploring Context</w:t>
      </w:r>
      <w:r w:rsidRPr="00EF0E76">
        <w:rPr>
          <w:rFonts w:eastAsia="Aptos" w:cs="Arial"/>
          <w:noProof/>
          <w:sz w:val="22"/>
          <w:lang w:val="en-US"/>
        </w:rPr>
        <w:t xml:space="preserve">. Chapel Hill, NC: National Implementation Research Network, Frank Porter Graham Child Development Institute, University of North Carolina at Chapel Hill. Retrieved 6 September, 2024 from </w:t>
      </w:r>
      <w:hyperlink r:id="rId436" w:history="1">
        <w:r w:rsidR="00D00A54" w:rsidRPr="00EF0E76">
          <w:rPr>
            <w:rStyle w:val="Hyperlink"/>
            <w:rFonts w:eastAsia="Aptos" w:cs="Arial"/>
            <w:noProof/>
            <w:sz w:val="22"/>
            <w:lang w:val="en-US"/>
          </w:rPr>
          <w:t>https://implementation.fpg.unc.edu/wpcontent/uploads/NIRN-Hexagon-Discussion-Analysis-Tool_September2020_1.pdf</w:t>
        </w:r>
      </w:hyperlink>
      <w:r w:rsidR="00D00A54">
        <w:rPr>
          <w:rFonts w:eastAsia="Aptos" w:cs="Arial"/>
          <w:noProof/>
          <w:sz w:val="22"/>
          <w:lang w:val="en-US"/>
        </w:rPr>
        <w:t xml:space="preserve"> </w:t>
      </w:r>
      <w:r w:rsidRPr="00EF0E76">
        <w:rPr>
          <w:rFonts w:eastAsia="Aptos" w:cs="Arial"/>
          <w:noProof/>
          <w:sz w:val="22"/>
          <w:lang w:val="en-US"/>
        </w:rPr>
        <w:t xml:space="preserve"> </w:t>
      </w:r>
    </w:p>
    <w:p w14:paraId="3F364A6A" w14:textId="77777777" w:rsidR="00EF0E76" w:rsidRPr="00EF0E76" w:rsidRDefault="00EF0E76" w:rsidP="00EF0E76">
      <w:pPr>
        <w:spacing w:before="0" w:after="0"/>
        <w:ind w:left="720" w:hanging="720"/>
        <w:rPr>
          <w:rFonts w:eastAsia="Aptos" w:cs="Arial"/>
          <w:noProof/>
          <w:sz w:val="22"/>
          <w:lang w:val="en-US"/>
        </w:rPr>
      </w:pPr>
      <w:r w:rsidRPr="00EF0E76">
        <w:rPr>
          <w:rFonts w:eastAsia="Aptos" w:cs="Arial"/>
          <w:noProof/>
          <w:sz w:val="22"/>
          <w:lang w:val="en-US"/>
        </w:rPr>
        <w:tab/>
      </w:r>
    </w:p>
    <w:p w14:paraId="20D1A697" w14:textId="614EE64A" w:rsidR="00EF0E76" w:rsidRPr="00EF0E76" w:rsidRDefault="00EF0E76" w:rsidP="00EF0E76">
      <w:pPr>
        <w:spacing w:before="0" w:after="160"/>
        <w:ind w:left="720" w:hanging="720"/>
        <w:rPr>
          <w:rFonts w:eastAsia="Aptos" w:cs="Arial"/>
          <w:noProof/>
          <w:sz w:val="22"/>
          <w:lang w:val="en-US"/>
        </w:rPr>
      </w:pPr>
      <w:r w:rsidRPr="00EF0E76">
        <w:rPr>
          <w:rFonts w:eastAsia="Aptos" w:cs="Arial"/>
          <w:noProof/>
          <w:sz w:val="22"/>
          <w:lang w:val="en-US"/>
        </w:rPr>
        <w:t>Michaels, E. K., Lam</w:t>
      </w:r>
      <w:r w:rsidRPr="00EF0E76">
        <w:rPr>
          <w:rFonts w:ascii="Cambria Math" w:eastAsia="Aptos" w:hAnsi="Cambria Math" w:cs="Cambria Math"/>
          <w:noProof/>
          <w:sz w:val="22"/>
          <w:lang w:val="en-US"/>
        </w:rPr>
        <w:t>‐</w:t>
      </w:r>
      <w:r w:rsidRPr="00EF0E76">
        <w:rPr>
          <w:rFonts w:eastAsia="Aptos" w:cs="Arial"/>
          <w:noProof/>
          <w:sz w:val="22"/>
          <w:lang w:val="en-US"/>
        </w:rPr>
        <w:t xml:space="preserve">Hine, T., Nguyen, T. T., Gee, G. C., &amp; Allen, A. M. (2023). The water surrounding the iceberg: cultural racism and health inequities. </w:t>
      </w:r>
      <w:r w:rsidRPr="00EF0E76">
        <w:rPr>
          <w:rFonts w:eastAsia="Aptos" w:cs="Arial"/>
          <w:i/>
          <w:noProof/>
          <w:sz w:val="22"/>
          <w:lang w:val="en-US"/>
        </w:rPr>
        <w:t>The Milbank Quarterly</w:t>
      </w:r>
      <w:r w:rsidRPr="00EF0E76">
        <w:rPr>
          <w:rFonts w:eastAsia="Aptos" w:cs="Arial"/>
          <w:noProof/>
          <w:sz w:val="22"/>
          <w:lang w:val="en-US"/>
        </w:rPr>
        <w:t>,</w:t>
      </w:r>
      <w:r w:rsidRPr="00EF0E76">
        <w:rPr>
          <w:rFonts w:eastAsia="Aptos" w:cs="Arial"/>
          <w:i/>
          <w:noProof/>
          <w:sz w:val="22"/>
          <w:lang w:val="en-US"/>
        </w:rPr>
        <w:t xml:space="preserve"> 101</w:t>
      </w:r>
      <w:r w:rsidRPr="00EF0E76">
        <w:rPr>
          <w:rFonts w:eastAsia="Aptos" w:cs="Arial"/>
          <w:noProof/>
          <w:sz w:val="22"/>
          <w:lang w:val="en-US"/>
        </w:rPr>
        <w:t xml:space="preserve">(3), 768-814. </w:t>
      </w:r>
      <w:hyperlink r:id="rId437" w:history="1">
        <w:r w:rsidR="00090188" w:rsidRPr="00EF0E76">
          <w:rPr>
            <w:rStyle w:val="Hyperlink"/>
            <w:rFonts w:eastAsia="Aptos" w:cs="Arial"/>
            <w:noProof/>
            <w:sz w:val="22"/>
            <w:lang w:val="en-US"/>
          </w:rPr>
          <w:t>https://doi.org/10.1111/1468-0009.12662</w:t>
        </w:r>
      </w:hyperlink>
      <w:r w:rsidR="00090188">
        <w:rPr>
          <w:rFonts w:eastAsia="Aptos" w:cs="Arial"/>
          <w:noProof/>
          <w:sz w:val="22"/>
          <w:lang w:val="en-US"/>
        </w:rPr>
        <w:t xml:space="preserve"> </w:t>
      </w:r>
      <w:r w:rsidRPr="00EF0E76">
        <w:rPr>
          <w:rFonts w:eastAsia="Aptos" w:cs="Arial"/>
          <w:noProof/>
          <w:sz w:val="22"/>
          <w:lang w:val="en-US"/>
        </w:rPr>
        <w:t xml:space="preserve"> </w:t>
      </w:r>
    </w:p>
    <w:p w14:paraId="68AB02D4" w14:textId="73BB41C3" w:rsidR="0030178D" w:rsidRPr="00075790" w:rsidRDefault="0030178D" w:rsidP="0030178D">
      <w:pPr>
        <w:pStyle w:val="EndNoteBibliography"/>
        <w:spacing w:after="0"/>
        <w:ind w:left="720" w:hanging="720"/>
      </w:pPr>
    </w:p>
    <w:p w14:paraId="2D9C35F4" w14:textId="42E82C58" w:rsidR="000E5A21" w:rsidRPr="000E5A21" w:rsidRDefault="000E5A21" w:rsidP="000E5A21">
      <w:pPr>
        <w:spacing w:before="0" w:after="160"/>
        <w:ind w:left="720" w:hanging="720"/>
        <w:rPr>
          <w:rFonts w:eastAsia="Aptos" w:cs="Arial"/>
          <w:noProof/>
          <w:sz w:val="22"/>
          <w:lang w:val="en-US"/>
        </w:rPr>
      </w:pPr>
      <w:r w:rsidRPr="000E5A21">
        <w:rPr>
          <w:rFonts w:eastAsia="Aptos" w:cs="Arial"/>
          <w:noProof/>
          <w:sz w:val="22"/>
          <w:lang w:val="en-US"/>
        </w:rPr>
        <w:t xml:space="preserve">Miguel, P. M., Pereira, L. O., Silveira, P. P., &amp; Meaney, M. J. (2019). Early environmental influences on the development of children's brain structure and function. </w:t>
      </w:r>
      <w:r w:rsidRPr="000E5A21">
        <w:rPr>
          <w:rFonts w:eastAsia="Aptos" w:cs="Arial"/>
          <w:i/>
          <w:noProof/>
          <w:sz w:val="22"/>
          <w:lang w:val="en-US"/>
        </w:rPr>
        <w:t>Developmental Medicine &amp; Child Neurology</w:t>
      </w:r>
      <w:r w:rsidRPr="000E5A21">
        <w:rPr>
          <w:rFonts w:eastAsia="Aptos" w:cs="Arial"/>
          <w:noProof/>
          <w:sz w:val="22"/>
          <w:lang w:val="en-US"/>
        </w:rPr>
        <w:t>,</w:t>
      </w:r>
      <w:r w:rsidRPr="000E5A21">
        <w:rPr>
          <w:rFonts w:eastAsia="Aptos" w:cs="Arial"/>
          <w:i/>
          <w:noProof/>
          <w:sz w:val="22"/>
          <w:lang w:val="en-US"/>
        </w:rPr>
        <w:t xml:space="preserve"> 61</w:t>
      </w:r>
      <w:r w:rsidRPr="000E5A21">
        <w:rPr>
          <w:rFonts w:eastAsia="Aptos" w:cs="Arial"/>
          <w:noProof/>
          <w:sz w:val="22"/>
          <w:lang w:val="en-US"/>
        </w:rPr>
        <w:t xml:space="preserve">(10), 1127-1133. </w:t>
      </w:r>
      <w:hyperlink r:id="rId438" w:history="1">
        <w:r w:rsidR="00090188" w:rsidRPr="000E5A21">
          <w:rPr>
            <w:rStyle w:val="Hyperlink"/>
            <w:rFonts w:eastAsia="Aptos" w:cs="Arial"/>
            <w:noProof/>
            <w:sz w:val="22"/>
            <w:lang w:val="en-US"/>
          </w:rPr>
          <w:t>https://doi.org/10.1111/dmcn.14182</w:t>
        </w:r>
      </w:hyperlink>
      <w:r w:rsidR="00090188">
        <w:rPr>
          <w:rFonts w:eastAsia="Aptos" w:cs="Arial"/>
          <w:noProof/>
          <w:sz w:val="22"/>
          <w:lang w:val="en-US"/>
        </w:rPr>
        <w:t xml:space="preserve"> </w:t>
      </w:r>
      <w:r w:rsidRPr="000E5A21">
        <w:rPr>
          <w:rFonts w:eastAsia="Aptos" w:cs="Arial"/>
          <w:noProof/>
          <w:sz w:val="22"/>
          <w:lang w:val="en-US"/>
        </w:rPr>
        <w:t xml:space="preserve"> </w:t>
      </w:r>
    </w:p>
    <w:p w14:paraId="5CCEA4E2" w14:textId="77777777" w:rsidR="000E5A21" w:rsidRPr="000E5A21" w:rsidRDefault="000E5A21" w:rsidP="000E5A21">
      <w:pPr>
        <w:spacing w:before="0" w:after="0"/>
        <w:ind w:left="720" w:hanging="720"/>
        <w:rPr>
          <w:rFonts w:eastAsia="Aptos" w:cs="Arial"/>
          <w:noProof/>
          <w:sz w:val="22"/>
          <w:lang w:val="en-US"/>
        </w:rPr>
      </w:pPr>
      <w:r w:rsidRPr="000E5A21">
        <w:rPr>
          <w:rFonts w:eastAsia="Aptos" w:cs="Arial"/>
          <w:noProof/>
          <w:sz w:val="22"/>
          <w:lang w:val="en-US"/>
        </w:rPr>
        <w:tab/>
      </w:r>
    </w:p>
    <w:p w14:paraId="7E986ABC" w14:textId="77777777" w:rsidR="000E5A21" w:rsidRPr="000E5A21" w:rsidRDefault="000E5A21" w:rsidP="000E5A21">
      <w:pPr>
        <w:spacing w:before="0" w:after="160"/>
        <w:ind w:left="720" w:hanging="720"/>
        <w:rPr>
          <w:rFonts w:eastAsia="Aptos" w:cs="Arial"/>
          <w:noProof/>
          <w:sz w:val="22"/>
          <w:lang w:val="en-US"/>
        </w:rPr>
      </w:pPr>
      <w:r w:rsidRPr="000E5A21">
        <w:rPr>
          <w:rFonts w:eastAsia="Aptos" w:cs="Arial"/>
          <w:noProof/>
          <w:sz w:val="22"/>
          <w:lang w:val="en-US"/>
        </w:rPr>
        <w:t xml:space="preserve">Miller, A. R., Gardiner, E., &amp; Rosenbaum, P. L. (2023). A non-categorical approach to childhood neurodisability: Concepts, evidence, and implications for clinical practice, organization of services, teaching, and research. In D. Eisenstat, D. Goldowitz, T. Oberlander, &amp; J.Y. Yager (Eds.), </w:t>
      </w:r>
      <w:r w:rsidRPr="000E5A21">
        <w:rPr>
          <w:rFonts w:eastAsia="Aptos" w:cs="Arial"/>
          <w:i/>
          <w:noProof/>
          <w:sz w:val="22"/>
          <w:lang w:val="en-US"/>
        </w:rPr>
        <w:t>Neurodevelopmental pediatrics: Genetic and environmental influences</w:t>
      </w:r>
      <w:r w:rsidRPr="000E5A21">
        <w:rPr>
          <w:rFonts w:eastAsia="Aptos" w:cs="Arial"/>
          <w:noProof/>
          <w:sz w:val="22"/>
          <w:lang w:val="en-US"/>
        </w:rPr>
        <w:t xml:space="preserve"> (pp. 685-695). New York: Springer International. </w:t>
      </w:r>
    </w:p>
    <w:p w14:paraId="38439912" w14:textId="77777777" w:rsidR="000E5A21" w:rsidRPr="000E5A21" w:rsidRDefault="000E5A21" w:rsidP="000E5A21">
      <w:pPr>
        <w:spacing w:before="0" w:after="0"/>
        <w:ind w:left="720" w:hanging="720"/>
        <w:rPr>
          <w:rFonts w:eastAsia="Aptos" w:cs="Arial"/>
          <w:noProof/>
          <w:sz w:val="22"/>
          <w:lang w:val="en-US"/>
        </w:rPr>
      </w:pPr>
      <w:r w:rsidRPr="000E5A21">
        <w:rPr>
          <w:rFonts w:eastAsia="Aptos" w:cs="Arial"/>
          <w:noProof/>
          <w:sz w:val="22"/>
          <w:lang w:val="en-US"/>
        </w:rPr>
        <w:tab/>
      </w:r>
    </w:p>
    <w:p w14:paraId="14541B3D" w14:textId="77777777" w:rsidR="000E5A21" w:rsidRPr="000E5A21" w:rsidRDefault="000E5A21" w:rsidP="000E5A21">
      <w:pPr>
        <w:spacing w:before="0" w:after="160"/>
        <w:ind w:left="720" w:hanging="720"/>
        <w:rPr>
          <w:rFonts w:eastAsia="Aptos" w:cs="Arial"/>
          <w:noProof/>
          <w:sz w:val="22"/>
          <w:lang w:val="en-US"/>
        </w:rPr>
      </w:pPr>
      <w:r w:rsidRPr="000E5A21">
        <w:rPr>
          <w:rFonts w:eastAsia="Aptos" w:cs="Arial"/>
          <w:noProof/>
          <w:sz w:val="22"/>
          <w:lang w:val="en-US"/>
        </w:rPr>
        <w:t xml:space="preserve">Miller, E. (2012). </w:t>
      </w:r>
      <w:r w:rsidRPr="000E5A21">
        <w:rPr>
          <w:rFonts w:eastAsia="Aptos" w:cs="Arial"/>
          <w:i/>
          <w:noProof/>
          <w:sz w:val="22"/>
          <w:lang w:val="en-US"/>
        </w:rPr>
        <w:t>Individual outcomes: Getting back to what matters</w:t>
      </w:r>
      <w:r w:rsidRPr="000E5A21">
        <w:rPr>
          <w:rFonts w:eastAsia="Aptos" w:cs="Arial"/>
          <w:noProof/>
          <w:sz w:val="22"/>
          <w:lang w:val="en-US"/>
        </w:rPr>
        <w:t xml:space="preserve">. Edinburgh, Scotland: Dunedin Academic Press. </w:t>
      </w:r>
    </w:p>
    <w:p w14:paraId="79A5A283" w14:textId="77777777" w:rsidR="000E5A21" w:rsidRPr="000E5A21" w:rsidRDefault="000E5A21" w:rsidP="000E5A21">
      <w:pPr>
        <w:spacing w:before="0" w:after="0"/>
        <w:ind w:left="720" w:hanging="720"/>
        <w:rPr>
          <w:rFonts w:eastAsia="Aptos" w:cs="Arial"/>
          <w:noProof/>
          <w:sz w:val="22"/>
          <w:lang w:val="en-US"/>
        </w:rPr>
      </w:pPr>
      <w:r w:rsidRPr="000E5A21">
        <w:rPr>
          <w:rFonts w:eastAsia="Aptos" w:cs="Arial"/>
          <w:noProof/>
          <w:sz w:val="22"/>
          <w:lang w:val="en-US"/>
        </w:rPr>
        <w:tab/>
      </w:r>
    </w:p>
    <w:p w14:paraId="625873FF" w14:textId="77777777" w:rsidR="000E5A21" w:rsidRPr="000E5A21" w:rsidRDefault="000E5A21" w:rsidP="000E5A21">
      <w:pPr>
        <w:spacing w:before="0" w:after="160"/>
        <w:ind w:left="720" w:hanging="720"/>
        <w:rPr>
          <w:rFonts w:eastAsia="Aptos" w:cs="Arial"/>
          <w:noProof/>
          <w:sz w:val="22"/>
          <w:lang w:val="en-US"/>
        </w:rPr>
      </w:pPr>
      <w:r w:rsidRPr="000E5A21">
        <w:rPr>
          <w:rFonts w:eastAsia="Aptos" w:cs="Arial"/>
          <w:noProof/>
          <w:sz w:val="22"/>
          <w:lang w:val="en-US"/>
        </w:rPr>
        <w:t xml:space="preserve">Miller, E., Cook, A., &amp; Samet, W. (2009). </w:t>
      </w:r>
      <w:r w:rsidRPr="000E5A21">
        <w:rPr>
          <w:rFonts w:eastAsia="Aptos" w:cs="Arial"/>
          <w:i/>
          <w:noProof/>
          <w:sz w:val="22"/>
          <w:lang w:val="en-US"/>
        </w:rPr>
        <w:t>Philosophy and principles underpinning an outcomes approach</w:t>
      </w:r>
      <w:r w:rsidRPr="000E5A21">
        <w:rPr>
          <w:rFonts w:eastAsia="Aptos" w:cs="Arial"/>
          <w:noProof/>
          <w:sz w:val="22"/>
          <w:lang w:val="en-US"/>
        </w:rPr>
        <w:t xml:space="preserve">. Edinburgh, Scotland: Joint Improvement Team. </w:t>
      </w:r>
    </w:p>
    <w:p w14:paraId="7666F9F1" w14:textId="77777777" w:rsidR="000E5A21" w:rsidRPr="000E5A21" w:rsidRDefault="000E5A21" w:rsidP="000E5A21">
      <w:pPr>
        <w:spacing w:before="0" w:after="0"/>
        <w:ind w:left="720" w:hanging="720"/>
        <w:rPr>
          <w:rFonts w:eastAsia="Aptos" w:cs="Arial"/>
          <w:noProof/>
          <w:sz w:val="22"/>
          <w:lang w:val="en-US"/>
        </w:rPr>
      </w:pPr>
      <w:r w:rsidRPr="000E5A21">
        <w:rPr>
          <w:rFonts w:eastAsia="Aptos" w:cs="Arial"/>
          <w:noProof/>
          <w:sz w:val="22"/>
          <w:lang w:val="en-US"/>
        </w:rPr>
        <w:tab/>
      </w:r>
    </w:p>
    <w:p w14:paraId="678F7980" w14:textId="40C94AEF" w:rsidR="000E5A21" w:rsidRPr="000E5A21" w:rsidRDefault="000E5A21" w:rsidP="000E5A21">
      <w:pPr>
        <w:spacing w:before="0" w:after="160"/>
        <w:ind w:left="720" w:hanging="720"/>
        <w:rPr>
          <w:rFonts w:eastAsia="Aptos" w:cs="Arial"/>
          <w:noProof/>
          <w:sz w:val="22"/>
          <w:lang w:val="en-US"/>
        </w:rPr>
      </w:pPr>
      <w:r w:rsidRPr="000E5A21">
        <w:rPr>
          <w:rFonts w:eastAsia="Aptos" w:cs="Arial"/>
          <w:noProof/>
          <w:sz w:val="22"/>
          <w:lang w:val="en-US"/>
        </w:rPr>
        <w:t xml:space="preserve">Miller, L., Imms, C., Cross, A., Pozniak, K., O'Connor, B., Martens, R., Cavalieros, V., Babic, R., Novak-Pavlic, M., Rodrigues, M., Balram, A., Hughes, D., Ziviani, J., &amp; Rosenbaum, P. (2023). Impact of "early intervention" parent workshops on outcomes for caregivers of children with neurodisabilities: a mixed-methods study. </w:t>
      </w:r>
      <w:r w:rsidRPr="000E5A21">
        <w:rPr>
          <w:rFonts w:eastAsia="Aptos" w:cs="Arial"/>
          <w:i/>
          <w:noProof/>
          <w:sz w:val="22"/>
          <w:lang w:val="en-US"/>
        </w:rPr>
        <w:t>Disability and Rehabilitation</w:t>
      </w:r>
      <w:r w:rsidRPr="000E5A21">
        <w:rPr>
          <w:rFonts w:eastAsia="Aptos" w:cs="Arial"/>
          <w:noProof/>
          <w:sz w:val="22"/>
          <w:lang w:val="en-US"/>
        </w:rPr>
        <w:t>,</w:t>
      </w:r>
      <w:r w:rsidRPr="000E5A21">
        <w:rPr>
          <w:rFonts w:eastAsia="Aptos" w:cs="Arial"/>
          <w:i/>
          <w:noProof/>
          <w:sz w:val="22"/>
          <w:lang w:val="en-US"/>
        </w:rPr>
        <w:t xml:space="preserve"> 45</w:t>
      </w:r>
      <w:r w:rsidRPr="000E5A21">
        <w:rPr>
          <w:rFonts w:eastAsia="Aptos" w:cs="Arial"/>
          <w:noProof/>
          <w:sz w:val="22"/>
          <w:lang w:val="en-US"/>
        </w:rPr>
        <w:t xml:space="preserve">(23), 3900-3911. </w:t>
      </w:r>
      <w:hyperlink r:id="rId439" w:history="1">
        <w:r w:rsidR="00090188" w:rsidRPr="000E5A21">
          <w:rPr>
            <w:rStyle w:val="Hyperlink"/>
            <w:rFonts w:eastAsia="Aptos" w:cs="Arial"/>
            <w:noProof/>
            <w:sz w:val="22"/>
            <w:lang w:val="en-US"/>
          </w:rPr>
          <w:t>https://doi.org/10.1080/09638288.2022.2143579</w:t>
        </w:r>
      </w:hyperlink>
      <w:r w:rsidR="00090188">
        <w:rPr>
          <w:rFonts w:eastAsia="Aptos" w:cs="Arial"/>
          <w:noProof/>
          <w:sz w:val="22"/>
          <w:lang w:val="en-US"/>
        </w:rPr>
        <w:t xml:space="preserve"> </w:t>
      </w:r>
      <w:r w:rsidRPr="000E5A21">
        <w:rPr>
          <w:rFonts w:eastAsia="Aptos" w:cs="Arial"/>
          <w:noProof/>
          <w:sz w:val="22"/>
          <w:lang w:val="en-US"/>
        </w:rPr>
        <w:t xml:space="preserve"> </w:t>
      </w:r>
    </w:p>
    <w:p w14:paraId="06351386" w14:textId="77777777" w:rsidR="000E5A21" w:rsidRPr="000E5A21" w:rsidRDefault="000E5A21" w:rsidP="000E5A21">
      <w:pPr>
        <w:spacing w:before="0" w:after="0"/>
        <w:ind w:left="720" w:hanging="720"/>
        <w:rPr>
          <w:rFonts w:eastAsia="Aptos" w:cs="Arial"/>
          <w:noProof/>
          <w:sz w:val="22"/>
          <w:lang w:val="en-US"/>
        </w:rPr>
      </w:pPr>
      <w:r w:rsidRPr="000E5A21">
        <w:rPr>
          <w:rFonts w:eastAsia="Aptos" w:cs="Arial"/>
          <w:noProof/>
          <w:sz w:val="22"/>
          <w:lang w:val="en-US"/>
        </w:rPr>
        <w:tab/>
      </w:r>
    </w:p>
    <w:p w14:paraId="3D3A9DFF" w14:textId="5453000C" w:rsidR="000E5A21" w:rsidRPr="000E5A21" w:rsidRDefault="000E5A21" w:rsidP="000E5A21">
      <w:pPr>
        <w:spacing w:before="0" w:after="160"/>
        <w:ind w:left="720" w:hanging="720"/>
        <w:rPr>
          <w:rFonts w:eastAsia="Aptos" w:cs="Arial"/>
          <w:noProof/>
          <w:sz w:val="22"/>
          <w:lang w:val="en-US"/>
        </w:rPr>
      </w:pPr>
      <w:r w:rsidRPr="000E5A21">
        <w:rPr>
          <w:rFonts w:eastAsia="Aptos" w:cs="Arial"/>
          <w:noProof/>
          <w:sz w:val="22"/>
          <w:lang w:val="en-US"/>
        </w:rPr>
        <w:t xml:space="preserve">Miller, L., Nickson, G., Pozniak, K., Khan, D., Imms, C., Ziviani, J., Cross, A., Martens, R., Cavalieros, V., &amp; Rosenbaum, P. (2022). ENabling VISions and Growing Expectations (ENVISAGE): Parent reviewers' perspectives of a co-designed program to support parents raising a child with an early-onset neurodevelopmental disability. </w:t>
      </w:r>
      <w:r w:rsidRPr="000E5A21">
        <w:rPr>
          <w:rFonts w:eastAsia="Aptos" w:cs="Arial"/>
          <w:i/>
          <w:noProof/>
          <w:sz w:val="22"/>
          <w:lang w:val="en-US"/>
        </w:rPr>
        <w:t>Research in developmental disabilities</w:t>
      </w:r>
      <w:r w:rsidRPr="000E5A21">
        <w:rPr>
          <w:rFonts w:eastAsia="Aptos" w:cs="Arial"/>
          <w:noProof/>
          <w:sz w:val="22"/>
          <w:lang w:val="en-US"/>
        </w:rPr>
        <w:t>,</w:t>
      </w:r>
      <w:r w:rsidRPr="000E5A21">
        <w:rPr>
          <w:rFonts w:eastAsia="Aptos" w:cs="Arial"/>
          <w:i/>
          <w:noProof/>
          <w:sz w:val="22"/>
          <w:lang w:val="en-US"/>
        </w:rPr>
        <w:t xml:space="preserve"> 121</w:t>
      </w:r>
      <w:r w:rsidRPr="000E5A21">
        <w:rPr>
          <w:rFonts w:eastAsia="Aptos" w:cs="Arial"/>
          <w:noProof/>
          <w:sz w:val="22"/>
          <w:lang w:val="en-US"/>
        </w:rPr>
        <w:t xml:space="preserve">, 104150. </w:t>
      </w:r>
      <w:hyperlink r:id="rId440" w:history="1">
        <w:r w:rsidR="00090188" w:rsidRPr="000E5A21">
          <w:rPr>
            <w:rStyle w:val="Hyperlink"/>
            <w:rFonts w:eastAsia="Aptos" w:cs="Arial"/>
            <w:noProof/>
            <w:sz w:val="22"/>
            <w:lang w:val="en-US"/>
          </w:rPr>
          <w:t>https://doi.org/10.1016/j.ridd.2021.104150</w:t>
        </w:r>
      </w:hyperlink>
      <w:r w:rsidR="00090188">
        <w:rPr>
          <w:rFonts w:eastAsia="Aptos" w:cs="Arial"/>
          <w:noProof/>
          <w:sz w:val="22"/>
          <w:lang w:val="en-US"/>
        </w:rPr>
        <w:t xml:space="preserve"> </w:t>
      </w:r>
      <w:r w:rsidRPr="000E5A21">
        <w:rPr>
          <w:rFonts w:eastAsia="Aptos" w:cs="Arial"/>
          <w:noProof/>
          <w:sz w:val="22"/>
          <w:lang w:val="en-US"/>
        </w:rPr>
        <w:t xml:space="preserve"> </w:t>
      </w:r>
    </w:p>
    <w:p w14:paraId="0CCC20D2" w14:textId="77777777" w:rsidR="000E5A21" w:rsidRPr="000E5A21" w:rsidRDefault="000E5A21" w:rsidP="000E5A21">
      <w:pPr>
        <w:spacing w:before="0" w:after="0"/>
        <w:ind w:left="720" w:hanging="720"/>
        <w:rPr>
          <w:rFonts w:eastAsia="Aptos" w:cs="Arial"/>
          <w:noProof/>
          <w:sz w:val="22"/>
          <w:lang w:val="en-US"/>
        </w:rPr>
      </w:pPr>
      <w:r w:rsidRPr="000E5A21">
        <w:rPr>
          <w:rFonts w:eastAsia="Aptos" w:cs="Arial"/>
          <w:noProof/>
          <w:sz w:val="22"/>
          <w:lang w:val="en-US"/>
        </w:rPr>
        <w:tab/>
      </w:r>
    </w:p>
    <w:p w14:paraId="0E13E252" w14:textId="77777777" w:rsidR="000E5A21" w:rsidRPr="000E5A21" w:rsidRDefault="000E5A21" w:rsidP="000E5A21">
      <w:pPr>
        <w:spacing w:before="0" w:after="160"/>
        <w:ind w:left="720" w:hanging="720"/>
        <w:rPr>
          <w:rFonts w:eastAsia="Aptos" w:cs="Arial"/>
          <w:noProof/>
          <w:sz w:val="22"/>
          <w:lang w:val="en-US"/>
        </w:rPr>
      </w:pPr>
      <w:r w:rsidRPr="000E5A21">
        <w:rPr>
          <w:rFonts w:eastAsia="Aptos" w:cs="Arial"/>
          <w:noProof/>
          <w:sz w:val="22"/>
          <w:lang w:val="en-US"/>
        </w:rPr>
        <w:t xml:space="preserve">Miller, S. D., &amp; Bargmann, S. (2012). The outcome rating scale (ORS) and the session rating scale (SRS). </w:t>
      </w:r>
      <w:r w:rsidRPr="000E5A21">
        <w:rPr>
          <w:rFonts w:eastAsia="Aptos" w:cs="Arial"/>
          <w:i/>
          <w:noProof/>
          <w:sz w:val="22"/>
          <w:lang w:val="en-US"/>
        </w:rPr>
        <w:t>Integrating science and practice</w:t>
      </w:r>
      <w:r w:rsidRPr="000E5A21">
        <w:rPr>
          <w:rFonts w:eastAsia="Aptos" w:cs="Arial"/>
          <w:noProof/>
          <w:sz w:val="22"/>
          <w:lang w:val="en-US"/>
        </w:rPr>
        <w:t>,</w:t>
      </w:r>
      <w:r w:rsidRPr="000E5A21">
        <w:rPr>
          <w:rFonts w:eastAsia="Aptos" w:cs="Arial"/>
          <w:i/>
          <w:noProof/>
          <w:sz w:val="22"/>
          <w:lang w:val="en-US"/>
        </w:rPr>
        <w:t xml:space="preserve"> 2</w:t>
      </w:r>
      <w:r w:rsidRPr="000E5A21">
        <w:rPr>
          <w:rFonts w:eastAsia="Aptos" w:cs="Arial"/>
          <w:noProof/>
          <w:sz w:val="22"/>
          <w:lang w:val="en-US"/>
        </w:rPr>
        <w:t xml:space="preserve">(2), 28-31. </w:t>
      </w:r>
    </w:p>
    <w:p w14:paraId="2BDE28F3" w14:textId="77777777" w:rsidR="000E5A21" w:rsidRPr="000E5A21" w:rsidRDefault="000E5A21" w:rsidP="000E5A21">
      <w:pPr>
        <w:spacing w:before="0" w:after="0"/>
        <w:ind w:left="720" w:hanging="720"/>
        <w:rPr>
          <w:rFonts w:eastAsia="Aptos" w:cs="Arial"/>
          <w:noProof/>
          <w:sz w:val="22"/>
          <w:lang w:val="en-US"/>
        </w:rPr>
      </w:pPr>
      <w:r w:rsidRPr="000E5A21">
        <w:rPr>
          <w:rFonts w:eastAsia="Aptos" w:cs="Arial"/>
          <w:noProof/>
          <w:sz w:val="22"/>
          <w:lang w:val="en-US"/>
        </w:rPr>
        <w:tab/>
      </w:r>
    </w:p>
    <w:p w14:paraId="04D5BEDC" w14:textId="77777777" w:rsidR="000E5A21" w:rsidRDefault="000E5A21" w:rsidP="000E5A21">
      <w:pPr>
        <w:spacing w:before="0" w:after="160"/>
        <w:ind w:left="720" w:hanging="720"/>
        <w:rPr>
          <w:rFonts w:eastAsia="Aptos" w:cs="Arial"/>
          <w:noProof/>
          <w:sz w:val="22"/>
          <w:lang w:val="en-US"/>
        </w:rPr>
      </w:pPr>
      <w:r w:rsidRPr="000E5A21">
        <w:rPr>
          <w:rFonts w:eastAsia="Aptos" w:cs="Arial"/>
          <w:noProof/>
          <w:sz w:val="22"/>
          <w:lang w:val="en-US"/>
        </w:rPr>
        <w:t xml:space="preserve">Miller, W. R., &amp; Rollnick, S. (2013). </w:t>
      </w:r>
      <w:r w:rsidRPr="000E5A21">
        <w:rPr>
          <w:rFonts w:eastAsia="Aptos" w:cs="Arial"/>
          <w:i/>
          <w:noProof/>
          <w:sz w:val="22"/>
          <w:lang w:val="en-US"/>
        </w:rPr>
        <w:t>Motivational interviewing: Helping people change</w:t>
      </w:r>
      <w:r w:rsidRPr="000E5A21">
        <w:rPr>
          <w:rFonts w:eastAsia="Aptos" w:cs="Arial"/>
          <w:noProof/>
          <w:sz w:val="22"/>
          <w:lang w:val="en-US"/>
        </w:rPr>
        <w:t xml:space="preserve"> (3rd ed.). New York: Guilford Press. </w:t>
      </w:r>
    </w:p>
    <w:p w14:paraId="18FD5EC6" w14:textId="77777777" w:rsidR="004F13BA" w:rsidRPr="000E5A21" w:rsidRDefault="004F13BA" w:rsidP="000E5A21">
      <w:pPr>
        <w:spacing w:before="0" w:after="160"/>
        <w:ind w:left="720" w:hanging="720"/>
        <w:rPr>
          <w:rFonts w:eastAsia="Aptos" w:cs="Arial"/>
          <w:noProof/>
          <w:sz w:val="22"/>
          <w:lang w:val="en-US"/>
        </w:rPr>
      </w:pPr>
    </w:p>
    <w:p w14:paraId="4A5EE7A5" w14:textId="440CE69F" w:rsidR="00F15800" w:rsidRPr="00F15800" w:rsidRDefault="00F15800" w:rsidP="00F15800">
      <w:pPr>
        <w:spacing w:before="0" w:after="160"/>
        <w:ind w:left="720" w:hanging="720"/>
        <w:rPr>
          <w:rFonts w:eastAsia="Aptos" w:cs="Arial"/>
          <w:noProof/>
          <w:sz w:val="22"/>
          <w:lang w:val="en-US"/>
        </w:rPr>
      </w:pPr>
      <w:r w:rsidRPr="00090188">
        <w:rPr>
          <w:rFonts w:eastAsia="Aptos" w:cs="Arial"/>
          <w:noProof/>
          <w:sz w:val="22"/>
        </w:rPr>
        <w:t xml:space="preserve">Miranti, R., Brown, L., Jinjing, L., Tanton, R., Vidyattama, Y., Sajeda, T., &amp; Rowe, P. (2018). </w:t>
      </w:r>
      <w:r w:rsidRPr="00F15800">
        <w:rPr>
          <w:rFonts w:eastAsia="Aptos" w:cs="Arial"/>
          <w:i/>
          <w:noProof/>
          <w:sz w:val="22"/>
          <w:lang w:val="en-US"/>
        </w:rPr>
        <w:t>Child social exclusion, poverty and disadvantage in Australia</w:t>
      </w:r>
      <w:r w:rsidRPr="00F15800">
        <w:rPr>
          <w:rFonts w:eastAsia="Aptos" w:cs="Arial"/>
          <w:noProof/>
          <w:sz w:val="22"/>
          <w:lang w:val="en-US"/>
        </w:rPr>
        <w:t xml:space="preserve">. Canberra, ACT: NATSEM, Institute for Governance and Policy Analysis (IGPA), University of Canberra. </w:t>
      </w:r>
      <w:hyperlink r:id="rId441" w:history="1">
        <w:r w:rsidR="00090188" w:rsidRPr="00F15800">
          <w:rPr>
            <w:rStyle w:val="Hyperlink"/>
            <w:rFonts w:eastAsia="Aptos" w:cs="Arial"/>
            <w:noProof/>
            <w:sz w:val="22"/>
            <w:lang w:val="en-US"/>
          </w:rPr>
          <w:t>https://www.natsem.canberra.edu.au/publications/?publication=child-social-exclusion-poverty-and-disadvantage-in-australia</w:t>
        </w:r>
      </w:hyperlink>
      <w:r w:rsidR="00090188">
        <w:rPr>
          <w:rFonts w:eastAsia="Aptos" w:cs="Arial"/>
          <w:noProof/>
          <w:sz w:val="22"/>
          <w:lang w:val="en-US"/>
        </w:rPr>
        <w:t xml:space="preserve"> </w:t>
      </w:r>
    </w:p>
    <w:p w14:paraId="35E976EA" w14:textId="77777777" w:rsidR="00F15800" w:rsidRPr="00F15800" w:rsidRDefault="00F15800" w:rsidP="00F15800">
      <w:pPr>
        <w:spacing w:before="0" w:after="0"/>
        <w:ind w:left="720" w:hanging="720"/>
        <w:rPr>
          <w:rFonts w:eastAsia="Aptos" w:cs="Arial"/>
          <w:noProof/>
          <w:sz w:val="22"/>
          <w:lang w:val="en-US"/>
        </w:rPr>
      </w:pPr>
      <w:r w:rsidRPr="00F15800">
        <w:rPr>
          <w:rFonts w:eastAsia="Aptos" w:cs="Arial"/>
          <w:noProof/>
          <w:sz w:val="22"/>
          <w:lang w:val="en-US"/>
        </w:rPr>
        <w:tab/>
      </w:r>
    </w:p>
    <w:p w14:paraId="5883BDE8" w14:textId="483D65BF" w:rsidR="00F15800" w:rsidRPr="00F15800" w:rsidRDefault="00F15800" w:rsidP="00F15800">
      <w:pPr>
        <w:spacing w:before="0" w:after="160"/>
        <w:ind w:left="720" w:hanging="720"/>
        <w:rPr>
          <w:rFonts w:eastAsia="Aptos" w:cs="Arial"/>
          <w:noProof/>
          <w:sz w:val="22"/>
          <w:lang w:val="en-US"/>
        </w:rPr>
      </w:pPr>
      <w:r w:rsidRPr="00F15800">
        <w:rPr>
          <w:rFonts w:eastAsia="Aptos" w:cs="Arial"/>
          <w:noProof/>
          <w:sz w:val="22"/>
          <w:lang w:val="en-US"/>
        </w:rPr>
        <w:t xml:space="preserve">Mobbs, C. A., Spittle, A. J., &amp; Johnston, L. M. (2021). Participation measures for infants and toddlers aged birth to 23 months: a systematic review. </w:t>
      </w:r>
      <w:r w:rsidRPr="00F15800">
        <w:rPr>
          <w:rFonts w:eastAsia="Aptos" w:cs="Arial"/>
          <w:i/>
          <w:noProof/>
          <w:sz w:val="22"/>
          <w:lang w:val="en-US"/>
        </w:rPr>
        <w:t>Physical &amp; Occupational Therapy in Pediatrics</w:t>
      </w:r>
      <w:r w:rsidRPr="00F15800">
        <w:rPr>
          <w:rFonts w:eastAsia="Aptos" w:cs="Arial"/>
          <w:noProof/>
          <w:sz w:val="22"/>
          <w:lang w:val="en-US"/>
        </w:rPr>
        <w:t>,</w:t>
      </w:r>
      <w:r w:rsidRPr="00F15800">
        <w:rPr>
          <w:rFonts w:eastAsia="Aptos" w:cs="Arial"/>
          <w:i/>
          <w:noProof/>
          <w:sz w:val="22"/>
          <w:lang w:val="en-US"/>
        </w:rPr>
        <w:t xml:space="preserve"> 41</w:t>
      </w:r>
      <w:r w:rsidRPr="00F15800">
        <w:rPr>
          <w:rFonts w:eastAsia="Aptos" w:cs="Arial"/>
          <w:noProof/>
          <w:sz w:val="22"/>
          <w:lang w:val="en-US"/>
        </w:rPr>
        <w:t xml:space="preserve">(6), 567-589. </w:t>
      </w:r>
      <w:hyperlink r:id="rId442" w:history="1">
        <w:r w:rsidR="00090188" w:rsidRPr="00F15800">
          <w:rPr>
            <w:rStyle w:val="Hyperlink"/>
            <w:rFonts w:eastAsia="Aptos" w:cs="Arial"/>
            <w:noProof/>
            <w:sz w:val="22"/>
            <w:lang w:val="en-US"/>
          </w:rPr>
          <w:t>https://doi.org/10.1080/01942638.2021.1900488</w:t>
        </w:r>
      </w:hyperlink>
      <w:r w:rsidR="00090188">
        <w:rPr>
          <w:rFonts w:eastAsia="Aptos" w:cs="Arial"/>
          <w:noProof/>
          <w:sz w:val="22"/>
          <w:lang w:val="en-US"/>
        </w:rPr>
        <w:t xml:space="preserve"> </w:t>
      </w:r>
      <w:r w:rsidRPr="00F15800">
        <w:rPr>
          <w:rFonts w:eastAsia="Aptos" w:cs="Arial"/>
          <w:noProof/>
          <w:sz w:val="22"/>
          <w:lang w:val="en-US"/>
        </w:rPr>
        <w:t xml:space="preserve"> </w:t>
      </w:r>
    </w:p>
    <w:p w14:paraId="51195162" w14:textId="77777777" w:rsidR="00F15800" w:rsidRPr="00F15800" w:rsidRDefault="00F15800" w:rsidP="00F15800">
      <w:pPr>
        <w:spacing w:before="0" w:after="0"/>
        <w:ind w:left="720" w:hanging="720"/>
        <w:rPr>
          <w:rFonts w:eastAsia="Aptos" w:cs="Arial"/>
          <w:noProof/>
          <w:sz w:val="22"/>
          <w:lang w:val="en-US"/>
        </w:rPr>
      </w:pPr>
      <w:r w:rsidRPr="00F15800">
        <w:rPr>
          <w:rFonts w:eastAsia="Aptos" w:cs="Arial"/>
          <w:noProof/>
          <w:sz w:val="22"/>
          <w:lang w:val="en-US"/>
        </w:rPr>
        <w:tab/>
      </w:r>
    </w:p>
    <w:p w14:paraId="53541037" w14:textId="0D684124" w:rsidR="00F15800" w:rsidRPr="00F15800" w:rsidRDefault="00F15800" w:rsidP="00F15800">
      <w:pPr>
        <w:spacing w:before="0" w:after="160"/>
        <w:ind w:left="720" w:hanging="720"/>
        <w:rPr>
          <w:rFonts w:eastAsia="Aptos" w:cs="Arial"/>
          <w:noProof/>
          <w:sz w:val="22"/>
          <w:lang w:val="en-US"/>
        </w:rPr>
      </w:pPr>
      <w:r w:rsidRPr="00F15800">
        <w:rPr>
          <w:rFonts w:eastAsia="Aptos" w:cs="Arial"/>
          <w:noProof/>
          <w:sz w:val="22"/>
          <w:lang w:val="en-US"/>
        </w:rPr>
        <w:t xml:space="preserve">Mohamed. J, Stacey. K, Chamberlain. C, &amp; Priest, N. (2024). </w:t>
      </w:r>
      <w:r w:rsidRPr="00F15800">
        <w:rPr>
          <w:rFonts w:eastAsia="Aptos" w:cs="Arial"/>
          <w:i/>
          <w:noProof/>
          <w:sz w:val="22"/>
          <w:lang w:val="en-US"/>
        </w:rPr>
        <w:t>Cultural safety in Australia. Discussion Paper.</w:t>
      </w:r>
      <w:r w:rsidRPr="00F15800">
        <w:rPr>
          <w:rFonts w:eastAsia="Aptos" w:cs="Arial"/>
          <w:noProof/>
          <w:sz w:val="22"/>
          <w:lang w:val="en-US"/>
        </w:rPr>
        <w:t xml:space="preserve"> Melbourne, VIC: Lowitja Institute. Retrieved 6 September, 2024 from </w:t>
      </w:r>
      <w:hyperlink r:id="rId443" w:history="1">
        <w:r w:rsidR="00090188" w:rsidRPr="00F15800">
          <w:rPr>
            <w:rStyle w:val="Hyperlink"/>
            <w:rFonts w:eastAsia="Aptos" w:cs="Arial"/>
            <w:noProof/>
            <w:sz w:val="22"/>
            <w:lang w:val="en-US"/>
          </w:rPr>
          <w:t>https://www.lowitja.org.au/wp-content/uploads/2024/08/CulturalSafetyinAustralia_DiscussionPaper_August2024.pdf</w:t>
        </w:r>
      </w:hyperlink>
      <w:r w:rsidR="00090188">
        <w:rPr>
          <w:rFonts w:eastAsia="Aptos" w:cs="Arial"/>
          <w:noProof/>
          <w:sz w:val="22"/>
          <w:lang w:val="en-US"/>
        </w:rPr>
        <w:t xml:space="preserve"> </w:t>
      </w:r>
    </w:p>
    <w:p w14:paraId="5771B48A" w14:textId="09A95302" w:rsidR="001C238C" w:rsidRPr="001C238C" w:rsidRDefault="001C238C" w:rsidP="001C238C">
      <w:pPr>
        <w:spacing w:before="0" w:after="160"/>
        <w:ind w:left="720" w:hanging="720"/>
        <w:rPr>
          <w:rFonts w:eastAsia="Aptos" w:cs="Arial"/>
          <w:noProof/>
          <w:sz w:val="22"/>
          <w:lang w:val="en-US"/>
        </w:rPr>
      </w:pPr>
      <w:r w:rsidRPr="001C238C">
        <w:rPr>
          <w:rFonts w:eastAsia="Aptos" w:cs="Arial"/>
          <w:noProof/>
          <w:sz w:val="22"/>
          <w:lang w:val="en-US"/>
        </w:rPr>
        <w:t xml:space="preserve">Moher, D., Liberati, A., Tetzlaff, J., &amp; Altman, D. G. (2009). Preferred reporting items for systematic reviews and meta-analyses: the PRISMA statement. </w:t>
      </w:r>
      <w:r w:rsidRPr="001C238C">
        <w:rPr>
          <w:rFonts w:eastAsia="Aptos" w:cs="Arial"/>
          <w:i/>
          <w:noProof/>
          <w:sz w:val="22"/>
          <w:lang w:val="en-US"/>
        </w:rPr>
        <w:t>BMJ</w:t>
      </w:r>
      <w:r w:rsidRPr="001C238C">
        <w:rPr>
          <w:rFonts w:eastAsia="Aptos" w:cs="Arial"/>
          <w:noProof/>
          <w:sz w:val="22"/>
          <w:lang w:val="en-US"/>
        </w:rPr>
        <w:t>,</w:t>
      </w:r>
      <w:r w:rsidRPr="001C238C">
        <w:rPr>
          <w:rFonts w:eastAsia="Aptos" w:cs="Arial"/>
          <w:i/>
          <w:noProof/>
          <w:sz w:val="22"/>
          <w:lang w:val="en-US"/>
        </w:rPr>
        <w:t xml:space="preserve"> 339</w:t>
      </w:r>
      <w:r w:rsidRPr="001C238C">
        <w:rPr>
          <w:rFonts w:eastAsia="Aptos" w:cs="Arial"/>
          <w:noProof/>
          <w:sz w:val="22"/>
          <w:lang w:val="en-US"/>
        </w:rPr>
        <w:t xml:space="preserve">, b2535. </w:t>
      </w:r>
      <w:hyperlink r:id="rId444" w:history="1">
        <w:r w:rsidR="00090188" w:rsidRPr="001C238C">
          <w:rPr>
            <w:rStyle w:val="Hyperlink"/>
            <w:rFonts w:eastAsia="Aptos" w:cs="Arial"/>
            <w:noProof/>
            <w:sz w:val="22"/>
            <w:lang w:val="en-US"/>
          </w:rPr>
          <w:t>https://doi.org/10.1136/bmj.b2535</w:t>
        </w:r>
      </w:hyperlink>
      <w:r w:rsidR="00090188">
        <w:rPr>
          <w:rFonts w:eastAsia="Aptos" w:cs="Arial"/>
          <w:noProof/>
          <w:sz w:val="22"/>
          <w:lang w:val="en-US"/>
        </w:rPr>
        <w:t xml:space="preserve"> </w:t>
      </w:r>
      <w:r w:rsidRPr="001C238C">
        <w:rPr>
          <w:rFonts w:eastAsia="Aptos" w:cs="Arial"/>
          <w:noProof/>
          <w:sz w:val="22"/>
          <w:lang w:val="en-US"/>
        </w:rPr>
        <w:t xml:space="preserve"> </w:t>
      </w:r>
    </w:p>
    <w:p w14:paraId="402805AC" w14:textId="77777777" w:rsidR="001C238C" w:rsidRPr="001C238C" w:rsidRDefault="001C238C" w:rsidP="001C238C">
      <w:pPr>
        <w:spacing w:before="0" w:after="0"/>
        <w:ind w:left="720" w:hanging="720"/>
        <w:rPr>
          <w:rFonts w:eastAsia="Aptos" w:cs="Arial"/>
          <w:noProof/>
          <w:sz w:val="22"/>
          <w:lang w:val="en-US"/>
        </w:rPr>
      </w:pPr>
      <w:r w:rsidRPr="001C238C">
        <w:rPr>
          <w:rFonts w:eastAsia="Aptos" w:cs="Arial"/>
          <w:noProof/>
          <w:sz w:val="22"/>
          <w:lang w:val="en-US"/>
        </w:rPr>
        <w:tab/>
      </w:r>
    </w:p>
    <w:p w14:paraId="5A6E74C5" w14:textId="77777777" w:rsidR="001C238C" w:rsidRPr="001C238C" w:rsidRDefault="001C238C" w:rsidP="001C238C">
      <w:pPr>
        <w:spacing w:before="0" w:after="160"/>
        <w:ind w:left="720" w:hanging="720"/>
        <w:rPr>
          <w:rFonts w:eastAsia="Aptos" w:cs="Arial"/>
          <w:noProof/>
          <w:sz w:val="22"/>
          <w:lang w:val="en-US"/>
        </w:rPr>
      </w:pPr>
      <w:r w:rsidRPr="001C238C">
        <w:rPr>
          <w:rFonts w:eastAsia="Aptos" w:cs="Arial"/>
          <w:noProof/>
          <w:sz w:val="22"/>
          <w:lang w:val="en-US"/>
        </w:rPr>
        <w:t xml:space="preserve">Mokkink, L. B., Prinsen, C., Patrick, D., Alonso, J., Bouter LM, de Vet HCW, &amp; CB, T. (2018). </w:t>
      </w:r>
      <w:r w:rsidRPr="001C238C">
        <w:rPr>
          <w:rFonts w:eastAsia="Aptos" w:cs="Arial"/>
          <w:i/>
          <w:noProof/>
          <w:sz w:val="22"/>
          <w:lang w:val="en-US"/>
        </w:rPr>
        <w:t>COSMIN methodology for systematic review of patent-reported outcome measures; User manual.</w:t>
      </w:r>
      <w:r w:rsidRPr="001C238C">
        <w:rPr>
          <w:rFonts w:eastAsia="Aptos" w:cs="Arial"/>
          <w:noProof/>
          <w:sz w:val="22"/>
          <w:lang w:val="en-US"/>
        </w:rPr>
        <w:t xml:space="preserve"> Amsterdam: VU University Medical Centre. </w:t>
      </w:r>
    </w:p>
    <w:p w14:paraId="5A8288E0" w14:textId="77777777" w:rsidR="001C238C" w:rsidRPr="001C238C" w:rsidRDefault="001C238C" w:rsidP="001C238C">
      <w:pPr>
        <w:spacing w:before="0" w:after="0"/>
        <w:ind w:left="720" w:hanging="720"/>
        <w:rPr>
          <w:rFonts w:eastAsia="Aptos" w:cs="Arial"/>
          <w:noProof/>
          <w:sz w:val="22"/>
          <w:lang w:val="en-US"/>
        </w:rPr>
      </w:pPr>
      <w:r w:rsidRPr="001C238C">
        <w:rPr>
          <w:rFonts w:eastAsia="Aptos" w:cs="Arial"/>
          <w:noProof/>
          <w:sz w:val="22"/>
          <w:lang w:val="en-US"/>
        </w:rPr>
        <w:tab/>
      </w:r>
    </w:p>
    <w:p w14:paraId="5CC9D503" w14:textId="64928D24" w:rsidR="001C238C" w:rsidRPr="001C238C" w:rsidRDefault="001C238C" w:rsidP="001C238C">
      <w:pPr>
        <w:spacing w:before="0" w:after="160"/>
        <w:ind w:left="720" w:hanging="720"/>
        <w:rPr>
          <w:rFonts w:eastAsia="Aptos" w:cs="Arial"/>
          <w:noProof/>
          <w:sz w:val="22"/>
          <w:lang w:val="en-US"/>
        </w:rPr>
      </w:pPr>
      <w:r w:rsidRPr="001C238C">
        <w:rPr>
          <w:rFonts w:eastAsia="Aptos" w:cs="Arial"/>
          <w:noProof/>
          <w:sz w:val="22"/>
          <w:lang w:val="en-US"/>
        </w:rPr>
        <w:t xml:space="preserve">Moloney, L. (2016). </w:t>
      </w:r>
      <w:r w:rsidRPr="001C238C">
        <w:rPr>
          <w:rFonts w:eastAsia="Aptos" w:cs="Arial"/>
          <w:i/>
          <w:noProof/>
          <w:sz w:val="22"/>
          <w:lang w:val="en-US"/>
        </w:rPr>
        <w:t>Defining and delivering effective counselling and psychotherapy</w:t>
      </w:r>
      <w:r w:rsidRPr="001C238C">
        <w:rPr>
          <w:rFonts w:eastAsia="Aptos" w:cs="Arial"/>
          <w:noProof/>
          <w:sz w:val="22"/>
          <w:lang w:val="en-US"/>
        </w:rPr>
        <w:t xml:space="preserve">. Melbourne, VIC: Child Family Community Australia information exchange, Australian Institute of Family Studies. </w:t>
      </w:r>
      <w:hyperlink r:id="rId445" w:history="1">
        <w:r w:rsidR="00090188" w:rsidRPr="001C238C">
          <w:rPr>
            <w:rStyle w:val="Hyperlink"/>
            <w:rFonts w:eastAsia="Aptos" w:cs="Arial"/>
            <w:noProof/>
            <w:sz w:val="22"/>
            <w:lang w:val="en-US"/>
          </w:rPr>
          <w:t>https://aifs.gov.au/cfca/publications/defining-and-delivering-effective-counselling-and-psychotherapy</w:t>
        </w:r>
      </w:hyperlink>
      <w:r w:rsidR="00090188">
        <w:rPr>
          <w:rFonts w:eastAsia="Aptos" w:cs="Arial"/>
          <w:noProof/>
          <w:sz w:val="22"/>
          <w:lang w:val="en-US"/>
        </w:rPr>
        <w:t xml:space="preserve"> </w:t>
      </w:r>
    </w:p>
    <w:p w14:paraId="45FDB38C" w14:textId="77777777" w:rsidR="001C238C" w:rsidRPr="001C238C" w:rsidRDefault="001C238C" w:rsidP="001C238C">
      <w:pPr>
        <w:spacing w:before="0" w:after="0"/>
        <w:ind w:left="720" w:hanging="720"/>
        <w:rPr>
          <w:rFonts w:eastAsia="Aptos" w:cs="Arial"/>
          <w:noProof/>
          <w:sz w:val="22"/>
          <w:lang w:val="en-US"/>
        </w:rPr>
      </w:pPr>
      <w:r w:rsidRPr="001C238C">
        <w:rPr>
          <w:rFonts w:eastAsia="Aptos" w:cs="Arial"/>
          <w:noProof/>
          <w:sz w:val="22"/>
          <w:lang w:val="en-US"/>
        </w:rPr>
        <w:tab/>
      </w:r>
    </w:p>
    <w:p w14:paraId="30DDEB6F" w14:textId="0C38BFF1" w:rsidR="001C238C" w:rsidRDefault="001C238C" w:rsidP="001C238C">
      <w:pPr>
        <w:spacing w:before="0" w:after="160"/>
        <w:ind w:left="720" w:hanging="720"/>
        <w:rPr>
          <w:rFonts w:eastAsia="Aptos" w:cs="Arial"/>
          <w:noProof/>
          <w:sz w:val="22"/>
          <w:lang w:val="en-US"/>
        </w:rPr>
      </w:pPr>
      <w:r w:rsidRPr="001C238C">
        <w:rPr>
          <w:rFonts w:eastAsia="Aptos" w:cs="Arial"/>
          <w:noProof/>
          <w:sz w:val="22"/>
          <w:lang w:val="en-US"/>
        </w:rPr>
        <w:t xml:space="preserve">Monks, H., Mandzufas, J., &amp; Cross, D. (2022). </w:t>
      </w:r>
      <w:r w:rsidRPr="001C238C">
        <w:rPr>
          <w:rFonts w:eastAsia="Aptos" w:cs="Arial"/>
          <w:i/>
          <w:noProof/>
          <w:sz w:val="22"/>
          <w:lang w:val="en-US"/>
        </w:rPr>
        <w:t>The impact of poverty on the developing child: A narrative review</w:t>
      </w:r>
      <w:r w:rsidRPr="001C238C">
        <w:rPr>
          <w:rFonts w:eastAsia="Aptos" w:cs="Arial"/>
          <w:noProof/>
          <w:sz w:val="22"/>
          <w:lang w:val="en-US"/>
        </w:rPr>
        <w:t xml:space="preserve">. Brisbane, QLD: Institute for Social Science Research, The University of Queensland. Retrieved 06,  </w:t>
      </w:r>
      <w:hyperlink r:id="rId446" w:history="1">
        <w:r w:rsidR="007018DC" w:rsidRPr="00326476">
          <w:rPr>
            <w:rStyle w:val="Hyperlink"/>
            <w:rFonts w:eastAsia="Aptos" w:cs="Arial"/>
            <w:noProof/>
            <w:sz w:val="22"/>
            <w:lang w:val="en-US"/>
          </w:rPr>
          <w:t>https://lifecoursecentre.org.au/wp-content/uploads/2022/02/Life-Course-Centre-Working-Paper-2022-06-Monks-et-al..pdf</w:t>
        </w:r>
      </w:hyperlink>
    </w:p>
    <w:p w14:paraId="1DF4A7AA" w14:textId="77777777" w:rsidR="007018DC" w:rsidRPr="001C238C" w:rsidRDefault="007018DC" w:rsidP="001C238C">
      <w:pPr>
        <w:spacing w:before="0" w:after="160"/>
        <w:ind w:left="720" w:hanging="720"/>
        <w:rPr>
          <w:rFonts w:eastAsia="Aptos" w:cs="Arial"/>
          <w:noProof/>
          <w:sz w:val="22"/>
          <w:lang w:val="en-US"/>
        </w:rPr>
      </w:pPr>
    </w:p>
    <w:p w14:paraId="525001B8" w14:textId="22DA0BFB" w:rsidR="00A550E6" w:rsidRDefault="00A550E6" w:rsidP="00A550E6">
      <w:pPr>
        <w:spacing w:before="0" w:after="160"/>
        <w:ind w:left="720" w:hanging="720"/>
        <w:rPr>
          <w:rFonts w:eastAsia="Aptos" w:cs="Arial"/>
          <w:noProof/>
          <w:sz w:val="22"/>
          <w:lang w:val="en-US"/>
        </w:rPr>
      </w:pPr>
      <w:r w:rsidRPr="00A550E6">
        <w:rPr>
          <w:rFonts w:eastAsia="Aptos" w:cs="Arial"/>
          <w:noProof/>
          <w:sz w:val="22"/>
          <w:lang w:val="en-US"/>
        </w:rPr>
        <w:t xml:space="preserve">Moore, L., Koger, D., Blomberg, S., Legg, L., McConahy, R., Wit, S., &amp; Gatmaitan, M. (2012). Making best practice our practice: Reflections on our journey into natural environments. </w:t>
      </w:r>
      <w:r w:rsidRPr="00A550E6">
        <w:rPr>
          <w:rFonts w:eastAsia="Aptos" w:cs="Arial"/>
          <w:i/>
          <w:noProof/>
          <w:sz w:val="22"/>
          <w:lang w:val="en-US"/>
        </w:rPr>
        <w:t>Infants &amp; Young Children</w:t>
      </w:r>
      <w:r w:rsidRPr="00A550E6">
        <w:rPr>
          <w:rFonts w:eastAsia="Aptos" w:cs="Arial"/>
          <w:noProof/>
          <w:sz w:val="22"/>
          <w:lang w:val="en-US"/>
        </w:rPr>
        <w:t>,</w:t>
      </w:r>
      <w:r w:rsidRPr="00A550E6">
        <w:rPr>
          <w:rFonts w:eastAsia="Aptos" w:cs="Arial"/>
          <w:i/>
          <w:noProof/>
          <w:sz w:val="22"/>
          <w:lang w:val="en-US"/>
        </w:rPr>
        <w:t xml:space="preserve"> 25</w:t>
      </w:r>
      <w:r w:rsidRPr="00A550E6">
        <w:rPr>
          <w:rFonts w:eastAsia="Aptos" w:cs="Arial"/>
          <w:noProof/>
          <w:sz w:val="22"/>
          <w:lang w:val="en-US"/>
        </w:rPr>
        <w:t xml:space="preserve">(1), 95-105. </w:t>
      </w:r>
      <w:hyperlink r:id="rId447" w:history="1">
        <w:r w:rsidR="007018DC" w:rsidRPr="00326476">
          <w:rPr>
            <w:rStyle w:val="Hyperlink"/>
            <w:rFonts w:eastAsia="Aptos" w:cs="Arial"/>
            <w:noProof/>
            <w:sz w:val="22"/>
            <w:lang w:val="en-US"/>
          </w:rPr>
          <w:t>https://doi.org/10.1097/IYC.0b013e31823d0592</w:t>
        </w:r>
      </w:hyperlink>
      <w:r w:rsidRPr="00A550E6">
        <w:rPr>
          <w:rFonts w:eastAsia="Aptos" w:cs="Arial"/>
          <w:noProof/>
          <w:sz w:val="22"/>
          <w:lang w:val="en-US"/>
        </w:rPr>
        <w:t xml:space="preserve"> </w:t>
      </w:r>
    </w:p>
    <w:p w14:paraId="264A31D1" w14:textId="77777777" w:rsidR="007018DC" w:rsidRPr="00A550E6" w:rsidRDefault="007018DC" w:rsidP="00A550E6">
      <w:pPr>
        <w:spacing w:before="0" w:after="160"/>
        <w:ind w:left="720" w:hanging="720"/>
        <w:rPr>
          <w:rFonts w:eastAsia="Aptos" w:cs="Arial"/>
          <w:noProof/>
          <w:sz w:val="22"/>
          <w:lang w:val="en-US"/>
        </w:rPr>
      </w:pPr>
    </w:p>
    <w:p w14:paraId="4237EDC2" w14:textId="21B679EA" w:rsidR="007018DC" w:rsidRPr="007018DC" w:rsidRDefault="007018DC" w:rsidP="007018DC">
      <w:pPr>
        <w:spacing w:before="0" w:after="160"/>
        <w:ind w:left="720" w:hanging="720"/>
        <w:rPr>
          <w:rFonts w:eastAsia="Aptos" w:cs="Arial"/>
          <w:noProof/>
          <w:sz w:val="22"/>
          <w:lang w:val="en-US"/>
        </w:rPr>
      </w:pPr>
      <w:r w:rsidRPr="007018DC">
        <w:rPr>
          <w:rFonts w:eastAsia="Aptos" w:cs="Arial"/>
          <w:noProof/>
          <w:sz w:val="22"/>
          <w:lang w:val="en-US"/>
        </w:rPr>
        <w:t xml:space="preserve">Moore, T. (2009). </w:t>
      </w:r>
      <w:r w:rsidRPr="007018DC">
        <w:rPr>
          <w:rFonts w:eastAsia="Aptos" w:cs="Arial"/>
          <w:i/>
          <w:noProof/>
          <w:sz w:val="22"/>
          <w:lang w:val="en-US"/>
        </w:rPr>
        <w:t>The nature and significance of relationships in the lives of children with and without developmental disabilities</w:t>
      </w:r>
      <w:r w:rsidRPr="007018DC">
        <w:rPr>
          <w:rFonts w:eastAsia="Aptos" w:cs="Arial"/>
          <w:noProof/>
          <w:sz w:val="22"/>
          <w:lang w:val="en-US"/>
        </w:rPr>
        <w:t xml:space="preserve">. Keynote presentation at National Conference of the Early Intervention Association of Aotearoa New Zealand: Quality Practices: New Practices. Retrieved 6 September, 2024 from </w:t>
      </w:r>
      <w:hyperlink r:id="rId448" w:history="1">
        <w:r w:rsidR="00090188" w:rsidRPr="007018DC">
          <w:rPr>
            <w:rStyle w:val="Hyperlink"/>
            <w:rFonts w:eastAsia="Aptos" w:cs="Arial"/>
            <w:noProof/>
            <w:sz w:val="22"/>
            <w:lang w:val="en-US"/>
          </w:rPr>
          <w:t>http://www.rch.org.au/emplibrary/ccch/TM_EIAANZ_Conference_09.pdf</w:t>
        </w:r>
      </w:hyperlink>
      <w:r w:rsidR="00090188">
        <w:rPr>
          <w:rFonts w:eastAsia="Aptos" w:cs="Arial"/>
          <w:noProof/>
          <w:sz w:val="22"/>
          <w:lang w:val="en-US"/>
        </w:rPr>
        <w:t xml:space="preserve"> </w:t>
      </w:r>
    </w:p>
    <w:p w14:paraId="31FF2822" w14:textId="77777777" w:rsidR="00343BD0" w:rsidRDefault="00343BD0" w:rsidP="0030178D">
      <w:pPr>
        <w:pStyle w:val="EndNoteBibliography"/>
        <w:spacing w:after="0"/>
        <w:ind w:left="720" w:hanging="720"/>
      </w:pPr>
    </w:p>
    <w:p w14:paraId="5CDE0F92" w14:textId="482EC5A3" w:rsidR="000729EE" w:rsidRPr="000729EE" w:rsidRDefault="000729EE" w:rsidP="000729EE">
      <w:pPr>
        <w:spacing w:before="0" w:after="160"/>
        <w:ind w:left="720" w:hanging="720"/>
        <w:rPr>
          <w:rFonts w:eastAsia="Aptos" w:cs="Arial"/>
          <w:noProof/>
          <w:sz w:val="22"/>
          <w:lang w:val="en-US"/>
        </w:rPr>
      </w:pPr>
      <w:r w:rsidRPr="000729EE">
        <w:rPr>
          <w:rFonts w:eastAsia="Aptos" w:cs="Arial"/>
          <w:noProof/>
          <w:sz w:val="22"/>
          <w:lang w:val="en-US"/>
        </w:rPr>
        <w:t xml:space="preserve">Moore, T. (2012). </w:t>
      </w:r>
      <w:r w:rsidRPr="000729EE">
        <w:rPr>
          <w:rFonts w:eastAsia="Aptos" w:cs="Arial"/>
          <w:i/>
          <w:noProof/>
          <w:sz w:val="22"/>
          <w:lang w:val="en-US"/>
        </w:rPr>
        <w:t>Rethinking early childhood intervention services: Implications for policy and practice</w:t>
      </w:r>
      <w:r w:rsidRPr="000729EE">
        <w:rPr>
          <w:rFonts w:eastAsia="Aptos" w:cs="Arial"/>
          <w:noProof/>
          <w:sz w:val="22"/>
          <w:lang w:val="en-US"/>
        </w:rPr>
        <w:t xml:space="preserve">. Perth, WA: Pauline McGregor Memorial Address presented at the 10th Biennial National Conference of Early Childhood Intervention Australia, and the 1st Asia-Pacific Early Childhood Intervention Conference. Retrieved 6 September, 2024 from </w:t>
      </w:r>
      <w:hyperlink r:id="rId449" w:history="1">
        <w:r w:rsidR="00090188" w:rsidRPr="000729EE">
          <w:rPr>
            <w:rStyle w:val="Hyperlink"/>
            <w:rFonts w:eastAsia="Aptos" w:cs="Arial"/>
            <w:noProof/>
            <w:sz w:val="22"/>
            <w:lang w:val="en-US"/>
          </w:rPr>
          <w:t>https://www.rch.org.au/uploadedfiles/main/content/ccch/profdev/ecia_national_conference_2012.pdf</w:t>
        </w:r>
      </w:hyperlink>
      <w:r w:rsidR="00090188">
        <w:rPr>
          <w:rFonts w:eastAsia="Aptos" w:cs="Arial"/>
          <w:noProof/>
          <w:sz w:val="22"/>
          <w:lang w:val="en-US"/>
        </w:rPr>
        <w:t xml:space="preserve"> </w:t>
      </w:r>
    </w:p>
    <w:p w14:paraId="4E083632" w14:textId="77777777" w:rsidR="000729EE" w:rsidRPr="000729EE" w:rsidRDefault="000729EE" w:rsidP="000729EE">
      <w:pPr>
        <w:spacing w:before="0" w:after="0"/>
        <w:ind w:left="720" w:hanging="720"/>
        <w:rPr>
          <w:rFonts w:eastAsia="Aptos" w:cs="Arial"/>
          <w:noProof/>
          <w:sz w:val="22"/>
          <w:lang w:val="en-US"/>
        </w:rPr>
      </w:pPr>
      <w:r w:rsidRPr="000729EE">
        <w:rPr>
          <w:rFonts w:eastAsia="Aptos" w:cs="Arial"/>
          <w:noProof/>
          <w:sz w:val="22"/>
          <w:lang w:val="en-US"/>
        </w:rPr>
        <w:tab/>
      </w:r>
    </w:p>
    <w:p w14:paraId="2C13F40E" w14:textId="20023F09" w:rsidR="000729EE" w:rsidRPr="000729EE" w:rsidRDefault="000729EE" w:rsidP="000729EE">
      <w:pPr>
        <w:spacing w:before="0" w:after="160"/>
        <w:ind w:left="720" w:hanging="720"/>
        <w:rPr>
          <w:rFonts w:eastAsia="Aptos" w:cs="Arial"/>
          <w:noProof/>
          <w:sz w:val="22"/>
          <w:lang w:val="en-US"/>
        </w:rPr>
      </w:pPr>
      <w:r w:rsidRPr="000729EE">
        <w:rPr>
          <w:rFonts w:eastAsia="Aptos" w:cs="Arial"/>
          <w:noProof/>
          <w:sz w:val="22"/>
          <w:lang w:val="en-US"/>
        </w:rPr>
        <w:t xml:space="preserve">Moore, T. (2016). </w:t>
      </w:r>
      <w:r w:rsidRPr="000729EE">
        <w:rPr>
          <w:rFonts w:eastAsia="Aptos" w:cs="Arial"/>
          <w:i/>
          <w:noProof/>
          <w:sz w:val="22"/>
          <w:lang w:val="en-US"/>
        </w:rPr>
        <w:t>Towards a model of evidence-informed decision making and service delivery</w:t>
      </w:r>
      <w:r w:rsidRPr="000729EE">
        <w:rPr>
          <w:rFonts w:eastAsia="Aptos" w:cs="Arial"/>
          <w:noProof/>
          <w:sz w:val="22"/>
          <w:lang w:val="en-US"/>
        </w:rPr>
        <w:t xml:space="preserve">. Parkville, VIC: Centre for Community Child Health, Murdoch Children’s Research Institute. Retrieved 6 September, 2024 from </w:t>
      </w:r>
      <w:hyperlink r:id="rId450" w:history="1">
        <w:r w:rsidR="00090188" w:rsidRPr="000729EE">
          <w:rPr>
            <w:rStyle w:val="Hyperlink"/>
            <w:rFonts w:eastAsia="Aptos" w:cs="Arial"/>
            <w:noProof/>
            <w:sz w:val="22"/>
            <w:lang w:val="en-US"/>
          </w:rPr>
          <w:t>http://www.rch.org.au/uploadedFiles/Main/Content/ccchdev/CCCH-Towards-a-model-of-evidence-informed-decisio-making-and-service-delivery-Tim-Moore-May2016.pdf</w:t>
        </w:r>
      </w:hyperlink>
      <w:r w:rsidR="00090188">
        <w:rPr>
          <w:rFonts w:eastAsia="Aptos" w:cs="Arial"/>
          <w:noProof/>
          <w:sz w:val="22"/>
          <w:lang w:val="en-US"/>
        </w:rPr>
        <w:t xml:space="preserve"> </w:t>
      </w:r>
    </w:p>
    <w:p w14:paraId="14869967" w14:textId="77777777" w:rsidR="000729EE" w:rsidRPr="000729EE" w:rsidRDefault="000729EE" w:rsidP="000729EE">
      <w:pPr>
        <w:spacing w:before="0" w:after="0"/>
        <w:ind w:left="720" w:hanging="720"/>
        <w:rPr>
          <w:rFonts w:eastAsia="Aptos" w:cs="Arial"/>
          <w:noProof/>
          <w:sz w:val="22"/>
          <w:lang w:val="en-US"/>
        </w:rPr>
      </w:pPr>
      <w:r w:rsidRPr="000729EE">
        <w:rPr>
          <w:rFonts w:eastAsia="Aptos" w:cs="Arial"/>
          <w:noProof/>
          <w:sz w:val="22"/>
          <w:lang w:val="en-US"/>
        </w:rPr>
        <w:tab/>
      </w:r>
    </w:p>
    <w:p w14:paraId="0AB7AF81" w14:textId="2D0F11AF" w:rsidR="000729EE" w:rsidRPr="000729EE" w:rsidRDefault="000729EE" w:rsidP="000729EE">
      <w:pPr>
        <w:spacing w:before="0" w:after="160"/>
        <w:ind w:left="720" w:hanging="720"/>
        <w:rPr>
          <w:rFonts w:eastAsia="Aptos" w:cs="Arial"/>
          <w:noProof/>
          <w:sz w:val="22"/>
          <w:lang w:val="en-US"/>
        </w:rPr>
      </w:pPr>
      <w:r w:rsidRPr="000729EE">
        <w:rPr>
          <w:rFonts w:eastAsia="Aptos" w:cs="Arial"/>
          <w:noProof/>
          <w:sz w:val="22"/>
          <w:lang w:val="en-US"/>
        </w:rPr>
        <w:t xml:space="preserve">Moore, T. (2017). </w:t>
      </w:r>
      <w:r w:rsidRPr="000729EE">
        <w:rPr>
          <w:rFonts w:eastAsia="Aptos" w:cs="Arial"/>
          <w:i/>
          <w:noProof/>
          <w:sz w:val="22"/>
          <w:lang w:val="en-US"/>
        </w:rPr>
        <w:t>Authentic engagement: The nature and role of the relationship at the heart of effective practice.</w:t>
      </w:r>
      <w:r w:rsidRPr="000729EE">
        <w:rPr>
          <w:rFonts w:eastAsia="Aptos" w:cs="Arial"/>
          <w:noProof/>
          <w:sz w:val="22"/>
          <w:lang w:val="en-US"/>
        </w:rPr>
        <w:t xml:space="preserve"> Melbourne, VIC: ARACY. Retrieved 6 September, 2024 from </w:t>
      </w:r>
      <w:hyperlink r:id="rId451" w:history="1">
        <w:r w:rsidR="00090188" w:rsidRPr="000729EE">
          <w:rPr>
            <w:rStyle w:val="Hyperlink"/>
            <w:rFonts w:eastAsia="Aptos" w:cs="Arial"/>
            <w:noProof/>
            <w:sz w:val="22"/>
            <w:lang w:val="en-US"/>
          </w:rPr>
          <w:t>https://www.youtube.com/watch?v=AKvRXvXTZ6w</w:t>
        </w:r>
      </w:hyperlink>
      <w:r w:rsidR="00090188">
        <w:rPr>
          <w:rFonts w:eastAsia="Aptos" w:cs="Arial"/>
          <w:noProof/>
          <w:sz w:val="22"/>
          <w:lang w:val="en-US"/>
        </w:rPr>
        <w:t xml:space="preserve"> </w:t>
      </w:r>
    </w:p>
    <w:p w14:paraId="18126864" w14:textId="0D7A39CA" w:rsidR="00D14EED" w:rsidRPr="00D14EED" w:rsidRDefault="00D14EED" w:rsidP="00D14EED">
      <w:pPr>
        <w:spacing w:before="0" w:after="160"/>
        <w:ind w:left="720" w:hanging="720"/>
        <w:rPr>
          <w:rFonts w:eastAsia="Aptos" w:cs="Arial"/>
          <w:noProof/>
          <w:sz w:val="22"/>
          <w:lang w:val="en-US"/>
        </w:rPr>
      </w:pPr>
      <w:r w:rsidRPr="00D14EED">
        <w:rPr>
          <w:rFonts w:eastAsia="Aptos" w:cs="Arial"/>
          <w:noProof/>
          <w:sz w:val="22"/>
          <w:lang w:val="en-US"/>
        </w:rPr>
        <w:t xml:space="preserve">Moore, T. (2018). </w:t>
      </w:r>
      <w:r w:rsidRPr="00D14EED">
        <w:rPr>
          <w:rFonts w:eastAsia="Aptos" w:cs="Arial"/>
          <w:i/>
          <w:noProof/>
          <w:sz w:val="22"/>
          <w:lang w:val="en-US"/>
        </w:rPr>
        <w:t>Strengthening evidence-use in practice: An evidence-informed decision-making framework</w:t>
      </w:r>
      <w:r w:rsidRPr="00D14EED">
        <w:rPr>
          <w:rFonts w:eastAsia="Aptos" w:cs="Arial"/>
          <w:noProof/>
          <w:sz w:val="22"/>
          <w:lang w:val="en-US"/>
        </w:rPr>
        <w:t xml:space="preserve">. Melbourne, VIC: Berry Street Childhood Institute. Retrieved 6 September, 2024 from </w:t>
      </w:r>
      <w:hyperlink r:id="rId452" w:history="1">
        <w:r w:rsidR="00090188" w:rsidRPr="00D14EED">
          <w:rPr>
            <w:rStyle w:val="Hyperlink"/>
            <w:rFonts w:eastAsia="Aptos" w:cs="Arial"/>
            <w:noProof/>
            <w:sz w:val="22"/>
            <w:lang w:val="en-US"/>
          </w:rPr>
          <w:t>https://www.berrystreet.org.au/shop/products/strengthening-evidence-use-in-practice-an-evidence-informed-decision-making-framework</w:t>
        </w:r>
      </w:hyperlink>
      <w:r w:rsidR="00090188">
        <w:rPr>
          <w:rFonts w:eastAsia="Aptos" w:cs="Arial"/>
          <w:noProof/>
          <w:sz w:val="22"/>
          <w:lang w:val="en-US"/>
        </w:rPr>
        <w:t xml:space="preserve"> </w:t>
      </w:r>
    </w:p>
    <w:p w14:paraId="153B89CA" w14:textId="77777777" w:rsidR="00D14EED" w:rsidRPr="00D14EED" w:rsidRDefault="00D14EED" w:rsidP="00D14EED">
      <w:pPr>
        <w:spacing w:before="0" w:after="0"/>
        <w:ind w:left="720" w:hanging="720"/>
        <w:rPr>
          <w:rFonts w:eastAsia="Aptos" w:cs="Arial"/>
          <w:noProof/>
          <w:sz w:val="22"/>
          <w:lang w:val="en-US"/>
        </w:rPr>
      </w:pPr>
      <w:r w:rsidRPr="00D14EED">
        <w:rPr>
          <w:rFonts w:eastAsia="Aptos" w:cs="Arial"/>
          <w:noProof/>
          <w:sz w:val="22"/>
          <w:lang w:val="en-US"/>
        </w:rPr>
        <w:tab/>
      </w:r>
    </w:p>
    <w:p w14:paraId="2821CC79" w14:textId="527447A6" w:rsidR="00D14EED" w:rsidRPr="00D14EED" w:rsidRDefault="00D14EED" w:rsidP="00D14EED">
      <w:pPr>
        <w:spacing w:before="0" w:after="160"/>
        <w:ind w:left="720" w:hanging="720"/>
        <w:rPr>
          <w:rFonts w:eastAsia="Aptos" w:cs="Arial"/>
          <w:noProof/>
          <w:sz w:val="22"/>
          <w:lang w:val="en-US"/>
        </w:rPr>
      </w:pPr>
      <w:r w:rsidRPr="00D14EED">
        <w:rPr>
          <w:rFonts w:eastAsia="Aptos" w:cs="Arial"/>
          <w:noProof/>
          <w:sz w:val="22"/>
          <w:lang w:val="en-US"/>
        </w:rPr>
        <w:t xml:space="preserve">Moore, T. (2024). </w:t>
      </w:r>
      <w:r w:rsidRPr="00D14EED">
        <w:rPr>
          <w:rFonts w:eastAsia="Aptos" w:cs="Arial"/>
          <w:i/>
          <w:noProof/>
          <w:sz w:val="22"/>
          <w:lang w:val="en-US"/>
        </w:rPr>
        <w:t>Core care conditions for children and families: Implications for policy and practice</w:t>
      </w:r>
      <w:r w:rsidRPr="00D14EED">
        <w:rPr>
          <w:rFonts w:eastAsia="Aptos" w:cs="Arial"/>
          <w:noProof/>
          <w:sz w:val="22"/>
          <w:lang w:val="en-US"/>
        </w:rPr>
        <w:t xml:space="preserve">. Parkville, VIC: Centre for Community Child Health, Murdoch Children's Research Institute. Retrieved 6 September, 2024 from </w:t>
      </w:r>
      <w:hyperlink r:id="rId453" w:history="1">
        <w:r w:rsidR="00090188" w:rsidRPr="00D14EED">
          <w:rPr>
            <w:rStyle w:val="Hyperlink"/>
            <w:rFonts w:eastAsia="Aptos" w:cs="Arial"/>
            <w:noProof/>
            <w:sz w:val="22"/>
            <w:lang w:val="en-US"/>
          </w:rPr>
          <w:t>https://ccch.org.au/resource-hub/reports/core-care-conditions-for-children-and-families-implications-for-policy-and-practice/</w:t>
        </w:r>
      </w:hyperlink>
      <w:r w:rsidR="00090188">
        <w:rPr>
          <w:rFonts w:eastAsia="Aptos" w:cs="Arial"/>
          <w:noProof/>
          <w:sz w:val="22"/>
          <w:lang w:val="en-US"/>
        </w:rPr>
        <w:t xml:space="preserve"> </w:t>
      </w:r>
    </w:p>
    <w:p w14:paraId="33ADF960" w14:textId="77777777" w:rsidR="00D14EED" w:rsidRPr="00D14EED" w:rsidRDefault="00D14EED" w:rsidP="00D14EED">
      <w:pPr>
        <w:spacing w:before="0" w:after="0"/>
        <w:ind w:left="720" w:hanging="720"/>
        <w:rPr>
          <w:rFonts w:eastAsia="Aptos" w:cs="Arial"/>
          <w:noProof/>
          <w:sz w:val="22"/>
          <w:lang w:val="en-US"/>
        </w:rPr>
      </w:pPr>
      <w:r w:rsidRPr="00D14EED">
        <w:rPr>
          <w:rFonts w:eastAsia="Aptos" w:cs="Arial"/>
          <w:noProof/>
          <w:sz w:val="22"/>
          <w:lang w:val="en-US"/>
        </w:rPr>
        <w:tab/>
      </w:r>
    </w:p>
    <w:p w14:paraId="3444B34A" w14:textId="7712DB1B" w:rsidR="00D14EED" w:rsidRDefault="00D14EED" w:rsidP="00D14EED">
      <w:pPr>
        <w:spacing w:before="0" w:after="160"/>
        <w:ind w:left="720" w:hanging="720"/>
        <w:rPr>
          <w:rFonts w:eastAsia="Aptos" w:cs="Arial"/>
          <w:noProof/>
          <w:sz w:val="22"/>
          <w:lang w:val="en-US"/>
        </w:rPr>
      </w:pPr>
      <w:r w:rsidRPr="00D14EED">
        <w:rPr>
          <w:rFonts w:eastAsia="Aptos" w:cs="Arial"/>
          <w:noProof/>
          <w:sz w:val="22"/>
          <w:lang w:val="en-US"/>
        </w:rPr>
        <w:t xml:space="preserve">Moore, T., Arefadib, N., Deery, A., &amp; West, S. (2017). </w:t>
      </w:r>
      <w:r w:rsidRPr="00D14EED">
        <w:rPr>
          <w:rFonts w:eastAsia="Aptos" w:cs="Arial"/>
          <w:i/>
          <w:noProof/>
          <w:sz w:val="22"/>
          <w:lang w:val="en-US"/>
        </w:rPr>
        <w:t>The first thousand days: An evidence paper</w:t>
      </w:r>
      <w:r w:rsidRPr="00D14EED">
        <w:rPr>
          <w:rFonts w:eastAsia="Aptos" w:cs="Arial"/>
          <w:noProof/>
          <w:sz w:val="22"/>
          <w:lang w:val="en-US"/>
        </w:rPr>
        <w:t xml:space="preserve">. Parkville, VIC: Centre for Community Child Health, Murdoch Children’s Research Institute. Retrieved 6 September, 2024 from </w:t>
      </w:r>
      <w:hyperlink r:id="rId454" w:history="1">
        <w:r w:rsidR="002E65BA" w:rsidRPr="00D14EED">
          <w:rPr>
            <w:rStyle w:val="Hyperlink"/>
            <w:rFonts w:eastAsia="Aptos" w:cs="Arial"/>
            <w:noProof/>
            <w:sz w:val="22"/>
            <w:lang w:val="en-US"/>
          </w:rPr>
          <w:t>http://www.rch.org.au/uploadedFiles/Main/Content/ccchdev/CCCH-The-First-Thousand-Days-An-Evidence-Paper-September-2017.pdf</w:t>
        </w:r>
      </w:hyperlink>
      <w:r w:rsidR="002E65BA">
        <w:rPr>
          <w:rFonts w:eastAsia="Aptos" w:cs="Arial"/>
          <w:noProof/>
          <w:sz w:val="22"/>
          <w:lang w:val="en-US"/>
        </w:rPr>
        <w:t xml:space="preserve"> </w:t>
      </w:r>
    </w:p>
    <w:p w14:paraId="14B61E7E" w14:textId="77777777" w:rsidR="002E65BA" w:rsidRPr="00D14EED" w:rsidRDefault="002E65BA" w:rsidP="00D14EED">
      <w:pPr>
        <w:spacing w:before="0" w:after="160"/>
        <w:ind w:left="720" w:hanging="720"/>
        <w:rPr>
          <w:rFonts w:eastAsia="Aptos" w:cs="Arial"/>
          <w:noProof/>
          <w:sz w:val="22"/>
          <w:lang w:val="en-US"/>
        </w:rPr>
      </w:pPr>
    </w:p>
    <w:p w14:paraId="68CA61AA" w14:textId="77777777" w:rsidR="00B05970" w:rsidRPr="00B05970" w:rsidRDefault="00B05970" w:rsidP="00B05970">
      <w:pPr>
        <w:spacing w:before="0" w:after="160"/>
        <w:ind w:left="720" w:hanging="720"/>
        <w:rPr>
          <w:rFonts w:eastAsia="Aptos" w:cs="Arial"/>
          <w:noProof/>
          <w:sz w:val="22"/>
          <w:lang w:val="en-US"/>
        </w:rPr>
      </w:pPr>
      <w:r w:rsidRPr="00B05970">
        <w:rPr>
          <w:rFonts w:eastAsia="Aptos" w:cs="Arial"/>
          <w:noProof/>
          <w:sz w:val="22"/>
          <w:lang w:val="en-US"/>
        </w:rPr>
        <w:t xml:space="preserve">Moore, T., Forster, J., &amp; Bull, K. (2019). Supporting parental choice the impact of a funding model. In S. Acar, H. Hix-Small, &amp; T. McLaughlin (Eds.), </w:t>
      </w:r>
      <w:r w:rsidRPr="00B05970">
        <w:rPr>
          <w:rFonts w:eastAsia="Aptos" w:cs="Arial"/>
          <w:i/>
          <w:noProof/>
          <w:sz w:val="22"/>
          <w:lang w:val="en-US"/>
        </w:rPr>
        <w:t>International perspectives on early intervention</w:t>
      </w:r>
      <w:r w:rsidRPr="00B05970">
        <w:rPr>
          <w:rFonts w:eastAsia="Aptos" w:cs="Arial"/>
          <w:noProof/>
          <w:sz w:val="22"/>
          <w:lang w:val="en-US"/>
        </w:rPr>
        <w:t xml:space="preserve"> (Vol. 18). Arlington, VA: Division of Early Childhood, Council for Exceptional Children. </w:t>
      </w:r>
    </w:p>
    <w:p w14:paraId="3711A068" w14:textId="77777777" w:rsidR="00B05970" w:rsidRPr="00B05970" w:rsidRDefault="00B05970" w:rsidP="00B05970">
      <w:pPr>
        <w:spacing w:before="0" w:after="0"/>
        <w:ind w:left="720" w:hanging="720"/>
        <w:rPr>
          <w:rFonts w:eastAsia="Aptos" w:cs="Arial"/>
          <w:noProof/>
          <w:sz w:val="22"/>
          <w:lang w:val="en-US"/>
        </w:rPr>
      </w:pPr>
      <w:r w:rsidRPr="00B05970">
        <w:rPr>
          <w:rFonts w:eastAsia="Aptos" w:cs="Arial"/>
          <w:noProof/>
          <w:sz w:val="22"/>
          <w:lang w:val="en-US"/>
        </w:rPr>
        <w:tab/>
      </w:r>
    </w:p>
    <w:p w14:paraId="3A4393F7" w14:textId="4C8C2105" w:rsidR="00B05970" w:rsidRPr="00B05970" w:rsidRDefault="00B05970" w:rsidP="00B05970">
      <w:pPr>
        <w:spacing w:before="0" w:after="160"/>
        <w:ind w:left="720" w:hanging="720"/>
        <w:rPr>
          <w:rFonts w:eastAsia="Aptos" w:cs="Arial"/>
          <w:noProof/>
          <w:sz w:val="22"/>
          <w:lang w:val="en-US"/>
        </w:rPr>
      </w:pPr>
      <w:r w:rsidRPr="00B05970">
        <w:rPr>
          <w:rFonts w:eastAsia="Aptos" w:cs="Arial"/>
          <w:noProof/>
          <w:sz w:val="22"/>
          <w:lang w:val="en-US"/>
        </w:rPr>
        <w:t xml:space="preserve">Moore, T., &amp; Larkin, H. (2005). </w:t>
      </w:r>
      <w:r w:rsidRPr="00B05970">
        <w:rPr>
          <w:rFonts w:eastAsia="Aptos" w:cs="Arial"/>
          <w:i/>
          <w:noProof/>
          <w:sz w:val="22"/>
          <w:lang w:val="en-US"/>
        </w:rPr>
        <w:t>‘More than my child’s disability’: A comprehensive review of family-centred practice and family experiences of early childhood intervention services</w:t>
      </w:r>
      <w:r w:rsidRPr="00B05970">
        <w:rPr>
          <w:rFonts w:eastAsia="Aptos" w:cs="Arial"/>
          <w:noProof/>
          <w:sz w:val="22"/>
          <w:lang w:val="en-US"/>
        </w:rPr>
        <w:t xml:space="preserve">. Melbourne, VIC: Scope (Vic) Inc. Retrieved 6 September, 2024 from </w:t>
      </w:r>
      <w:hyperlink r:id="rId455" w:history="1">
        <w:r w:rsidR="00090188" w:rsidRPr="00B05970">
          <w:rPr>
            <w:rStyle w:val="Hyperlink"/>
            <w:rFonts w:eastAsia="Aptos" w:cs="Arial"/>
            <w:noProof/>
            <w:sz w:val="22"/>
            <w:lang w:val="en-US"/>
          </w:rPr>
          <w:t>http://www.rch.org.au/emplibrary/ccch/EY_Mod2_Reading.pdf</w:t>
        </w:r>
      </w:hyperlink>
      <w:r w:rsidR="00090188">
        <w:rPr>
          <w:rFonts w:eastAsia="Aptos" w:cs="Arial"/>
          <w:noProof/>
          <w:sz w:val="22"/>
          <w:lang w:val="en-US"/>
        </w:rPr>
        <w:t xml:space="preserve"> </w:t>
      </w:r>
    </w:p>
    <w:p w14:paraId="4D9050EF" w14:textId="77777777" w:rsidR="00B05970" w:rsidRPr="00B05970" w:rsidRDefault="00B05970" w:rsidP="00B05970">
      <w:pPr>
        <w:spacing w:before="0" w:after="0"/>
        <w:ind w:left="720" w:hanging="720"/>
        <w:rPr>
          <w:rFonts w:eastAsia="Aptos" w:cs="Arial"/>
          <w:noProof/>
          <w:sz w:val="22"/>
          <w:lang w:val="en-US"/>
        </w:rPr>
      </w:pPr>
      <w:r w:rsidRPr="00B05970">
        <w:rPr>
          <w:rFonts w:eastAsia="Aptos" w:cs="Arial"/>
          <w:noProof/>
          <w:sz w:val="22"/>
          <w:lang w:val="en-US"/>
        </w:rPr>
        <w:tab/>
      </w:r>
    </w:p>
    <w:p w14:paraId="347DB160" w14:textId="334651F1" w:rsidR="00B05970" w:rsidRPr="00B05970" w:rsidRDefault="00B05970" w:rsidP="00B05970">
      <w:pPr>
        <w:spacing w:before="0" w:after="160"/>
        <w:ind w:left="720" w:hanging="720"/>
        <w:rPr>
          <w:rFonts w:eastAsia="Aptos" w:cs="Arial"/>
          <w:noProof/>
          <w:sz w:val="22"/>
          <w:lang w:val="en-US"/>
        </w:rPr>
      </w:pPr>
      <w:r w:rsidRPr="00B05970">
        <w:rPr>
          <w:rFonts w:eastAsia="Aptos" w:cs="Arial"/>
          <w:noProof/>
          <w:sz w:val="22"/>
          <w:lang w:val="en-US"/>
        </w:rPr>
        <w:t xml:space="preserve">Moore, T., &amp; McDonald, M. (2013). </w:t>
      </w:r>
      <w:r w:rsidRPr="00B05970">
        <w:rPr>
          <w:rFonts w:eastAsia="Aptos" w:cs="Arial"/>
          <w:i/>
          <w:noProof/>
          <w:sz w:val="22"/>
          <w:lang w:val="en-US"/>
        </w:rPr>
        <w:t>Acting early, changing lives: how prevention and early action saves money and improves wellbeing</w:t>
      </w:r>
      <w:r w:rsidRPr="00B05970">
        <w:rPr>
          <w:rFonts w:eastAsia="Aptos" w:cs="Arial"/>
          <w:noProof/>
          <w:sz w:val="22"/>
          <w:lang w:val="en-US"/>
        </w:rPr>
        <w:t xml:space="preserve">. Parkville, VIC: Centre for Community Child Health, Murdoch Childrens Research Institute, The Royal Children’s Hospital. Retrieved 6 September, 2024 from </w:t>
      </w:r>
      <w:hyperlink r:id="rId456" w:history="1">
        <w:r w:rsidR="00090188" w:rsidRPr="00B05970">
          <w:rPr>
            <w:rStyle w:val="Hyperlink"/>
            <w:rFonts w:eastAsia="Aptos" w:cs="Arial"/>
            <w:noProof/>
            <w:sz w:val="22"/>
            <w:lang w:val="en-US"/>
          </w:rPr>
          <w:t>http://www.benevolent.org.au/~/media/Benevolent/Think/Actingearlychanginglives%20pdf.ashx</w:t>
        </w:r>
      </w:hyperlink>
      <w:r w:rsidR="00090188">
        <w:rPr>
          <w:rFonts w:eastAsia="Aptos" w:cs="Arial"/>
          <w:noProof/>
          <w:sz w:val="22"/>
          <w:lang w:val="en-US"/>
        </w:rPr>
        <w:t xml:space="preserve"> </w:t>
      </w:r>
    </w:p>
    <w:p w14:paraId="33E0BEA0" w14:textId="4653B80A" w:rsidR="0016396D" w:rsidRPr="0016396D" w:rsidRDefault="0016396D" w:rsidP="0016396D">
      <w:pPr>
        <w:spacing w:before="0" w:after="160"/>
        <w:ind w:left="720" w:hanging="720"/>
        <w:rPr>
          <w:rFonts w:eastAsia="Aptos" w:cs="Arial"/>
          <w:noProof/>
          <w:sz w:val="22"/>
          <w:lang w:val="en-US"/>
        </w:rPr>
      </w:pPr>
      <w:r w:rsidRPr="0016396D">
        <w:rPr>
          <w:rFonts w:eastAsia="Aptos" w:cs="Arial"/>
          <w:noProof/>
          <w:sz w:val="22"/>
          <w:lang w:val="en-US"/>
        </w:rPr>
        <w:t xml:space="preserve">Moore, T., McDonald, M., &amp; McHugh-Dillon, H. (2015). </w:t>
      </w:r>
      <w:r w:rsidRPr="0016396D">
        <w:rPr>
          <w:rFonts w:eastAsia="Aptos" w:cs="Arial"/>
          <w:i/>
          <w:noProof/>
          <w:sz w:val="22"/>
          <w:lang w:val="en-US"/>
        </w:rPr>
        <w:t>Evidence review: Early childhood development and the social determinants of health inequities</w:t>
      </w:r>
      <w:r w:rsidRPr="0016396D">
        <w:rPr>
          <w:rFonts w:eastAsia="Aptos" w:cs="Arial"/>
          <w:noProof/>
          <w:sz w:val="22"/>
          <w:lang w:val="en-US"/>
        </w:rPr>
        <w:t xml:space="preserve">. Carlton South, VIC: Victorian Health Promotion Foundation. Retrieved 6 September, 2024 from </w:t>
      </w:r>
      <w:hyperlink r:id="rId457" w:history="1">
        <w:r w:rsidR="00090188" w:rsidRPr="0016396D">
          <w:rPr>
            <w:rStyle w:val="Hyperlink"/>
            <w:rFonts w:eastAsia="Aptos" w:cs="Arial"/>
            <w:noProof/>
            <w:sz w:val="22"/>
            <w:lang w:val="en-US"/>
          </w:rPr>
          <w:t>https://www.vichealth.vic.gov.au/media-and-resources/publications/the-vichealth-framework-for-health-equity</w:t>
        </w:r>
      </w:hyperlink>
      <w:r w:rsidR="00090188">
        <w:rPr>
          <w:rFonts w:eastAsia="Aptos" w:cs="Arial"/>
          <w:noProof/>
          <w:sz w:val="22"/>
          <w:lang w:val="en-US"/>
        </w:rPr>
        <w:t xml:space="preserve"> </w:t>
      </w:r>
    </w:p>
    <w:p w14:paraId="4FFDD458" w14:textId="77777777" w:rsidR="0016396D" w:rsidRPr="0016396D" w:rsidRDefault="0016396D" w:rsidP="0016396D">
      <w:pPr>
        <w:spacing w:before="0" w:after="0"/>
        <w:ind w:left="720" w:hanging="720"/>
        <w:rPr>
          <w:rFonts w:eastAsia="Aptos" w:cs="Arial"/>
          <w:noProof/>
          <w:sz w:val="22"/>
          <w:lang w:val="en-US"/>
        </w:rPr>
      </w:pPr>
      <w:r w:rsidRPr="0016396D">
        <w:rPr>
          <w:rFonts w:eastAsia="Aptos" w:cs="Arial"/>
          <w:noProof/>
          <w:sz w:val="22"/>
          <w:lang w:val="en-US"/>
        </w:rPr>
        <w:tab/>
      </w:r>
    </w:p>
    <w:p w14:paraId="57C8141A" w14:textId="78663345" w:rsidR="0016396D" w:rsidRPr="0016396D" w:rsidRDefault="0016396D" w:rsidP="0016396D">
      <w:pPr>
        <w:spacing w:before="0" w:after="160"/>
        <w:ind w:left="720" w:hanging="720"/>
        <w:rPr>
          <w:rFonts w:eastAsia="Aptos" w:cs="Arial"/>
          <w:noProof/>
          <w:sz w:val="22"/>
          <w:lang w:val="en-US"/>
        </w:rPr>
      </w:pPr>
      <w:r w:rsidRPr="0016396D">
        <w:rPr>
          <w:rFonts w:eastAsia="Aptos" w:cs="Arial"/>
          <w:noProof/>
          <w:sz w:val="22"/>
          <w:lang w:val="en-US"/>
        </w:rPr>
        <w:t xml:space="preserve">Moore, T., McDonald, M., McHugh-Dillon, H., &amp; West, S. (2016). </w:t>
      </w:r>
      <w:r w:rsidRPr="0016396D">
        <w:rPr>
          <w:rFonts w:eastAsia="Aptos" w:cs="Arial"/>
          <w:i/>
          <w:noProof/>
          <w:sz w:val="22"/>
          <w:lang w:val="en-US"/>
        </w:rPr>
        <w:t>Community engagement: A key strategy for improving outcomes for Australian families</w:t>
      </w:r>
      <w:r w:rsidRPr="0016396D">
        <w:rPr>
          <w:rFonts w:eastAsia="Aptos" w:cs="Arial"/>
          <w:noProof/>
          <w:sz w:val="22"/>
          <w:lang w:val="en-US"/>
        </w:rPr>
        <w:t xml:space="preserve">. Melbourne, VIC: Child Family Community Australia information exchange, Australian Institute of Family Studies. Retrieved 6 September, 2024 from </w:t>
      </w:r>
      <w:hyperlink r:id="rId458" w:history="1">
        <w:r w:rsidR="00090188" w:rsidRPr="0016396D">
          <w:rPr>
            <w:rStyle w:val="Hyperlink"/>
            <w:rFonts w:eastAsia="Aptos" w:cs="Arial"/>
            <w:noProof/>
            <w:sz w:val="22"/>
            <w:lang w:val="en-US"/>
          </w:rPr>
          <w:t>https://aifs.gov.au/cfca/sites/default/files/cfca39-community-engagement.pdf</w:t>
        </w:r>
      </w:hyperlink>
      <w:r w:rsidR="00090188">
        <w:rPr>
          <w:rFonts w:eastAsia="Aptos" w:cs="Arial"/>
          <w:noProof/>
          <w:sz w:val="22"/>
          <w:lang w:val="en-US"/>
        </w:rPr>
        <w:t xml:space="preserve"> </w:t>
      </w:r>
    </w:p>
    <w:p w14:paraId="31B80502" w14:textId="77777777" w:rsidR="0016396D" w:rsidRPr="0016396D" w:rsidRDefault="0016396D" w:rsidP="0016396D">
      <w:pPr>
        <w:spacing w:before="0" w:after="0"/>
        <w:ind w:left="720" w:hanging="720"/>
        <w:rPr>
          <w:rFonts w:eastAsia="Aptos" w:cs="Arial"/>
          <w:noProof/>
          <w:sz w:val="22"/>
          <w:lang w:val="en-US"/>
        </w:rPr>
      </w:pPr>
      <w:r w:rsidRPr="0016396D">
        <w:rPr>
          <w:rFonts w:eastAsia="Aptos" w:cs="Arial"/>
          <w:noProof/>
          <w:sz w:val="22"/>
          <w:lang w:val="en-US"/>
        </w:rPr>
        <w:tab/>
      </w:r>
    </w:p>
    <w:p w14:paraId="7BA4F637" w14:textId="5B9E2211" w:rsidR="0016396D" w:rsidRDefault="0016396D" w:rsidP="0016396D">
      <w:pPr>
        <w:spacing w:before="0" w:after="160"/>
        <w:ind w:left="720" w:hanging="720"/>
        <w:rPr>
          <w:rFonts w:eastAsia="Aptos" w:cs="Arial"/>
          <w:noProof/>
          <w:sz w:val="22"/>
          <w:lang w:val="en-US"/>
        </w:rPr>
      </w:pPr>
      <w:r w:rsidRPr="0016396D">
        <w:rPr>
          <w:rFonts w:eastAsia="Aptos" w:cs="Arial"/>
          <w:noProof/>
          <w:sz w:val="22"/>
          <w:lang w:val="en-US"/>
        </w:rPr>
        <w:t xml:space="preserve">Moore, T., McDonald, M., Sanjeevan, S., &amp; Price, A. (2012). </w:t>
      </w:r>
      <w:r w:rsidRPr="0016396D">
        <w:rPr>
          <w:rFonts w:eastAsia="Aptos" w:cs="Arial"/>
          <w:i/>
          <w:noProof/>
          <w:sz w:val="22"/>
          <w:lang w:val="en-US"/>
        </w:rPr>
        <w:t>Sustained home visiting for vulnerable families and children: a literature review of effective processes and strategies</w:t>
      </w:r>
      <w:r w:rsidRPr="0016396D">
        <w:rPr>
          <w:rFonts w:eastAsia="Aptos" w:cs="Arial"/>
          <w:noProof/>
          <w:sz w:val="22"/>
          <w:lang w:val="en-US"/>
        </w:rPr>
        <w:t xml:space="preserve">. Parkville, VIC: The Royal Children’s Hospital Centre for Community Child Health and the Murdoch Childrens Research Institute. Retrieved 6 September, 2024 from </w:t>
      </w:r>
      <w:hyperlink r:id="rId459" w:history="1">
        <w:r w:rsidR="007018DC" w:rsidRPr="00326476">
          <w:rPr>
            <w:rStyle w:val="Hyperlink"/>
            <w:rFonts w:eastAsia="Aptos" w:cs="Arial"/>
            <w:noProof/>
            <w:sz w:val="22"/>
            <w:lang w:val="en-US"/>
          </w:rPr>
          <w:t>http://www.rch.org.au/uploadedFiles/Main/Content/ccch/resources_and_publications/Home_visiting_lit_review_RAH_processes_final.pdf</w:t>
        </w:r>
      </w:hyperlink>
    </w:p>
    <w:p w14:paraId="62B6E273" w14:textId="77777777" w:rsidR="007018DC" w:rsidRPr="0016396D" w:rsidRDefault="007018DC" w:rsidP="0016396D">
      <w:pPr>
        <w:spacing w:before="0" w:after="160"/>
        <w:ind w:left="720" w:hanging="720"/>
        <w:rPr>
          <w:rFonts w:eastAsia="Aptos" w:cs="Arial"/>
          <w:noProof/>
          <w:sz w:val="22"/>
          <w:lang w:val="en-US"/>
        </w:rPr>
      </w:pPr>
    </w:p>
    <w:p w14:paraId="076870F8" w14:textId="7FE9A0D8" w:rsidR="005D72F5" w:rsidRPr="005D72F5" w:rsidRDefault="005D72F5" w:rsidP="005D72F5">
      <w:pPr>
        <w:spacing w:before="0" w:after="160"/>
        <w:ind w:left="720" w:hanging="720"/>
        <w:rPr>
          <w:rFonts w:eastAsia="Aptos" w:cs="Arial"/>
          <w:noProof/>
          <w:sz w:val="22"/>
          <w:lang w:val="en-US"/>
        </w:rPr>
      </w:pPr>
      <w:r w:rsidRPr="005D72F5">
        <w:rPr>
          <w:rFonts w:eastAsia="Aptos" w:cs="Arial"/>
          <w:noProof/>
          <w:sz w:val="22"/>
          <w:lang w:val="en-US"/>
        </w:rPr>
        <w:t xml:space="preserve">Moore, T., McHugh-Dillon, H., Bull, K., Fry, R., Laidlaw, B., &amp; West, S. (2014). </w:t>
      </w:r>
      <w:r w:rsidRPr="005D72F5">
        <w:rPr>
          <w:rFonts w:eastAsia="Aptos" w:cs="Arial"/>
          <w:i/>
          <w:noProof/>
          <w:sz w:val="22"/>
          <w:lang w:val="en-US"/>
        </w:rPr>
        <w:t>The evidence: What we know about place-based approaches to support children’s wellbeing</w:t>
      </w:r>
      <w:r w:rsidRPr="005D72F5">
        <w:rPr>
          <w:rFonts w:eastAsia="Aptos" w:cs="Arial"/>
          <w:noProof/>
          <w:sz w:val="22"/>
          <w:lang w:val="en-US"/>
        </w:rPr>
        <w:t xml:space="preserve">. Parkville, VIC: Centre for Community Child Health, Murdoch Childrens Research Institute, The Royal Children’s Hospital. Retrieved 6 September, 2024 from </w:t>
      </w:r>
      <w:hyperlink r:id="rId460" w:history="1">
        <w:r w:rsidR="00090188" w:rsidRPr="005D72F5">
          <w:rPr>
            <w:rStyle w:val="Hyperlink"/>
            <w:rFonts w:eastAsia="Aptos" w:cs="Arial"/>
            <w:noProof/>
            <w:sz w:val="22"/>
            <w:lang w:val="en-US"/>
          </w:rPr>
          <w:t>http://www.rch.org.au/uploadedFiles/Main/Content/ccch/CCCH_Collaborate_for_Children_Report_The_Evidence_Nov2014.pdf</w:t>
        </w:r>
      </w:hyperlink>
      <w:r w:rsidR="00090188">
        <w:rPr>
          <w:rFonts w:eastAsia="Aptos" w:cs="Arial"/>
          <w:noProof/>
          <w:sz w:val="22"/>
          <w:lang w:val="en-US"/>
        </w:rPr>
        <w:t xml:space="preserve"> </w:t>
      </w:r>
    </w:p>
    <w:p w14:paraId="4CC2955D" w14:textId="77777777" w:rsidR="005D72F5" w:rsidRPr="005D72F5" w:rsidRDefault="005D72F5" w:rsidP="005D72F5">
      <w:pPr>
        <w:spacing w:before="0" w:after="0"/>
        <w:ind w:left="720" w:hanging="720"/>
        <w:rPr>
          <w:rFonts w:eastAsia="Aptos" w:cs="Arial"/>
          <w:noProof/>
          <w:sz w:val="22"/>
          <w:lang w:val="en-US"/>
        </w:rPr>
      </w:pPr>
      <w:r w:rsidRPr="005D72F5">
        <w:rPr>
          <w:rFonts w:eastAsia="Aptos" w:cs="Arial"/>
          <w:noProof/>
          <w:sz w:val="22"/>
          <w:lang w:val="en-US"/>
        </w:rPr>
        <w:tab/>
      </w:r>
    </w:p>
    <w:p w14:paraId="5FE8DE42" w14:textId="50C6BE64" w:rsidR="005D72F5" w:rsidRPr="005D72F5" w:rsidRDefault="005D72F5" w:rsidP="005D72F5">
      <w:pPr>
        <w:spacing w:before="0" w:after="160"/>
        <w:ind w:left="720" w:hanging="720"/>
        <w:rPr>
          <w:rFonts w:eastAsia="Aptos" w:cs="Arial"/>
          <w:noProof/>
          <w:sz w:val="22"/>
          <w:lang w:val="en-US"/>
        </w:rPr>
      </w:pPr>
      <w:r w:rsidRPr="005D72F5">
        <w:rPr>
          <w:rFonts w:eastAsia="Aptos" w:cs="Arial"/>
          <w:noProof/>
          <w:sz w:val="22"/>
          <w:lang w:val="en-US"/>
        </w:rPr>
        <w:t xml:space="preserve">Moore, T., &amp; Skinner, A. (2010). </w:t>
      </w:r>
      <w:r w:rsidRPr="005D72F5">
        <w:rPr>
          <w:rFonts w:eastAsia="Aptos" w:cs="Arial"/>
          <w:i/>
          <w:noProof/>
          <w:sz w:val="22"/>
          <w:lang w:val="en-US"/>
        </w:rPr>
        <w:t>An integrated approach to early childhood development</w:t>
      </w:r>
      <w:r w:rsidRPr="005D72F5">
        <w:rPr>
          <w:rFonts w:eastAsia="Aptos" w:cs="Arial"/>
          <w:noProof/>
          <w:sz w:val="22"/>
          <w:lang w:val="en-US"/>
        </w:rPr>
        <w:t xml:space="preserve">. Sydney, NSW: The Benevolent Society. Retrieved 6 September, 2024 from </w:t>
      </w:r>
      <w:hyperlink r:id="rId461" w:history="1">
        <w:r w:rsidR="00090188" w:rsidRPr="005D72F5">
          <w:rPr>
            <w:rStyle w:val="Hyperlink"/>
            <w:rFonts w:eastAsia="Aptos" w:cs="Arial"/>
            <w:noProof/>
            <w:sz w:val="22"/>
            <w:lang w:val="en-US"/>
          </w:rPr>
          <w:t>http://www.rch.org.au/emplibrary/ccch/TM_BenSoc_Project_09.pdf</w:t>
        </w:r>
      </w:hyperlink>
      <w:r w:rsidR="00090188">
        <w:rPr>
          <w:rFonts w:eastAsia="Aptos" w:cs="Arial"/>
          <w:noProof/>
          <w:sz w:val="22"/>
          <w:lang w:val="en-US"/>
        </w:rPr>
        <w:t xml:space="preserve"> </w:t>
      </w:r>
    </w:p>
    <w:p w14:paraId="03A38324" w14:textId="77777777" w:rsidR="005D72F5" w:rsidRPr="005D72F5" w:rsidRDefault="005D72F5" w:rsidP="005D72F5">
      <w:pPr>
        <w:spacing w:before="0" w:after="0"/>
        <w:ind w:left="720" w:hanging="720"/>
        <w:rPr>
          <w:rFonts w:eastAsia="Aptos" w:cs="Arial"/>
          <w:noProof/>
          <w:sz w:val="22"/>
          <w:lang w:val="en-US"/>
        </w:rPr>
      </w:pPr>
      <w:r w:rsidRPr="005D72F5">
        <w:rPr>
          <w:rFonts w:eastAsia="Aptos" w:cs="Arial"/>
          <w:noProof/>
          <w:sz w:val="22"/>
          <w:lang w:val="en-US"/>
        </w:rPr>
        <w:tab/>
      </w:r>
    </w:p>
    <w:p w14:paraId="32EAA48A" w14:textId="77777777" w:rsidR="005D72F5" w:rsidRPr="005D72F5" w:rsidRDefault="005D72F5" w:rsidP="005D72F5">
      <w:pPr>
        <w:spacing w:before="0" w:after="160"/>
        <w:ind w:left="720" w:hanging="720"/>
        <w:rPr>
          <w:rFonts w:eastAsia="Aptos" w:cs="Arial"/>
          <w:noProof/>
          <w:sz w:val="22"/>
          <w:lang w:val="en-US"/>
        </w:rPr>
      </w:pPr>
      <w:r w:rsidRPr="005D72F5">
        <w:rPr>
          <w:rFonts w:eastAsia="Aptos" w:cs="Arial"/>
          <w:noProof/>
          <w:sz w:val="22"/>
          <w:lang w:val="en-US"/>
        </w:rPr>
        <w:t xml:space="preserve">Moore, T. G. (2019). </w:t>
      </w:r>
      <w:r w:rsidRPr="005D72F5">
        <w:rPr>
          <w:rFonts w:eastAsia="Aptos" w:cs="Arial"/>
          <w:i/>
          <w:noProof/>
          <w:sz w:val="22"/>
          <w:lang w:val="en-US"/>
        </w:rPr>
        <w:t>Realising the potential: a literature review of best practices in early childhood intervention services</w:t>
      </w:r>
      <w:r w:rsidRPr="005D72F5">
        <w:rPr>
          <w:rFonts w:eastAsia="Aptos" w:cs="Arial"/>
          <w:noProof/>
          <w:sz w:val="22"/>
          <w:lang w:val="en-US"/>
        </w:rPr>
        <w:t xml:space="preserve">. Parkville, VIC: Centre for Community Child Health, Murdoch Children’s Research Institute. </w:t>
      </w:r>
    </w:p>
    <w:p w14:paraId="3B5D3B88" w14:textId="77777777" w:rsidR="006C73B0" w:rsidRPr="006C73B0" w:rsidRDefault="006C73B0" w:rsidP="006C73B0">
      <w:pPr>
        <w:spacing w:before="0" w:after="160"/>
        <w:ind w:left="720" w:hanging="720"/>
        <w:rPr>
          <w:rFonts w:eastAsia="Aptos" w:cs="Arial"/>
          <w:noProof/>
          <w:sz w:val="22"/>
          <w:lang w:val="en-US"/>
        </w:rPr>
      </w:pPr>
      <w:r w:rsidRPr="006C73B0">
        <w:rPr>
          <w:rFonts w:eastAsia="Aptos" w:cs="Arial"/>
          <w:noProof/>
          <w:sz w:val="22"/>
          <w:lang w:val="en-US"/>
        </w:rPr>
        <w:t xml:space="preserve">Moore, T. G. (2022, 24 February). </w:t>
      </w:r>
      <w:r w:rsidRPr="006C73B0">
        <w:rPr>
          <w:rFonts w:eastAsia="Aptos" w:cs="Arial"/>
          <w:i/>
          <w:noProof/>
          <w:sz w:val="22"/>
          <w:lang w:val="en-US"/>
        </w:rPr>
        <w:t>The evidence base in early childhood intervention services: How to choose and use effective strategies - Keynote presentation</w:t>
      </w:r>
      <w:r w:rsidRPr="006C73B0">
        <w:rPr>
          <w:rFonts w:eastAsia="Aptos" w:cs="Arial"/>
          <w:noProof/>
          <w:sz w:val="22"/>
          <w:lang w:val="en-US"/>
        </w:rPr>
        <w:t xml:space="preserve">. Online: Eurlyaid Conference – Creating early childhood intervention together, building bridges </w:t>
      </w:r>
    </w:p>
    <w:p w14:paraId="02C1B304" w14:textId="77777777" w:rsidR="006C73B0" w:rsidRPr="006C73B0" w:rsidRDefault="006C73B0" w:rsidP="006C73B0">
      <w:pPr>
        <w:spacing w:before="0" w:after="0"/>
        <w:ind w:left="720" w:hanging="720"/>
        <w:rPr>
          <w:rFonts w:eastAsia="Aptos" w:cs="Arial"/>
          <w:noProof/>
          <w:sz w:val="22"/>
          <w:lang w:val="en-US"/>
        </w:rPr>
      </w:pPr>
      <w:r w:rsidRPr="006C73B0">
        <w:rPr>
          <w:rFonts w:eastAsia="Aptos" w:cs="Arial"/>
          <w:noProof/>
          <w:sz w:val="22"/>
          <w:lang w:val="en-US"/>
        </w:rPr>
        <w:tab/>
      </w:r>
    </w:p>
    <w:p w14:paraId="5BFD556D" w14:textId="7D2D3D7C" w:rsidR="006C73B0" w:rsidRPr="006C73B0" w:rsidRDefault="006C73B0" w:rsidP="006C73B0">
      <w:pPr>
        <w:spacing w:before="0" w:after="160"/>
        <w:ind w:left="720" w:hanging="720"/>
        <w:rPr>
          <w:rFonts w:eastAsia="Aptos" w:cs="Arial"/>
          <w:noProof/>
          <w:sz w:val="22"/>
          <w:lang w:val="en-US"/>
        </w:rPr>
      </w:pPr>
      <w:r w:rsidRPr="006C73B0">
        <w:rPr>
          <w:rFonts w:eastAsia="Aptos" w:cs="Arial"/>
          <w:noProof/>
          <w:sz w:val="22"/>
          <w:lang w:val="en-US"/>
        </w:rPr>
        <w:t xml:space="preserve">Moore, T. G., Symes, L., &amp; Bull, K. (2014, May). </w:t>
      </w:r>
      <w:r w:rsidRPr="006C73B0">
        <w:rPr>
          <w:rFonts w:eastAsia="Aptos" w:cs="Arial"/>
          <w:i/>
          <w:noProof/>
          <w:sz w:val="22"/>
          <w:lang w:val="en-US"/>
        </w:rPr>
        <w:t>Strengthening inclusive practices in early childhood intervention services: Best practice guide</w:t>
      </w:r>
      <w:r w:rsidRPr="006C73B0">
        <w:rPr>
          <w:rFonts w:eastAsia="Aptos" w:cs="Arial"/>
          <w:noProof/>
          <w:sz w:val="22"/>
          <w:lang w:val="en-US"/>
        </w:rPr>
        <w:t xml:space="preserve">. North Rocks, NSW: Early Childhood Intervention Australia (New South Wales). Retrieved 6 September, 2024 from </w:t>
      </w:r>
      <w:hyperlink r:id="rId462" w:history="1">
        <w:r w:rsidR="00090188" w:rsidRPr="006C73B0">
          <w:rPr>
            <w:rStyle w:val="Hyperlink"/>
            <w:rFonts w:eastAsia="Aptos" w:cs="Arial"/>
            <w:noProof/>
            <w:sz w:val="22"/>
            <w:lang w:val="en-US"/>
          </w:rPr>
          <w:t>https://reimagine.org.au/practitioner/inclusion-in-practice/</w:t>
        </w:r>
      </w:hyperlink>
      <w:r w:rsidR="00090188">
        <w:rPr>
          <w:rFonts w:eastAsia="Aptos" w:cs="Arial"/>
          <w:noProof/>
          <w:sz w:val="22"/>
          <w:lang w:val="en-US"/>
        </w:rPr>
        <w:t xml:space="preserve"> </w:t>
      </w:r>
    </w:p>
    <w:p w14:paraId="20C3208D" w14:textId="77777777" w:rsidR="006C73B0" w:rsidRPr="006C73B0" w:rsidRDefault="006C73B0" w:rsidP="006C73B0">
      <w:pPr>
        <w:spacing w:before="0" w:after="0"/>
        <w:ind w:left="720" w:hanging="720"/>
        <w:rPr>
          <w:rFonts w:eastAsia="Aptos" w:cs="Arial"/>
          <w:noProof/>
          <w:sz w:val="22"/>
          <w:lang w:val="en-US"/>
        </w:rPr>
      </w:pPr>
      <w:r w:rsidRPr="006C73B0">
        <w:rPr>
          <w:rFonts w:eastAsia="Aptos" w:cs="Arial"/>
          <w:noProof/>
          <w:sz w:val="22"/>
          <w:lang w:val="en-US"/>
        </w:rPr>
        <w:tab/>
      </w:r>
    </w:p>
    <w:p w14:paraId="78C4858E" w14:textId="11C1CC84" w:rsidR="006C73B0" w:rsidRPr="006C73B0" w:rsidRDefault="006C73B0" w:rsidP="006C73B0">
      <w:pPr>
        <w:spacing w:before="0" w:after="160"/>
        <w:ind w:left="720" w:hanging="720"/>
        <w:rPr>
          <w:rFonts w:eastAsia="Aptos" w:cs="Arial"/>
          <w:noProof/>
          <w:sz w:val="22"/>
          <w:lang w:val="en-US"/>
        </w:rPr>
      </w:pPr>
      <w:r w:rsidRPr="00F51052">
        <w:rPr>
          <w:rFonts w:eastAsia="Aptos" w:cs="Arial"/>
          <w:noProof/>
          <w:sz w:val="22"/>
          <w:lang w:val="en-US"/>
        </w:rPr>
        <w:t>Moore</w:t>
      </w:r>
      <w:r w:rsidR="00F51052" w:rsidRPr="002E65BA">
        <w:rPr>
          <w:rFonts w:eastAsia="Aptos" w:cs="Arial"/>
          <w:noProof/>
          <w:sz w:val="22"/>
          <w:lang w:val="en-US"/>
        </w:rPr>
        <w:t>,</w:t>
      </w:r>
      <w:r w:rsidRPr="00F51052">
        <w:rPr>
          <w:rFonts w:eastAsia="Aptos" w:cs="Arial"/>
          <w:noProof/>
          <w:sz w:val="22"/>
          <w:lang w:val="en-US"/>
        </w:rPr>
        <w:t xml:space="preserve"> T</w:t>
      </w:r>
      <w:r w:rsidR="00F51052" w:rsidRPr="002E65BA">
        <w:rPr>
          <w:rFonts w:eastAsia="Aptos" w:cs="Arial"/>
          <w:noProof/>
          <w:sz w:val="22"/>
          <w:lang w:val="en-US"/>
        </w:rPr>
        <w:t>.</w:t>
      </w:r>
      <w:r w:rsidRPr="00F51052">
        <w:rPr>
          <w:rFonts w:eastAsia="Aptos" w:cs="Arial"/>
          <w:noProof/>
          <w:sz w:val="22"/>
          <w:lang w:val="en-US"/>
        </w:rPr>
        <w:t>, Fong</w:t>
      </w:r>
      <w:r w:rsidR="00F51052" w:rsidRPr="002E65BA">
        <w:rPr>
          <w:rFonts w:eastAsia="Aptos" w:cs="Arial"/>
          <w:noProof/>
          <w:sz w:val="22"/>
          <w:lang w:val="en-US"/>
        </w:rPr>
        <w:t>, M.</w:t>
      </w:r>
      <w:r w:rsidRPr="00F51052">
        <w:rPr>
          <w:rFonts w:eastAsia="Aptos" w:cs="Arial"/>
          <w:noProof/>
          <w:sz w:val="22"/>
          <w:lang w:val="en-US"/>
        </w:rPr>
        <w:t>, Rushton</w:t>
      </w:r>
      <w:r w:rsidR="00F51052" w:rsidRPr="002E65BA">
        <w:rPr>
          <w:rFonts w:eastAsia="Aptos" w:cs="Arial"/>
          <w:noProof/>
          <w:sz w:val="22"/>
          <w:lang w:val="en-US"/>
        </w:rPr>
        <w:t>,</w:t>
      </w:r>
      <w:r w:rsidRPr="00F51052">
        <w:rPr>
          <w:rFonts w:eastAsia="Aptos" w:cs="Arial"/>
          <w:noProof/>
          <w:sz w:val="22"/>
          <w:lang w:val="en-US"/>
        </w:rPr>
        <w:t xml:space="preserve"> S</w:t>
      </w:r>
      <w:r w:rsidR="00F51052" w:rsidRPr="002E65BA">
        <w:rPr>
          <w:rFonts w:eastAsia="Aptos" w:cs="Arial"/>
          <w:noProof/>
          <w:sz w:val="22"/>
          <w:lang w:val="en-US"/>
        </w:rPr>
        <w:t>.</w:t>
      </w:r>
      <w:r w:rsidRPr="00F51052">
        <w:rPr>
          <w:rFonts w:eastAsia="Aptos" w:cs="Arial"/>
          <w:noProof/>
          <w:sz w:val="22"/>
          <w:lang w:val="en-US"/>
        </w:rPr>
        <w:t xml:space="preserve">, &amp; Centre for Community Child Health. (2018). </w:t>
      </w:r>
      <w:r w:rsidRPr="00F51052">
        <w:rPr>
          <w:rFonts w:eastAsia="Aptos" w:cs="Arial"/>
          <w:i/>
          <w:noProof/>
          <w:sz w:val="22"/>
          <w:lang w:val="en-US"/>
        </w:rPr>
        <w:t>Evaluation of plumtree children's services 'Now and Next' program</w:t>
      </w:r>
      <w:r w:rsidRPr="00F51052">
        <w:rPr>
          <w:rFonts w:eastAsia="Aptos" w:cs="Arial"/>
          <w:noProof/>
          <w:sz w:val="22"/>
          <w:lang w:val="en-US"/>
        </w:rPr>
        <w:t>. Parkville, VIC: Centre for Community Child Heath.</w:t>
      </w:r>
      <w:r w:rsidRPr="006C73B0">
        <w:rPr>
          <w:rFonts w:eastAsia="Aptos" w:cs="Arial"/>
          <w:noProof/>
          <w:sz w:val="22"/>
          <w:lang w:val="en-US"/>
        </w:rPr>
        <w:t xml:space="preserve"> </w:t>
      </w:r>
    </w:p>
    <w:p w14:paraId="0FEE0147" w14:textId="212C5536" w:rsidR="006026EB" w:rsidRPr="006026EB" w:rsidRDefault="006026EB" w:rsidP="006026EB">
      <w:pPr>
        <w:spacing w:before="0" w:after="160"/>
        <w:ind w:left="720" w:hanging="720"/>
        <w:rPr>
          <w:rFonts w:eastAsia="Aptos" w:cs="Arial"/>
          <w:noProof/>
          <w:sz w:val="22"/>
          <w:lang w:val="en-US"/>
        </w:rPr>
      </w:pPr>
      <w:r w:rsidRPr="006026EB">
        <w:rPr>
          <w:rFonts w:eastAsia="Aptos" w:cs="Arial"/>
          <w:noProof/>
          <w:sz w:val="22"/>
          <w:lang w:val="en-US"/>
        </w:rPr>
        <w:t>Morgan, C., Fahey, M., Roy, B., &amp; Novak, I. (2018). Diagnosing cerebral palsy in full</w:t>
      </w:r>
      <w:r w:rsidRPr="006026EB">
        <w:rPr>
          <w:rFonts w:ascii="Cambria Math" w:eastAsia="Aptos" w:hAnsi="Cambria Math" w:cs="Cambria Math"/>
          <w:noProof/>
          <w:sz w:val="22"/>
          <w:lang w:val="en-US"/>
        </w:rPr>
        <w:t>‐</w:t>
      </w:r>
      <w:r w:rsidRPr="006026EB">
        <w:rPr>
          <w:rFonts w:eastAsia="Aptos" w:cs="Arial"/>
          <w:noProof/>
          <w:sz w:val="22"/>
          <w:lang w:val="en-US"/>
        </w:rPr>
        <w:t xml:space="preserve">term infants. </w:t>
      </w:r>
      <w:r w:rsidRPr="006026EB">
        <w:rPr>
          <w:rFonts w:eastAsia="Aptos" w:cs="Arial"/>
          <w:i/>
          <w:noProof/>
          <w:sz w:val="22"/>
          <w:lang w:val="en-US"/>
        </w:rPr>
        <w:t>Journal of Paediatrics and Child Health</w:t>
      </w:r>
      <w:r w:rsidRPr="006026EB">
        <w:rPr>
          <w:rFonts w:eastAsia="Aptos" w:cs="Arial"/>
          <w:noProof/>
          <w:sz w:val="22"/>
          <w:lang w:val="en-US"/>
        </w:rPr>
        <w:t>,</w:t>
      </w:r>
      <w:r w:rsidRPr="006026EB">
        <w:rPr>
          <w:rFonts w:eastAsia="Aptos" w:cs="Arial"/>
          <w:i/>
          <w:noProof/>
          <w:sz w:val="22"/>
          <w:lang w:val="en-US"/>
        </w:rPr>
        <w:t xml:space="preserve"> 54</w:t>
      </w:r>
      <w:r w:rsidRPr="006026EB">
        <w:rPr>
          <w:rFonts w:eastAsia="Aptos" w:cs="Arial"/>
          <w:noProof/>
          <w:sz w:val="22"/>
          <w:lang w:val="en-US"/>
        </w:rPr>
        <w:t xml:space="preserve">(10), 1159-1164. </w:t>
      </w:r>
      <w:hyperlink r:id="rId463" w:history="1">
        <w:r w:rsidR="00090188" w:rsidRPr="006026EB">
          <w:rPr>
            <w:rStyle w:val="Hyperlink"/>
            <w:rFonts w:eastAsia="Aptos" w:cs="Arial"/>
            <w:noProof/>
            <w:sz w:val="22"/>
            <w:lang w:val="en-US"/>
          </w:rPr>
          <w:t>https://doi.org/10.1111/jpc.14177</w:t>
        </w:r>
      </w:hyperlink>
      <w:r w:rsidR="00090188">
        <w:rPr>
          <w:rFonts w:eastAsia="Aptos" w:cs="Arial"/>
          <w:noProof/>
          <w:sz w:val="22"/>
          <w:lang w:val="en-US"/>
        </w:rPr>
        <w:t xml:space="preserve"> </w:t>
      </w:r>
      <w:r w:rsidRPr="006026EB">
        <w:rPr>
          <w:rFonts w:eastAsia="Aptos" w:cs="Arial"/>
          <w:noProof/>
          <w:sz w:val="22"/>
          <w:lang w:val="en-US"/>
        </w:rPr>
        <w:t xml:space="preserve"> </w:t>
      </w:r>
    </w:p>
    <w:p w14:paraId="38B3BFA9" w14:textId="77777777" w:rsidR="006026EB" w:rsidRPr="006026EB" w:rsidRDefault="006026EB" w:rsidP="006026EB">
      <w:pPr>
        <w:spacing w:before="0" w:after="0"/>
        <w:ind w:left="720" w:hanging="720"/>
        <w:rPr>
          <w:rFonts w:eastAsia="Aptos" w:cs="Arial"/>
          <w:noProof/>
          <w:sz w:val="22"/>
          <w:lang w:val="en-US"/>
        </w:rPr>
      </w:pPr>
      <w:r w:rsidRPr="006026EB">
        <w:rPr>
          <w:rFonts w:eastAsia="Aptos" w:cs="Arial"/>
          <w:noProof/>
          <w:sz w:val="22"/>
          <w:lang w:val="en-US"/>
        </w:rPr>
        <w:tab/>
      </w:r>
    </w:p>
    <w:p w14:paraId="62CC7914" w14:textId="77777777" w:rsidR="006026EB" w:rsidRPr="006026EB" w:rsidRDefault="006026EB" w:rsidP="006026EB">
      <w:pPr>
        <w:spacing w:before="0" w:after="160"/>
        <w:ind w:left="720" w:hanging="720"/>
        <w:rPr>
          <w:rFonts w:eastAsia="Aptos" w:cs="Arial"/>
          <w:noProof/>
          <w:sz w:val="22"/>
          <w:lang w:val="en-US"/>
        </w:rPr>
      </w:pPr>
      <w:r w:rsidRPr="006026EB">
        <w:rPr>
          <w:rFonts w:eastAsia="Aptos" w:cs="Arial"/>
          <w:noProof/>
          <w:sz w:val="22"/>
          <w:lang w:val="en-US"/>
        </w:rPr>
        <w:t xml:space="preserve">Mulgan, G. (2012). Government with the people: The outlines of a relational state. In G. Cooke &amp; R. Muir (Eds.), </w:t>
      </w:r>
      <w:r w:rsidRPr="006026EB">
        <w:rPr>
          <w:rFonts w:eastAsia="Aptos" w:cs="Arial"/>
          <w:i/>
          <w:noProof/>
          <w:sz w:val="22"/>
          <w:lang w:val="en-US"/>
        </w:rPr>
        <w:t>The relational state: How recognising the importance of human relationships could revolutionise the role of the state.</w:t>
      </w:r>
      <w:r w:rsidRPr="006026EB">
        <w:rPr>
          <w:rFonts w:eastAsia="Aptos" w:cs="Arial"/>
          <w:noProof/>
          <w:sz w:val="22"/>
          <w:lang w:val="en-US"/>
        </w:rPr>
        <w:t xml:space="preserve"> London, UK: Institute for Public Policy Research. </w:t>
      </w:r>
    </w:p>
    <w:p w14:paraId="594DE76E" w14:textId="77777777" w:rsidR="006026EB" w:rsidRPr="006026EB" w:rsidRDefault="006026EB" w:rsidP="006026EB">
      <w:pPr>
        <w:spacing w:before="0" w:after="0"/>
        <w:ind w:left="720" w:hanging="720"/>
        <w:rPr>
          <w:rFonts w:eastAsia="Aptos" w:cs="Arial"/>
          <w:noProof/>
          <w:sz w:val="22"/>
          <w:lang w:val="en-US"/>
        </w:rPr>
      </w:pPr>
      <w:r w:rsidRPr="006026EB">
        <w:rPr>
          <w:rFonts w:eastAsia="Aptos" w:cs="Arial"/>
          <w:noProof/>
          <w:sz w:val="22"/>
          <w:lang w:val="en-US"/>
        </w:rPr>
        <w:tab/>
      </w:r>
    </w:p>
    <w:p w14:paraId="1CB447C5" w14:textId="2D74387B" w:rsidR="006026EB" w:rsidRPr="006026EB" w:rsidRDefault="006026EB" w:rsidP="006026EB">
      <w:pPr>
        <w:spacing w:before="0" w:after="160"/>
        <w:ind w:left="720" w:hanging="720"/>
        <w:rPr>
          <w:rFonts w:eastAsia="Aptos" w:cs="Arial"/>
          <w:noProof/>
          <w:sz w:val="22"/>
          <w:lang w:val="en-US"/>
        </w:rPr>
      </w:pPr>
      <w:r w:rsidRPr="006026EB">
        <w:rPr>
          <w:rFonts w:eastAsia="Aptos" w:cs="Arial"/>
          <w:noProof/>
          <w:sz w:val="22"/>
          <w:lang w:val="en-US"/>
        </w:rPr>
        <w:t xml:space="preserve">Munisamy, Y., &amp; Elze, D. E. (2020). Trauma-informed social work practice with children and youth. In R. Ow &amp; A. Poon (Eds.), </w:t>
      </w:r>
      <w:r w:rsidRPr="006026EB">
        <w:rPr>
          <w:rFonts w:eastAsia="Aptos" w:cs="Arial"/>
          <w:i/>
          <w:noProof/>
          <w:sz w:val="22"/>
          <w:lang w:val="en-US"/>
        </w:rPr>
        <w:t>Mental health and social work</w:t>
      </w:r>
      <w:r w:rsidRPr="006026EB">
        <w:rPr>
          <w:rFonts w:eastAsia="Aptos" w:cs="Arial"/>
          <w:noProof/>
          <w:sz w:val="22"/>
          <w:lang w:val="en-US"/>
        </w:rPr>
        <w:t xml:space="preserve"> (pp. 283-310). Singapore: Springer. </w:t>
      </w:r>
      <w:hyperlink r:id="rId464" w:history="1">
        <w:r w:rsidR="00090188" w:rsidRPr="006026EB">
          <w:rPr>
            <w:rStyle w:val="Hyperlink"/>
            <w:rFonts w:eastAsia="Aptos" w:cs="Arial"/>
            <w:noProof/>
            <w:sz w:val="22"/>
            <w:lang w:val="en-US"/>
          </w:rPr>
          <w:t>https://doi.org/10.1007/978-981-13-6975-9_10</w:t>
        </w:r>
      </w:hyperlink>
      <w:r w:rsidR="00090188">
        <w:rPr>
          <w:rFonts w:eastAsia="Aptos" w:cs="Arial"/>
          <w:noProof/>
          <w:sz w:val="22"/>
          <w:lang w:val="en-US"/>
        </w:rPr>
        <w:t xml:space="preserve"> </w:t>
      </w:r>
      <w:r w:rsidRPr="006026EB">
        <w:rPr>
          <w:rFonts w:eastAsia="Aptos" w:cs="Arial"/>
          <w:noProof/>
          <w:sz w:val="22"/>
          <w:lang w:val="en-US"/>
        </w:rPr>
        <w:t xml:space="preserve"> </w:t>
      </w:r>
    </w:p>
    <w:p w14:paraId="4B321E1E" w14:textId="77777777" w:rsidR="006026EB" w:rsidRPr="006026EB" w:rsidRDefault="006026EB" w:rsidP="006026EB">
      <w:pPr>
        <w:spacing w:before="0" w:after="0"/>
        <w:ind w:left="720" w:hanging="720"/>
        <w:rPr>
          <w:rFonts w:eastAsia="Aptos" w:cs="Arial"/>
          <w:noProof/>
          <w:sz w:val="22"/>
          <w:lang w:val="en-US"/>
        </w:rPr>
      </w:pPr>
      <w:r w:rsidRPr="006026EB">
        <w:rPr>
          <w:rFonts w:eastAsia="Aptos" w:cs="Arial"/>
          <w:noProof/>
          <w:sz w:val="22"/>
          <w:lang w:val="en-US"/>
        </w:rPr>
        <w:tab/>
      </w:r>
    </w:p>
    <w:p w14:paraId="5CBA3EA9" w14:textId="4418F843" w:rsidR="006026EB" w:rsidRPr="006026EB" w:rsidRDefault="006026EB" w:rsidP="006026EB">
      <w:pPr>
        <w:spacing w:before="0" w:after="160"/>
        <w:ind w:left="720" w:hanging="720"/>
        <w:rPr>
          <w:rFonts w:eastAsia="Aptos" w:cs="Arial"/>
          <w:noProof/>
          <w:sz w:val="22"/>
          <w:lang w:val="en-US"/>
        </w:rPr>
      </w:pPr>
      <w:r w:rsidRPr="006026EB">
        <w:rPr>
          <w:rFonts w:eastAsia="Aptos" w:cs="Arial"/>
          <w:noProof/>
          <w:sz w:val="22"/>
          <w:lang w:val="en-US"/>
        </w:rPr>
        <w:t xml:space="preserve">Munn, Z., Peters, M. D. J., Stern, C., Tufanaru, C., McArthur, A., &amp; Aromataris, E. (2018). Systematic review or scoping review? Guidance for authors when choosing between a systematic or scoping review approach. </w:t>
      </w:r>
      <w:r w:rsidRPr="006026EB">
        <w:rPr>
          <w:rFonts w:eastAsia="Aptos" w:cs="Arial"/>
          <w:i/>
          <w:noProof/>
          <w:sz w:val="22"/>
          <w:lang w:val="en-US"/>
        </w:rPr>
        <w:t>BMC Medical Research Methodology</w:t>
      </w:r>
      <w:r w:rsidRPr="006026EB">
        <w:rPr>
          <w:rFonts w:eastAsia="Aptos" w:cs="Arial"/>
          <w:noProof/>
          <w:sz w:val="22"/>
          <w:lang w:val="en-US"/>
        </w:rPr>
        <w:t>,</w:t>
      </w:r>
      <w:r w:rsidRPr="006026EB">
        <w:rPr>
          <w:rFonts w:eastAsia="Aptos" w:cs="Arial"/>
          <w:i/>
          <w:noProof/>
          <w:sz w:val="22"/>
          <w:lang w:val="en-US"/>
        </w:rPr>
        <w:t xml:space="preserve"> 18</w:t>
      </w:r>
      <w:r w:rsidRPr="006026EB">
        <w:rPr>
          <w:rFonts w:eastAsia="Aptos" w:cs="Arial"/>
          <w:noProof/>
          <w:sz w:val="22"/>
          <w:lang w:val="en-US"/>
        </w:rPr>
        <w:t xml:space="preserve">(1), 143. </w:t>
      </w:r>
      <w:hyperlink r:id="rId465" w:history="1">
        <w:r w:rsidR="00090188" w:rsidRPr="006026EB">
          <w:rPr>
            <w:rStyle w:val="Hyperlink"/>
            <w:rFonts w:eastAsia="Aptos" w:cs="Arial"/>
            <w:noProof/>
            <w:sz w:val="22"/>
            <w:lang w:val="en-US"/>
          </w:rPr>
          <w:t>https://doi.org/10.1186/s12874-018-0611-x</w:t>
        </w:r>
      </w:hyperlink>
      <w:r w:rsidR="00090188">
        <w:rPr>
          <w:rFonts w:eastAsia="Aptos" w:cs="Arial"/>
          <w:noProof/>
          <w:sz w:val="22"/>
          <w:lang w:val="en-US"/>
        </w:rPr>
        <w:t xml:space="preserve"> </w:t>
      </w:r>
      <w:r w:rsidRPr="006026EB">
        <w:rPr>
          <w:rFonts w:eastAsia="Aptos" w:cs="Arial"/>
          <w:noProof/>
          <w:sz w:val="22"/>
          <w:lang w:val="en-US"/>
        </w:rPr>
        <w:t xml:space="preserve"> </w:t>
      </w:r>
    </w:p>
    <w:p w14:paraId="7002CA75" w14:textId="77777777" w:rsidR="006026EB" w:rsidRPr="006026EB" w:rsidRDefault="006026EB" w:rsidP="006026EB">
      <w:pPr>
        <w:spacing w:before="0" w:after="0"/>
        <w:ind w:left="720" w:hanging="720"/>
        <w:rPr>
          <w:rFonts w:eastAsia="Aptos" w:cs="Arial"/>
          <w:noProof/>
          <w:sz w:val="22"/>
          <w:lang w:val="en-US"/>
        </w:rPr>
      </w:pPr>
      <w:r w:rsidRPr="006026EB">
        <w:rPr>
          <w:rFonts w:eastAsia="Aptos" w:cs="Arial"/>
          <w:noProof/>
          <w:sz w:val="22"/>
          <w:lang w:val="en-US"/>
        </w:rPr>
        <w:tab/>
      </w:r>
    </w:p>
    <w:p w14:paraId="361DEE61" w14:textId="77777777" w:rsidR="006026EB" w:rsidRPr="006026EB" w:rsidRDefault="006026EB" w:rsidP="006026EB">
      <w:pPr>
        <w:spacing w:before="0" w:after="160"/>
        <w:ind w:left="720" w:hanging="720"/>
        <w:rPr>
          <w:rFonts w:eastAsia="Aptos" w:cs="Arial"/>
          <w:noProof/>
          <w:sz w:val="22"/>
          <w:lang w:val="en-US"/>
        </w:rPr>
      </w:pPr>
      <w:r w:rsidRPr="006026EB">
        <w:rPr>
          <w:rFonts w:eastAsia="Aptos" w:cs="Arial"/>
          <w:noProof/>
          <w:sz w:val="22"/>
          <w:lang w:val="en-US"/>
        </w:rPr>
        <w:t xml:space="preserve">Murray, P. (2009). </w:t>
      </w:r>
      <w:r w:rsidRPr="006026EB">
        <w:rPr>
          <w:rFonts w:eastAsia="Aptos" w:cs="Arial"/>
          <w:i/>
          <w:noProof/>
          <w:sz w:val="22"/>
          <w:lang w:val="en-US"/>
        </w:rPr>
        <w:t>A summer like no other: An evaluation of the first pilot of individual budgets for children and young people in Halton</w:t>
      </w:r>
      <w:r w:rsidRPr="006026EB">
        <w:rPr>
          <w:rFonts w:eastAsia="Aptos" w:cs="Arial"/>
          <w:noProof/>
          <w:sz w:val="22"/>
          <w:lang w:val="en-US"/>
        </w:rPr>
        <w:t xml:space="preserve">. London, UK: In Control. </w:t>
      </w:r>
    </w:p>
    <w:p w14:paraId="354ECD17" w14:textId="77777777" w:rsidR="006026EB" w:rsidRPr="006026EB" w:rsidRDefault="006026EB" w:rsidP="006026EB">
      <w:pPr>
        <w:spacing w:before="0" w:after="0"/>
        <w:ind w:left="720" w:hanging="720"/>
        <w:rPr>
          <w:rFonts w:eastAsia="Aptos" w:cs="Arial"/>
          <w:noProof/>
          <w:sz w:val="22"/>
          <w:lang w:val="en-US"/>
        </w:rPr>
      </w:pPr>
      <w:r w:rsidRPr="006026EB">
        <w:rPr>
          <w:rFonts w:eastAsia="Aptos" w:cs="Arial"/>
          <w:noProof/>
          <w:sz w:val="22"/>
          <w:lang w:val="en-US"/>
        </w:rPr>
        <w:tab/>
      </w:r>
    </w:p>
    <w:p w14:paraId="2B1EBAA2" w14:textId="2BA17304" w:rsidR="006026EB" w:rsidRDefault="006026EB" w:rsidP="006026EB">
      <w:pPr>
        <w:spacing w:before="0" w:after="160"/>
        <w:ind w:left="720" w:hanging="720"/>
        <w:rPr>
          <w:rFonts w:eastAsia="Aptos" w:cs="Arial"/>
          <w:noProof/>
          <w:sz w:val="22"/>
          <w:lang w:val="en-US"/>
        </w:rPr>
      </w:pPr>
      <w:r w:rsidRPr="006026EB">
        <w:rPr>
          <w:rFonts w:eastAsia="Aptos" w:cs="Arial"/>
          <w:noProof/>
          <w:sz w:val="22"/>
          <w:lang w:val="en-US"/>
        </w:rPr>
        <w:t xml:space="preserve">Murray, P. (2010). </w:t>
      </w:r>
      <w:r w:rsidRPr="006026EB">
        <w:rPr>
          <w:rFonts w:eastAsia="Aptos" w:cs="Arial"/>
          <w:i/>
          <w:noProof/>
          <w:sz w:val="22"/>
          <w:lang w:val="en-US"/>
        </w:rPr>
        <w:t>Fair start: A personalised pathway for disabled children and their families</w:t>
      </w:r>
      <w:r w:rsidRPr="006026EB">
        <w:rPr>
          <w:rFonts w:eastAsia="Aptos" w:cs="Arial"/>
          <w:noProof/>
          <w:sz w:val="22"/>
          <w:lang w:val="en-US"/>
        </w:rPr>
        <w:t xml:space="preserve">. Sheffield and Birmingham, UK: The Centre for Welfare Reform and University of Birmingham. Retrieved 6 September, 2024 from </w:t>
      </w:r>
      <w:hyperlink r:id="rId466" w:history="1">
        <w:r w:rsidR="00C34B29" w:rsidRPr="00326476">
          <w:rPr>
            <w:rStyle w:val="Hyperlink"/>
            <w:rFonts w:eastAsia="Aptos" w:cs="Arial"/>
            <w:noProof/>
            <w:sz w:val="22"/>
            <w:lang w:val="en-US"/>
          </w:rPr>
          <w:t>http://www.birmingham.ac.uk/Documents/college-social-sciences/social-policy/HSMC/publications/2010/A-Fair-Start.pdf</w:t>
        </w:r>
      </w:hyperlink>
    </w:p>
    <w:p w14:paraId="1D8B55FE" w14:textId="77777777" w:rsidR="00C34B29" w:rsidRPr="006026EB" w:rsidRDefault="00C34B29" w:rsidP="006026EB">
      <w:pPr>
        <w:spacing w:before="0" w:after="160"/>
        <w:ind w:left="720" w:hanging="720"/>
        <w:rPr>
          <w:rFonts w:eastAsia="Aptos" w:cs="Arial"/>
          <w:noProof/>
          <w:sz w:val="22"/>
          <w:lang w:val="en-US"/>
        </w:rPr>
      </w:pPr>
    </w:p>
    <w:p w14:paraId="5BF9EFC4" w14:textId="70E8CC75" w:rsidR="004A0623" w:rsidRDefault="004A0623" w:rsidP="004A0623">
      <w:pPr>
        <w:pStyle w:val="EndNoteBibliography"/>
        <w:ind w:left="720" w:hanging="720"/>
      </w:pPr>
      <w:r w:rsidRPr="00645B8E">
        <w:t xml:space="preserve">National Academies of Sciences Engineering and Medicine. (2016). </w:t>
      </w:r>
      <w:r w:rsidRPr="00645B8E">
        <w:rPr>
          <w:i/>
        </w:rPr>
        <w:t>Parenting matters: Supporting parents of children ages 0-8</w:t>
      </w:r>
      <w:r w:rsidRPr="00645B8E">
        <w:t xml:space="preserve">. Washington, DC: National Academies Press (US). </w:t>
      </w:r>
      <w:hyperlink r:id="rId467" w:history="1">
        <w:r w:rsidR="00090188" w:rsidRPr="00326476">
          <w:rPr>
            <w:rStyle w:val="Hyperlink"/>
          </w:rPr>
          <w:t>https://doi.org/10.17226/21868</w:t>
        </w:r>
      </w:hyperlink>
      <w:r w:rsidR="00090188">
        <w:t xml:space="preserve"> </w:t>
      </w:r>
      <w:r w:rsidRPr="007E27D1">
        <w:t xml:space="preserve"> </w:t>
      </w:r>
    </w:p>
    <w:p w14:paraId="2854F8D6" w14:textId="77777777" w:rsidR="00C34B29" w:rsidRPr="007E27D1" w:rsidRDefault="00C34B29" w:rsidP="004A0623">
      <w:pPr>
        <w:pStyle w:val="EndNoteBibliography"/>
        <w:ind w:left="720" w:hanging="720"/>
      </w:pPr>
    </w:p>
    <w:p w14:paraId="30BB6181" w14:textId="61532DAF" w:rsidR="004A0588" w:rsidRPr="004A0588" w:rsidRDefault="004A0588" w:rsidP="004A0588">
      <w:pPr>
        <w:spacing w:before="0" w:after="160"/>
        <w:ind w:left="720" w:hanging="720"/>
        <w:rPr>
          <w:rFonts w:eastAsia="Aptos" w:cs="Arial"/>
          <w:noProof/>
          <w:sz w:val="22"/>
          <w:lang w:val="en-US"/>
        </w:rPr>
      </w:pPr>
      <w:r w:rsidRPr="004A0588">
        <w:rPr>
          <w:rFonts w:eastAsia="Aptos" w:cs="Arial"/>
          <w:noProof/>
          <w:sz w:val="22"/>
          <w:lang w:val="en-US"/>
        </w:rPr>
        <w:t xml:space="preserve">National Academies of Sciences Engineering and Medicine, Division of Behavioral and Social Sciences and Education, Board on Children Youth and Families, &amp; Committee on Fostering Healthy Mental Emotional and Behavioral Development Among Children and Youth. (2019). </w:t>
      </w:r>
      <w:r w:rsidRPr="004A0588">
        <w:rPr>
          <w:rFonts w:eastAsia="Aptos" w:cs="Arial"/>
          <w:i/>
          <w:noProof/>
          <w:sz w:val="22"/>
          <w:lang w:val="en-US"/>
        </w:rPr>
        <w:t>Fostering healthy mental, emotional, and behavioral development in children and youth: A national agenda</w:t>
      </w:r>
      <w:r w:rsidRPr="004A0588">
        <w:rPr>
          <w:rFonts w:eastAsia="Aptos" w:cs="Arial"/>
          <w:noProof/>
          <w:sz w:val="22"/>
          <w:lang w:val="en-US"/>
        </w:rPr>
        <w:t xml:space="preserve">. Washington, DC: The National Academies Press. </w:t>
      </w:r>
      <w:hyperlink r:id="rId468" w:history="1">
        <w:r w:rsidR="00090188" w:rsidRPr="004A0588">
          <w:rPr>
            <w:rStyle w:val="Hyperlink"/>
            <w:rFonts w:eastAsia="Aptos" w:cs="Arial"/>
            <w:noProof/>
            <w:sz w:val="22"/>
            <w:lang w:val="en-US"/>
          </w:rPr>
          <w:t>https://doi.org/10.17226/25201</w:t>
        </w:r>
      </w:hyperlink>
      <w:r w:rsidR="00090188">
        <w:rPr>
          <w:rFonts w:eastAsia="Aptos" w:cs="Arial"/>
          <w:noProof/>
          <w:sz w:val="22"/>
          <w:lang w:val="en-US"/>
        </w:rPr>
        <w:t xml:space="preserve"> </w:t>
      </w:r>
      <w:r w:rsidRPr="004A0588">
        <w:rPr>
          <w:rFonts w:eastAsia="Aptos" w:cs="Arial"/>
          <w:noProof/>
          <w:sz w:val="22"/>
          <w:lang w:val="en-US"/>
        </w:rPr>
        <w:t xml:space="preserve"> </w:t>
      </w:r>
    </w:p>
    <w:p w14:paraId="1F986A95" w14:textId="77777777" w:rsidR="004A0588" w:rsidRPr="004A0588" w:rsidRDefault="004A0588" w:rsidP="004A0588">
      <w:pPr>
        <w:spacing w:before="0" w:after="0"/>
        <w:ind w:left="720" w:hanging="720"/>
        <w:rPr>
          <w:rFonts w:eastAsia="Aptos" w:cs="Arial"/>
          <w:noProof/>
          <w:sz w:val="22"/>
          <w:lang w:val="en-US"/>
        </w:rPr>
      </w:pPr>
      <w:r w:rsidRPr="004A0588">
        <w:rPr>
          <w:rFonts w:eastAsia="Aptos" w:cs="Arial"/>
          <w:noProof/>
          <w:sz w:val="22"/>
          <w:lang w:val="en-US"/>
        </w:rPr>
        <w:tab/>
      </w:r>
    </w:p>
    <w:p w14:paraId="353D8C01" w14:textId="4EF329D0" w:rsidR="004A0588" w:rsidRDefault="004A0588" w:rsidP="004A0588">
      <w:pPr>
        <w:spacing w:before="0" w:after="160"/>
        <w:ind w:left="720" w:hanging="720"/>
        <w:rPr>
          <w:rFonts w:eastAsia="Aptos" w:cs="Arial"/>
          <w:noProof/>
          <w:sz w:val="22"/>
          <w:lang w:val="en-US"/>
        </w:rPr>
      </w:pPr>
      <w:r w:rsidRPr="004A0588">
        <w:rPr>
          <w:rFonts w:eastAsia="Aptos" w:cs="Arial"/>
          <w:noProof/>
          <w:sz w:val="22"/>
          <w:lang w:val="en-US"/>
        </w:rPr>
        <w:t xml:space="preserve">National Academies of Sciences Engineering and Medicine, Health and Medicine Division, Board on Population Health and Public Health Practice, &amp; Committee on Applying Neurobiological and Socio-Behavioral Sciences from Prenatal Through Early Childhood Development. (2019). </w:t>
      </w:r>
      <w:r w:rsidRPr="004A0588">
        <w:rPr>
          <w:rFonts w:eastAsia="Aptos" w:cs="Arial"/>
          <w:i/>
          <w:noProof/>
          <w:sz w:val="22"/>
          <w:lang w:val="en-US"/>
        </w:rPr>
        <w:t>Vibrant and healthy kids: Aligning science, practice, and policy to advance health equity</w:t>
      </w:r>
      <w:r w:rsidRPr="004A0588">
        <w:rPr>
          <w:rFonts w:eastAsia="Aptos" w:cs="Arial"/>
          <w:noProof/>
          <w:sz w:val="22"/>
          <w:lang w:val="en-US"/>
        </w:rPr>
        <w:t xml:space="preserve">. Washington, DC: The National Academies Press. </w:t>
      </w:r>
      <w:hyperlink r:id="rId469" w:history="1">
        <w:r w:rsidR="00367828" w:rsidRPr="00326476">
          <w:rPr>
            <w:rStyle w:val="Hyperlink"/>
            <w:rFonts w:eastAsia="Aptos" w:cs="Arial"/>
            <w:noProof/>
            <w:sz w:val="22"/>
            <w:lang w:val="en-US"/>
          </w:rPr>
          <w:t>https://doi.org/10.17226/25466</w:t>
        </w:r>
      </w:hyperlink>
      <w:r w:rsidRPr="004A0588">
        <w:rPr>
          <w:rFonts w:eastAsia="Aptos" w:cs="Arial"/>
          <w:noProof/>
          <w:sz w:val="22"/>
          <w:lang w:val="en-US"/>
        </w:rPr>
        <w:t xml:space="preserve"> </w:t>
      </w:r>
    </w:p>
    <w:p w14:paraId="4B38E8F3" w14:textId="77777777" w:rsidR="00367828" w:rsidRPr="004A0588" w:rsidRDefault="00367828" w:rsidP="004A0588">
      <w:pPr>
        <w:spacing w:before="0" w:after="160"/>
        <w:ind w:left="720" w:hanging="720"/>
        <w:rPr>
          <w:rFonts w:eastAsia="Aptos" w:cs="Arial"/>
          <w:noProof/>
          <w:sz w:val="22"/>
          <w:lang w:val="en-US"/>
        </w:rPr>
      </w:pPr>
    </w:p>
    <w:p w14:paraId="677B5ECA" w14:textId="64D3D735" w:rsidR="005F7F52" w:rsidRPr="005F7F52" w:rsidRDefault="005F7F52" w:rsidP="005F7F52">
      <w:pPr>
        <w:spacing w:before="0" w:after="160"/>
        <w:ind w:left="720" w:hanging="720"/>
        <w:rPr>
          <w:rFonts w:eastAsia="Aptos" w:cs="Arial"/>
          <w:noProof/>
          <w:sz w:val="22"/>
          <w:lang w:val="en-US"/>
        </w:rPr>
      </w:pPr>
      <w:r w:rsidRPr="005F7F52">
        <w:rPr>
          <w:rFonts w:eastAsia="Aptos" w:cs="Arial"/>
          <w:noProof/>
          <w:sz w:val="22"/>
          <w:lang w:val="en-US"/>
        </w:rPr>
        <w:t xml:space="preserve">National Indigenous Australians Agency, &amp; SNAICC. (2021). </w:t>
      </w:r>
      <w:r w:rsidRPr="005F7F52">
        <w:rPr>
          <w:rFonts w:eastAsia="Aptos" w:cs="Arial"/>
          <w:i/>
          <w:noProof/>
          <w:sz w:val="22"/>
          <w:lang w:val="en-US"/>
        </w:rPr>
        <w:t>National Aboriginal and Torres Strait early childhood strategy</w:t>
      </w:r>
      <w:r w:rsidRPr="005F7F52">
        <w:rPr>
          <w:rFonts w:eastAsia="Aptos" w:cs="Arial"/>
          <w:noProof/>
          <w:sz w:val="22"/>
          <w:lang w:val="en-US"/>
        </w:rPr>
        <w:t xml:space="preserve">. Australia: National Indigenous Australians Agency. </w:t>
      </w:r>
      <w:hyperlink r:id="rId470" w:history="1">
        <w:r w:rsidR="00090188" w:rsidRPr="005F7F52">
          <w:rPr>
            <w:rStyle w:val="Hyperlink"/>
            <w:rFonts w:eastAsia="Aptos" w:cs="Arial"/>
            <w:noProof/>
            <w:sz w:val="22"/>
            <w:lang w:val="en-US"/>
          </w:rPr>
          <w:t>https://www.niaa.gov.au/resource-centre/national-aboriginal-and-torres-strait-islander-early-childhood-strategy</w:t>
        </w:r>
      </w:hyperlink>
      <w:r w:rsidR="00090188">
        <w:rPr>
          <w:rFonts w:eastAsia="Aptos" w:cs="Arial"/>
          <w:noProof/>
          <w:sz w:val="22"/>
          <w:lang w:val="en-US"/>
        </w:rPr>
        <w:t xml:space="preserve"> </w:t>
      </w:r>
    </w:p>
    <w:p w14:paraId="02F0600D" w14:textId="77777777" w:rsidR="005F7F52" w:rsidRPr="005F7F52" w:rsidRDefault="005F7F52" w:rsidP="005F7F52">
      <w:pPr>
        <w:spacing w:before="0" w:after="0"/>
        <w:ind w:left="720" w:hanging="720"/>
        <w:rPr>
          <w:rFonts w:eastAsia="Aptos" w:cs="Arial"/>
          <w:noProof/>
          <w:sz w:val="22"/>
          <w:lang w:val="en-US"/>
        </w:rPr>
      </w:pPr>
      <w:r w:rsidRPr="005F7F52">
        <w:rPr>
          <w:rFonts w:eastAsia="Aptos" w:cs="Arial"/>
          <w:noProof/>
          <w:sz w:val="22"/>
          <w:lang w:val="en-US"/>
        </w:rPr>
        <w:tab/>
      </w:r>
    </w:p>
    <w:p w14:paraId="5AA17F14" w14:textId="0770C22A" w:rsidR="005F7F52" w:rsidRPr="005F7F52" w:rsidRDefault="005F7F52" w:rsidP="005F7F52">
      <w:pPr>
        <w:spacing w:before="0" w:after="160"/>
        <w:ind w:left="720" w:hanging="720"/>
        <w:rPr>
          <w:rFonts w:eastAsia="Aptos" w:cs="Arial"/>
          <w:noProof/>
          <w:sz w:val="22"/>
          <w:lang w:val="en-US"/>
        </w:rPr>
      </w:pPr>
      <w:r w:rsidRPr="005F7F52">
        <w:rPr>
          <w:rFonts w:eastAsia="Aptos" w:cs="Arial"/>
          <w:noProof/>
          <w:sz w:val="22"/>
          <w:lang w:val="en-US"/>
        </w:rPr>
        <w:t xml:space="preserve">National Scientific Council on the Developing Child. (2020). </w:t>
      </w:r>
      <w:r w:rsidRPr="005F7F52">
        <w:rPr>
          <w:rFonts w:eastAsia="Aptos" w:cs="Arial"/>
          <w:i/>
          <w:noProof/>
          <w:sz w:val="22"/>
          <w:lang w:val="en-US"/>
        </w:rPr>
        <w:t>Connecting the brain to the rest of the body: Early childhood development and lifelong health are deeply intertwined</w:t>
      </w:r>
      <w:r w:rsidRPr="005F7F52">
        <w:rPr>
          <w:rFonts w:eastAsia="Aptos" w:cs="Arial"/>
          <w:noProof/>
          <w:sz w:val="22"/>
          <w:lang w:val="en-US"/>
        </w:rPr>
        <w:t xml:space="preserve">. Cambridge, MA: Centre on the Developing Child, Harvard University. Retrieved 6 September, 2024 from </w:t>
      </w:r>
      <w:hyperlink r:id="rId471" w:history="1">
        <w:r w:rsidR="00090188" w:rsidRPr="005F7F52">
          <w:rPr>
            <w:rStyle w:val="Hyperlink"/>
            <w:rFonts w:eastAsia="Aptos" w:cs="Arial"/>
            <w:noProof/>
            <w:sz w:val="22"/>
            <w:lang w:val="en-US"/>
          </w:rPr>
          <w:t>https://developingchild.harvard.edu/resources/connecting-the-brain-to-the-rest-of-the-body-early-childhood-development-and-lifelong-health-are-deeply-intertwined/</w:t>
        </w:r>
      </w:hyperlink>
      <w:r w:rsidR="00090188">
        <w:rPr>
          <w:rFonts w:eastAsia="Aptos" w:cs="Arial"/>
          <w:noProof/>
          <w:sz w:val="22"/>
          <w:lang w:val="en-US"/>
        </w:rPr>
        <w:t xml:space="preserve"> </w:t>
      </w:r>
    </w:p>
    <w:p w14:paraId="0095107E" w14:textId="77777777" w:rsidR="005F7F52" w:rsidRPr="005F7F52" w:rsidRDefault="005F7F52" w:rsidP="005F7F52">
      <w:pPr>
        <w:spacing w:before="0" w:after="0"/>
        <w:ind w:left="720" w:hanging="720"/>
        <w:rPr>
          <w:rFonts w:eastAsia="Aptos" w:cs="Arial"/>
          <w:noProof/>
          <w:sz w:val="22"/>
          <w:lang w:val="en-US"/>
        </w:rPr>
      </w:pPr>
      <w:r w:rsidRPr="005F7F52">
        <w:rPr>
          <w:rFonts w:eastAsia="Aptos" w:cs="Arial"/>
          <w:noProof/>
          <w:sz w:val="22"/>
          <w:lang w:val="en-US"/>
        </w:rPr>
        <w:tab/>
      </w:r>
    </w:p>
    <w:p w14:paraId="71A65D4E" w14:textId="016ED00E" w:rsidR="005F7F52" w:rsidRPr="005F7F52" w:rsidRDefault="005F7F52" w:rsidP="005F7F52">
      <w:pPr>
        <w:spacing w:before="0" w:after="160"/>
        <w:ind w:left="720" w:hanging="720"/>
        <w:rPr>
          <w:rFonts w:eastAsia="Aptos" w:cs="Arial"/>
          <w:noProof/>
          <w:sz w:val="22"/>
          <w:lang w:val="en-US"/>
        </w:rPr>
      </w:pPr>
      <w:r w:rsidRPr="005F7F52">
        <w:rPr>
          <w:rFonts w:eastAsia="Aptos" w:cs="Arial"/>
          <w:noProof/>
          <w:sz w:val="22"/>
          <w:lang w:val="en-US"/>
        </w:rPr>
        <w:t xml:space="preserve">National Scientific Council on the Developing Child. (2023). </w:t>
      </w:r>
      <w:r w:rsidRPr="005F7F52">
        <w:rPr>
          <w:rFonts w:eastAsia="Aptos" w:cs="Arial"/>
          <w:i/>
          <w:noProof/>
          <w:sz w:val="22"/>
          <w:lang w:val="en-US"/>
        </w:rPr>
        <w:t>Place Matters: The Environment We Create Shapes the Foundations of Healthy Development</w:t>
      </w:r>
      <w:r w:rsidRPr="005F7F52">
        <w:rPr>
          <w:rFonts w:eastAsia="Aptos" w:cs="Arial"/>
          <w:noProof/>
          <w:sz w:val="22"/>
          <w:lang w:val="en-US"/>
        </w:rPr>
        <w:t xml:space="preserve">. Cambridge, MA: Centre on the Developing Child, Harvard University. Retrieved 6 September, 2024 from </w:t>
      </w:r>
      <w:hyperlink r:id="rId472" w:history="1">
        <w:r w:rsidR="00090188" w:rsidRPr="005F7F52">
          <w:rPr>
            <w:rStyle w:val="Hyperlink"/>
            <w:rFonts w:eastAsia="Aptos" w:cs="Arial"/>
            <w:noProof/>
            <w:sz w:val="22"/>
            <w:lang w:val="en-US"/>
          </w:rPr>
          <w:t>https://harvardcenter.wpenginepowered.com/wp-content/uploads/2023/03/HCDC_WP16_R2A.pdf</w:t>
        </w:r>
      </w:hyperlink>
      <w:r w:rsidR="00090188">
        <w:rPr>
          <w:rFonts w:eastAsia="Aptos" w:cs="Arial"/>
          <w:noProof/>
          <w:sz w:val="22"/>
          <w:lang w:val="en-US"/>
        </w:rPr>
        <w:t xml:space="preserve"> </w:t>
      </w:r>
    </w:p>
    <w:p w14:paraId="4A802EDF" w14:textId="7813932E" w:rsidR="00843F6C" w:rsidRPr="00075790" w:rsidRDefault="00843F6C" w:rsidP="0030178D">
      <w:pPr>
        <w:pStyle w:val="EndNoteBibliography"/>
        <w:spacing w:after="0"/>
        <w:ind w:left="720" w:hanging="720"/>
      </w:pPr>
    </w:p>
    <w:p w14:paraId="15A3C4C6" w14:textId="707C56BA" w:rsidR="00843F6C" w:rsidRPr="00843F6C" w:rsidRDefault="00843F6C" w:rsidP="00843F6C">
      <w:pPr>
        <w:spacing w:before="0" w:after="160"/>
        <w:ind w:left="720" w:hanging="720"/>
        <w:rPr>
          <w:rFonts w:eastAsia="Aptos" w:cs="Arial"/>
          <w:noProof/>
          <w:sz w:val="22"/>
          <w:lang w:val="en-US"/>
        </w:rPr>
      </w:pPr>
      <w:r w:rsidRPr="00843F6C">
        <w:rPr>
          <w:rFonts w:eastAsia="Aptos" w:cs="Arial"/>
          <w:noProof/>
          <w:sz w:val="22"/>
          <w:lang w:val="en-US"/>
        </w:rPr>
        <w:t xml:space="preserve">Ncube, B., Perry, A., &amp; Weiss, J. (2018). The quality of life of children with severe developmental disabilities. </w:t>
      </w:r>
      <w:r w:rsidRPr="00843F6C">
        <w:rPr>
          <w:rFonts w:eastAsia="Aptos" w:cs="Arial"/>
          <w:i/>
          <w:noProof/>
          <w:sz w:val="22"/>
          <w:lang w:val="en-US"/>
        </w:rPr>
        <w:t>Journal of Intellectual Disability Research</w:t>
      </w:r>
      <w:r w:rsidRPr="00843F6C">
        <w:rPr>
          <w:rFonts w:eastAsia="Aptos" w:cs="Arial"/>
          <w:noProof/>
          <w:sz w:val="22"/>
          <w:lang w:val="en-US"/>
        </w:rPr>
        <w:t>,</w:t>
      </w:r>
      <w:r w:rsidRPr="00843F6C">
        <w:rPr>
          <w:rFonts w:eastAsia="Aptos" w:cs="Arial"/>
          <w:i/>
          <w:noProof/>
          <w:sz w:val="22"/>
          <w:lang w:val="en-US"/>
        </w:rPr>
        <w:t xml:space="preserve"> 62</w:t>
      </w:r>
      <w:r w:rsidRPr="00843F6C">
        <w:rPr>
          <w:rFonts w:eastAsia="Aptos" w:cs="Arial"/>
          <w:noProof/>
          <w:sz w:val="22"/>
          <w:lang w:val="en-US"/>
        </w:rPr>
        <w:t xml:space="preserve">(3), 237-244. </w:t>
      </w:r>
      <w:hyperlink r:id="rId473" w:history="1">
        <w:r w:rsidR="00090188" w:rsidRPr="00843F6C">
          <w:rPr>
            <w:rStyle w:val="Hyperlink"/>
            <w:rFonts w:eastAsia="Aptos" w:cs="Arial"/>
            <w:noProof/>
            <w:sz w:val="22"/>
            <w:lang w:val="en-US"/>
          </w:rPr>
          <w:t>https://doi.org/10.1111/jir.12460</w:t>
        </w:r>
      </w:hyperlink>
      <w:r w:rsidR="00090188">
        <w:rPr>
          <w:rFonts w:eastAsia="Aptos" w:cs="Arial"/>
          <w:noProof/>
          <w:sz w:val="22"/>
          <w:lang w:val="en-US"/>
        </w:rPr>
        <w:t xml:space="preserve"> </w:t>
      </w:r>
      <w:r w:rsidRPr="00843F6C">
        <w:rPr>
          <w:rFonts w:eastAsia="Aptos" w:cs="Arial"/>
          <w:noProof/>
          <w:sz w:val="22"/>
          <w:lang w:val="en-US"/>
        </w:rPr>
        <w:t xml:space="preserve"> </w:t>
      </w:r>
    </w:p>
    <w:p w14:paraId="46C0A6BD" w14:textId="77777777" w:rsidR="00843F6C" w:rsidRPr="00843F6C" w:rsidRDefault="00843F6C" w:rsidP="00843F6C">
      <w:pPr>
        <w:spacing w:before="0" w:after="0"/>
        <w:ind w:left="720" w:hanging="720"/>
        <w:rPr>
          <w:rFonts w:eastAsia="Aptos" w:cs="Arial"/>
          <w:noProof/>
          <w:sz w:val="22"/>
          <w:lang w:val="en-US"/>
        </w:rPr>
      </w:pPr>
      <w:r w:rsidRPr="00843F6C">
        <w:rPr>
          <w:rFonts w:eastAsia="Aptos" w:cs="Arial"/>
          <w:noProof/>
          <w:sz w:val="22"/>
          <w:lang w:val="en-US"/>
        </w:rPr>
        <w:tab/>
      </w:r>
    </w:p>
    <w:p w14:paraId="67C96D16" w14:textId="0748FB38" w:rsidR="00843F6C" w:rsidRPr="00843F6C" w:rsidRDefault="00843F6C" w:rsidP="00843F6C">
      <w:pPr>
        <w:spacing w:before="0" w:after="160"/>
        <w:ind w:left="720" w:hanging="720"/>
        <w:rPr>
          <w:rFonts w:eastAsia="Aptos" w:cs="Arial"/>
          <w:noProof/>
          <w:sz w:val="22"/>
          <w:lang w:val="en-US"/>
        </w:rPr>
      </w:pPr>
      <w:r w:rsidRPr="00843F6C">
        <w:rPr>
          <w:rFonts w:eastAsia="Aptos" w:cs="Arial"/>
          <w:noProof/>
          <w:sz w:val="22"/>
          <w:lang w:val="en-US"/>
        </w:rPr>
        <w:t xml:space="preserve">Needham, C. (2010). Debate: personalized public services—a new state/citizen contract? </w:t>
      </w:r>
      <w:r w:rsidRPr="00843F6C">
        <w:rPr>
          <w:rFonts w:eastAsia="Aptos" w:cs="Arial"/>
          <w:i/>
          <w:noProof/>
          <w:sz w:val="22"/>
          <w:lang w:val="en-US"/>
        </w:rPr>
        <w:t>Public Money &amp; Management</w:t>
      </w:r>
      <w:r w:rsidRPr="00843F6C">
        <w:rPr>
          <w:rFonts w:eastAsia="Aptos" w:cs="Arial"/>
          <w:noProof/>
          <w:sz w:val="22"/>
          <w:lang w:val="en-US"/>
        </w:rPr>
        <w:t>,</w:t>
      </w:r>
      <w:r w:rsidRPr="00843F6C">
        <w:rPr>
          <w:rFonts w:eastAsia="Aptos" w:cs="Arial"/>
          <w:i/>
          <w:noProof/>
          <w:sz w:val="22"/>
          <w:lang w:val="en-US"/>
        </w:rPr>
        <w:t xml:space="preserve"> 30</w:t>
      </w:r>
      <w:r w:rsidRPr="00843F6C">
        <w:rPr>
          <w:rFonts w:eastAsia="Aptos" w:cs="Arial"/>
          <w:noProof/>
          <w:sz w:val="22"/>
          <w:lang w:val="en-US"/>
        </w:rPr>
        <w:t xml:space="preserve">(3), 136-138. </w:t>
      </w:r>
      <w:hyperlink r:id="rId474" w:history="1">
        <w:r w:rsidR="00090188" w:rsidRPr="00843F6C">
          <w:rPr>
            <w:rStyle w:val="Hyperlink"/>
            <w:rFonts w:eastAsia="Aptos" w:cs="Arial"/>
            <w:noProof/>
            <w:sz w:val="22"/>
            <w:lang w:val="en-US"/>
          </w:rPr>
          <w:t>https://doi.org/10.1080/09540961003794246</w:t>
        </w:r>
      </w:hyperlink>
      <w:r w:rsidR="00090188">
        <w:rPr>
          <w:rFonts w:eastAsia="Aptos" w:cs="Arial"/>
          <w:noProof/>
          <w:sz w:val="22"/>
          <w:lang w:val="en-US"/>
        </w:rPr>
        <w:t xml:space="preserve"> </w:t>
      </w:r>
      <w:r w:rsidRPr="00843F6C">
        <w:rPr>
          <w:rFonts w:eastAsia="Aptos" w:cs="Arial"/>
          <w:noProof/>
          <w:sz w:val="22"/>
          <w:lang w:val="en-US"/>
        </w:rPr>
        <w:t xml:space="preserve"> </w:t>
      </w:r>
    </w:p>
    <w:p w14:paraId="356AC952" w14:textId="77777777" w:rsidR="00843F6C" w:rsidRPr="00843F6C" w:rsidRDefault="00843F6C" w:rsidP="00843F6C">
      <w:pPr>
        <w:spacing w:before="0" w:after="0"/>
        <w:ind w:left="720" w:hanging="720"/>
        <w:rPr>
          <w:rFonts w:eastAsia="Aptos" w:cs="Arial"/>
          <w:noProof/>
          <w:sz w:val="22"/>
          <w:lang w:val="en-US"/>
        </w:rPr>
      </w:pPr>
      <w:r w:rsidRPr="00843F6C">
        <w:rPr>
          <w:rFonts w:eastAsia="Aptos" w:cs="Arial"/>
          <w:noProof/>
          <w:sz w:val="22"/>
          <w:lang w:val="en-US"/>
        </w:rPr>
        <w:tab/>
      </w:r>
    </w:p>
    <w:p w14:paraId="5CBA30F2" w14:textId="0DBBEE70" w:rsidR="00843F6C" w:rsidRPr="00843F6C" w:rsidRDefault="00843F6C" w:rsidP="00843F6C">
      <w:pPr>
        <w:spacing w:before="0" w:after="160"/>
        <w:ind w:left="720" w:hanging="720"/>
        <w:rPr>
          <w:rFonts w:eastAsia="Aptos" w:cs="Arial"/>
          <w:noProof/>
          <w:sz w:val="22"/>
          <w:lang w:val="en-US"/>
        </w:rPr>
      </w:pPr>
      <w:r w:rsidRPr="00843F6C">
        <w:rPr>
          <w:rFonts w:eastAsia="Aptos" w:cs="Arial"/>
          <w:noProof/>
          <w:sz w:val="22"/>
          <w:lang w:val="en-US"/>
        </w:rPr>
        <w:t xml:space="preserve">Needham, C., &amp; Carr, S. (2009). </w:t>
      </w:r>
      <w:r w:rsidRPr="00843F6C">
        <w:rPr>
          <w:rFonts w:eastAsia="Aptos" w:cs="Arial"/>
          <w:i/>
          <w:noProof/>
          <w:sz w:val="22"/>
          <w:lang w:val="en-US"/>
        </w:rPr>
        <w:t>Co-production: an emerging evidence base for adult social care transformation</w:t>
      </w:r>
      <w:r w:rsidRPr="00843F6C">
        <w:rPr>
          <w:rFonts w:eastAsia="Aptos" w:cs="Arial"/>
          <w:noProof/>
          <w:sz w:val="22"/>
          <w:lang w:val="en-US"/>
        </w:rPr>
        <w:t xml:space="preserve">. London, UK: Social Care Institute for Excellence. Retrieved 6 September, 2024 from </w:t>
      </w:r>
      <w:hyperlink r:id="rId475" w:history="1">
        <w:r w:rsidR="00090188" w:rsidRPr="00843F6C">
          <w:rPr>
            <w:rStyle w:val="Hyperlink"/>
            <w:rFonts w:eastAsia="Aptos" w:cs="Arial"/>
            <w:noProof/>
            <w:sz w:val="22"/>
            <w:lang w:val="en-US"/>
          </w:rPr>
          <w:t>https://www.researchgate.net/publication/237126419_Co_production_An_Emerging_Evidence_Base_for_Adult_Social_Care_Transformation</w:t>
        </w:r>
      </w:hyperlink>
      <w:r w:rsidR="00090188">
        <w:rPr>
          <w:rFonts w:eastAsia="Aptos" w:cs="Arial"/>
          <w:noProof/>
          <w:sz w:val="22"/>
          <w:lang w:val="en-US"/>
        </w:rPr>
        <w:t xml:space="preserve"> </w:t>
      </w:r>
    </w:p>
    <w:p w14:paraId="6DF48BCD" w14:textId="77777777" w:rsidR="00843F6C" w:rsidRPr="00843F6C" w:rsidRDefault="00843F6C" w:rsidP="00843F6C">
      <w:pPr>
        <w:spacing w:before="0" w:after="0"/>
        <w:ind w:left="720" w:hanging="720"/>
        <w:rPr>
          <w:rFonts w:eastAsia="Aptos" w:cs="Arial"/>
          <w:noProof/>
          <w:sz w:val="22"/>
          <w:lang w:val="en-US"/>
        </w:rPr>
      </w:pPr>
      <w:r w:rsidRPr="00843F6C">
        <w:rPr>
          <w:rFonts w:eastAsia="Aptos" w:cs="Arial"/>
          <w:noProof/>
          <w:sz w:val="22"/>
          <w:lang w:val="en-US"/>
        </w:rPr>
        <w:tab/>
      </w:r>
    </w:p>
    <w:p w14:paraId="59A43A25" w14:textId="7211263B" w:rsidR="00843F6C" w:rsidRDefault="00843F6C" w:rsidP="00843F6C">
      <w:pPr>
        <w:spacing w:before="0" w:after="160"/>
        <w:ind w:left="720" w:hanging="720"/>
        <w:rPr>
          <w:rFonts w:eastAsia="Aptos" w:cs="Arial"/>
          <w:noProof/>
          <w:sz w:val="22"/>
          <w:lang w:val="en-US"/>
        </w:rPr>
      </w:pPr>
      <w:r w:rsidRPr="00843F6C">
        <w:rPr>
          <w:rFonts w:eastAsia="Aptos" w:cs="Arial"/>
          <w:noProof/>
          <w:sz w:val="22"/>
          <w:lang w:val="en-US"/>
        </w:rPr>
        <w:t xml:space="preserve">Needham, C., &amp; Dickinson, H. (2018). ‘Any one of us could be among that number’: Comparing the policy narratives for individualized disability funding in Australia and England. </w:t>
      </w:r>
      <w:r w:rsidRPr="00843F6C">
        <w:rPr>
          <w:rFonts w:eastAsia="Aptos" w:cs="Arial"/>
          <w:i/>
          <w:noProof/>
          <w:sz w:val="22"/>
          <w:lang w:val="en-US"/>
        </w:rPr>
        <w:t>Social Policy &amp; Administration</w:t>
      </w:r>
      <w:r w:rsidRPr="00843F6C">
        <w:rPr>
          <w:rFonts w:eastAsia="Aptos" w:cs="Arial"/>
          <w:noProof/>
          <w:sz w:val="22"/>
          <w:lang w:val="en-US"/>
        </w:rPr>
        <w:t>,</w:t>
      </w:r>
      <w:r w:rsidRPr="00843F6C">
        <w:rPr>
          <w:rFonts w:eastAsia="Aptos" w:cs="Arial"/>
          <w:i/>
          <w:noProof/>
          <w:sz w:val="22"/>
          <w:lang w:val="en-US"/>
        </w:rPr>
        <w:t xml:space="preserve"> 52</w:t>
      </w:r>
      <w:r w:rsidRPr="00843F6C">
        <w:rPr>
          <w:rFonts w:eastAsia="Aptos" w:cs="Arial"/>
          <w:noProof/>
          <w:sz w:val="22"/>
          <w:lang w:val="en-US"/>
        </w:rPr>
        <w:t xml:space="preserve">(3), 731-749. </w:t>
      </w:r>
      <w:hyperlink r:id="rId476" w:history="1">
        <w:r w:rsidR="002367D0" w:rsidRPr="00843F6C">
          <w:rPr>
            <w:rStyle w:val="Hyperlink"/>
            <w:rFonts w:eastAsia="Aptos" w:cs="Arial"/>
            <w:noProof/>
            <w:sz w:val="22"/>
            <w:lang w:val="en-US"/>
          </w:rPr>
          <w:t>https://doi.org/10.1111/spol.12320</w:t>
        </w:r>
      </w:hyperlink>
      <w:r w:rsidRPr="00843F6C">
        <w:rPr>
          <w:rFonts w:eastAsia="Aptos" w:cs="Arial"/>
          <w:noProof/>
          <w:sz w:val="22"/>
          <w:lang w:val="en-US"/>
        </w:rPr>
        <w:t xml:space="preserve"> </w:t>
      </w:r>
    </w:p>
    <w:p w14:paraId="29BE6B75" w14:textId="77777777" w:rsidR="002367D0" w:rsidRPr="00843F6C" w:rsidRDefault="002367D0" w:rsidP="00843F6C">
      <w:pPr>
        <w:spacing w:before="0" w:after="160"/>
        <w:ind w:left="720" w:hanging="720"/>
        <w:rPr>
          <w:rFonts w:eastAsia="Aptos" w:cs="Arial"/>
          <w:noProof/>
          <w:sz w:val="22"/>
          <w:lang w:val="en-US"/>
        </w:rPr>
      </w:pPr>
    </w:p>
    <w:p w14:paraId="72DBF908" w14:textId="5DCA204D" w:rsidR="003E0A0E" w:rsidRPr="003E0A0E" w:rsidRDefault="003E0A0E" w:rsidP="003E0A0E">
      <w:pPr>
        <w:spacing w:before="0" w:after="160"/>
        <w:ind w:left="720" w:hanging="720"/>
        <w:rPr>
          <w:rFonts w:eastAsia="Aptos" w:cs="Arial"/>
          <w:noProof/>
          <w:sz w:val="22"/>
          <w:lang w:val="en-US"/>
        </w:rPr>
      </w:pPr>
      <w:r w:rsidRPr="003E0A0E">
        <w:rPr>
          <w:rFonts w:eastAsia="Aptos" w:cs="Arial"/>
          <w:noProof/>
          <w:sz w:val="22"/>
          <w:lang w:val="en-US"/>
        </w:rPr>
        <w:t xml:space="preserve">Nelson, C. A. (2013). Biological embedding of early life adversity. </w:t>
      </w:r>
      <w:r w:rsidRPr="003E0A0E">
        <w:rPr>
          <w:rFonts w:eastAsia="Aptos" w:cs="Arial"/>
          <w:i/>
          <w:noProof/>
          <w:sz w:val="22"/>
          <w:lang w:val="en-US"/>
        </w:rPr>
        <w:t>JAMA pediatrics</w:t>
      </w:r>
      <w:r w:rsidRPr="003E0A0E">
        <w:rPr>
          <w:rFonts w:eastAsia="Aptos" w:cs="Arial"/>
          <w:noProof/>
          <w:sz w:val="22"/>
          <w:lang w:val="en-US"/>
        </w:rPr>
        <w:t>,</w:t>
      </w:r>
      <w:r w:rsidRPr="003E0A0E">
        <w:rPr>
          <w:rFonts w:eastAsia="Aptos" w:cs="Arial"/>
          <w:i/>
          <w:noProof/>
          <w:sz w:val="22"/>
          <w:lang w:val="en-US"/>
        </w:rPr>
        <w:t xml:space="preserve"> 167</w:t>
      </w:r>
      <w:r w:rsidRPr="003E0A0E">
        <w:rPr>
          <w:rFonts w:eastAsia="Aptos" w:cs="Arial"/>
          <w:noProof/>
          <w:sz w:val="22"/>
          <w:lang w:val="en-US"/>
        </w:rPr>
        <w:t xml:space="preserve">(12), 1098-1100. </w:t>
      </w:r>
      <w:hyperlink r:id="rId477" w:history="1">
        <w:r w:rsidR="00090188" w:rsidRPr="003E0A0E">
          <w:rPr>
            <w:rStyle w:val="Hyperlink"/>
            <w:rFonts w:eastAsia="Aptos" w:cs="Arial"/>
            <w:noProof/>
            <w:sz w:val="22"/>
            <w:lang w:val="en-US"/>
          </w:rPr>
          <w:t>https://doi.org/10.1001/jamapediatrics.2013.3768</w:t>
        </w:r>
      </w:hyperlink>
      <w:r w:rsidR="00090188">
        <w:rPr>
          <w:rFonts w:eastAsia="Aptos" w:cs="Arial"/>
          <w:noProof/>
          <w:sz w:val="22"/>
          <w:lang w:val="en-US"/>
        </w:rPr>
        <w:t xml:space="preserve"> </w:t>
      </w:r>
      <w:r w:rsidRPr="003E0A0E">
        <w:rPr>
          <w:rFonts w:eastAsia="Aptos" w:cs="Arial"/>
          <w:noProof/>
          <w:sz w:val="22"/>
          <w:lang w:val="en-US"/>
        </w:rPr>
        <w:t xml:space="preserve"> </w:t>
      </w:r>
    </w:p>
    <w:p w14:paraId="7BEDA4BC" w14:textId="77777777" w:rsidR="003E0A0E" w:rsidRPr="003E0A0E" w:rsidRDefault="003E0A0E" w:rsidP="003E0A0E">
      <w:pPr>
        <w:spacing w:before="0" w:after="0"/>
        <w:ind w:left="720" w:hanging="720"/>
        <w:rPr>
          <w:rFonts w:eastAsia="Aptos" w:cs="Arial"/>
          <w:noProof/>
          <w:sz w:val="22"/>
          <w:lang w:val="en-US"/>
        </w:rPr>
      </w:pPr>
      <w:r w:rsidRPr="003E0A0E">
        <w:rPr>
          <w:rFonts w:eastAsia="Aptos" w:cs="Arial"/>
          <w:noProof/>
          <w:sz w:val="22"/>
          <w:lang w:val="en-US"/>
        </w:rPr>
        <w:tab/>
      </w:r>
    </w:p>
    <w:p w14:paraId="66D5B1D0" w14:textId="4E7F85C5" w:rsidR="003E0A0E" w:rsidRPr="003E0A0E" w:rsidRDefault="003E0A0E" w:rsidP="003E0A0E">
      <w:pPr>
        <w:spacing w:before="0" w:after="160"/>
        <w:ind w:left="720" w:hanging="720"/>
        <w:rPr>
          <w:rFonts w:eastAsia="Aptos" w:cs="Arial"/>
          <w:noProof/>
          <w:sz w:val="22"/>
          <w:lang w:val="en-US"/>
        </w:rPr>
      </w:pPr>
      <w:r w:rsidRPr="003E0A0E">
        <w:rPr>
          <w:rFonts w:eastAsia="Aptos" w:cs="Arial"/>
          <w:noProof/>
          <w:sz w:val="22"/>
          <w:lang w:val="en-US"/>
        </w:rPr>
        <w:t xml:space="preserve">Nelson, C. A. (2018). The hazards of out-of-home care for children experiencing adverse home environments. </w:t>
      </w:r>
      <w:r w:rsidRPr="003E0A0E">
        <w:rPr>
          <w:rFonts w:eastAsia="Aptos" w:cs="Arial"/>
          <w:i/>
          <w:noProof/>
          <w:sz w:val="22"/>
          <w:lang w:val="en-US"/>
        </w:rPr>
        <w:t>The Lancet: Child &amp; Adolescent Health</w:t>
      </w:r>
      <w:r w:rsidRPr="003E0A0E">
        <w:rPr>
          <w:rFonts w:eastAsia="Aptos" w:cs="Arial"/>
          <w:noProof/>
          <w:sz w:val="22"/>
          <w:lang w:val="en-US"/>
        </w:rPr>
        <w:t>,</w:t>
      </w:r>
      <w:r w:rsidRPr="003E0A0E">
        <w:rPr>
          <w:rFonts w:eastAsia="Aptos" w:cs="Arial"/>
          <w:i/>
          <w:noProof/>
          <w:sz w:val="22"/>
          <w:lang w:val="en-US"/>
        </w:rPr>
        <w:t xml:space="preserve"> 2</w:t>
      </w:r>
      <w:r w:rsidRPr="003E0A0E">
        <w:rPr>
          <w:rFonts w:eastAsia="Aptos" w:cs="Arial"/>
          <w:noProof/>
          <w:sz w:val="22"/>
          <w:lang w:val="en-US"/>
        </w:rPr>
        <w:t xml:space="preserve">(9), 623-624. </w:t>
      </w:r>
      <w:hyperlink r:id="rId478" w:history="1">
        <w:r w:rsidR="00090188" w:rsidRPr="003E0A0E">
          <w:rPr>
            <w:rStyle w:val="Hyperlink"/>
            <w:rFonts w:eastAsia="Aptos" w:cs="Arial"/>
            <w:noProof/>
            <w:sz w:val="22"/>
            <w:lang w:val="en-US"/>
          </w:rPr>
          <w:t>https://doi.org/10.1016/S2352-4642(18)30238-4</w:t>
        </w:r>
      </w:hyperlink>
      <w:r w:rsidR="00090188">
        <w:rPr>
          <w:rFonts w:eastAsia="Aptos" w:cs="Arial"/>
          <w:noProof/>
          <w:sz w:val="22"/>
          <w:lang w:val="en-US"/>
        </w:rPr>
        <w:t xml:space="preserve"> </w:t>
      </w:r>
      <w:r w:rsidRPr="003E0A0E">
        <w:rPr>
          <w:rFonts w:eastAsia="Aptos" w:cs="Arial"/>
          <w:noProof/>
          <w:sz w:val="22"/>
          <w:lang w:val="en-US"/>
        </w:rPr>
        <w:t xml:space="preserve"> </w:t>
      </w:r>
    </w:p>
    <w:p w14:paraId="2F135999" w14:textId="77777777" w:rsidR="003E0A0E" w:rsidRPr="003E0A0E" w:rsidRDefault="003E0A0E" w:rsidP="003E0A0E">
      <w:pPr>
        <w:spacing w:before="0" w:after="0"/>
        <w:ind w:left="720" w:hanging="720"/>
        <w:rPr>
          <w:rFonts w:eastAsia="Aptos" w:cs="Arial"/>
          <w:noProof/>
          <w:sz w:val="22"/>
          <w:lang w:val="en-US"/>
        </w:rPr>
      </w:pPr>
      <w:r w:rsidRPr="003E0A0E">
        <w:rPr>
          <w:rFonts w:eastAsia="Aptos" w:cs="Arial"/>
          <w:noProof/>
          <w:sz w:val="22"/>
          <w:lang w:val="en-US"/>
        </w:rPr>
        <w:tab/>
      </w:r>
    </w:p>
    <w:p w14:paraId="1460FEAD" w14:textId="742DF68A" w:rsidR="003E0A0E" w:rsidRPr="003E0A0E" w:rsidRDefault="003E0A0E" w:rsidP="003E0A0E">
      <w:pPr>
        <w:spacing w:before="0" w:after="160"/>
        <w:ind w:left="720" w:hanging="720"/>
        <w:rPr>
          <w:rFonts w:eastAsia="Aptos" w:cs="Arial"/>
          <w:noProof/>
          <w:sz w:val="22"/>
          <w:lang w:val="en-US"/>
        </w:rPr>
      </w:pPr>
      <w:r w:rsidRPr="003E0A0E">
        <w:rPr>
          <w:rFonts w:eastAsia="Aptos" w:cs="Arial"/>
          <w:noProof/>
          <w:sz w:val="22"/>
          <w:lang w:val="en-US"/>
        </w:rPr>
        <w:t xml:space="preserve">Nelson, C. A., &amp; Gabard-Durnam, L. J. (2020). Early adversity and critical periods: neurodevelopmental consequences of violating the expectable environment. </w:t>
      </w:r>
      <w:r w:rsidRPr="003E0A0E">
        <w:rPr>
          <w:rFonts w:eastAsia="Aptos" w:cs="Arial"/>
          <w:i/>
          <w:noProof/>
          <w:sz w:val="22"/>
          <w:lang w:val="en-US"/>
        </w:rPr>
        <w:t>Trends in neurosciences</w:t>
      </w:r>
      <w:r w:rsidRPr="003E0A0E">
        <w:rPr>
          <w:rFonts w:eastAsia="Aptos" w:cs="Arial"/>
          <w:noProof/>
          <w:sz w:val="22"/>
          <w:lang w:val="en-US"/>
        </w:rPr>
        <w:t>,</w:t>
      </w:r>
      <w:r w:rsidRPr="003E0A0E">
        <w:rPr>
          <w:rFonts w:eastAsia="Aptos" w:cs="Arial"/>
          <w:i/>
          <w:noProof/>
          <w:sz w:val="22"/>
          <w:lang w:val="en-US"/>
        </w:rPr>
        <w:t xml:space="preserve"> 43</w:t>
      </w:r>
      <w:r w:rsidRPr="003E0A0E">
        <w:rPr>
          <w:rFonts w:eastAsia="Aptos" w:cs="Arial"/>
          <w:noProof/>
          <w:sz w:val="22"/>
          <w:lang w:val="en-US"/>
        </w:rPr>
        <w:t xml:space="preserve">(3), 133-143. </w:t>
      </w:r>
      <w:hyperlink r:id="rId479" w:history="1">
        <w:r w:rsidR="00090188" w:rsidRPr="003E0A0E">
          <w:rPr>
            <w:rStyle w:val="Hyperlink"/>
            <w:rFonts w:eastAsia="Aptos" w:cs="Arial"/>
            <w:noProof/>
            <w:sz w:val="22"/>
            <w:lang w:val="en-US"/>
          </w:rPr>
          <w:t>https://doi.org/10.1016/j.tins.2020.01.002</w:t>
        </w:r>
      </w:hyperlink>
      <w:r w:rsidR="00090188">
        <w:rPr>
          <w:rFonts w:eastAsia="Aptos" w:cs="Arial"/>
          <w:noProof/>
          <w:sz w:val="22"/>
          <w:lang w:val="en-US"/>
        </w:rPr>
        <w:t xml:space="preserve"> </w:t>
      </w:r>
      <w:r w:rsidRPr="003E0A0E">
        <w:rPr>
          <w:rFonts w:eastAsia="Aptos" w:cs="Arial"/>
          <w:noProof/>
          <w:sz w:val="22"/>
          <w:lang w:val="en-US"/>
        </w:rPr>
        <w:t xml:space="preserve"> </w:t>
      </w:r>
    </w:p>
    <w:p w14:paraId="6817003F" w14:textId="77777777" w:rsidR="003E0A0E" w:rsidRPr="003E0A0E" w:rsidRDefault="003E0A0E" w:rsidP="003E0A0E">
      <w:pPr>
        <w:spacing w:before="0" w:after="0"/>
        <w:ind w:left="720" w:hanging="720"/>
        <w:rPr>
          <w:rFonts w:eastAsia="Aptos" w:cs="Arial"/>
          <w:noProof/>
          <w:sz w:val="22"/>
          <w:lang w:val="en-US"/>
        </w:rPr>
      </w:pPr>
      <w:r w:rsidRPr="003E0A0E">
        <w:rPr>
          <w:rFonts w:eastAsia="Aptos" w:cs="Arial"/>
          <w:noProof/>
          <w:sz w:val="22"/>
          <w:lang w:val="en-US"/>
        </w:rPr>
        <w:tab/>
      </w:r>
    </w:p>
    <w:p w14:paraId="55716314" w14:textId="54784820" w:rsidR="003E0A0E" w:rsidRPr="003E0A0E" w:rsidRDefault="003E0A0E" w:rsidP="003E0A0E">
      <w:pPr>
        <w:spacing w:before="0" w:after="160"/>
        <w:ind w:left="720" w:hanging="720"/>
        <w:rPr>
          <w:rFonts w:eastAsia="Aptos" w:cs="Arial"/>
          <w:noProof/>
          <w:sz w:val="22"/>
          <w:lang w:val="en-US"/>
        </w:rPr>
      </w:pPr>
      <w:r w:rsidRPr="003E0A0E">
        <w:rPr>
          <w:rFonts w:eastAsia="Aptos" w:cs="Arial"/>
          <w:noProof/>
          <w:sz w:val="22"/>
          <w:lang w:val="en-US"/>
        </w:rPr>
        <w:t xml:space="preserve">Nelson, C. A., Sullivan, E., &amp; Engelstad, A. M. (2024). Annual research review: Early intervention viewed through the lens of developmental neuroscience. </w:t>
      </w:r>
      <w:r w:rsidRPr="003E0A0E">
        <w:rPr>
          <w:rFonts w:eastAsia="Aptos" w:cs="Arial"/>
          <w:i/>
          <w:noProof/>
          <w:sz w:val="22"/>
          <w:lang w:val="en-US"/>
        </w:rPr>
        <w:t>Journal of Child Psychology and Psychiatry</w:t>
      </w:r>
      <w:r w:rsidRPr="003E0A0E">
        <w:rPr>
          <w:rFonts w:eastAsia="Aptos" w:cs="Arial"/>
          <w:noProof/>
          <w:sz w:val="22"/>
          <w:lang w:val="en-US"/>
        </w:rPr>
        <w:t>,</w:t>
      </w:r>
      <w:r w:rsidRPr="003E0A0E">
        <w:rPr>
          <w:rFonts w:eastAsia="Aptos" w:cs="Arial"/>
          <w:i/>
          <w:noProof/>
          <w:sz w:val="22"/>
          <w:lang w:val="en-US"/>
        </w:rPr>
        <w:t xml:space="preserve"> 65</w:t>
      </w:r>
      <w:r w:rsidRPr="003E0A0E">
        <w:rPr>
          <w:rFonts w:eastAsia="Aptos" w:cs="Arial"/>
          <w:noProof/>
          <w:sz w:val="22"/>
          <w:lang w:val="en-US"/>
        </w:rPr>
        <w:t xml:space="preserve">(4), 435-455. </w:t>
      </w:r>
      <w:hyperlink r:id="rId480" w:history="1">
        <w:r w:rsidR="00090188" w:rsidRPr="003E0A0E">
          <w:rPr>
            <w:rStyle w:val="Hyperlink"/>
            <w:rFonts w:eastAsia="Aptos" w:cs="Arial"/>
            <w:noProof/>
            <w:sz w:val="22"/>
            <w:lang w:val="en-US"/>
          </w:rPr>
          <w:t>https://doi.org/10.1111/jcpp.13858</w:t>
        </w:r>
      </w:hyperlink>
      <w:r w:rsidR="00090188">
        <w:rPr>
          <w:rFonts w:eastAsia="Aptos" w:cs="Arial"/>
          <w:noProof/>
          <w:sz w:val="22"/>
          <w:lang w:val="en-US"/>
        </w:rPr>
        <w:t xml:space="preserve"> </w:t>
      </w:r>
      <w:r w:rsidRPr="003E0A0E">
        <w:rPr>
          <w:rFonts w:eastAsia="Aptos" w:cs="Arial"/>
          <w:noProof/>
          <w:sz w:val="22"/>
          <w:lang w:val="en-US"/>
        </w:rPr>
        <w:t xml:space="preserve"> </w:t>
      </w:r>
    </w:p>
    <w:p w14:paraId="79F2C935" w14:textId="77777777" w:rsidR="003E0A0E" w:rsidRPr="003E0A0E" w:rsidRDefault="003E0A0E" w:rsidP="003E0A0E">
      <w:pPr>
        <w:spacing w:before="0" w:after="0"/>
        <w:ind w:left="720" w:hanging="720"/>
        <w:rPr>
          <w:rFonts w:eastAsia="Aptos" w:cs="Arial"/>
          <w:noProof/>
          <w:sz w:val="22"/>
          <w:lang w:val="en-US"/>
        </w:rPr>
      </w:pPr>
      <w:r w:rsidRPr="003E0A0E">
        <w:rPr>
          <w:rFonts w:eastAsia="Aptos" w:cs="Arial"/>
          <w:noProof/>
          <w:sz w:val="22"/>
          <w:lang w:val="en-US"/>
        </w:rPr>
        <w:tab/>
      </w:r>
    </w:p>
    <w:p w14:paraId="721DF960" w14:textId="7C3C6224" w:rsidR="003E0A0E" w:rsidRPr="003E0A0E" w:rsidRDefault="003E0A0E" w:rsidP="003E0A0E">
      <w:pPr>
        <w:spacing w:before="0" w:after="160"/>
        <w:ind w:left="720" w:hanging="720"/>
        <w:rPr>
          <w:rFonts w:eastAsia="Aptos" w:cs="Arial"/>
          <w:noProof/>
          <w:sz w:val="22"/>
          <w:lang w:val="en-US"/>
        </w:rPr>
      </w:pPr>
      <w:r w:rsidRPr="003E0A0E">
        <w:rPr>
          <w:rFonts w:eastAsia="Aptos" w:cs="Arial"/>
          <w:noProof/>
          <w:sz w:val="22"/>
          <w:lang w:val="en-US"/>
        </w:rPr>
        <w:t xml:space="preserve">Nelson Goff, B. S., Monk, J. K., Malone, J., Staats, N., Tanner, A., &amp; Springer, N. P. (2016). Comparing parents of children with Down syndrome at different life span stages. </w:t>
      </w:r>
      <w:r w:rsidRPr="003E0A0E">
        <w:rPr>
          <w:rFonts w:eastAsia="Aptos" w:cs="Arial"/>
          <w:i/>
          <w:noProof/>
          <w:sz w:val="22"/>
          <w:lang w:val="en-US"/>
        </w:rPr>
        <w:t>Journal of Marriage and Family</w:t>
      </w:r>
      <w:r w:rsidRPr="003E0A0E">
        <w:rPr>
          <w:rFonts w:eastAsia="Aptos" w:cs="Arial"/>
          <w:noProof/>
          <w:sz w:val="22"/>
          <w:lang w:val="en-US"/>
        </w:rPr>
        <w:t>,</w:t>
      </w:r>
      <w:r w:rsidRPr="003E0A0E">
        <w:rPr>
          <w:rFonts w:eastAsia="Aptos" w:cs="Arial"/>
          <w:i/>
          <w:noProof/>
          <w:sz w:val="22"/>
          <w:lang w:val="en-US"/>
        </w:rPr>
        <w:t xml:space="preserve"> 78</w:t>
      </w:r>
      <w:r w:rsidRPr="003E0A0E">
        <w:rPr>
          <w:rFonts w:eastAsia="Aptos" w:cs="Arial"/>
          <w:noProof/>
          <w:sz w:val="22"/>
          <w:lang w:val="en-US"/>
        </w:rPr>
        <w:t xml:space="preserve">(4), 1131-1148. </w:t>
      </w:r>
      <w:hyperlink r:id="rId481" w:history="1">
        <w:r w:rsidR="00090188" w:rsidRPr="003E0A0E">
          <w:rPr>
            <w:rStyle w:val="Hyperlink"/>
            <w:rFonts w:eastAsia="Aptos" w:cs="Arial"/>
            <w:noProof/>
            <w:sz w:val="22"/>
            <w:lang w:val="en-US"/>
          </w:rPr>
          <w:t>https://doi.org/10.1111/jomf.12312</w:t>
        </w:r>
      </w:hyperlink>
      <w:r w:rsidR="00090188">
        <w:rPr>
          <w:rFonts w:eastAsia="Aptos" w:cs="Arial"/>
          <w:noProof/>
          <w:sz w:val="22"/>
          <w:lang w:val="en-US"/>
        </w:rPr>
        <w:t xml:space="preserve"> </w:t>
      </w:r>
      <w:r w:rsidRPr="003E0A0E">
        <w:rPr>
          <w:rFonts w:eastAsia="Aptos" w:cs="Arial"/>
          <w:noProof/>
          <w:sz w:val="22"/>
          <w:lang w:val="en-US"/>
        </w:rPr>
        <w:t xml:space="preserve"> </w:t>
      </w:r>
    </w:p>
    <w:p w14:paraId="2CD61F18" w14:textId="77777777" w:rsidR="002367D0" w:rsidRDefault="002367D0" w:rsidP="00D25EA5">
      <w:pPr>
        <w:spacing w:before="0" w:after="160"/>
        <w:ind w:left="720" w:hanging="720"/>
        <w:rPr>
          <w:rFonts w:eastAsia="Aptos" w:cs="Arial"/>
          <w:noProof/>
          <w:sz w:val="22"/>
          <w:lang w:val="en-US"/>
        </w:rPr>
      </w:pPr>
    </w:p>
    <w:p w14:paraId="611A5782" w14:textId="7A08041C" w:rsidR="00D25EA5" w:rsidRPr="00D25EA5" w:rsidRDefault="00D25EA5" w:rsidP="00D25EA5">
      <w:pPr>
        <w:spacing w:before="0" w:after="160"/>
        <w:ind w:left="720" w:hanging="720"/>
        <w:rPr>
          <w:rFonts w:eastAsia="Aptos" w:cs="Arial"/>
          <w:noProof/>
          <w:sz w:val="22"/>
          <w:lang w:val="en-US"/>
        </w:rPr>
      </w:pPr>
      <w:r w:rsidRPr="00D25EA5">
        <w:rPr>
          <w:rFonts w:eastAsia="Aptos" w:cs="Arial"/>
          <w:noProof/>
          <w:sz w:val="22"/>
          <w:lang w:val="en-US"/>
        </w:rPr>
        <w:t xml:space="preserve">Nemeroff, C. B. (2016). Paradise lost: the neurobiological and clinical consequences of child abuse and neglect. </w:t>
      </w:r>
      <w:r w:rsidRPr="00D25EA5">
        <w:rPr>
          <w:rFonts w:eastAsia="Aptos" w:cs="Arial"/>
          <w:i/>
          <w:noProof/>
          <w:sz w:val="22"/>
          <w:lang w:val="en-US"/>
        </w:rPr>
        <w:t>Neuron</w:t>
      </w:r>
      <w:r w:rsidRPr="00D25EA5">
        <w:rPr>
          <w:rFonts w:eastAsia="Aptos" w:cs="Arial"/>
          <w:noProof/>
          <w:sz w:val="22"/>
          <w:lang w:val="en-US"/>
        </w:rPr>
        <w:t>,</w:t>
      </w:r>
      <w:r w:rsidRPr="00D25EA5">
        <w:rPr>
          <w:rFonts w:eastAsia="Aptos" w:cs="Arial"/>
          <w:i/>
          <w:noProof/>
          <w:sz w:val="22"/>
          <w:lang w:val="en-US"/>
        </w:rPr>
        <w:t xml:space="preserve"> 89</w:t>
      </w:r>
      <w:r w:rsidRPr="00D25EA5">
        <w:rPr>
          <w:rFonts w:eastAsia="Aptos" w:cs="Arial"/>
          <w:noProof/>
          <w:sz w:val="22"/>
          <w:lang w:val="en-US"/>
        </w:rPr>
        <w:t xml:space="preserve">(5), 892-909. </w:t>
      </w:r>
      <w:hyperlink r:id="rId482" w:history="1">
        <w:r w:rsidR="00090188" w:rsidRPr="00D25EA5">
          <w:rPr>
            <w:rStyle w:val="Hyperlink"/>
            <w:rFonts w:eastAsia="Aptos" w:cs="Arial"/>
            <w:noProof/>
            <w:sz w:val="22"/>
            <w:lang w:val="en-US"/>
          </w:rPr>
          <w:t>https://doi.org/10.1016/j.neuron.2016.01.019</w:t>
        </w:r>
      </w:hyperlink>
      <w:r w:rsidR="00090188">
        <w:rPr>
          <w:rFonts w:eastAsia="Aptos" w:cs="Arial"/>
          <w:noProof/>
          <w:sz w:val="22"/>
          <w:lang w:val="en-US"/>
        </w:rPr>
        <w:t xml:space="preserve"> </w:t>
      </w:r>
      <w:r w:rsidRPr="00D25EA5">
        <w:rPr>
          <w:rFonts w:eastAsia="Aptos" w:cs="Arial"/>
          <w:noProof/>
          <w:sz w:val="22"/>
          <w:lang w:val="en-US"/>
        </w:rPr>
        <w:t xml:space="preserve"> </w:t>
      </w:r>
    </w:p>
    <w:p w14:paraId="4A9C11A2" w14:textId="77777777" w:rsidR="00D25EA5" w:rsidRPr="00D25EA5" w:rsidRDefault="00D25EA5" w:rsidP="00D25EA5">
      <w:pPr>
        <w:spacing w:before="0" w:after="0"/>
        <w:ind w:left="720" w:hanging="720"/>
        <w:rPr>
          <w:rFonts w:eastAsia="Aptos" w:cs="Arial"/>
          <w:noProof/>
          <w:sz w:val="22"/>
          <w:lang w:val="en-US"/>
        </w:rPr>
      </w:pPr>
      <w:r w:rsidRPr="00D25EA5">
        <w:rPr>
          <w:rFonts w:eastAsia="Aptos" w:cs="Arial"/>
          <w:noProof/>
          <w:sz w:val="22"/>
          <w:lang w:val="en-US"/>
        </w:rPr>
        <w:tab/>
      </w:r>
    </w:p>
    <w:p w14:paraId="605D53E8" w14:textId="13C2B22F" w:rsidR="00D25EA5" w:rsidRPr="00D25EA5" w:rsidRDefault="00D25EA5" w:rsidP="00D25EA5">
      <w:pPr>
        <w:spacing w:before="0" w:after="160"/>
        <w:ind w:left="720" w:hanging="720"/>
        <w:rPr>
          <w:rFonts w:eastAsia="Aptos" w:cs="Arial"/>
          <w:noProof/>
          <w:sz w:val="22"/>
          <w:lang w:val="it-IT"/>
        </w:rPr>
      </w:pPr>
      <w:r w:rsidRPr="00D25EA5">
        <w:rPr>
          <w:rFonts w:eastAsia="Aptos" w:cs="Arial"/>
          <w:noProof/>
          <w:sz w:val="22"/>
          <w:lang w:val="en-US"/>
        </w:rPr>
        <w:t xml:space="preserve">New Zealand Government, &amp; Ministry of Education. (2024). </w:t>
      </w:r>
      <w:r w:rsidRPr="00D25EA5">
        <w:rPr>
          <w:rFonts w:eastAsia="Aptos" w:cs="Arial"/>
          <w:i/>
          <w:noProof/>
          <w:sz w:val="22"/>
          <w:lang w:val="en-US"/>
        </w:rPr>
        <w:t>He Pikorua Our Practice Framework.</w:t>
      </w:r>
      <w:r w:rsidRPr="00D25EA5">
        <w:rPr>
          <w:rFonts w:eastAsia="Aptos" w:cs="Arial"/>
          <w:noProof/>
          <w:sz w:val="22"/>
          <w:lang w:val="en-US"/>
        </w:rPr>
        <w:t xml:space="preserve">  </w:t>
      </w:r>
      <w:hyperlink r:id="rId483" w:history="1">
        <w:r w:rsidR="00090188" w:rsidRPr="00D25EA5">
          <w:rPr>
            <w:rStyle w:val="Hyperlink"/>
            <w:rFonts w:eastAsia="Aptos" w:cs="Arial"/>
            <w:noProof/>
            <w:sz w:val="22"/>
            <w:lang w:val="it-IT"/>
          </w:rPr>
          <w:t>https://hepikorua.education.govt.nz/our-principles/</w:t>
        </w:r>
      </w:hyperlink>
      <w:r w:rsidRPr="00D25EA5">
        <w:rPr>
          <w:rFonts w:eastAsia="Aptos" w:cs="Arial"/>
          <w:noProof/>
          <w:sz w:val="22"/>
          <w:lang w:val="it-IT"/>
        </w:rPr>
        <w:t>]</w:t>
      </w:r>
      <w:r w:rsidR="00090188">
        <w:rPr>
          <w:rFonts w:eastAsia="Aptos" w:cs="Arial"/>
          <w:noProof/>
          <w:sz w:val="22"/>
          <w:lang w:val="it-IT"/>
        </w:rPr>
        <w:t xml:space="preserve"> </w:t>
      </w:r>
    </w:p>
    <w:p w14:paraId="7768E63C" w14:textId="77777777" w:rsidR="00D25EA5" w:rsidRPr="00D25EA5" w:rsidRDefault="00D25EA5" w:rsidP="00D25EA5">
      <w:pPr>
        <w:spacing w:before="0" w:after="0"/>
        <w:ind w:left="720" w:hanging="720"/>
        <w:rPr>
          <w:rFonts w:eastAsia="Aptos" w:cs="Arial"/>
          <w:noProof/>
          <w:sz w:val="22"/>
          <w:lang w:val="it-IT"/>
        </w:rPr>
      </w:pPr>
      <w:r w:rsidRPr="00D25EA5">
        <w:rPr>
          <w:rFonts w:eastAsia="Aptos" w:cs="Arial"/>
          <w:noProof/>
          <w:sz w:val="22"/>
          <w:lang w:val="it-IT"/>
        </w:rPr>
        <w:tab/>
      </w:r>
    </w:p>
    <w:p w14:paraId="0E558EC6" w14:textId="426C8BF8" w:rsidR="00D25EA5" w:rsidRDefault="00D25EA5" w:rsidP="00D25EA5">
      <w:pPr>
        <w:spacing w:before="0" w:after="160"/>
        <w:ind w:left="720" w:hanging="720"/>
        <w:rPr>
          <w:rFonts w:eastAsia="Aptos" w:cs="Arial"/>
          <w:noProof/>
          <w:sz w:val="22"/>
          <w:lang w:val="en-US"/>
        </w:rPr>
      </w:pPr>
      <w:r w:rsidRPr="00D25EA5">
        <w:rPr>
          <w:rFonts w:eastAsia="Aptos" w:cs="Arial"/>
          <w:noProof/>
          <w:sz w:val="22"/>
          <w:lang w:val="it-IT"/>
        </w:rPr>
        <w:t xml:space="preserve">Newberry, S., &amp; Brennan, D. (2012). </w:t>
      </w:r>
      <w:r w:rsidRPr="00D25EA5">
        <w:rPr>
          <w:rFonts w:eastAsia="Aptos" w:cs="Arial"/>
          <w:noProof/>
          <w:sz w:val="22"/>
          <w:lang w:val="en-US"/>
        </w:rPr>
        <w:t xml:space="preserve">The marketisation of Early Childhood Education and Care (ECEC) in Australia: A structured response. </w:t>
      </w:r>
      <w:r w:rsidRPr="00D25EA5">
        <w:rPr>
          <w:rFonts w:eastAsia="Aptos" w:cs="Arial"/>
          <w:i/>
          <w:noProof/>
          <w:sz w:val="22"/>
          <w:lang w:val="en-US"/>
        </w:rPr>
        <w:t>Financial Accountability and Management</w:t>
      </w:r>
      <w:r w:rsidRPr="00D25EA5">
        <w:rPr>
          <w:rFonts w:eastAsia="Aptos" w:cs="Arial"/>
          <w:noProof/>
          <w:sz w:val="22"/>
          <w:lang w:val="en-US"/>
        </w:rPr>
        <w:t>,</w:t>
      </w:r>
      <w:r w:rsidRPr="00D25EA5">
        <w:rPr>
          <w:rFonts w:eastAsia="Aptos" w:cs="Arial"/>
          <w:i/>
          <w:noProof/>
          <w:sz w:val="22"/>
          <w:lang w:val="en-US"/>
        </w:rPr>
        <w:t xml:space="preserve"> 29</w:t>
      </w:r>
      <w:r w:rsidRPr="00D25EA5">
        <w:rPr>
          <w:rFonts w:eastAsia="Aptos" w:cs="Arial"/>
          <w:noProof/>
          <w:sz w:val="22"/>
          <w:lang w:val="en-US"/>
        </w:rPr>
        <w:t xml:space="preserve">. </w:t>
      </w:r>
      <w:hyperlink r:id="rId484" w:history="1">
        <w:r w:rsidR="002367D0" w:rsidRPr="00D25EA5">
          <w:rPr>
            <w:rStyle w:val="Hyperlink"/>
            <w:rFonts w:eastAsia="Aptos" w:cs="Arial"/>
            <w:noProof/>
            <w:sz w:val="22"/>
            <w:lang w:val="en-US"/>
          </w:rPr>
          <w:t>https://doi.org/10.1111/faam.12018</w:t>
        </w:r>
      </w:hyperlink>
      <w:r w:rsidRPr="00D25EA5">
        <w:rPr>
          <w:rFonts w:eastAsia="Aptos" w:cs="Arial"/>
          <w:noProof/>
          <w:sz w:val="22"/>
          <w:lang w:val="en-US"/>
        </w:rPr>
        <w:t xml:space="preserve"> </w:t>
      </w:r>
    </w:p>
    <w:p w14:paraId="0EC43B97" w14:textId="77777777" w:rsidR="002367D0" w:rsidRPr="00D25EA5" w:rsidRDefault="002367D0" w:rsidP="00D25EA5">
      <w:pPr>
        <w:spacing w:before="0" w:after="160"/>
        <w:ind w:left="720" w:hanging="720"/>
        <w:rPr>
          <w:rFonts w:eastAsia="Aptos" w:cs="Arial"/>
          <w:noProof/>
          <w:sz w:val="22"/>
          <w:lang w:val="en-US"/>
        </w:rPr>
      </w:pPr>
    </w:p>
    <w:p w14:paraId="7382583A" w14:textId="77777777" w:rsidR="0020543C" w:rsidRPr="0020543C" w:rsidRDefault="0020543C" w:rsidP="0020543C">
      <w:pPr>
        <w:spacing w:before="0" w:after="160"/>
        <w:ind w:left="720" w:hanging="720"/>
        <w:rPr>
          <w:rFonts w:eastAsia="Aptos" w:cs="Arial"/>
          <w:noProof/>
          <w:sz w:val="22"/>
          <w:lang w:val="en-US"/>
        </w:rPr>
      </w:pPr>
      <w:r w:rsidRPr="0020543C">
        <w:rPr>
          <w:rFonts w:eastAsia="Aptos" w:cs="Arial"/>
          <w:noProof/>
          <w:sz w:val="22"/>
          <w:lang w:val="en-US"/>
        </w:rPr>
        <w:t xml:space="preserve">Nicholas, D. B. (2013). Considering fathers of children with a disability in family-centred practice. In B. Trute &amp; D. Hiebert-Murphy (Eds.), </w:t>
      </w:r>
      <w:r w:rsidRPr="0020543C">
        <w:rPr>
          <w:rFonts w:eastAsia="Aptos" w:cs="Arial"/>
          <w:i/>
          <w:noProof/>
          <w:sz w:val="22"/>
          <w:lang w:val="en-US"/>
        </w:rPr>
        <w:t>Partnering with parents: Family-centred practice in children's services</w:t>
      </w:r>
      <w:r w:rsidRPr="0020543C">
        <w:rPr>
          <w:rFonts w:eastAsia="Aptos" w:cs="Arial"/>
          <w:noProof/>
          <w:sz w:val="22"/>
          <w:lang w:val="en-US"/>
        </w:rPr>
        <w:t xml:space="preserve">. Toronto, Canada: University of Toronto Press. </w:t>
      </w:r>
    </w:p>
    <w:p w14:paraId="6A7F8CF3" w14:textId="77777777" w:rsidR="0020543C" w:rsidRPr="0020543C" w:rsidRDefault="0020543C" w:rsidP="0020543C">
      <w:pPr>
        <w:spacing w:before="0" w:after="0"/>
        <w:ind w:left="720" w:hanging="720"/>
        <w:rPr>
          <w:rFonts w:eastAsia="Aptos" w:cs="Arial"/>
          <w:noProof/>
          <w:sz w:val="22"/>
          <w:lang w:val="en-US"/>
        </w:rPr>
      </w:pPr>
      <w:r w:rsidRPr="0020543C">
        <w:rPr>
          <w:rFonts w:eastAsia="Aptos" w:cs="Arial"/>
          <w:noProof/>
          <w:sz w:val="22"/>
          <w:lang w:val="en-US"/>
        </w:rPr>
        <w:tab/>
      </w:r>
    </w:p>
    <w:p w14:paraId="3A4F2510" w14:textId="62110BB7" w:rsidR="0020543C" w:rsidRPr="0020543C" w:rsidRDefault="0020543C" w:rsidP="0020543C">
      <w:pPr>
        <w:spacing w:before="0" w:after="160"/>
        <w:ind w:left="720" w:hanging="720"/>
        <w:rPr>
          <w:rFonts w:eastAsia="Aptos" w:cs="Arial"/>
          <w:noProof/>
          <w:sz w:val="22"/>
          <w:lang w:val="en-US"/>
        </w:rPr>
      </w:pPr>
      <w:r w:rsidRPr="0020543C">
        <w:rPr>
          <w:rFonts w:eastAsia="Aptos" w:cs="Arial"/>
          <w:noProof/>
          <w:sz w:val="22"/>
          <w:lang w:val="en-US"/>
        </w:rPr>
        <w:t xml:space="preserve">Noble, K. G., Houston, S. M., Brito, N. H., Bartsch, H., Kan, E., Kuperman, J. M., Akshoomoff, N., Amaral, D. G., Bloss, C. S., &amp; Libiger, O. (2015). Family income, parental education and brain structure in children and adolescents. </w:t>
      </w:r>
      <w:r w:rsidRPr="0020543C">
        <w:rPr>
          <w:rFonts w:eastAsia="Aptos" w:cs="Arial"/>
          <w:i/>
          <w:noProof/>
          <w:sz w:val="22"/>
          <w:lang w:val="en-US"/>
        </w:rPr>
        <w:t>Nature neuroscience</w:t>
      </w:r>
      <w:r w:rsidRPr="0020543C">
        <w:rPr>
          <w:rFonts w:eastAsia="Aptos" w:cs="Arial"/>
          <w:noProof/>
          <w:sz w:val="22"/>
          <w:lang w:val="en-US"/>
        </w:rPr>
        <w:t>,</w:t>
      </w:r>
      <w:r w:rsidRPr="0020543C">
        <w:rPr>
          <w:rFonts w:eastAsia="Aptos" w:cs="Arial"/>
          <w:i/>
          <w:noProof/>
          <w:sz w:val="22"/>
          <w:lang w:val="en-US"/>
        </w:rPr>
        <w:t xml:space="preserve"> 18</w:t>
      </w:r>
      <w:r w:rsidRPr="0020543C">
        <w:rPr>
          <w:rFonts w:eastAsia="Aptos" w:cs="Arial"/>
          <w:noProof/>
          <w:sz w:val="22"/>
          <w:lang w:val="en-US"/>
        </w:rPr>
        <w:t xml:space="preserve">(5), 773-778. </w:t>
      </w:r>
      <w:hyperlink r:id="rId485" w:history="1">
        <w:r w:rsidR="00090188" w:rsidRPr="0020543C">
          <w:rPr>
            <w:rStyle w:val="Hyperlink"/>
            <w:rFonts w:eastAsia="Aptos" w:cs="Arial"/>
            <w:noProof/>
            <w:sz w:val="22"/>
            <w:lang w:val="en-US"/>
          </w:rPr>
          <w:t>https://doi.org/10.1038/nn.3983</w:t>
        </w:r>
      </w:hyperlink>
      <w:r w:rsidR="00090188">
        <w:rPr>
          <w:rFonts w:eastAsia="Aptos" w:cs="Arial"/>
          <w:noProof/>
          <w:sz w:val="22"/>
          <w:lang w:val="en-US"/>
        </w:rPr>
        <w:t xml:space="preserve"> </w:t>
      </w:r>
      <w:r w:rsidRPr="0020543C">
        <w:rPr>
          <w:rFonts w:eastAsia="Aptos" w:cs="Arial"/>
          <w:noProof/>
          <w:sz w:val="22"/>
          <w:lang w:val="en-US"/>
        </w:rPr>
        <w:t xml:space="preserve"> </w:t>
      </w:r>
    </w:p>
    <w:p w14:paraId="094DA80A" w14:textId="77777777" w:rsidR="0020543C" w:rsidRPr="0020543C" w:rsidRDefault="0020543C" w:rsidP="0020543C">
      <w:pPr>
        <w:spacing w:before="0" w:after="0"/>
        <w:ind w:left="720" w:hanging="720"/>
        <w:rPr>
          <w:rFonts w:eastAsia="Aptos" w:cs="Arial"/>
          <w:noProof/>
          <w:sz w:val="22"/>
          <w:lang w:val="en-US"/>
        </w:rPr>
      </w:pPr>
      <w:r w:rsidRPr="0020543C">
        <w:rPr>
          <w:rFonts w:eastAsia="Aptos" w:cs="Arial"/>
          <w:noProof/>
          <w:sz w:val="22"/>
          <w:lang w:val="en-US"/>
        </w:rPr>
        <w:tab/>
      </w:r>
    </w:p>
    <w:p w14:paraId="03343737" w14:textId="4A0705ED" w:rsidR="0020543C" w:rsidRPr="0020543C" w:rsidRDefault="0020543C" w:rsidP="0020543C">
      <w:pPr>
        <w:spacing w:before="0" w:after="160"/>
        <w:ind w:left="720" w:hanging="720"/>
        <w:rPr>
          <w:rFonts w:eastAsia="Aptos" w:cs="Arial"/>
          <w:noProof/>
          <w:sz w:val="22"/>
          <w:lang w:val="it-IT"/>
        </w:rPr>
      </w:pPr>
      <w:r w:rsidRPr="0020543C">
        <w:rPr>
          <w:rFonts w:eastAsia="Aptos" w:cs="Arial"/>
          <w:noProof/>
          <w:sz w:val="22"/>
          <w:lang w:val="en-US"/>
        </w:rPr>
        <w:t xml:space="preserve">Norcross, J. C., &amp; Wampold, B. E. (2011). Evidence-based therapy relationships: research conclusions and clinical practices. </w:t>
      </w:r>
      <w:r w:rsidRPr="0020543C">
        <w:rPr>
          <w:rFonts w:eastAsia="Aptos" w:cs="Arial"/>
          <w:i/>
          <w:noProof/>
          <w:sz w:val="22"/>
          <w:lang w:val="it-IT"/>
        </w:rPr>
        <w:t>Psychotherapy</w:t>
      </w:r>
      <w:r w:rsidRPr="0020543C">
        <w:rPr>
          <w:rFonts w:eastAsia="Aptos" w:cs="Arial"/>
          <w:noProof/>
          <w:sz w:val="22"/>
          <w:lang w:val="it-IT"/>
        </w:rPr>
        <w:t>,</w:t>
      </w:r>
      <w:r w:rsidRPr="0020543C">
        <w:rPr>
          <w:rFonts w:eastAsia="Aptos" w:cs="Arial"/>
          <w:i/>
          <w:noProof/>
          <w:sz w:val="22"/>
          <w:lang w:val="it-IT"/>
        </w:rPr>
        <w:t xml:space="preserve"> 48</w:t>
      </w:r>
      <w:r w:rsidRPr="0020543C">
        <w:rPr>
          <w:rFonts w:eastAsia="Aptos" w:cs="Arial"/>
          <w:noProof/>
          <w:sz w:val="22"/>
          <w:lang w:val="it-IT"/>
        </w:rPr>
        <w:t xml:space="preserve">(1), 98. </w:t>
      </w:r>
      <w:hyperlink r:id="rId486" w:history="1">
        <w:r w:rsidR="00090188" w:rsidRPr="0020543C">
          <w:rPr>
            <w:rStyle w:val="Hyperlink"/>
            <w:rFonts w:eastAsia="Aptos" w:cs="Arial"/>
            <w:noProof/>
            <w:sz w:val="22"/>
            <w:lang w:val="it-IT"/>
          </w:rPr>
          <w:t>https://doi.org/10.1037/a0022161</w:t>
        </w:r>
      </w:hyperlink>
      <w:r w:rsidR="00090188">
        <w:rPr>
          <w:rFonts w:eastAsia="Aptos" w:cs="Arial"/>
          <w:noProof/>
          <w:sz w:val="22"/>
          <w:lang w:val="it-IT"/>
        </w:rPr>
        <w:t xml:space="preserve"> </w:t>
      </w:r>
      <w:r w:rsidRPr="0020543C">
        <w:rPr>
          <w:rFonts w:eastAsia="Aptos" w:cs="Arial"/>
          <w:noProof/>
          <w:sz w:val="22"/>
          <w:lang w:val="it-IT"/>
        </w:rPr>
        <w:t xml:space="preserve"> </w:t>
      </w:r>
    </w:p>
    <w:p w14:paraId="0536F993" w14:textId="77777777" w:rsidR="0020543C" w:rsidRPr="0020543C" w:rsidRDefault="0020543C" w:rsidP="0020543C">
      <w:pPr>
        <w:spacing w:before="0" w:after="0"/>
        <w:ind w:left="720" w:hanging="720"/>
        <w:rPr>
          <w:rFonts w:eastAsia="Aptos" w:cs="Arial"/>
          <w:noProof/>
          <w:sz w:val="22"/>
          <w:lang w:val="it-IT"/>
        </w:rPr>
      </w:pPr>
      <w:r w:rsidRPr="0020543C">
        <w:rPr>
          <w:rFonts w:eastAsia="Aptos" w:cs="Arial"/>
          <w:noProof/>
          <w:sz w:val="22"/>
          <w:lang w:val="it-IT"/>
        </w:rPr>
        <w:tab/>
      </w:r>
    </w:p>
    <w:p w14:paraId="29111F8C" w14:textId="3E8948A7" w:rsidR="0020543C" w:rsidRDefault="0020543C" w:rsidP="0020543C">
      <w:pPr>
        <w:spacing w:before="0" w:after="160"/>
        <w:ind w:left="720" w:hanging="720"/>
        <w:rPr>
          <w:rFonts w:eastAsia="Aptos" w:cs="Arial"/>
          <w:noProof/>
          <w:sz w:val="22"/>
          <w:lang w:val="en-US"/>
        </w:rPr>
      </w:pPr>
      <w:r w:rsidRPr="0020543C">
        <w:rPr>
          <w:rFonts w:eastAsia="Aptos" w:cs="Arial"/>
          <w:noProof/>
          <w:sz w:val="22"/>
          <w:lang w:val="it-IT"/>
        </w:rPr>
        <w:t xml:space="preserve">Novak-Pavlic, M., Rosenbaum, P., &amp; Di Rezze, B. (2023). </w:t>
      </w:r>
      <w:r w:rsidRPr="0020543C">
        <w:rPr>
          <w:rFonts w:eastAsia="Aptos" w:cs="Arial"/>
          <w:noProof/>
          <w:sz w:val="22"/>
          <w:lang w:val="en-US"/>
        </w:rPr>
        <w:t xml:space="preserve">Changing directions and expanding horizons: Moving towards more inclusive healthcare for parents of children with developmental disabilities. </w:t>
      </w:r>
      <w:r w:rsidRPr="0020543C">
        <w:rPr>
          <w:rFonts w:eastAsia="Aptos" w:cs="Arial"/>
          <w:i/>
          <w:noProof/>
          <w:sz w:val="22"/>
          <w:lang w:val="en-US"/>
        </w:rPr>
        <w:t>International Journal of Environmental Research and Public Health</w:t>
      </w:r>
      <w:r w:rsidRPr="0020543C">
        <w:rPr>
          <w:rFonts w:eastAsia="Aptos" w:cs="Arial"/>
          <w:noProof/>
          <w:sz w:val="22"/>
          <w:lang w:val="en-US"/>
        </w:rPr>
        <w:t>,</w:t>
      </w:r>
      <w:r w:rsidRPr="0020543C">
        <w:rPr>
          <w:rFonts w:eastAsia="Aptos" w:cs="Arial"/>
          <w:i/>
          <w:noProof/>
          <w:sz w:val="22"/>
          <w:lang w:val="en-US"/>
        </w:rPr>
        <w:t xml:space="preserve"> 20</w:t>
      </w:r>
      <w:r w:rsidRPr="0020543C">
        <w:rPr>
          <w:rFonts w:eastAsia="Aptos" w:cs="Arial"/>
          <w:noProof/>
          <w:sz w:val="22"/>
          <w:lang w:val="en-US"/>
        </w:rPr>
        <w:t xml:space="preserve">(21), 6983. </w:t>
      </w:r>
      <w:hyperlink r:id="rId487" w:history="1">
        <w:r w:rsidR="002367D0" w:rsidRPr="0020543C">
          <w:rPr>
            <w:rStyle w:val="Hyperlink"/>
            <w:rFonts w:eastAsia="Aptos" w:cs="Arial"/>
            <w:noProof/>
            <w:sz w:val="22"/>
            <w:lang w:val="en-US"/>
          </w:rPr>
          <w:t>https://doi.org/10.3390/ijerph20216983</w:t>
        </w:r>
      </w:hyperlink>
      <w:r w:rsidRPr="0020543C">
        <w:rPr>
          <w:rFonts w:eastAsia="Aptos" w:cs="Arial"/>
          <w:noProof/>
          <w:sz w:val="22"/>
          <w:lang w:val="en-US"/>
        </w:rPr>
        <w:t xml:space="preserve"> </w:t>
      </w:r>
    </w:p>
    <w:p w14:paraId="74C8DE24" w14:textId="77777777" w:rsidR="002367D0" w:rsidRPr="0020543C" w:rsidRDefault="002367D0" w:rsidP="0020543C">
      <w:pPr>
        <w:spacing w:before="0" w:after="160"/>
        <w:ind w:left="720" w:hanging="720"/>
        <w:rPr>
          <w:rFonts w:eastAsia="Aptos" w:cs="Arial"/>
          <w:noProof/>
          <w:sz w:val="22"/>
          <w:lang w:val="en-US"/>
        </w:rPr>
      </w:pPr>
    </w:p>
    <w:p w14:paraId="3D633E3D" w14:textId="7688B0C3" w:rsidR="00A52D8B" w:rsidRPr="00A52D8B" w:rsidRDefault="00A52D8B" w:rsidP="00A52D8B">
      <w:pPr>
        <w:spacing w:before="0" w:after="160"/>
        <w:ind w:left="720" w:hanging="720"/>
        <w:rPr>
          <w:rFonts w:eastAsia="Aptos" w:cs="Arial"/>
          <w:noProof/>
          <w:sz w:val="22"/>
          <w:lang w:val="en-US"/>
        </w:rPr>
      </w:pPr>
      <w:r w:rsidRPr="00A52D8B">
        <w:rPr>
          <w:rFonts w:eastAsia="Aptos" w:cs="Arial"/>
          <w:noProof/>
          <w:sz w:val="22"/>
          <w:lang w:val="en-US"/>
        </w:rPr>
        <w:t xml:space="preserve">Novak, I. (2011). Parent experience of implementing effective home programs. </w:t>
      </w:r>
      <w:r w:rsidRPr="00A52D8B">
        <w:rPr>
          <w:rFonts w:eastAsia="Aptos" w:cs="Arial"/>
          <w:i/>
          <w:noProof/>
          <w:sz w:val="22"/>
          <w:lang w:val="en-US"/>
        </w:rPr>
        <w:t>Physical &amp; Occupational Therapy in Pediatrics</w:t>
      </w:r>
      <w:r w:rsidRPr="00A52D8B">
        <w:rPr>
          <w:rFonts w:eastAsia="Aptos" w:cs="Arial"/>
          <w:noProof/>
          <w:sz w:val="22"/>
          <w:lang w:val="en-US"/>
        </w:rPr>
        <w:t>,</w:t>
      </w:r>
      <w:r w:rsidRPr="00A52D8B">
        <w:rPr>
          <w:rFonts w:eastAsia="Aptos" w:cs="Arial"/>
          <w:i/>
          <w:noProof/>
          <w:sz w:val="22"/>
          <w:lang w:val="en-US"/>
        </w:rPr>
        <w:t xml:space="preserve"> 31</w:t>
      </w:r>
      <w:r w:rsidRPr="00A52D8B">
        <w:rPr>
          <w:rFonts w:eastAsia="Aptos" w:cs="Arial"/>
          <w:noProof/>
          <w:sz w:val="22"/>
          <w:lang w:val="en-US"/>
        </w:rPr>
        <w:t xml:space="preserve">(2), 198-213. </w:t>
      </w:r>
      <w:hyperlink r:id="rId488" w:history="1">
        <w:r w:rsidR="00090188" w:rsidRPr="00A52D8B">
          <w:rPr>
            <w:rStyle w:val="Hyperlink"/>
            <w:rFonts w:eastAsia="Aptos" w:cs="Arial"/>
            <w:noProof/>
            <w:sz w:val="22"/>
            <w:lang w:val="en-US"/>
          </w:rPr>
          <w:t>https://doi.org/10.3109/01942638.2010.533746</w:t>
        </w:r>
      </w:hyperlink>
      <w:r w:rsidR="00090188">
        <w:rPr>
          <w:rFonts w:eastAsia="Aptos" w:cs="Arial"/>
          <w:noProof/>
          <w:sz w:val="22"/>
          <w:lang w:val="en-US"/>
        </w:rPr>
        <w:t xml:space="preserve"> </w:t>
      </w:r>
      <w:r w:rsidRPr="00A52D8B">
        <w:rPr>
          <w:rFonts w:eastAsia="Aptos" w:cs="Arial"/>
          <w:noProof/>
          <w:sz w:val="22"/>
          <w:lang w:val="en-US"/>
        </w:rPr>
        <w:t xml:space="preserve"> </w:t>
      </w:r>
    </w:p>
    <w:p w14:paraId="235772EB" w14:textId="77777777" w:rsidR="00A52D8B" w:rsidRPr="00A52D8B" w:rsidRDefault="00A52D8B" w:rsidP="00A52D8B">
      <w:pPr>
        <w:spacing w:before="0" w:after="0"/>
        <w:ind w:left="720" w:hanging="720"/>
        <w:rPr>
          <w:rFonts w:eastAsia="Aptos" w:cs="Arial"/>
          <w:noProof/>
          <w:sz w:val="22"/>
          <w:lang w:val="en-US"/>
        </w:rPr>
      </w:pPr>
      <w:r w:rsidRPr="00A52D8B">
        <w:rPr>
          <w:rFonts w:eastAsia="Aptos" w:cs="Arial"/>
          <w:noProof/>
          <w:sz w:val="22"/>
          <w:lang w:val="en-US"/>
        </w:rPr>
        <w:tab/>
      </w:r>
    </w:p>
    <w:p w14:paraId="6CE06328" w14:textId="3AA5F8A2" w:rsidR="00A52D8B" w:rsidRPr="00A52D8B" w:rsidRDefault="00A52D8B" w:rsidP="00A52D8B">
      <w:pPr>
        <w:spacing w:before="0" w:after="160"/>
        <w:ind w:left="720" w:hanging="720"/>
        <w:rPr>
          <w:rFonts w:eastAsia="Aptos" w:cs="Arial"/>
          <w:noProof/>
          <w:sz w:val="22"/>
          <w:lang w:val="en-US"/>
        </w:rPr>
      </w:pPr>
      <w:r w:rsidRPr="00A52D8B">
        <w:rPr>
          <w:rFonts w:eastAsia="Aptos" w:cs="Arial"/>
          <w:noProof/>
          <w:sz w:val="22"/>
          <w:lang w:val="en-US"/>
        </w:rPr>
        <w:t xml:space="preserve">Novak, I. (2014). Evidence to practice commentary new evidence in coaching interventions. </w:t>
      </w:r>
      <w:r w:rsidRPr="00A52D8B">
        <w:rPr>
          <w:rFonts w:eastAsia="Aptos" w:cs="Arial"/>
          <w:i/>
          <w:noProof/>
          <w:sz w:val="22"/>
          <w:lang w:val="en-US"/>
        </w:rPr>
        <w:t>Physical &amp; Occupational Therapy in Pediatrics</w:t>
      </w:r>
      <w:r w:rsidRPr="00A52D8B">
        <w:rPr>
          <w:rFonts w:eastAsia="Aptos" w:cs="Arial"/>
          <w:noProof/>
          <w:sz w:val="22"/>
          <w:lang w:val="en-US"/>
        </w:rPr>
        <w:t>,</w:t>
      </w:r>
      <w:r w:rsidRPr="00A52D8B">
        <w:rPr>
          <w:rFonts w:eastAsia="Aptos" w:cs="Arial"/>
          <w:i/>
          <w:noProof/>
          <w:sz w:val="22"/>
          <w:lang w:val="en-US"/>
        </w:rPr>
        <w:t xml:space="preserve"> 34</w:t>
      </w:r>
      <w:r w:rsidRPr="00A52D8B">
        <w:rPr>
          <w:rFonts w:eastAsia="Aptos" w:cs="Arial"/>
          <w:noProof/>
          <w:sz w:val="22"/>
          <w:lang w:val="en-US"/>
        </w:rPr>
        <w:t xml:space="preserve">(2), 132-137. </w:t>
      </w:r>
      <w:hyperlink r:id="rId489" w:history="1">
        <w:r w:rsidR="00090188" w:rsidRPr="00A52D8B">
          <w:rPr>
            <w:rStyle w:val="Hyperlink"/>
            <w:rFonts w:eastAsia="Aptos" w:cs="Arial"/>
            <w:noProof/>
            <w:sz w:val="22"/>
            <w:lang w:val="en-US"/>
          </w:rPr>
          <w:t>https://doi.org/10.3109/01942638.2014.903060</w:t>
        </w:r>
      </w:hyperlink>
      <w:r w:rsidR="00090188">
        <w:rPr>
          <w:rFonts w:eastAsia="Aptos" w:cs="Arial"/>
          <w:noProof/>
          <w:sz w:val="22"/>
          <w:lang w:val="en-US"/>
        </w:rPr>
        <w:t xml:space="preserve"> </w:t>
      </w:r>
      <w:r w:rsidRPr="00A52D8B">
        <w:rPr>
          <w:rFonts w:eastAsia="Aptos" w:cs="Arial"/>
          <w:noProof/>
          <w:sz w:val="22"/>
          <w:lang w:val="en-US"/>
        </w:rPr>
        <w:t xml:space="preserve"> </w:t>
      </w:r>
    </w:p>
    <w:p w14:paraId="7748E1CD" w14:textId="77777777" w:rsidR="00A52D8B" w:rsidRPr="00A52D8B" w:rsidRDefault="00A52D8B" w:rsidP="00A52D8B">
      <w:pPr>
        <w:spacing w:before="0" w:after="0"/>
        <w:ind w:left="720" w:hanging="720"/>
        <w:rPr>
          <w:rFonts w:eastAsia="Aptos" w:cs="Arial"/>
          <w:noProof/>
          <w:sz w:val="22"/>
          <w:lang w:val="en-US"/>
        </w:rPr>
      </w:pPr>
      <w:r w:rsidRPr="00A52D8B">
        <w:rPr>
          <w:rFonts w:eastAsia="Aptos" w:cs="Arial"/>
          <w:noProof/>
          <w:sz w:val="22"/>
          <w:lang w:val="en-US"/>
        </w:rPr>
        <w:tab/>
      </w:r>
    </w:p>
    <w:p w14:paraId="420B6172" w14:textId="6163B050" w:rsidR="00A52D8B" w:rsidRPr="00A52D8B" w:rsidRDefault="00A52D8B" w:rsidP="00A52D8B">
      <w:pPr>
        <w:spacing w:before="0" w:after="160"/>
        <w:ind w:left="720" w:hanging="720"/>
        <w:rPr>
          <w:rFonts w:eastAsia="Aptos" w:cs="Arial"/>
          <w:noProof/>
          <w:sz w:val="22"/>
          <w:lang w:val="en-US"/>
        </w:rPr>
      </w:pPr>
      <w:r w:rsidRPr="00A52D8B">
        <w:rPr>
          <w:rFonts w:eastAsia="Aptos" w:cs="Arial"/>
          <w:noProof/>
          <w:sz w:val="22"/>
          <w:lang w:val="en-US"/>
        </w:rPr>
        <w:t xml:space="preserve">Novak, I., &amp; Berry, J. (2014). Home program intervention effectiveness evidence. </w:t>
      </w:r>
      <w:r w:rsidRPr="00A52D8B">
        <w:rPr>
          <w:rFonts w:eastAsia="Aptos" w:cs="Arial"/>
          <w:i/>
          <w:noProof/>
          <w:sz w:val="22"/>
          <w:lang w:val="en-US"/>
        </w:rPr>
        <w:t>Physical &amp; Occupational Therapy in Pediatrics</w:t>
      </w:r>
      <w:r w:rsidRPr="00A52D8B">
        <w:rPr>
          <w:rFonts w:eastAsia="Aptos" w:cs="Arial"/>
          <w:noProof/>
          <w:sz w:val="22"/>
          <w:lang w:val="en-US"/>
        </w:rPr>
        <w:t>,</w:t>
      </w:r>
      <w:r w:rsidRPr="00A52D8B">
        <w:rPr>
          <w:rFonts w:eastAsia="Aptos" w:cs="Arial"/>
          <w:i/>
          <w:noProof/>
          <w:sz w:val="22"/>
          <w:lang w:val="en-US"/>
        </w:rPr>
        <w:t xml:space="preserve"> 34</w:t>
      </w:r>
      <w:r w:rsidRPr="00A52D8B">
        <w:rPr>
          <w:rFonts w:eastAsia="Aptos" w:cs="Arial"/>
          <w:noProof/>
          <w:sz w:val="22"/>
          <w:lang w:val="en-US"/>
        </w:rPr>
        <w:t xml:space="preserve">(4), 384-389. </w:t>
      </w:r>
      <w:hyperlink r:id="rId490" w:history="1">
        <w:r w:rsidR="00090188" w:rsidRPr="00A52D8B">
          <w:rPr>
            <w:rStyle w:val="Hyperlink"/>
            <w:rFonts w:eastAsia="Aptos" w:cs="Arial"/>
            <w:noProof/>
            <w:sz w:val="22"/>
            <w:lang w:val="en-US"/>
          </w:rPr>
          <w:t>https://doi.org/10.3109/01942638.2014.964020</w:t>
        </w:r>
      </w:hyperlink>
      <w:r w:rsidR="00090188">
        <w:rPr>
          <w:rFonts w:eastAsia="Aptos" w:cs="Arial"/>
          <w:noProof/>
          <w:sz w:val="22"/>
          <w:lang w:val="en-US"/>
        </w:rPr>
        <w:t xml:space="preserve"> </w:t>
      </w:r>
      <w:r w:rsidRPr="00A52D8B">
        <w:rPr>
          <w:rFonts w:eastAsia="Aptos" w:cs="Arial"/>
          <w:noProof/>
          <w:sz w:val="22"/>
          <w:lang w:val="en-US"/>
        </w:rPr>
        <w:t xml:space="preserve"> </w:t>
      </w:r>
    </w:p>
    <w:p w14:paraId="49A62283" w14:textId="77777777" w:rsidR="00A52D8B" w:rsidRPr="00A52D8B" w:rsidRDefault="00A52D8B" w:rsidP="00A52D8B">
      <w:pPr>
        <w:spacing w:before="0" w:after="0"/>
        <w:ind w:left="720" w:hanging="720"/>
        <w:rPr>
          <w:rFonts w:eastAsia="Aptos" w:cs="Arial"/>
          <w:noProof/>
          <w:sz w:val="22"/>
          <w:lang w:val="en-US"/>
        </w:rPr>
      </w:pPr>
      <w:r w:rsidRPr="00A52D8B">
        <w:rPr>
          <w:rFonts w:eastAsia="Aptos" w:cs="Arial"/>
          <w:noProof/>
          <w:sz w:val="22"/>
          <w:lang w:val="en-US"/>
        </w:rPr>
        <w:tab/>
      </w:r>
    </w:p>
    <w:p w14:paraId="0586DC1A" w14:textId="1776445C" w:rsidR="00A52D8B" w:rsidRPr="00A52D8B" w:rsidRDefault="00A52D8B" w:rsidP="00A52D8B">
      <w:pPr>
        <w:spacing w:before="0" w:after="160"/>
        <w:ind w:left="720" w:hanging="720"/>
        <w:rPr>
          <w:rFonts w:eastAsia="Aptos" w:cs="Arial"/>
          <w:noProof/>
          <w:sz w:val="22"/>
          <w:lang w:val="en-US"/>
        </w:rPr>
      </w:pPr>
      <w:r w:rsidRPr="00A52D8B">
        <w:rPr>
          <w:rFonts w:eastAsia="Aptos" w:cs="Arial"/>
          <w:noProof/>
          <w:sz w:val="22"/>
          <w:lang w:val="en-US"/>
        </w:rPr>
        <w:t xml:space="preserve">Novak, I., &amp; Honan, I. (2019). Effectiveness of paediatric occupational therapy for children with disabilities: A systematic review. </w:t>
      </w:r>
      <w:r w:rsidRPr="00A52D8B">
        <w:rPr>
          <w:rFonts w:eastAsia="Aptos" w:cs="Arial"/>
          <w:i/>
          <w:noProof/>
          <w:sz w:val="22"/>
          <w:lang w:val="en-US"/>
        </w:rPr>
        <w:t>Australian Occupational Therapy Journal</w:t>
      </w:r>
      <w:r w:rsidRPr="00A52D8B">
        <w:rPr>
          <w:rFonts w:eastAsia="Aptos" w:cs="Arial"/>
          <w:noProof/>
          <w:sz w:val="22"/>
          <w:lang w:val="en-US"/>
        </w:rPr>
        <w:t>,</w:t>
      </w:r>
      <w:r w:rsidRPr="00A52D8B">
        <w:rPr>
          <w:rFonts w:eastAsia="Aptos" w:cs="Arial"/>
          <w:i/>
          <w:noProof/>
          <w:sz w:val="22"/>
          <w:lang w:val="en-US"/>
        </w:rPr>
        <w:t xml:space="preserve"> 66</w:t>
      </w:r>
      <w:r w:rsidRPr="00A52D8B">
        <w:rPr>
          <w:rFonts w:eastAsia="Aptos" w:cs="Arial"/>
          <w:noProof/>
          <w:sz w:val="22"/>
          <w:lang w:val="en-US"/>
        </w:rPr>
        <w:t xml:space="preserve">(3), 258-273. </w:t>
      </w:r>
      <w:hyperlink r:id="rId491" w:history="1">
        <w:r w:rsidR="00090188" w:rsidRPr="00A52D8B">
          <w:rPr>
            <w:rStyle w:val="Hyperlink"/>
            <w:rFonts w:eastAsia="Aptos" w:cs="Arial"/>
            <w:noProof/>
            <w:sz w:val="22"/>
            <w:lang w:val="en-US"/>
          </w:rPr>
          <w:t>https://doi.org/10.1111/1440-1630.12573</w:t>
        </w:r>
      </w:hyperlink>
      <w:r w:rsidR="00090188">
        <w:rPr>
          <w:rFonts w:eastAsia="Aptos" w:cs="Arial"/>
          <w:noProof/>
          <w:sz w:val="22"/>
          <w:lang w:val="en-US"/>
        </w:rPr>
        <w:t xml:space="preserve"> </w:t>
      </w:r>
      <w:r w:rsidRPr="00A52D8B">
        <w:rPr>
          <w:rFonts w:eastAsia="Aptos" w:cs="Arial"/>
          <w:noProof/>
          <w:sz w:val="22"/>
          <w:lang w:val="en-US"/>
        </w:rPr>
        <w:t xml:space="preserve"> </w:t>
      </w:r>
    </w:p>
    <w:p w14:paraId="21B68320" w14:textId="77777777" w:rsidR="00A52D8B" w:rsidRPr="00A52D8B" w:rsidRDefault="00A52D8B" w:rsidP="00A52D8B">
      <w:pPr>
        <w:spacing w:before="0" w:after="0"/>
        <w:ind w:left="720" w:hanging="720"/>
        <w:rPr>
          <w:rFonts w:eastAsia="Aptos" w:cs="Arial"/>
          <w:noProof/>
          <w:sz w:val="22"/>
          <w:lang w:val="en-US"/>
        </w:rPr>
      </w:pPr>
      <w:r w:rsidRPr="00A52D8B">
        <w:rPr>
          <w:rFonts w:eastAsia="Aptos" w:cs="Arial"/>
          <w:noProof/>
          <w:sz w:val="22"/>
          <w:lang w:val="en-US"/>
        </w:rPr>
        <w:tab/>
      </w:r>
    </w:p>
    <w:p w14:paraId="71D12682" w14:textId="28D954B2" w:rsidR="00A52D8B" w:rsidRPr="00A52D8B" w:rsidRDefault="00A52D8B" w:rsidP="00A52D8B">
      <w:pPr>
        <w:spacing w:before="0" w:after="160"/>
        <w:ind w:left="720" w:hanging="720"/>
        <w:rPr>
          <w:rFonts w:eastAsia="Aptos" w:cs="Arial"/>
          <w:noProof/>
          <w:sz w:val="22"/>
          <w:lang w:val="en-US"/>
        </w:rPr>
      </w:pPr>
      <w:r w:rsidRPr="00A52D8B">
        <w:rPr>
          <w:rFonts w:eastAsia="Aptos" w:cs="Arial"/>
          <w:noProof/>
          <w:sz w:val="22"/>
          <w:lang w:val="en-US"/>
        </w:rPr>
        <w:t xml:space="preserve">Novak, I., Mcintyre, S., Morgan, C., Campbell, L., Dark, L., Morton, N., Stumbles, E., Wilson, S. A., &amp; Goldsmith, S. (2013). A systematic review of interventions for children with cerebral palsy: state of the evidence. </w:t>
      </w:r>
      <w:r w:rsidRPr="00A52D8B">
        <w:rPr>
          <w:rFonts w:eastAsia="Aptos" w:cs="Arial"/>
          <w:i/>
          <w:noProof/>
          <w:sz w:val="22"/>
          <w:lang w:val="en-US"/>
        </w:rPr>
        <w:t>Developmental Medicine &amp; Child Neurology</w:t>
      </w:r>
      <w:r w:rsidRPr="00A52D8B">
        <w:rPr>
          <w:rFonts w:eastAsia="Aptos" w:cs="Arial"/>
          <w:noProof/>
          <w:sz w:val="22"/>
          <w:lang w:val="en-US"/>
        </w:rPr>
        <w:t>,</w:t>
      </w:r>
      <w:r w:rsidRPr="00A52D8B">
        <w:rPr>
          <w:rFonts w:eastAsia="Aptos" w:cs="Arial"/>
          <w:i/>
          <w:noProof/>
          <w:sz w:val="22"/>
          <w:lang w:val="en-US"/>
        </w:rPr>
        <w:t xml:space="preserve"> 55</w:t>
      </w:r>
      <w:r w:rsidRPr="00A52D8B">
        <w:rPr>
          <w:rFonts w:eastAsia="Aptos" w:cs="Arial"/>
          <w:noProof/>
          <w:sz w:val="22"/>
          <w:lang w:val="en-US"/>
        </w:rPr>
        <w:t xml:space="preserve">(10), 885-910. </w:t>
      </w:r>
      <w:hyperlink r:id="rId492" w:history="1">
        <w:r w:rsidR="00090188" w:rsidRPr="00A52D8B">
          <w:rPr>
            <w:rStyle w:val="Hyperlink"/>
            <w:rFonts w:eastAsia="Aptos" w:cs="Arial"/>
            <w:noProof/>
            <w:sz w:val="22"/>
            <w:lang w:val="en-US"/>
          </w:rPr>
          <w:t>https://doi.org/10.1111/dmcn.12246</w:t>
        </w:r>
      </w:hyperlink>
      <w:r w:rsidR="00090188">
        <w:rPr>
          <w:rFonts w:eastAsia="Aptos" w:cs="Arial"/>
          <w:noProof/>
          <w:sz w:val="22"/>
          <w:lang w:val="en-US"/>
        </w:rPr>
        <w:t xml:space="preserve"> </w:t>
      </w:r>
      <w:r w:rsidRPr="00A52D8B">
        <w:rPr>
          <w:rFonts w:eastAsia="Aptos" w:cs="Arial"/>
          <w:noProof/>
          <w:sz w:val="22"/>
          <w:lang w:val="en-US"/>
        </w:rPr>
        <w:t xml:space="preserve"> </w:t>
      </w:r>
    </w:p>
    <w:p w14:paraId="7FBF38CB" w14:textId="77777777" w:rsidR="00A52D8B" w:rsidRPr="00A52D8B" w:rsidRDefault="00A52D8B" w:rsidP="00A52D8B">
      <w:pPr>
        <w:spacing w:before="0" w:after="0"/>
        <w:ind w:left="720" w:hanging="720"/>
        <w:rPr>
          <w:rFonts w:eastAsia="Aptos" w:cs="Arial"/>
          <w:noProof/>
          <w:sz w:val="22"/>
          <w:lang w:val="en-US"/>
        </w:rPr>
      </w:pPr>
      <w:r w:rsidRPr="00A52D8B">
        <w:rPr>
          <w:rFonts w:eastAsia="Aptos" w:cs="Arial"/>
          <w:noProof/>
          <w:sz w:val="22"/>
          <w:lang w:val="en-US"/>
        </w:rPr>
        <w:tab/>
      </w:r>
    </w:p>
    <w:p w14:paraId="65F2AF6B" w14:textId="6DA557E2" w:rsidR="00A52D8B" w:rsidRPr="00A52D8B" w:rsidRDefault="00A52D8B" w:rsidP="00A52D8B">
      <w:pPr>
        <w:spacing w:before="0" w:after="160"/>
        <w:ind w:left="720" w:hanging="720"/>
        <w:rPr>
          <w:rFonts w:eastAsia="Aptos" w:cs="Arial"/>
          <w:noProof/>
          <w:sz w:val="22"/>
          <w:lang w:val="en-US"/>
        </w:rPr>
      </w:pPr>
      <w:r w:rsidRPr="00A52D8B">
        <w:rPr>
          <w:rFonts w:eastAsia="Aptos" w:cs="Arial"/>
          <w:noProof/>
          <w:sz w:val="22"/>
          <w:lang w:val="en-US"/>
        </w:rPr>
        <w:t xml:space="preserve">Novak, I., Morgan, C., Adde, L., Blackman, J., Boyd, R. N., Brunstrom-Hernandez, J., Cioni, G., Damiano, D., Darrah, J., &amp; Eliasson, A.-C. (2017). Early, accurate diagnosis and early intervention in cerebral palsy: advances in diagnosis and treatment. </w:t>
      </w:r>
      <w:r w:rsidRPr="00A52D8B">
        <w:rPr>
          <w:rFonts w:eastAsia="Aptos" w:cs="Arial"/>
          <w:i/>
          <w:noProof/>
          <w:sz w:val="22"/>
          <w:lang w:val="en-US"/>
        </w:rPr>
        <w:t>JAMA pediatrics</w:t>
      </w:r>
      <w:r w:rsidRPr="00A52D8B">
        <w:rPr>
          <w:rFonts w:eastAsia="Aptos" w:cs="Arial"/>
          <w:noProof/>
          <w:sz w:val="22"/>
          <w:lang w:val="en-US"/>
        </w:rPr>
        <w:t>,</w:t>
      </w:r>
      <w:r w:rsidRPr="00A52D8B">
        <w:rPr>
          <w:rFonts w:eastAsia="Aptos" w:cs="Arial"/>
          <w:i/>
          <w:noProof/>
          <w:sz w:val="22"/>
          <w:lang w:val="en-US"/>
        </w:rPr>
        <w:t xml:space="preserve"> 171</w:t>
      </w:r>
      <w:r w:rsidRPr="00A52D8B">
        <w:rPr>
          <w:rFonts w:eastAsia="Aptos" w:cs="Arial"/>
          <w:noProof/>
          <w:sz w:val="22"/>
          <w:lang w:val="en-US"/>
        </w:rPr>
        <w:t xml:space="preserve">(9), 897-907. </w:t>
      </w:r>
      <w:hyperlink r:id="rId493" w:history="1">
        <w:r w:rsidR="00090188" w:rsidRPr="00A52D8B">
          <w:rPr>
            <w:rStyle w:val="Hyperlink"/>
            <w:rFonts w:eastAsia="Aptos" w:cs="Arial"/>
            <w:noProof/>
            <w:sz w:val="22"/>
            <w:lang w:val="en-US"/>
          </w:rPr>
          <w:t>https://doi.org/10.1001/jamapediatrics.2017.1689</w:t>
        </w:r>
      </w:hyperlink>
      <w:r w:rsidR="00090188">
        <w:rPr>
          <w:rFonts w:eastAsia="Aptos" w:cs="Arial"/>
          <w:noProof/>
          <w:sz w:val="22"/>
          <w:lang w:val="en-US"/>
        </w:rPr>
        <w:t xml:space="preserve"> </w:t>
      </w:r>
      <w:r w:rsidRPr="00A52D8B">
        <w:rPr>
          <w:rFonts w:eastAsia="Aptos" w:cs="Arial"/>
          <w:noProof/>
          <w:sz w:val="22"/>
          <w:lang w:val="en-US"/>
        </w:rPr>
        <w:t xml:space="preserve"> </w:t>
      </w:r>
    </w:p>
    <w:p w14:paraId="6215E06C" w14:textId="56C56CF8" w:rsidR="0030178D" w:rsidRPr="00075790" w:rsidRDefault="0030178D" w:rsidP="0030178D">
      <w:pPr>
        <w:pStyle w:val="EndNoteBibliography"/>
        <w:spacing w:after="0"/>
        <w:ind w:left="720" w:hanging="720"/>
      </w:pPr>
    </w:p>
    <w:p w14:paraId="56F0A287" w14:textId="134D17CD" w:rsidR="00256D29" w:rsidRDefault="00256D29" w:rsidP="00256D29">
      <w:pPr>
        <w:spacing w:before="0" w:after="160"/>
        <w:ind w:left="720" w:hanging="720"/>
        <w:rPr>
          <w:rFonts w:eastAsia="Aptos" w:cs="Arial"/>
          <w:noProof/>
          <w:sz w:val="22"/>
          <w:lang w:val="en-US"/>
        </w:rPr>
      </w:pPr>
      <w:r w:rsidRPr="00256D29">
        <w:rPr>
          <w:rFonts w:eastAsia="Aptos" w:cs="Arial"/>
          <w:noProof/>
          <w:sz w:val="22"/>
          <w:lang w:val="en-US"/>
        </w:rPr>
        <w:t xml:space="preserve">O'Connor, B., Kerr, C., Shields, N., Adair, B., &amp; Imms, C. (2021). Steering towards collaborative assessment: a qualitative study of parents' experiences of evidence-based assessment practices for their child with cerebral palsy. </w:t>
      </w:r>
      <w:r w:rsidRPr="00256D29">
        <w:rPr>
          <w:rFonts w:eastAsia="Aptos" w:cs="Arial"/>
          <w:i/>
          <w:noProof/>
          <w:sz w:val="22"/>
          <w:lang w:val="en-US"/>
        </w:rPr>
        <w:t>Disability and Rehabilitation</w:t>
      </w:r>
      <w:r w:rsidRPr="00256D29">
        <w:rPr>
          <w:rFonts w:eastAsia="Aptos" w:cs="Arial"/>
          <w:noProof/>
          <w:sz w:val="22"/>
          <w:lang w:val="en-US"/>
        </w:rPr>
        <w:t>,</w:t>
      </w:r>
      <w:r w:rsidRPr="00256D29">
        <w:rPr>
          <w:rFonts w:eastAsia="Aptos" w:cs="Arial"/>
          <w:i/>
          <w:noProof/>
          <w:sz w:val="22"/>
          <w:lang w:val="en-US"/>
        </w:rPr>
        <w:t xml:space="preserve"> 43</w:t>
      </w:r>
      <w:r w:rsidRPr="00256D29">
        <w:rPr>
          <w:rFonts w:eastAsia="Aptos" w:cs="Arial"/>
          <w:noProof/>
          <w:sz w:val="22"/>
          <w:lang w:val="en-US"/>
        </w:rPr>
        <w:t xml:space="preserve">(4), 458-467. </w:t>
      </w:r>
      <w:hyperlink r:id="rId494" w:history="1">
        <w:r w:rsidR="00F15D5F" w:rsidRPr="00256D29">
          <w:rPr>
            <w:rStyle w:val="Hyperlink"/>
            <w:rFonts w:eastAsia="Aptos" w:cs="Arial"/>
            <w:noProof/>
            <w:sz w:val="22"/>
            <w:lang w:val="en-US"/>
          </w:rPr>
          <w:t>https://doi.org/10.1080/09638288.2019.1629652</w:t>
        </w:r>
      </w:hyperlink>
      <w:r w:rsidRPr="00256D29">
        <w:rPr>
          <w:rFonts w:eastAsia="Aptos" w:cs="Arial"/>
          <w:noProof/>
          <w:sz w:val="22"/>
          <w:lang w:val="en-US"/>
        </w:rPr>
        <w:t xml:space="preserve"> </w:t>
      </w:r>
    </w:p>
    <w:p w14:paraId="3453F800" w14:textId="77777777" w:rsidR="00F15D5F" w:rsidRPr="00256D29" w:rsidRDefault="00F15D5F" w:rsidP="00256D29">
      <w:pPr>
        <w:spacing w:before="0" w:after="160"/>
        <w:ind w:left="720" w:hanging="720"/>
        <w:rPr>
          <w:rFonts w:eastAsia="Aptos" w:cs="Arial"/>
          <w:noProof/>
          <w:sz w:val="22"/>
          <w:lang w:val="en-US"/>
        </w:rPr>
      </w:pPr>
    </w:p>
    <w:p w14:paraId="33186839" w14:textId="4F069F6F" w:rsidR="00DB479D" w:rsidRDefault="00DB479D" w:rsidP="00DB479D">
      <w:pPr>
        <w:spacing w:before="0" w:after="160"/>
        <w:ind w:left="720" w:hanging="720"/>
        <w:rPr>
          <w:rFonts w:eastAsia="Aptos" w:cs="Arial"/>
          <w:noProof/>
          <w:sz w:val="22"/>
          <w:lang w:val="en-US"/>
        </w:rPr>
      </w:pPr>
      <w:r w:rsidRPr="00DB479D">
        <w:rPr>
          <w:rFonts w:eastAsia="Aptos" w:cs="Arial"/>
          <w:noProof/>
          <w:sz w:val="22"/>
          <w:lang w:val="en-US"/>
        </w:rPr>
        <w:t xml:space="preserve">O'Hare, K., Watkeys, O., Whitten, T., Dean, K., Laurens, K. R., Harris, F., Carr, V. J., &amp; Green, M. J. (2023). Cumulative environmental risk in early life is associated with mental disorders in childhood. </w:t>
      </w:r>
      <w:r w:rsidRPr="00DB479D">
        <w:rPr>
          <w:rFonts w:eastAsia="Aptos" w:cs="Arial"/>
          <w:i/>
          <w:noProof/>
          <w:sz w:val="22"/>
          <w:lang w:val="en-US"/>
        </w:rPr>
        <w:t>Psychological Medicine</w:t>
      </w:r>
      <w:r w:rsidRPr="00DB479D">
        <w:rPr>
          <w:rFonts w:eastAsia="Aptos" w:cs="Arial"/>
          <w:noProof/>
          <w:sz w:val="22"/>
          <w:lang w:val="en-US"/>
        </w:rPr>
        <w:t>,</w:t>
      </w:r>
      <w:r w:rsidRPr="00DB479D">
        <w:rPr>
          <w:rFonts w:eastAsia="Aptos" w:cs="Arial"/>
          <w:i/>
          <w:noProof/>
          <w:sz w:val="22"/>
          <w:lang w:val="en-US"/>
        </w:rPr>
        <w:t xml:space="preserve"> 53</w:t>
      </w:r>
      <w:r w:rsidRPr="00DB479D">
        <w:rPr>
          <w:rFonts w:eastAsia="Aptos" w:cs="Arial"/>
          <w:noProof/>
          <w:sz w:val="22"/>
          <w:lang w:val="en-US"/>
        </w:rPr>
        <w:t xml:space="preserve">(10), 4762-4771. </w:t>
      </w:r>
      <w:hyperlink r:id="rId495" w:history="1">
        <w:r w:rsidR="00F15D5F" w:rsidRPr="00DB479D">
          <w:rPr>
            <w:rStyle w:val="Hyperlink"/>
            <w:rFonts w:eastAsia="Aptos" w:cs="Arial"/>
            <w:noProof/>
            <w:sz w:val="22"/>
            <w:lang w:val="en-US"/>
          </w:rPr>
          <w:t>https://doi.org/10.1017/S0033291722001702</w:t>
        </w:r>
      </w:hyperlink>
      <w:r w:rsidRPr="00DB479D">
        <w:rPr>
          <w:rFonts w:eastAsia="Aptos" w:cs="Arial"/>
          <w:noProof/>
          <w:sz w:val="22"/>
          <w:lang w:val="en-US"/>
        </w:rPr>
        <w:t xml:space="preserve"> </w:t>
      </w:r>
    </w:p>
    <w:p w14:paraId="583CEF4C" w14:textId="77777777" w:rsidR="00F15D5F" w:rsidRPr="00DB479D" w:rsidRDefault="00F15D5F" w:rsidP="00DB479D">
      <w:pPr>
        <w:spacing w:before="0" w:after="160"/>
        <w:ind w:left="720" w:hanging="720"/>
        <w:rPr>
          <w:rFonts w:eastAsia="Aptos" w:cs="Arial"/>
          <w:noProof/>
          <w:sz w:val="22"/>
          <w:lang w:val="en-US"/>
        </w:rPr>
      </w:pPr>
    </w:p>
    <w:p w14:paraId="23AF6708" w14:textId="5D5D85F9" w:rsidR="00E72529" w:rsidRPr="00E72529" w:rsidRDefault="00E72529" w:rsidP="00E72529">
      <w:pPr>
        <w:spacing w:before="0" w:after="160"/>
        <w:ind w:left="720" w:hanging="720"/>
        <w:rPr>
          <w:rFonts w:eastAsia="Aptos" w:cs="Arial"/>
          <w:noProof/>
          <w:sz w:val="22"/>
          <w:lang w:val="en-US"/>
        </w:rPr>
      </w:pPr>
      <w:r w:rsidRPr="00E72529">
        <w:rPr>
          <w:rFonts w:eastAsia="Aptos" w:cs="Arial"/>
          <w:noProof/>
          <w:sz w:val="22"/>
          <w:lang w:val="en-US"/>
        </w:rPr>
        <w:t xml:space="preserve">OCEBM Levels of Evidence Working Group. (2011). </w:t>
      </w:r>
      <w:r w:rsidRPr="00E72529">
        <w:rPr>
          <w:rFonts w:eastAsia="Aptos" w:cs="Arial"/>
          <w:i/>
          <w:noProof/>
          <w:sz w:val="22"/>
          <w:lang w:val="en-US"/>
        </w:rPr>
        <w:t>The Oxford 2011 Levels of Evidence.</w:t>
      </w:r>
      <w:r w:rsidRPr="00E72529">
        <w:rPr>
          <w:rFonts w:eastAsia="Aptos" w:cs="Arial"/>
          <w:noProof/>
          <w:sz w:val="22"/>
          <w:lang w:val="en-US"/>
        </w:rPr>
        <w:t xml:space="preserve"> Oxford Centre for Evidence-Based Medicine. Retrieved 6 September, 2024 from </w:t>
      </w:r>
      <w:hyperlink r:id="rId496" w:history="1">
        <w:r w:rsidR="00090188" w:rsidRPr="00E72529">
          <w:rPr>
            <w:rStyle w:val="Hyperlink"/>
            <w:rFonts w:eastAsia="Aptos" w:cs="Arial"/>
            <w:noProof/>
            <w:sz w:val="22"/>
            <w:lang w:val="en-US"/>
          </w:rPr>
          <w:t>http://www.cebm.net/index.aspx?o=5653</w:t>
        </w:r>
      </w:hyperlink>
      <w:r w:rsidR="00090188">
        <w:rPr>
          <w:rFonts w:eastAsia="Aptos" w:cs="Arial"/>
          <w:noProof/>
          <w:sz w:val="22"/>
          <w:lang w:val="en-US"/>
        </w:rPr>
        <w:t xml:space="preserve"> </w:t>
      </w:r>
    </w:p>
    <w:p w14:paraId="1B10538F" w14:textId="77777777" w:rsidR="00E72529" w:rsidRPr="00E72529" w:rsidRDefault="00E72529" w:rsidP="00E72529">
      <w:pPr>
        <w:spacing w:before="0" w:after="0"/>
        <w:ind w:left="720" w:hanging="720"/>
        <w:rPr>
          <w:rFonts w:eastAsia="Aptos" w:cs="Arial"/>
          <w:noProof/>
          <w:sz w:val="22"/>
          <w:lang w:val="en-US"/>
        </w:rPr>
      </w:pPr>
      <w:r w:rsidRPr="00E72529">
        <w:rPr>
          <w:rFonts w:eastAsia="Aptos" w:cs="Arial"/>
          <w:noProof/>
          <w:sz w:val="22"/>
          <w:lang w:val="en-US"/>
        </w:rPr>
        <w:tab/>
      </w:r>
    </w:p>
    <w:p w14:paraId="5C624A86" w14:textId="17482613" w:rsidR="00E72529" w:rsidRPr="00E72529" w:rsidRDefault="00E72529" w:rsidP="00E72529">
      <w:pPr>
        <w:spacing w:before="0" w:after="160"/>
        <w:ind w:left="720" w:hanging="720"/>
        <w:rPr>
          <w:rFonts w:eastAsia="Aptos" w:cs="Arial"/>
          <w:noProof/>
          <w:sz w:val="22"/>
          <w:lang w:val="en-US"/>
        </w:rPr>
      </w:pPr>
      <w:r w:rsidRPr="00E72529">
        <w:rPr>
          <w:rFonts w:eastAsia="Aptos" w:cs="Arial"/>
          <w:noProof/>
          <w:sz w:val="22"/>
          <w:lang w:val="en-US"/>
        </w:rPr>
        <w:t xml:space="preserve">Odom, S. L. (2009). The tie that binds: Evidence-based practice, implementation science, and outcomes for children. </w:t>
      </w:r>
      <w:r w:rsidRPr="00E72529">
        <w:rPr>
          <w:rFonts w:eastAsia="Aptos" w:cs="Arial"/>
          <w:i/>
          <w:noProof/>
          <w:sz w:val="22"/>
          <w:lang w:val="en-US"/>
        </w:rPr>
        <w:t>Topics in Early Childhood Special Education</w:t>
      </w:r>
      <w:r w:rsidRPr="00E72529">
        <w:rPr>
          <w:rFonts w:eastAsia="Aptos" w:cs="Arial"/>
          <w:noProof/>
          <w:sz w:val="22"/>
          <w:lang w:val="en-US"/>
        </w:rPr>
        <w:t>,</w:t>
      </w:r>
      <w:r w:rsidRPr="00E72529">
        <w:rPr>
          <w:rFonts w:eastAsia="Aptos" w:cs="Arial"/>
          <w:i/>
          <w:noProof/>
          <w:sz w:val="22"/>
          <w:lang w:val="en-US"/>
        </w:rPr>
        <w:t xml:space="preserve"> 29</w:t>
      </w:r>
      <w:r w:rsidRPr="00E72529">
        <w:rPr>
          <w:rFonts w:eastAsia="Aptos" w:cs="Arial"/>
          <w:noProof/>
          <w:sz w:val="22"/>
          <w:lang w:val="en-US"/>
        </w:rPr>
        <w:t xml:space="preserve">(1), 53-61. </w:t>
      </w:r>
      <w:hyperlink r:id="rId497" w:history="1">
        <w:r w:rsidR="00090188" w:rsidRPr="00E72529">
          <w:rPr>
            <w:rStyle w:val="Hyperlink"/>
            <w:rFonts w:eastAsia="Aptos" w:cs="Arial"/>
            <w:noProof/>
            <w:sz w:val="22"/>
            <w:lang w:val="en-US"/>
          </w:rPr>
          <w:t>https://doi.org/10.1177/0271121408329171</w:t>
        </w:r>
      </w:hyperlink>
      <w:r w:rsidR="00090188">
        <w:rPr>
          <w:rFonts w:eastAsia="Aptos" w:cs="Arial"/>
          <w:noProof/>
          <w:sz w:val="22"/>
          <w:lang w:val="en-US"/>
        </w:rPr>
        <w:t xml:space="preserve"> </w:t>
      </w:r>
      <w:r w:rsidRPr="00E72529">
        <w:rPr>
          <w:rFonts w:eastAsia="Aptos" w:cs="Arial"/>
          <w:noProof/>
          <w:sz w:val="22"/>
          <w:lang w:val="en-US"/>
        </w:rPr>
        <w:t xml:space="preserve"> </w:t>
      </w:r>
    </w:p>
    <w:p w14:paraId="41D1CBA6" w14:textId="77777777" w:rsidR="00E72529" w:rsidRPr="00E72529" w:rsidRDefault="00E72529" w:rsidP="00E72529">
      <w:pPr>
        <w:spacing w:before="0" w:after="0"/>
        <w:ind w:left="720" w:hanging="720"/>
        <w:rPr>
          <w:rFonts w:eastAsia="Aptos" w:cs="Arial"/>
          <w:noProof/>
          <w:sz w:val="22"/>
          <w:lang w:val="en-US"/>
        </w:rPr>
      </w:pPr>
      <w:r w:rsidRPr="00E72529">
        <w:rPr>
          <w:rFonts w:eastAsia="Aptos" w:cs="Arial"/>
          <w:noProof/>
          <w:sz w:val="22"/>
          <w:lang w:val="en-US"/>
        </w:rPr>
        <w:tab/>
      </w:r>
    </w:p>
    <w:p w14:paraId="287E7865" w14:textId="77777777" w:rsidR="00E72529" w:rsidRPr="00E72529" w:rsidRDefault="00E72529" w:rsidP="00E72529">
      <w:pPr>
        <w:spacing w:before="0" w:after="160"/>
        <w:ind w:left="720" w:hanging="720"/>
        <w:rPr>
          <w:rFonts w:eastAsia="Aptos" w:cs="Arial"/>
          <w:noProof/>
          <w:sz w:val="22"/>
          <w:lang w:val="en-US"/>
        </w:rPr>
      </w:pPr>
      <w:r w:rsidRPr="00E72529">
        <w:rPr>
          <w:rFonts w:eastAsia="Aptos" w:cs="Arial"/>
          <w:noProof/>
          <w:sz w:val="22"/>
          <w:lang w:val="en-US"/>
        </w:rPr>
        <w:t xml:space="preserve">Odom, S. L. (2016). The role of theory in early childhood special education and early intervention. In B. Reichow, B. Boyd, E. Barton, &amp; S. Odom (Eds.), </w:t>
      </w:r>
      <w:r w:rsidRPr="00E72529">
        <w:rPr>
          <w:rFonts w:eastAsia="Aptos" w:cs="Arial"/>
          <w:i/>
          <w:noProof/>
          <w:sz w:val="22"/>
          <w:lang w:val="en-US"/>
        </w:rPr>
        <w:t>Handbook of early childhood special education</w:t>
      </w:r>
      <w:r w:rsidRPr="00E72529">
        <w:rPr>
          <w:rFonts w:eastAsia="Aptos" w:cs="Arial"/>
          <w:noProof/>
          <w:sz w:val="22"/>
          <w:lang w:val="en-US"/>
        </w:rPr>
        <w:t xml:space="preserve"> (pp. 21-36). Cham, Switzerland: Springer. </w:t>
      </w:r>
    </w:p>
    <w:p w14:paraId="16DD9369" w14:textId="77777777" w:rsidR="00E72529" w:rsidRPr="00E72529" w:rsidRDefault="00E72529" w:rsidP="00E72529">
      <w:pPr>
        <w:spacing w:before="0" w:after="0"/>
        <w:ind w:left="720" w:hanging="720"/>
        <w:rPr>
          <w:rFonts w:eastAsia="Aptos" w:cs="Arial"/>
          <w:noProof/>
          <w:sz w:val="22"/>
          <w:lang w:val="en-US"/>
        </w:rPr>
      </w:pPr>
      <w:r w:rsidRPr="00E72529">
        <w:rPr>
          <w:rFonts w:eastAsia="Aptos" w:cs="Arial"/>
          <w:noProof/>
          <w:sz w:val="22"/>
          <w:lang w:val="en-US"/>
        </w:rPr>
        <w:tab/>
      </w:r>
    </w:p>
    <w:p w14:paraId="4D6CD904" w14:textId="172E9DC8" w:rsidR="00E72529" w:rsidRPr="00E72529" w:rsidRDefault="00E72529" w:rsidP="00E72529">
      <w:pPr>
        <w:spacing w:before="0" w:after="160"/>
        <w:ind w:left="720" w:hanging="720"/>
        <w:rPr>
          <w:rFonts w:eastAsia="Aptos" w:cs="Arial"/>
          <w:noProof/>
          <w:sz w:val="22"/>
          <w:lang w:val="en-US"/>
        </w:rPr>
      </w:pPr>
      <w:r w:rsidRPr="00E72529">
        <w:rPr>
          <w:rFonts w:eastAsia="Aptos" w:cs="Arial"/>
          <w:noProof/>
          <w:sz w:val="22"/>
          <w:lang w:val="en-US"/>
        </w:rPr>
        <w:t xml:space="preserve">Odom, S. L., Brantlinger, E., Gersten, R., Horner, R. H., Thompson, B., &amp; Harris, K. R. (2005). Research in special education: Scientific methods and evidence-based practices. </w:t>
      </w:r>
      <w:r w:rsidRPr="00E72529">
        <w:rPr>
          <w:rFonts w:eastAsia="Aptos" w:cs="Arial"/>
          <w:i/>
          <w:noProof/>
          <w:sz w:val="22"/>
          <w:lang w:val="en-US"/>
        </w:rPr>
        <w:t>Exceptional Children</w:t>
      </w:r>
      <w:r w:rsidRPr="00E72529">
        <w:rPr>
          <w:rFonts w:eastAsia="Aptos" w:cs="Arial"/>
          <w:noProof/>
          <w:sz w:val="22"/>
          <w:lang w:val="en-US"/>
        </w:rPr>
        <w:t>,</w:t>
      </w:r>
      <w:r w:rsidRPr="00E72529">
        <w:rPr>
          <w:rFonts w:eastAsia="Aptos" w:cs="Arial"/>
          <w:i/>
          <w:noProof/>
          <w:sz w:val="22"/>
          <w:lang w:val="en-US"/>
        </w:rPr>
        <w:t xml:space="preserve"> 71</w:t>
      </w:r>
      <w:r w:rsidRPr="00E72529">
        <w:rPr>
          <w:rFonts w:eastAsia="Aptos" w:cs="Arial"/>
          <w:noProof/>
          <w:sz w:val="22"/>
          <w:lang w:val="en-US"/>
        </w:rPr>
        <w:t xml:space="preserve">(2), 137-148. </w:t>
      </w:r>
      <w:hyperlink r:id="rId498" w:history="1">
        <w:r w:rsidR="00090188" w:rsidRPr="00E72529">
          <w:rPr>
            <w:rStyle w:val="Hyperlink"/>
            <w:rFonts w:eastAsia="Aptos" w:cs="Arial"/>
            <w:noProof/>
            <w:sz w:val="22"/>
            <w:lang w:val="en-US"/>
          </w:rPr>
          <w:t>https://doi.org/10.1177/001440290507100201</w:t>
        </w:r>
      </w:hyperlink>
      <w:r w:rsidR="00090188">
        <w:rPr>
          <w:rFonts w:eastAsia="Aptos" w:cs="Arial"/>
          <w:noProof/>
          <w:sz w:val="22"/>
          <w:lang w:val="en-US"/>
        </w:rPr>
        <w:t xml:space="preserve"> </w:t>
      </w:r>
      <w:r w:rsidRPr="00E72529">
        <w:rPr>
          <w:rFonts w:eastAsia="Aptos" w:cs="Arial"/>
          <w:noProof/>
          <w:sz w:val="22"/>
          <w:lang w:val="en-US"/>
        </w:rPr>
        <w:t xml:space="preserve"> </w:t>
      </w:r>
    </w:p>
    <w:p w14:paraId="63CE5F4B" w14:textId="77777777" w:rsidR="00E72529" w:rsidRPr="00E72529" w:rsidRDefault="00E72529" w:rsidP="00E72529">
      <w:pPr>
        <w:spacing w:before="0" w:after="0"/>
        <w:ind w:left="720" w:hanging="720"/>
        <w:rPr>
          <w:rFonts w:eastAsia="Aptos" w:cs="Arial"/>
          <w:noProof/>
          <w:sz w:val="22"/>
          <w:lang w:val="en-US"/>
        </w:rPr>
      </w:pPr>
      <w:r w:rsidRPr="00E72529">
        <w:rPr>
          <w:rFonts w:eastAsia="Aptos" w:cs="Arial"/>
          <w:noProof/>
          <w:sz w:val="22"/>
          <w:lang w:val="en-US"/>
        </w:rPr>
        <w:tab/>
      </w:r>
    </w:p>
    <w:p w14:paraId="7F2AAF36" w14:textId="7FBD3C68" w:rsidR="00E72529" w:rsidRDefault="00E72529" w:rsidP="00E72529">
      <w:pPr>
        <w:spacing w:before="0" w:after="160"/>
        <w:ind w:left="720" w:hanging="720"/>
        <w:rPr>
          <w:rFonts w:eastAsia="Aptos" w:cs="Arial"/>
          <w:noProof/>
          <w:sz w:val="22"/>
          <w:lang w:val="en-US"/>
        </w:rPr>
      </w:pPr>
      <w:r w:rsidRPr="00E72529">
        <w:rPr>
          <w:rFonts w:eastAsia="Aptos" w:cs="Arial"/>
          <w:noProof/>
          <w:sz w:val="22"/>
          <w:lang w:val="en-US"/>
        </w:rPr>
        <w:t xml:space="preserve">Odom, S. L., Cox, A., Sideris, J., Hume, K. A., Hedges, S., Kucharczyk, S., Shaw, E., Boyd, B. A., Reszka, S., &amp; Neitzel, J. (2018). Assessing quality of program environments for children and youth with autism: Autism Program Environment Rating Scale (APERS). </w:t>
      </w:r>
      <w:r w:rsidRPr="00E72529">
        <w:rPr>
          <w:rFonts w:eastAsia="Aptos" w:cs="Arial"/>
          <w:i/>
          <w:noProof/>
          <w:sz w:val="22"/>
          <w:lang w:val="en-US"/>
        </w:rPr>
        <w:t>Journal of Autism and Developmental Disorders</w:t>
      </w:r>
      <w:r w:rsidRPr="00E72529">
        <w:rPr>
          <w:rFonts w:eastAsia="Aptos" w:cs="Arial"/>
          <w:noProof/>
          <w:sz w:val="22"/>
          <w:lang w:val="en-US"/>
        </w:rPr>
        <w:t>,</w:t>
      </w:r>
      <w:r w:rsidRPr="00E72529">
        <w:rPr>
          <w:rFonts w:eastAsia="Aptos" w:cs="Arial"/>
          <w:i/>
          <w:noProof/>
          <w:sz w:val="22"/>
          <w:lang w:val="en-US"/>
        </w:rPr>
        <w:t xml:space="preserve"> 48</w:t>
      </w:r>
      <w:r w:rsidRPr="00E72529">
        <w:rPr>
          <w:rFonts w:eastAsia="Aptos" w:cs="Arial"/>
          <w:noProof/>
          <w:sz w:val="22"/>
          <w:lang w:val="en-US"/>
        </w:rPr>
        <w:t xml:space="preserve">(3), 913-924. </w:t>
      </w:r>
      <w:hyperlink r:id="rId499" w:history="1">
        <w:r w:rsidR="00F15D5F" w:rsidRPr="00E72529">
          <w:rPr>
            <w:rStyle w:val="Hyperlink"/>
            <w:rFonts w:eastAsia="Aptos" w:cs="Arial"/>
            <w:noProof/>
            <w:sz w:val="22"/>
            <w:lang w:val="en-US"/>
          </w:rPr>
          <w:t>https://doi.org/10.1007/s10803-017-3379-7</w:t>
        </w:r>
      </w:hyperlink>
      <w:r w:rsidRPr="00E72529">
        <w:rPr>
          <w:rFonts w:eastAsia="Aptos" w:cs="Arial"/>
          <w:noProof/>
          <w:sz w:val="22"/>
          <w:lang w:val="en-US"/>
        </w:rPr>
        <w:t xml:space="preserve"> </w:t>
      </w:r>
    </w:p>
    <w:p w14:paraId="2F45D824" w14:textId="77777777" w:rsidR="00F15D5F" w:rsidRPr="00E72529" w:rsidRDefault="00F15D5F" w:rsidP="00E72529">
      <w:pPr>
        <w:spacing w:before="0" w:after="160"/>
        <w:ind w:left="720" w:hanging="720"/>
        <w:rPr>
          <w:rFonts w:eastAsia="Aptos" w:cs="Arial"/>
          <w:noProof/>
          <w:sz w:val="22"/>
          <w:lang w:val="en-US"/>
        </w:rPr>
      </w:pPr>
    </w:p>
    <w:p w14:paraId="1277EA63" w14:textId="67FF673C" w:rsidR="00D358F9" w:rsidRPr="00D358F9" w:rsidRDefault="00D358F9" w:rsidP="00D358F9">
      <w:pPr>
        <w:spacing w:before="0" w:after="160"/>
        <w:ind w:left="720" w:hanging="720"/>
        <w:rPr>
          <w:rFonts w:eastAsia="Aptos" w:cs="Arial"/>
          <w:noProof/>
          <w:sz w:val="22"/>
          <w:lang w:val="en-US"/>
        </w:rPr>
      </w:pPr>
      <w:r w:rsidRPr="00D358F9">
        <w:rPr>
          <w:rFonts w:eastAsia="Aptos" w:cs="Arial"/>
          <w:noProof/>
          <w:sz w:val="22"/>
          <w:lang w:val="en-US"/>
        </w:rPr>
        <w:t xml:space="preserve">Olusanya, B. O., Halpern, R., Cheung, V. G., Nair, M., Boo, N. Y., Hadders-Algra, M., &amp; Global Research on Developmental Disabilities Collaborators. (2022). Disability in children: a global problem needing a well-coordinated global action. </w:t>
      </w:r>
      <w:r w:rsidRPr="00D358F9">
        <w:rPr>
          <w:rFonts w:eastAsia="Aptos" w:cs="Arial"/>
          <w:i/>
          <w:noProof/>
          <w:sz w:val="22"/>
          <w:lang w:val="en-US"/>
        </w:rPr>
        <w:t>BMJ paediatrics open</w:t>
      </w:r>
      <w:r w:rsidRPr="00D358F9">
        <w:rPr>
          <w:rFonts w:eastAsia="Aptos" w:cs="Arial"/>
          <w:noProof/>
          <w:sz w:val="22"/>
          <w:lang w:val="en-US"/>
        </w:rPr>
        <w:t>,</w:t>
      </w:r>
      <w:r w:rsidRPr="00D358F9">
        <w:rPr>
          <w:rFonts w:eastAsia="Aptos" w:cs="Arial"/>
          <w:i/>
          <w:noProof/>
          <w:sz w:val="22"/>
          <w:lang w:val="en-US"/>
        </w:rPr>
        <w:t xml:space="preserve"> 6</w:t>
      </w:r>
      <w:r w:rsidRPr="00D358F9">
        <w:rPr>
          <w:rFonts w:eastAsia="Aptos" w:cs="Arial"/>
          <w:noProof/>
          <w:sz w:val="22"/>
          <w:lang w:val="en-US"/>
        </w:rPr>
        <w:t xml:space="preserve">(1), e001397. </w:t>
      </w:r>
      <w:hyperlink r:id="rId500" w:history="1">
        <w:r w:rsidR="00090188" w:rsidRPr="00D358F9">
          <w:rPr>
            <w:rStyle w:val="Hyperlink"/>
            <w:rFonts w:eastAsia="Aptos" w:cs="Arial"/>
            <w:noProof/>
            <w:sz w:val="22"/>
            <w:lang w:val="en-US"/>
          </w:rPr>
          <w:t>https://doi.org/10.1136/bmjpo-2021-001397</w:t>
        </w:r>
      </w:hyperlink>
      <w:r w:rsidR="00090188">
        <w:rPr>
          <w:rFonts w:eastAsia="Aptos" w:cs="Arial"/>
          <w:noProof/>
          <w:sz w:val="22"/>
          <w:lang w:val="en-US"/>
        </w:rPr>
        <w:t xml:space="preserve"> </w:t>
      </w:r>
      <w:r w:rsidRPr="00D358F9">
        <w:rPr>
          <w:rFonts w:eastAsia="Aptos" w:cs="Arial"/>
          <w:noProof/>
          <w:sz w:val="22"/>
          <w:lang w:val="en-US"/>
        </w:rPr>
        <w:t xml:space="preserve"> </w:t>
      </w:r>
    </w:p>
    <w:p w14:paraId="1D678BE5" w14:textId="77777777" w:rsidR="00D358F9" w:rsidRPr="00D358F9" w:rsidRDefault="00D358F9" w:rsidP="00D358F9">
      <w:pPr>
        <w:spacing w:before="0" w:after="0"/>
        <w:ind w:left="720" w:hanging="720"/>
        <w:rPr>
          <w:rFonts w:eastAsia="Aptos" w:cs="Arial"/>
          <w:noProof/>
          <w:sz w:val="22"/>
          <w:lang w:val="en-US"/>
        </w:rPr>
      </w:pPr>
      <w:r w:rsidRPr="00D358F9">
        <w:rPr>
          <w:rFonts w:eastAsia="Aptos" w:cs="Arial"/>
          <w:noProof/>
          <w:sz w:val="22"/>
          <w:lang w:val="en-US"/>
        </w:rPr>
        <w:tab/>
      </w:r>
    </w:p>
    <w:p w14:paraId="286E7EF3" w14:textId="61DEFFBC" w:rsidR="00D358F9" w:rsidRPr="00D358F9" w:rsidRDefault="00D358F9" w:rsidP="00D358F9">
      <w:pPr>
        <w:spacing w:before="0" w:after="160"/>
        <w:ind w:left="720" w:hanging="720"/>
        <w:rPr>
          <w:rFonts w:eastAsia="Aptos" w:cs="Arial"/>
          <w:noProof/>
          <w:sz w:val="22"/>
          <w:lang w:val="en-US"/>
        </w:rPr>
      </w:pPr>
      <w:r w:rsidRPr="00D358F9">
        <w:rPr>
          <w:rFonts w:eastAsia="Aptos" w:cs="Arial"/>
          <w:noProof/>
          <w:sz w:val="22"/>
          <w:lang w:val="en-US"/>
        </w:rPr>
        <w:t xml:space="preserve">Olusanya, B. O., Storbeck, C., Cheung, V. G., &amp; Hadders-Algra, M. (2023). Disabilities in early childhood: A global health perspective. </w:t>
      </w:r>
      <w:r w:rsidRPr="00D358F9">
        <w:rPr>
          <w:rFonts w:eastAsia="Aptos" w:cs="Arial"/>
          <w:i/>
          <w:noProof/>
          <w:sz w:val="22"/>
          <w:lang w:val="en-US"/>
        </w:rPr>
        <w:t>Children</w:t>
      </w:r>
      <w:r w:rsidRPr="00D358F9">
        <w:rPr>
          <w:rFonts w:eastAsia="Aptos" w:cs="Arial"/>
          <w:noProof/>
          <w:sz w:val="22"/>
          <w:lang w:val="en-US"/>
        </w:rPr>
        <w:t>,</w:t>
      </w:r>
      <w:r w:rsidRPr="00D358F9">
        <w:rPr>
          <w:rFonts w:eastAsia="Aptos" w:cs="Arial"/>
          <w:i/>
          <w:noProof/>
          <w:sz w:val="22"/>
          <w:lang w:val="en-US"/>
        </w:rPr>
        <w:t xml:space="preserve"> 10</w:t>
      </w:r>
      <w:r w:rsidRPr="00D358F9">
        <w:rPr>
          <w:rFonts w:eastAsia="Aptos" w:cs="Arial"/>
          <w:noProof/>
          <w:sz w:val="22"/>
          <w:lang w:val="en-US"/>
        </w:rPr>
        <w:t xml:space="preserve">(1), 155. </w:t>
      </w:r>
      <w:hyperlink r:id="rId501" w:history="1">
        <w:r w:rsidR="00090188" w:rsidRPr="00D358F9">
          <w:rPr>
            <w:rStyle w:val="Hyperlink"/>
            <w:rFonts w:eastAsia="Aptos" w:cs="Arial"/>
            <w:noProof/>
            <w:sz w:val="22"/>
            <w:lang w:val="en-US"/>
          </w:rPr>
          <w:t>https://doi.org/10.3390/children10010155</w:t>
        </w:r>
      </w:hyperlink>
      <w:r w:rsidR="00090188">
        <w:rPr>
          <w:rFonts w:eastAsia="Aptos" w:cs="Arial"/>
          <w:noProof/>
          <w:sz w:val="22"/>
          <w:lang w:val="en-US"/>
        </w:rPr>
        <w:t xml:space="preserve"> </w:t>
      </w:r>
      <w:r w:rsidRPr="00D358F9">
        <w:rPr>
          <w:rFonts w:eastAsia="Aptos" w:cs="Arial"/>
          <w:noProof/>
          <w:sz w:val="22"/>
          <w:lang w:val="en-US"/>
        </w:rPr>
        <w:t xml:space="preserve"> </w:t>
      </w:r>
    </w:p>
    <w:p w14:paraId="3208F0F1" w14:textId="77777777" w:rsidR="00D358F9" w:rsidRPr="00D358F9" w:rsidRDefault="00D358F9" w:rsidP="00D358F9">
      <w:pPr>
        <w:spacing w:before="0" w:after="0"/>
        <w:ind w:left="720" w:hanging="720"/>
        <w:rPr>
          <w:rFonts w:eastAsia="Aptos" w:cs="Arial"/>
          <w:noProof/>
          <w:sz w:val="22"/>
          <w:lang w:val="en-US"/>
        </w:rPr>
      </w:pPr>
      <w:r w:rsidRPr="00D358F9">
        <w:rPr>
          <w:rFonts w:eastAsia="Aptos" w:cs="Arial"/>
          <w:noProof/>
          <w:sz w:val="22"/>
          <w:lang w:val="en-US"/>
        </w:rPr>
        <w:tab/>
      </w:r>
    </w:p>
    <w:p w14:paraId="1C101E07" w14:textId="144F0BE7" w:rsidR="00D358F9" w:rsidRPr="00D358F9" w:rsidRDefault="00D358F9" w:rsidP="00D358F9">
      <w:pPr>
        <w:spacing w:before="0" w:after="160"/>
        <w:ind w:left="720" w:hanging="720"/>
        <w:rPr>
          <w:rFonts w:eastAsia="Aptos" w:cs="Arial"/>
          <w:noProof/>
          <w:sz w:val="22"/>
          <w:lang w:val="en-US"/>
        </w:rPr>
      </w:pPr>
      <w:r w:rsidRPr="00D358F9">
        <w:rPr>
          <w:rFonts w:eastAsia="Aptos" w:cs="Arial"/>
          <w:noProof/>
          <w:sz w:val="22"/>
          <w:lang w:val="it-IT"/>
        </w:rPr>
        <w:t xml:space="preserve">Olusanya, B. O., Wright, S. M., Smythe, T., Khetani, M. A., Moreno-Angarita, M., Gulati, S., Brinkman, S. A., Almasri, N. A., Figueiredo, M., &amp; Giudici, L. B. (2024). </w:t>
      </w:r>
      <w:r w:rsidRPr="00D358F9">
        <w:rPr>
          <w:rFonts w:eastAsia="Aptos" w:cs="Arial"/>
          <w:noProof/>
          <w:sz w:val="22"/>
          <w:lang w:val="en-US"/>
        </w:rPr>
        <w:t xml:space="preserve">Early childhood development strategy for the world’s children with disabilities. </w:t>
      </w:r>
      <w:r w:rsidRPr="00D358F9">
        <w:rPr>
          <w:rFonts w:eastAsia="Aptos" w:cs="Arial"/>
          <w:i/>
          <w:noProof/>
          <w:sz w:val="22"/>
          <w:lang w:val="en-US"/>
        </w:rPr>
        <w:t>Frontiers in Public Health</w:t>
      </w:r>
      <w:r w:rsidRPr="00D358F9">
        <w:rPr>
          <w:rFonts w:eastAsia="Aptos" w:cs="Arial"/>
          <w:noProof/>
          <w:sz w:val="22"/>
          <w:lang w:val="en-US"/>
        </w:rPr>
        <w:t>,</w:t>
      </w:r>
      <w:r w:rsidRPr="00D358F9">
        <w:rPr>
          <w:rFonts w:eastAsia="Aptos" w:cs="Arial"/>
          <w:i/>
          <w:noProof/>
          <w:sz w:val="22"/>
          <w:lang w:val="en-US"/>
        </w:rPr>
        <w:t xml:space="preserve"> 12</w:t>
      </w:r>
      <w:r w:rsidRPr="00D358F9">
        <w:rPr>
          <w:rFonts w:eastAsia="Aptos" w:cs="Arial"/>
          <w:noProof/>
          <w:sz w:val="22"/>
          <w:lang w:val="en-US"/>
        </w:rPr>
        <w:t xml:space="preserve">, 1390107. </w:t>
      </w:r>
      <w:hyperlink r:id="rId502" w:history="1">
        <w:r w:rsidR="00090188" w:rsidRPr="00D358F9">
          <w:rPr>
            <w:rStyle w:val="Hyperlink"/>
            <w:rFonts w:eastAsia="Aptos" w:cs="Arial"/>
            <w:noProof/>
            <w:sz w:val="22"/>
            <w:lang w:val="en-US"/>
          </w:rPr>
          <w:t>https://doi.org/10.3389/fpubh.2024.1390107</w:t>
        </w:r>
      </w:hyperlink>
      <w:r w:rsidR="00090188">
        <w:rPr>
          <w:rFonts w:eastAsia="Aptos" w:cs="Arial"/>
          <w:noProof/>
          <w:sz w:val="22"/>
          <w:lang w:val="en-US"/>
        </w:rPr>
        <w:t xml:space="preserve"> </w:t>
      </w:r>
      <w:r w:rsidRPr="00D358F9">
        <w:rPr>
          <w:rFonts w:eastAsia="Aptos" w:cs="Arial"/>
          <w:noProof/>
          <w:sz w:val="22"/>
          <w:lang w:val="en-US"/>
        </w:rPr>
        <w:t xml:space="preserve"> </w:t>
      </w:r>
    </w:p>
    <w:p w14:paraId="51FD8C00" w14:textId="77777777" w:rsidR="00135B36" w:rsidRPr="00075790" w:rsidRDefault="00135B36" w:rsidP="0030178D">
      <w:pPr>
        <w:pStyle w:val="EndNoteBibliography"/>
        <w:spacing w:after="0"/>
        <w:ind w:left="720" w:hanging="720"/>
      </w:pPr>
    </w:p>
    <w:p w14:paraId="50E1D10E" w14:textId="01DEE73B" w:rsidR="005F2E58" w:rsidRPr="005F2E58" w:rsidRDefault="005F2E58" w:rsidP="005F2E58">
      <w:pPr>
        <w:spacing w:before="0" w:after="160"/>
        <w:ind w:left="720" w:hanging="720"/>
        <w:rPr>
          <w:rFonts w:eastAsia="Aptos" w:cs="Arial"/>
          <w:noProof/>
          <w:sz w:val="22"/>
          <w:lang w:val="en-US"/>
        </w:rPr>
      </w:pPr>
      <w:r w:rsidRPr="005F2E58">
        <w:rPr>
          <w:rFonts w:eastAsia="Aptos" w:cs="Arial"/>
          <w:noProof/>
          <w:sz w:val="22"/>
          <w:lang w:val="en-US"/>
        </w:rPr>
        <w:t xml:space="preserve">Oreskovic, N. M., &amp; Cohen, E. (2024). Complexity plus: The importance of co-occurring conditions inchildren with medical complexity. </w:t>
      </w:r>
      <w:r w:rsidRPr="005F2E58">
        <w:rPr>
          <w:rFonts w:eastAsia="Aptos" w:cs="Arial"/>
          <w:i/>
          <w:noProof/>
          <w:sz w:val="22"/>
          <w:lang w:val="en-US"/>
        </w:rPr>
        <w:t>Pediatrics</w:t>
      </w:r>
      <w:r w:rsidRPr="005F2E58">
        <w:rPr>
          <w:rFonts w:eastAsia="Aptos" w:cs="Arial"/>
          <w:noProof/>
          <w:sz w:val="22"/>
          <w:lang w:val="en-US"/>
        </w:rPr>
        <w:t>,</w:t>
      </w:r>
      <w:r w:rsidRPr="005F2E58">
        <w:rPr>
          <w:rFonts w:eastAsia="Aptos" w:cs="Arial"/>
          <w:i/>
          <w:noProof/>
          <w:sz w:val="22"/>
          <w:lang w:val="en-US"/>
        </w:rPr>
        <w:t xml:space="preserve"> 154</w:t>
      </w:r>
      <w:r w:rsidRPr="005F2E58">
        <w:rPr>
          <w:rFonts w:eastAsia="Aptos" w:cs="Arial"/>
          <w:noProof/>
          <w:sz w:val="22"/>
          <w:lang w:val="en-US"/>
        </w:rPr>
        <w:t xml:space="preserve">(3). </w:t>
      </w:r>
      <w:hyperlink r:id="rId503" w:history="1">
        <w:r w:rsidR="00090188" w:rsidRPr="005F2E58">
          <w:rPr>
            <w:rStyle w:val="Hyperlink"/>
            <w:rFonts w:eastAsia="Aptos" w:cs="Arial"/>
            <w:noProof/>
            <w:sz w:val="22"/>
            <w:lang w:val="en-US"/>
          </w:rPr>
          <w:t>https://doi.org/10.1542/peds.2024-067259</w:t>
        </w:r>
      </w:hyperlink>
      <w:r w:rsidR="00090188">
        <w:rPr>
          <w:rFonts w:eastAsia="Aptos" w:cs="Arial"/>
          <w:noProof/>
          <w:sz w:val="22"/>
          <w:lang w:val="en-US"/>
        </w:rPr>
        <w:t xml:space="preserve"> </w:t>
      </w:r>
      <w:r w:rsidRPr="005F2E58">
        <w:rPr>
          <w:rFonts w:eastAsia="Aptos" w:cs="Arial"/>
          <w:noProof/>
          <w:sz w:val="22"/>
          <w:lang w:val="en-US"/>
        </w:rPr>
        <w:t xml:space="preserve"> </w:t>
      </w:r>
    </w:p>
    <w:p w14:paraId="5518796D" w14:textId="60411D5A" w:rsidR="00C34B29" w:rsidRPr="00075790" w:rsidRDefault="00C34B29" w:rsidP="0030178D">
      <w:pPr>
        <w:pStyle w:val="EndNoteBibliography"/>
        <w:spacing w:after="0"/>
        <w:ind w:left="720" w:hanging="720"/>
      </w:pPr>
    </w:p>
    <w:p w14:paraId="5AD55EB3" w14:textId="77777777" w:rsidR="005C435F" w:rsidRPr="005C435F" w:rsidRDefault="005C435F" w:rsidP="005C435F">
      <w:pPr>
        <w:spacing w:before="0" w:after="160"/>
        <w:ind w:left="720" w:hanging="720"/>
        <w:rPr>
          <w:rFonts w:eastAsia="Aptos" w:cs="Arial"/>
          <w:noProof/>
          <w:sz w:val="22"/>
          <w:lang w:val="en-US"/>
        </w:rPr>
      </w:pPr>
      <w:r w:rsidRPr="005C435F">
        <w:rPr>
          <w:rFonts w:eastAsia="Aptos" w:cs="Arial"/>
          <w:noProof/>
          <w:sz w:val="22"/>
          <w:lang w:val="en-US"/>
        </w:rPr>
        <w:t xml:space="preserve">Osher, D., Cantor, P., Berg, J., Steyer, L., &amp; Rose, T. (2021). Drivers of human development: How relationships and context shape learning and development 1. In </w:t>
      </w:r>
      <w:r w:rsidRPr="005C435F">
        <w:rPr>
          <w:rFonts w:eastAsia="Aptos" w:cs="Arial"/>
          <w:i/>
          <w:noProof/>
          <w:sz w:val="22"/>
          <w:lang w:val="en-US"/>
        </w:rPr>
        <w:t>The science of learning and development</w:t>
      </w:r>
      <w:r w:rsidRPr="005C435F">
        <w:rPr>
          <w:rFonts w:eastAsia="Aptos" w:cs="Arial"/>
          <w:noProof/>
          <w:sz w:val="22"/>
          <w:lang w:val="en-US"/>
        </w:rPr>
        <w:t xml:space="preserve"> (pp. 55-104). Routledge. </w:t>
      </w:r>
    </w:p>
    <w:p w14:paraId="5E530D8A" w14:textId="77777777" w:rsidR="00B022D5" w:rsidRPr="00075790" w:rsidRDefault="00B022D5" w:rsidP="0030178D">
      <w:pPr>
        <w:pStyle w:val="EndNoteBibliography"/>
        <w:spacing w:after="0"/>
        <w:ind w:left="720" w:hanging="720"/>
      </w:pPr>
    </w:p>
    <w:p w14:paraId="55C747EA" w14:textId="516C2BE3" w:rsidR="00825497" w:rsidRPr="00825497" w:rsidRDefault="00825497" w:rsidP="00825497">
      <w:pPr>
        <w:spacing w:before="0" w:after="160"/>
        <w:ind w:left="720" w:hanging="720"/>
        <w:rPr>
          <w:rFonts w:eastAsia="Aptos" w:cs="Arial"/>
          <w:noProof/>
          <w:sz w:val="22"/>
          <w:lang w:val="en-US"/>
        </w:rPr>
      </w:pPr>
      <w:r w:rsidRPr="00825497">
        <w:rPr>
          <w:rFonts w:eastAsia="Aptos" w:cs="Arial"/>
          <w:noProof/>
          <w:sz w:val="22"/>
          <w:lang w:val="en-US"/>
        </w:rPr>
        <w:t xml:space="preserve">Page, M. J., McKenzie, J. E., Bossuyt, P. M., Boutron, I., Hoffmann, T. C., Mulrow, C. D., Shamseer, L., Tetzlaff, J. M., Akl, E. A., Brennan, S. E., Chou, R., Glanville, J., Grimshaw, J. M., Hróbjartsson, A., Lalu, M. M., Li, T., Loder, E. W., Mayo-Wilson, E., McDonald, S., . . . Moher, D. (2021). The PRISMA 2020 statement: an updated guideline for reporting systematic reviews. </w:t>
      </w:r>
      <w:r w:rsidRPr="00825497">
        <w:rPr>
          <w:rFonts w:eastAsia="Aptos" w:cs="Arial"/>
          <w:i/>
          <w:noProof/>
          <w:sz w:val="22"/>
          <w:lang w:val="en-US"/>
        </w:rPr>
        <w:t>BMJ</w:t>
      </w:r>
      <w:r w:rsidRPr="00825497">
        <w:rPr>
          <w:rFonts w:eastAsia="Aptos" w:cs="Arial"/>
          <w:noProof/>
          <w:sz w:val="22"/>
          <w:lang w:val="en-US"/>
        </w:rPr>
        <w:t>,</w:t>
      </w:r>
      <w:r w:rsidRPr="00825497">
        <w:rPr>
          <w:rFonts w:eastAsia="Aptos" w:cs="Arial"/>
          <w:i/>
          <w:noProof/>
          <w:sz w:val="22"/>
          <w:lang w:val="en-US"/>
        </w:rPr>
        <w:t xml:space="preserve"> 372</w:t>
      </w:r>
      <w:r w:rsidRPr="00825497">
        <w:rPr>
          <w:rFonts w:eastAsia="Aptos" w:cs="Arial"/>
          <w:noProof/>
          <w:sz w:val="22"/>
          <w:lang w:val="en-US"/>
        </w:rPr>
        <w:t xml:space="preserve">, 1756-1833. </w:t>
      </w:r>
      <w:hyperlink r:id="rId504" w:history="1">
        <w:r w:rsidR="00090188" w:rsidRPr="00825497">
          <w:rPr>
            <w:rStyle w:val="Hyperlink"/>
            <w:rFonts w:eastAsia="Aptos" w:cs="Arial"/>
            <w:noProof/>
            <w:sz w:val="22"/>
            <w:lang w:val="en-US"/>
          </w:rPr>
          <w:t>https://doi.org/10.1136/bmj.n71</w:t>
        </w:r>
      </w:hyperlink>
      <w:r w:rsidR="00090188">
        <w:rPr>
          <w:rFonts w:eastAsia="Aptos" w:cs="Arial"/>
          <w:noProof/>
          <w:sz w:val="22"/>
          <w:lang w:val="en-US"/>
        </w:rPr>
        <w:t xml:space="preserve"> </w:t>
      </w:r>
      <w:r w:rsidRPr="00825497">
        <w:rPr>
          <w:rFonts w:eastAsia="Aptos" w:cs="Arial"/>
          <w:noProof/>
          <w:sz w:val="22"/>
          <w:lang w:val="en-US"/>
        </w:rPr>
        <w:t xml:space="preserve"> </w:t>
      </w:r>
    </w:p>
    <w:p w14:paraId="591EC608" w14:textId="77777777" w:rsidR="00825497" w:rsidRPr="00825497" w:rsidRDefault="00825497" w:rsidP="00825497">
      <w:pPr>
        <w:spacing w:before="0" w:after="0"/>
        <w:ind w:left="720" w:hanging="720"/>
        <w:rPr>
          <w:rFonts w:eastAsia="Aptos" w:cs="Arial"/>
          <w:noProof/>
          <w:sz w:val="22"/>
          <w:lang w:val="en-US"/>
        </w:rPr>
      </w:pPr>
      <w:r w:rsidRPr="00825497">
        <w:rPr>
          <w:rFonts w:eastAsia="Aptos" w:cs="Arial"/>
          <w:noProof/>
          <w:sz w:val="22"/>
          <w:lang w:val="en-US"/>
        </w:rPr>
        <w:tab/>
      </w:r>
    </w:p>
    <w:p w14:paraId="0C9FFB93" w14:textId="4E727049" w:rsidR="00825497" w:rsidRPr="00825497" w:rsidRDefault="00825497" w:rsidP="00825497">
      <w:pPr>
        <w:spacing w:before="0" w:after="160"/>
        <w:ind w:left="720" w:hanging="720"/>
        <w:rPr>
          <w:rFonts w:eastAsia="Aptos" w:cs="Arial"/>
          <w:noProof/>
          <w:sz w:val="22"/>
          <w:lang w:val="en-US"/>
        </w:rPr>
      </w:pPr>
      <w:r w:rsidRPr="00825497">
        <w:rPr>
          <w:rFonts w:eastAsia="Aptos" w:cs="Arial"/>
          <w:noProof/>
          <w:sz w:val="22"/>
          <w:lang w:val="en-US"/>
        </w:rPr>
        <w:t xml:space="preserve">Paithankar, A., &amp; Jaywant, S. (2018). Evaluating the efficacy of context-focused intervention in improving performance of functional tasks in preschool children with central nervous system dysfunction. </w:t>
      </w:r>
      <w:r w:rsidRPr="00825497">
        <w:rPr>
          <w:rFonts w:eastAsia="Aptos" w:cs="Arial"/>
          <w:i/>
          <w:noProof/>
          <w:sz w:val="22"/>
          <w:lang w:val="en-US"/>
        </w:rPr>
        <w:t>International Journal of Contemporary Pediatrics</w:t>
      </w:r>
      <w:r w:rsidRPr="00825497">
        <w:rPr>
          <w:rFonts w:eastAsia="Aptos" w:cs="Arial"/>
          <w:noProof/>
          <w:sz w:val="22"/>
          <w:lang w:val="en-US"/>
        </w:rPr>
        <w:t>,</w:t>
      </w:r>
      <w:r w:rsidRPr="00825497">
        <w:rPr>
          <w:rFonts w:eastAsia="Aptos" w:cs="Arial"/>
          <w:i/>
          <w:noProof/>
          <w:sz w:val="22"/>
          <w:lang w:val="en-US"/>
        </w:rPr>
        <w:t xml:space="preserve"> 5</w:t>
      </w:r>
      <w:r w:rsidRPr="00825497">
        <w:rPr>
          <w:rFonts w:eastAsia="Aptos" w:cs="Arial"/>
          <w:noProof/>
          <w:sz w:val="22"/>
          <w:lang w:val="en-US"/>
        </w:rPr>
        <w:t xml:space="preserve">(4), 1286-1293. </w:t>
      </w:r>
      <w:hyperlink r:id="rId505" w:history="1">
        <w:r w:rsidR="00090188" w:rsidRPr="00825497">
          <w:rPr>
            <w:rStyle w:val="Hyperlink"/>
            <w:rFonts w:eastAsia="Aptos" w:cs="Arial"/>
            <w:noProof/>
            <w:sz w:val="22"/>
            <w:lang w:val="en-US"/>
          </w:rPr>
          <w:t>https://doi.org/10.18203/2349-3291.ijcp20182421</w:t>
        </w:r>
      </w:hyperlink>
      <w:r w:rsidR="00090188">
        <w:rPr>
          <w:rFonts w:eastAsia="Aptos" w:cs="Arial"/>
          <w:noProof/>
          <w:sz w:val="22"/>
          <w:lang w:val="en-US"/>
        </w:rPr>
        <w:t xml:space="preserve"> </w:t>
      </w:r>
      <w:r w:rsidRPr="00825497">
        <w:rPr>
          <w:rFonts w:eastAsia="Aptos" w:cs="Arial"/>
          <w:noProof/>
          <w:sz w:val="22"/>
          <w:lang w:val="en-US"/>
        </w:rPr>
        <w:t xml:space="preserve"> </w:t>
      </w:r>
    </w:p>
    <w:p w14:paraId="7082E1A2" w14:textId="77777777" w:rsidR="00825497" w:rsidRPr="00825497" w:rsidRDefault="00825497" w:rsidP="00825497">
      <w:pPr>
        <w:spacing w:before="0" w:after="0"/>
        <w:ind w:left="720" w:hanging="720"/>
        <w:rPr>
          <w:rFonts w:eastAsia="Aptos" w:cs="Arial"/>
          <w:noProof/>
          <w:sz w:val="22"/>
          <w:lang w:val="en-US"/>
        </w:rPr>
      </w:pPr>
      <w:r w:rsidRPr="00825497">
        <w:rPr>
          <w:rFonts w:eastAsia="Aptos" w:cs="Arial"/>
          <w:noProof/>
          <w:sz w:val="22"/>
          <w:lang w:val="en-US"/>
        </w:rPr>
        <w:tab/>
      </w:r>
    </w:p>
    <w:p w14:paraId="6816FCA2" w14:textId="00108473" w:rsidR="00825497" w:rsidRPr="00825497" w:rsidRDefault="00825497" w:rsidP="00825497">
      <w:pPr>
        <w:spacing w:before="0" w:after="160"/>
        <w:ind w:left="720" w:hanging="720"/>
        <w:rPr>
          <w:rFonts w:eastAsia="Aptos" w:cs="Arial"/>
          <w:noProof/>
          <w:sz w:val="22"/>
          <w:lang w:val="en-US"/>
        </w:rPr>
      </w:pPr>
      <w:r w:rsidRPr="00825497">
        <w:rPr>
          <w:rFonts w:eastAsia="Aptos" w:cs="Arial"/>
          <w:noProof/>
          <w:sz w:val="22"/>
          <w:lang w:val="en-US"/>
        </w:rPr>
        <w:t>Palamaro Munsell, E., Kilmer, R. P., Cook, J. R., &amp; Reeve, C. L. (2012). The effects of caregiver social connections on caregiver, child, and family well</w:t>
      </w:r>
      <w:r w:rsidRPr="00825497">
        <w:rPr>
          <w:rFonts w:ascii="Cambria Math" w:eastAsia="Aptos" w:hAnsi="Cambria Math" w:cs="Cambria Math"/>
          <w:noProof/>
          <w:sz w:val="22"/>
          <w:lang w:val="en-US"/>
        </w:rPr>
        <w:t>‐</w:t>
      </w:r>
      <w:r w:rsidRPr="00825497">
        <w:rPr>
          <w:rFonts w:eastAsia="Aptos" w:cs="Arial"/>
          <w:noProof/>
          <w:sz w:val="22"/>
          <w:lang w:val="en-US"/>
        </w:rPr>
        <w:t xml:space="preserve">being. </w:t>
      </w:r>
      <w:r w:rsidRPr="00825497">
        <w:rPr>
          <w:rFonts w:eastAsia="Aptos" w:cs="Arial"/>
          <w:i/>
          <w:noProof/>
          <w:sz w:val="22"/>
          <w:lang w:val="en-US"/>
        </w:rPr>
        <w:t>American Journal of Orthopsychiatry</w:t>
      </w:r>
      <w:r w:rsidRPr="00825497">
        <w:rPr>
          <w:rFonts w:eastAsia="Aptos" w:cs="Arial"/>
          <w:noProof/>
          <w:sz w:val="22"/>
          <w:lang w:val="en-US"/>
        </w:rPr>
        <w:t>,</w:t>
      </w:r>
      <w:r w:rsidRPr="00825497">
        <w:rPr>
          <w:rFonts w:eastAsia="Aptos" w:cs="Arial"/>
          <w:i/>
          <w:noProof/>
          <w:sz w:val="22"/>
          <w:lang w:val="en-US"/>
        </w:rPr>
        <w:t xml:space="preserve"> 82</w:t>
      </w:r>
      <w:r w:rsidRPr="00825497">
        <w:rPr>
          <w:rFonts w:eastAsia="Aptos" w:cs="Arial"/>
          <w:noProof/>
          <w:sz w:val="22"/>
          <w:lang w:val="en-US"/>
        </w:rPr>
        <w:t xml:space="preserve">(1), 137-145. </w:t>
      </w:r>
      <w:hyperlink r:id="rId506" w:history="1">
        <w:r w:rsidR="00090188" w:rsidRPr="00825497">
          <w:rPr>
            <w:rStyle w:val="Hyperlink"/>
            <w:rFonts w:eastAsia="Aptos" w:cs="Arial"/>
            <w:noProof/>
            <w:sz w:val="22"/>
            <w:lang w:val="en-US"/>
          </w:rPr>
          <w:t>https://doi.org/10.1111/j.1939-0025.2011.01129.x</w:t>
        </w:r>
      </w:hyperlink>
      <w:r w:rsidR="00090188">
        <w:rPr>
          <w:rFonts w:eastAsia="Aptos" w:cs="Arial"/>
          <w:noProof/>
          <w:sz w:val="22"/>
          <w:lang w:val="en-US"/>
        </w:rPr>
        <w:t xml:space="preserve"> </w:t>
      </w:r>
      <w:r w:rsidRPr="00825497">
        <w:rPr>
          <w:rFonts w:eastAsia="Aptos" w:cs="Arial"/>
          <w:noProof/>
          <w:sz w:val="22"/>
          <w:lang w:val="en-US"/>
        </w:rPr>
        <w:t xml:space="preserve"> </w:t>
      </w:r>
    </w:p>
    <w:p w14:paraId="32EA4884" w14:textId="01C5E1D9" w:rsidR="00422E40" w:rsidRPr="00422E40" w:rsidRDefault="00422E40" w:rsidP="00422E40">
      <w:pPr>
        <w:spacing w:before="0" w:after="160"/>
        <w:ind w:left="720" w:hanging="720"/>
        <w:rPr>
          <w:rFonts w:eastAsia="Aptos" w:cs="Arial"/>
          <w:noProof/>
          <w:sz w:val="22"/>
          <w:lang w:val="en-US"/>
        </w:rPr>
      </w:pPr>
      <w:r w:rsidRPr="00090188">
        <w:rPr>
          <w:rFonts w:eastAsia="Aptos" w:cs="Arial"/>
          <w:noProof/>
          <w:sz w:val="22"/>
        </w:rPr>
        <w:t xml:space="preserve">Palisano, R. J., Chiarello, L. A., King, G. A., Novak, I., Stoner, T., &amp; Fiss, A. (2012). </w:t>
      </w:r>
      <w:r w:rsidRPr="00422E40">
        <w:rPr>
          <w:rFonts w:eastAsia="Aptos" w:cs="Arial"/>
          <w:noProof/>
          <w:sz w:val="22"/>
          <w:lang w:val="en-US"/>
        </w:rPr>
        <w:t xml:space="preserve">Participation-based therapy for children with physical disabilities. </w:t>
      </w:r>
      <w:r w:rsidRPr="00422E40">
        <w:rPr>
          <w:rFonts w:eastAsia="Aptos" w:cs="Arial"/>
          <w:i/>
          <w:noProof/>
          <w:sz w:val="22"/>
          <w:lang w:val="en-US"/>
        </w:rPr>
        <w:t>Disability and Rehabilitation</w:t>
      </w:r>
      <w:r w:rsidRPr="00422E40">
        <w:rPr>
          <w:rFonts w:eastAsia="Aptos" w:cs="Arial"/>
          <w:noProof/>
          <w:sz w:val="22"/>
          <w:lang w:val="en-US"/>
        </w:rPr>
        <w:t>,</w:t>
      </w:r>
      <w:r w:rsidRPr="00422E40">
        <w:rPr>
          <w:rFonts w:eastAsia="Aptos" w:cs="Arial"/>
          <w:i/>
          <w:noProof/>
          <w:sz w:val="22"/>
          <w:lang w:val="en-US"/>
        </w:rPr>
        <w:t xml:space="preserve"> 34</w:t>
      </w:r>
      <w:r w:rsidRPr="00422E40">
        <w:rPr>
          <w:rFonts w:eastAsia="Aptos" w:cs="Arial"/>
          <w:noProof/>
          <w:sz w:val="22"/>
          <w:lang w:val="en-US"/>
        </w:rPr>
        <w:t xml:space="preserve">(12), 1041-1052. </w:t>
      </w:r>
      <w:hyperlink r:id="rId507" w:history="1">
        <w:r w:rsidR="00090188" w:rsidRPr="00422E40">
          <w:rPr>
            <w:rStyle w:val="Hyperlink"/>
            <w:rFonts w:eastAsia="Aptos" w:cs="Arial"/>
            <w:noProof/>
            <w:sz w:val="22"/>
            <w:lang w:val="en-US"/>
          </w:rPr>
          <w:t>https://doi.org/10.3109/09638288.2011.628740</w:t>
        </w:r>
      </w:hyperlink>
      <w:r w:rsidR="00090188">
        <w:rPr>
          <w:rFonts w:eastAsia="Aptos" w:cs="Arial"/>
          <w:noProof/>
          <w:sz w:val="22"/>
          <w:lang w:val="en-US"/>
        </w:rPr>
        <w:t xml:space="preserve"> </w:t>
      </w:r>
      <w:r w:rsidRPr="00422E40">
        <w:rPr>
          <w:rFonts w:eastAsia="Aptos" w:cs="Arial"/>
          <w:noProof/>
          <w:sz w:val="22"/>
          <w:lang w:val="en-US"/>
        </w:rPr>
        <w:t xml:space="preserve"> </w:t>
      </w:r>
    </w:p>
    <w:p w14:paraId="60ECB4BC" w14:textId="77777777" w:rsidR="00422E40" w:rsidRPr="00422E40" w:rsidRDefault="00422E40" w:rsidP="00422E40">
      <w:pPr>
        <w:spacing w:before="0" w:after="0"/>
        <w:ind w:left="720" w:hanging="720"/>
        <w:rPr>
          <w:rFonts w:eastAsia="Aptos" w:cs="Arial"/>
          <w:noProof/>
          <w:sz w:val="22"/>
          <w:lang w:val="en-US"/>
        </w:rPr>
      </w:pPr>
      <w:r w:rsidRPr="00422E40">
        <w:rPr>
          <w:rFonts w:eastAsia="Aptos" w:cs="Arial"/>
          <w:noProof/>
          <w:sz w:val="22"/>
          <w:lang w:val="en-US"/>
        </w:rPr>
        <w:tab/>
      </w:r>
    </w:p>
    <w:p w14:paraId="73DE86C1" w14:textId="77777777" w:rsidR="00422E40" w:rsidRPr="00422E40" w:rsidRDefault="00422E40" w:rsidP="00422E40">
      <w:pPr>
        <w:spacing w:before="0" w:after="160"/>
        <w:ind w:left="720" w:hanging="720"/>
        <w:rPr>
          <w:rFonts w:eastAsia="Aptos" w:cs="Arial"/>
          <w:noProof/>
          <w:sz w:val="22"/>
          <w:lang w:val="en-US"/>
        </w:rPr>
      </w:pPr>
      <w:r w:rsidRPr="00422E40">
        <w:rPr>
          <w:rFonts w:eastAsia="Aptos" w:cs="Arial"/>
          <w:noProof/>
          <w:sz w:val="22"/>
          <w:lang w:val="it-IT"/>
        </w:rPr>
        <w:t xml:space="preserve">Palisano, R. J., Di Rezze, B., Stewart, D., Rosenbaum, P. L., Hlyva, O., Freeman, M., Nguyen, T., &amp; Gorter, J. W. (2017). </w:t>
      </w:r>
      <w:r w:rsidRPr="00422E40">
        <w:rPr>
          <w:rFonts w:eastAsia="Aptos" w:cs="Arial"/>
          <w:noProof/>
          <w:sz w:val="22"/>
          <w:lang w:val="en-US"/>
        </w:rPr>
        <w:t xml:space="preserve">Life course health development of individuals with neurodevelopmental conditions. </w:t>
      </w:r>
      <w:r w:rsidRPr="00422E40">
        <w:rPr>
          <w:rFonts w:eastAsia="Aptos" w:cs="Arial"/>
          <w:i/>
          <w:noProof/>
          <w:sz w:val="22"/>
          <w:lang w:val="en-US"/>
        </w:rPr>
        <w:t>Developmental Medicine &amp; Child Neurology</w:t>
      </w:r>
      <w:r w:rsidRPr="00422E40">
        <w:rPr>
          <w:rFonts w:eastAsia="Aptos" w:cs="Arial"/>
          <w:noProof/>
          <w:sz w:val="22"/>
          <w:lang w:val="en-US"/>
        </w:rPr>
        <w:t>,</w:t>
      </w:r>
      <w:r w:rsidRPr="00422E40">
        <w:rPr>
          <w:rFonts w:eastAsia="Aptos" w:cs="Arial"/>
          <w:i/>
          <w:noProof/>
          <w:sz w:val="22"/>
          <w:lang w:val="en-US"/>
        </w:rPr>
        <w:t xml:space="preserve"> 59</w:t>
      </w:r>
      <w:r w:rsidRPr="00422E40">
        <w:rPr>
          <w:rFonts w:eastAsia="Aptos" w:cs="Arial"/>
          <w:noProof/>
          <w:sz w:val="22"/>
          <w:lang w:val="en-US"/>
        </w:rPr>
        <w:t xml:space="preserve">(5), 470-476. </w:t>
      </w:r>
    </w:p>
    <w:p w14:paraId="3AE4A0FC" w14:textId="77777777" w:rsidR="00422E40" w:rsidRPr="00422E40" w:rsidRDefault="00422E40" w:rsidP="00422E40">
      <w:pPr>
        <w:spacing w:before="0" w:after="0"/>
        <w:ind w:left="720" w:hanging="720"/>
        <w:rPr>
          <w:rFonts w:eastAsia="Aptos" w:cs="Arial"/>
          <w:noProof/>
          <w:sz w:val="22"/>
          <w:lang w:val="en-US"/>
        </w:rPr>
      </w:pPr>
      <w:r w:rsidRPr="00422E40">
        <w:rPr>
          <w:rFonts w:eastAsia="Aptos" w:cs="Arial"/>
          <w:noProof/>
          <w:sz w:val="22"/>
          <w:lang w:val="en-US"/>
        </w:rPr>
        <w:tab/>
      </w:r>
    </w:p>
    <w:p w14:paraId="7000BB96" w14:textId="51E35306" w:rsidR="00422E40" w:rsidRPr="00422E40" w:rsidRDefault="00422E40" w:rsidP="00422E40">
      <w:pPr>
        <w:spacing w:before="0" w:after="160"/>
        <w:ind w:left="720" w:hanging="720"/>
        <w:rPr>
          <w:rFonts w:eastAsia="Aptos" w:cs="Arial"/>
          <w:noProof/>
          <w:sz w:val="22"/>
          <w:lang w:val="en-US"/>
        </w:rPr>
      </w:pPr>
      <w:r w:rsidRPr="00422E40">
        <w:rPr>
          <w:rFonts w:eastAsia="Aptos" w:cs="Arial"/>
          <w:noProof/>
          <w:sz w:val="22"/>
          <w:lang w:val="en-US"/>
        </w:rPr>
        <w:t xml:space="preserve">Palmer, S. B., Fleming, K. K., Summers, J. A., Erwin, E. J., Maude, S. P., Brotherson, M. J., Stroup-Rentier, V., Haines, S. J., Zheng, Y. Z., &amp; Peck, N. F. (2019). Foundations for self-determination in early childhood: Preliminary preschool study. </w:t>
      </w:r>
      <w:r w:rsidRPr="00422E40">
        <w:rPr>
          <w:rFonts w:eastAsia="Aptos" w:cs="Arial"/>
          <w:i/>
          <w:noProof/>
          <w:sz w:val="22"/>
          <w:lang w:val="en-US"/>
        </w:rPr>
        <w:t>Advances in Neurodevelopmental Disorders</w:t>
      </w:r>
      <w:r w:rsidRPr="00422E40">
        <w:rPr>
          <w:rFonts w:eastAsia="Aptos" w:cs="Arial"/>
          <w:noProof/>
          <w:sz w:val="22"/>
          <w:lang w:val="en-US"/>
        </w:rPr>
        <w:t>,</w:t>
      </w:r>
      <w:r w:rsidRPr="00422E40">
        <w:rPr>
          <w:rFonts w:eastAsia="Aptos" w:cs="Arial"/>
          <w:i/>
          <w:noProof/>
          <w:sz w:val="22"/>
          <w:lang w:val="en-US"/>
        </w:rPr>
        <w:t xml:space="preserve"> 3</w:t>
      </w:r>
      <w:r w:rsidRPr="00422E40">
        <w:rPr>
          <w:rFonts w:eastAsia="Aptos" w:cs="Arial"/>
          <w:noProof/>
          <w:sz w:val="22"/>
          <w:lang w:val="en-US"/>
        </w:rPr>
        <w:t xml:space="preserve">(2), 188-196. </w:t>
      </w:r>
      <w:hyperlink r:id="rId508" w:history="1">
        <w:r w:rsidR="00090188" w:rsidRPr="00422E40">
          <w:rPr>
            <w:rStyle w:val="Hyperlink"/>
            <w:rFonts w:eastAsia="Aptos" w:cs="Arial"/>
            <w:noProof/>
            <w:sz w:val="22"/>
            <w:lang w:val="en-US"/>
          </w:rPr>
          <w:t>https://doi.org/10.1007/s41252-019-00106-0</w:t>
        </w:r>
      </w:hyperlink>
      <w:r w:rsidR="00090188">
        <w:rPr>
          <w:rFonts w:eastAsia="Aptos" w:cs="Arial"/>
          <w:noProof/>
          <w:sz w:val="22"/>
          <w:lang w:val="en-US"/>
        </w:rPr>
        <w:t xml:space="preserve"> </w:t>
      </w:r>
      <w:r w:rsidRPr="00422E40">
        <w:rPr>
          <w:rFonts w:eastAsia="Aptos" w:cs="Arial"/>
          <w:noProof/>
          <w:sz w:val="22"/>
          <w:lang w:val="en-US"/>
        </w:rPr>
        <w:t xml:space="preserve"> </w:t>
      </w:r>
      <w:r w:rsidR="00090188">
        <w:rPr>
          <w:rFonts w:eastAsia="Aptos" w:cs="Arial"/>
          <w:noProof/>
          <w:sz w:val="22"/>
          <w:lang w:val="en-US"/>
        </w:rPr>
        <w:t xml:space="preserve"> </w:t>
      </w:r>
    </w:p>
    <w:p w14:paraId="672953BD" w14:textId="77777777" w:rsidR="00422E40" w:rsidRPr="00422E40" w:rsidRDefault="00422E40" w:rsidP="00422E40">
      <w:pPr>
        <w:spacing w:before="0" w:after="0"/>
        <w:ind w:left="720" w:hanging="720"/>
        <w:rPr>
          <w:rFonts w:eastAsia="Aptos" w:cs="Arial"/>
          <w:noProof/>
          <w:sz w:val="22"/>
          <w:lang w:val="en-US"/>
        </w:rPr>
      </w:pPr>
      <w:r w:rsidRPr="00422E40">
        <w:rPr>
          <w:rFonts w:eastAsia="Aptos" w:cs="Arial"/>
          <w:noProof/>
          <w:sz w:val="22"/>
          <w:lang w:val="en-US"/>
        </w:rPr>
        <w:tab/>
      </w:r>
    </w:p>
    <w:p w14:paraId="377E6961" w14:textId="02807C21" w:rsidR="00422E40" w:rsidRDefault="00422E40" w:rsidP="00422E40">
      <w:pPr>
        <w:spacing w:before="0" w:after="160"/>
        <w:ind w:left="720" w:hanging="720"/>
        <w:rPr>
          <w:rFonts w:eastAsia="Aptos" w:cs="Arial"/>
          <w:noProof/>
          <w:sz w:val="22"/>
          <w:lang w:val="en-US"/>
        </w:rPr>
      </w:pPr>
      <w:r w:rsidRPr="00422E40">
        <w:rPr>
          <w:rFonts w:eastAsia="Aptos" w:cs="Arial"/>
          <w:noProof/>
          <w:sz w:val="22"/>
          <w:lang w:val="en-US"/>
        </w:rPr>
        <w:t xml:space="preserve">Palmer, S. B., Summers, J. A., Brotherson, M. J., Erwin, E. J., Maude, S. P., Stroup-Rentier, V., Wu, H.-Y., Peck, N. F., Zheng, Y., &amp; Weigel, C. J. (2013). Foundations for self-determination in early childhood: An inclusive model for children with disabilities. </w:t>
      </w:r>
      <w:r w:rsidRPr="00422E40">
        <w:rPr>
          <w:rFonts w:eastAsia="Aptos" w:cs="Arial"/>
          <w:i/>
          <w:noProof/>
          <w:sz w:val="22"/>
          <w:lang w:val="en-US"/>
        </w:rPr>
        <w:t>Topics in Early Childhood Special Education</w:t>
      </w:r>
      <w:r w:rsidRPr="00422E40">
        <w:rPr>
          <w:rFonts w:eastAsia="Aptos" w:cs="Arial"/>
          <w:noProof/>
          <w:sz w:val="22"/>
          <w:lang w:val="en-US"/>
        </w:rPr>
        <w:t>,</w:t>
      </w:r>
      <w:r w:rsidRPr="00422E40">
        <w:rPr>
          <w:rFonts w:eastAsia="Aptos" w:cs="Arial"/>
          <w:i/>
          <w:noProof/>
          <w:sz w:val="22"/>
          <w:lang w:val="en-US"/>
        </w:rPr>
        <w:t xml:space="preserve"> 33</w:t>
      </w:r>
      <w:r w:rsidRPr="00422E40">
        <w:rPr>
          <w:rFonts w:eastAsia="Aptos" w:cs="Arial"/>
          <w:noProof/>
          <w:sz w:val="22"/>
          <w:lang w:val="en-US"/>
        </w:rPr>
        <w:t xml:space="preserve">(1), 38-47. </w:t>
      </w:r>
      <w:hyperlink r:id="rId509" w:history="1">
        <w:r w:rsidR="005C435F" w:rsidRPr="00422E40">
          <w:rPr>
            <w:rStyle w:val="Hyperlink"/>
            <w:rFonts w:eastAsia="Aptos" w:cs="Arial"/>
            <w:noProof/>
            <w:sz w:val="22"/>
            <w:lang w:val="en-US"/>
          </w:rPr>
          <w:t>https://doi.org/10.1177/0271121412445288</w:t>
        </w:r>
      </w:hyperlink>
      <w:r w:rsidRPr="00422E40">
        <w:rPr>
          <w:rFonts w:eastAsia="Aptos" w:cs="Arial"/>
          <w:noProof/>
          <w:sz w:val="22"/>
          <w:lang w:val="en-US"/>
        </w:rPr>
        <w:t xml:space="preserve"> </w:t>
      </w:r>
    </w:p>
    <w:p w14:paraId="78D2359F" w14:textId="77777777" w:rsidR="005C435F" w:rsidRPr="00422E40" w:rsidRDefault="005C435F" w:rsidP="00422E40">
      <w:pPr>
        <w:spacing w:before="0" w:after="160"/>
        <w:ind w:left="720" w:hanging="720"/>
        <w:rPr>
          <w:rFonts w:eastAsia="Aptos" w:cs="Arial"/>
          <w:noProof/>
          <w:sz w:val="22"/>
          <w:lang w:val="en-US"/>
        </w:rPr>
      </w:pPr>
    </w:p>
    <w:p w14:paraId="56A06CBC" w14:textId="3AE29927" w:rsidR="00B16410" w:rsidRPr="00B16410" w:rsidRDefault="00B16410" w:rsidP="00B16410">
      <w:pPr>
        <w:spacing w:before="0" w:after="160"/>
        <w:ind w:left="720" w:hanging="720"/>
        <w:rPr>
          <w:rFonts w:eastAsia="Aptos" w:cs="Arial"/>
          <w:noProof/>
          <w:sz w:val="22"/>
          <w:lang w:val="en-US"/>
        </w:rPr>
      </w:pPr>
      <w:r w:rsidRPr="00B16410">
        <w:rPr>
          <w:rFonts w:eastAsia="Aptos" w:cs="Arial"/>
          <w:noProof/>
          <w:sz w:val="22"/>
          <w:lang w:val="en-US"/>
        </w:rPr>
        <w:t xml:space="preserve">Pang, Y., &amp; Yarbrough, D. V. (2023). The promising practice of cultural brokering support with culturally diverse families of children with developmental disabilities: Perspectives from families. </w:t>
      </w:r>
      <w:r w:rsidRPr="00B16410">
        <w:rPr>
          <w:rFonts w:eastAsia="Aptos" w:cs="Arial"/>
          <w:i/>
          <w:noProof/>
          <w:sz w:val="22"/>
          <w:lang w:val="en-US"/>
        </w:rPr>
        <w:t>Developmental Disabilities Network Journal</w:t>
      </w:r>
      <w:r w:rsidRPr="00B16410">
        <w:rPr>
          <w:rFonts w:eastAsia="Aptos" w:cs="Arial"/>
          <w:noProof/>
          <w:sz w:val="22"/>
          <w:lang w:val="en-US"/>
        </w:rPr>
        <w:t>,</w:t>
      </w:r>
      <w:r w:rsidRPr="00B16410">
        <w:rPr>
          <w:rFonts w:eastAsia="Aptos" w:cs="Arial"/>
          <w:i/>
          <w:noProof/>
          <w:sz w:val="22"/>
          <w:lang w:val="en-US"/>
        </w:rPr>
        <w:t xml:space="preserve"> 3</w:t>
      </w:r>
      <w:r w:rsidRPr="00B16410">
        <w:rPr>
          <w:rFonts w:eastAsia="Aptos" w:cs="Arial"/>
          <w:noProof/>
          <w:sz w:val="22"/>
          <w:lang w:val="en-US"/>
        </w:rPr>
        <w:t xml:space="preserve">(1), 7. </w:t>
      </w:r>
      <w:hyperlink r:id="rId510" w:history="1">
        <w:r w:rsidR="00090188" w:rsidRPr="00B16410">
          <w:rPr>
            <w:rStyle w:val="Hyperlink"/>
            <w:rFonts w:eastAsia="Aptos" w:cs="Arial"/>
            <w:noProof/>
            <w:sz w:val="22"/>
            <w:lang w:val="en-US"/>
          </w:rPr>
          <w:t>https://doi.org/10.59620/2694-1104.1064</w:t>
        </w:r>
      </w:hyperlink>
      <w:r w:rsidR="00090188">
        <w:rPr>
          <w:rFonts w:eastAsia="Aptos" w:cs="Arial"/>
          <w:noProof/>
          <w:sz w:val="22"/>
          <w:lang w:val="en-US"/>
        </w:rPr>
        <w:t xml:space="preserve"> </w:t>
      </w:r>
      <w:r w:rsidRPr="00B16410">
        <w:rPr>
          <w:rFonts w:eastAsia="Aptos" w:cs="Arial"/>
          <w:noProof/>
          <w:sz w:val="22"/>
          <w:lang w:val="en-US"/>
        </w:rPr>
        <w:t xml:space="preserve"> </w:t>
      </w:r>
    </w:p>
    <w:p w14:paraId="63785278" w14:textId="77777777" w:rsidR="00B16410" w:rsidRPr="00B16410" w:rsidRDefault="00B16410" w:rsidP="00B16410">
      <w:pPr>
        <w:spacing w:before="0" w:after="0"/>
        <w:ind w:left="720" w:hanging="720"/>
        <w:rPr>
          <w:rFonts w:eastAsia="Aptos" w:cs="Arial"/>
          <w:noProof/>
          <w:sz w:val="22"/>
          <w:lang w:val="en-US"/>
        </w:rPr>
      </w:pPr>
      <w:r w:rsidRPr="00B16410">
        <w:rPr>
          <w:rFonts w:eastAsia="Aptos" w:cs="Arial"/>
          <w:noProof/>
          <w:sz w:val="22"/>
          <w:lang w:val="en-US"/>
        </w:rPr>
        <w:tab/>
      </w:r>
    </w:p>
    <w:p w14:paraId="1A00AE32" w14:textId="176D5B1D" w:rsidR="00B16410" w:rsidRPr="00B16410" w:rsidRDefault="00B16410" w:rsidP="00B16410">
      <w:pPr>
        <w:spacing w:before="0" w:after="160"/>
        <w:ind w:left="720" w:hanging="720"/>
        <w:rPr>
          <w:rFonts w:eastAsia="Aptos" w:cs="Arial"/>
          <w:noProof/>
          <w:sz w:val="22"/>
          <w:lang w:val="en-US"/>
        </w:rPr>
      </w:pPr>
      <w:r w:rsidRPr="00B16410">
        <w:rPr>
          <w:rFonts w:eastAsia="Aptos" w:cs="Arial"/>
          <w:noProof/>
          <w:sz w:val="22"/>
          <w:lang w:val="en-US"/>
        </w:rPr>
        <w:t xml:space="preserve">Partelow, S. (2023). What is a framework? Understanding their purpose, value, development and use. </w:t>
      </w:r>
      <w:r w:rsidRPr="00B16410">
        <w:rPr>
          <w:rFonts w:eastAsia="Aptos" w:cs="Arial"/>
          <w:i/>
          <w:noProof/>
          <w:sz w:val="22"/>
          <w:lang w:val="en-US"/>
        </w:rPr>
        <w:t>Journal of Environmental Studies and Sciences</w:t>
      </w:r>
      <w:r w:rsidRPr="00B16410">
        <w:rPr>
          <w:rFonts w:eastAsia="Aptos" w:cs="Arial"/>
          <w:noProof/>
          <w:sz w:val="22"/>
          <w:lang w:val="en-US"/>
        </w:rPr>
        <w:t>,</w:t>
      </w:r>
      <w:r w:rsidRPr="00B16410">
        <w:rPr>
          <w:rFonts w:eastAsia="Aptos" w:cs="Arial"/>
          <w:i/>
          <w:noProof/>
          <w:sz w:val="22"/>
          <w:lang w:val="en-US"/>
        </w:rPr>
        <w:t xml:space="preserve"> 13</w:t>
      </w:r>
      <w:r w:rsidRPr="00B16410">
        <w:rPr>
          <w:rFonts w:eastAsia="Aptos" w:cs="Arial"/>
          <w:noProof/>
          <w:sz w:val="22"/>
          <w:lang w:val="en-US"/>
        </w:rPr>
        <w:t xml:space="preserve">(3), 510-519. </w:t>
      </w:r>
      <w:hyperlink r:id="rId511" w:history="1">
        <w:r w:rsidR="00090188" w:rsidRPr="00B16410">
          <w:rPr>
            <w:rStyle w:val="Hyperlink"/>
            <w:rFonts w:eastAsia="Aptos" w:cs="Arial"/>
            <w:noProof/>
            <w:sz w:val="22"/>
            <w:lang w:val="en-US"/>
          </w:rPr>
          <w:t>https://doi.org/10.1007/s13412-023-00833-w</w:t>
        </w:r>
      </w:hyperlink>
      <w:r w:rsidR="00090188">
        <w:rPr>
          <w:rFonts w:eastAsia="Aptos" w:cs="Arial"/>
          <w:noProof/>
          <w:sz w:val="22"/>
          <w:lang w:val="en-US"/>
        </w:rPr>
        <w:t xml:space="preserve"> </w:t>
      </w:r>
      <w:r w:rsidRPr="00B16410">
        <w:rPr>
          <w:rFonts w:eastAsia="Aptos" w:cs="Arial"/>
          <w:noProof/>
          <w:sz w:val="22"/>
          <w:lang w:val="en-US"/>
        </w:rPr>
        <w:t xml:space="preserve"> </w:t>
      </w:r>
    </w:p>
    <w:p w14:paraId="27277D85" w14:textId="77777777" w:rsidR="00B16410" w:rsidRPr="00B16410" w:rsidRDefault="00B16410" w:rsidP="00B16410">
      <w:pPr>
        <w:spacing w:before="0" w:after="0"/>
        <w:ind w:left="720" w:hanging="720"/>
        <w:rPr>
          <w:rFonts w:eastAsia="Aptos" w:cs="Arial"/>
          <w:noProof/>
          <w:sz w:val="22"/>
          <w:lang w:val="en-US"/>
        </w:rPr>
      </w:pPr>
      <w:r w:rsidRPr="00B16410">
        <w:rPr>
          <w:rFonts w:eastAsia="Aptos" w:cs="Arial"/>
          <w:noProof/>
          <w:sz w:val="22"/>
          <w:lang w:val="en-US"/>
        </w:rPr>
        <w:tab/>
      </w:r>
    </w:p>
    <w:p w14:paraId="31072A7D" w14:textId="6C7D7482" w:rsidR="00B16410" w:rsidRPr="00B16410" w:rsidRDefault="00B16410" w:rsidP="00B16410">
      <w:pPr>
        <w:spacing w:before="0" w:after="160"/>
        <w:ind w:left="720" w:hanging="720"/>
        <w:rPr>
          <w:rFonts w:eastAsia="Aptos" w:cs="Arial"/>
          <w:noProof/>
          <w:sz w:val="22"/>
          <w:lang w:val="en-US"/>
        </w:rPr>
      </w:pPr>
      <w:r w:rsidRPr="005C070C">
        <w:rPr>
          <w:rFonts w:eastAsia="Aptos" w:cs="Arial"/>
          <w:noProof/>
          <w:sz w:val="22"/>
          <w:lang w:val="en-US"/>
        </w:rPr>
        <w:t xml:space="preserve">Parter, C., Murray, D., Mokak, R., Briscoe, K., Weston, R., &amp; Mohamed, J. (2024). Implementing the cultural determinants of health: Our knowledges and cultures in a health system that is not free of racism. </w:t>
      </w:r>
      <w:r w:rsidRPr="005C070C">
        <w:rPr>
          <w:rFonts w:eastAsia="Aptos" w:cs="Arial"/>
          <w:i/>
          <w:noProof/>
          <w:sz w:val="22"/>
          <w:lang w:val="en-US"/>
        </w:rPr>
        <w:t>The Medical Journal of Australia</w:t>
      </w:r>
      <w:r w:rsidRPr="005C070C">
        <w:rPr>
          <w:rFonts w:eastAsia="Aptos" w:cs="Arial"/>
          <w:noProof/>
          <w:sz w:val="22"/>
          <w:lang w:val="en-US"/>
        </w:rPr>
        <w:t>,</w:t>
      </w:r>
      <w:r w:rsidRPr="005C070C">
        <w:rPr>
          <w:rFonts w:eastAsia="Aptos" w:cs="Arial"/>
          <w:i/>
          <w:noProof/>
          <w:sz w:val="22"/>
          <w:lang w:val="en-US"/>
        </w:rPr>
        <w:t xml:space="preserve"> 221</w:t>
      </w:r>
      <w:r w:rsidRPr="005C070C">
        <w:rPr>
          <w:rFonts w:eastAsia="Aptos" w:cs="Arial"/>
          <w:noProof/>
          <w:sz w:val="22"/>
          <w:lang w:val="en-US"/>
        </w:rPr>
        <w:t xml:space="preserve">(1), 5-7. </w:t>
      </w:r>
      <w:hyperlink r:id="rId512" w:history="1">
        <w:r w:rsidR="00090188" w:rsidRPr="00326476">
          <w:rPr>
            <w:rStyle w:val="Hyperlink"/>
            <w:rFonts w:eastAsia="Aptos" w:cs="Arial"/>
            <w:noProof/>
            <w:sz w:val="22"/>
            <w:lang w:val="en-US"/>
          </w:rPr>
          <w:t>https://doi.org/10.5694/mja2.52352</w:t>
        </w:r>
      </w:hyperlink>
      <w:r w:rsidR="00090188">
        <w:rPr>
          <w:rFonts w:eastAsia="Aptos" w:cs="Arial"/>
          <w:noProof/>
          <w:sz w:val="22"/>
          <w:lang w:val="en-US"/>
        </w:rPr>
        <w:t xml:space="preserve"> </w:t>
      </w:r>
      <w:r w:rsidRPr="00B16410">
        <w:rPr>
          <w:rFonts w:eastAsia="Aptos" w:cs="Arial"/>
          <w:noProof/>
          <w:sz w:val="22"/>
          <w:lang w:val="en-US"/>
        </w:rPr>
        <w:t xml:space="preserve"> </w:t>
      </w:r>
    </w:p>
    <w:p w14:paraId="7AF5C8B6" w14:textId="77777777" w:rsidR="00B16410" w:rsidRPr="00B16410" w:rsidRDefault="00B16410" w:rsidP="00B16410">
      <w:pPr>
        <w:spacing w:before="0" w:after="0"/>
        <w:ind w:left="720" w:hanging="720"/>
        <w:rPr>
          <w:rFonts w:eastAsia="Aptos" w:cs="Arial"/>
          <w:noProof/>
          <w:sz w:val="22"/>
          <w:lang w:val="en-US"/>
        </w:rPr>
      </w:pPr>
      <w:r w:rsidRPr="00B16410">
        <w:rPr>
          <w:rFonts w:eastAsia="Aptos" w:cs="Arial"/>
          <w:noProof/>
          <w:sz w:val="22"/>
          <w:lang w:val="en-US"/>
        </w:rPr>
        <w:tab/>
      </w:r>
    </w:p>
    <w:p w14:paraId="4221DD03" w14:textId="2ADFE572" w:rsidR="00B16410" w:rsidRDefault="00B16410" w:rsidP="00B16410">
      <w:pPr>
        <w:spacing w:before="0" w:after="160"/>
        <w:ind w:left="720" w:hanging="720"/>
        <w:rPr>
          <w:rFonts w:eastAsia="Aptos" w:cs="Arial"/>
          <w:noProof/>
          <w:sz w:val="22"/>
          <w:lang w:val="en-US"/>
        </w:rPr>
      </w:pPr>
      <w:r w:rsidRPr="00B16410">
        <w:rPr>
          <w:rFonts w:eastAsia="Aptos" w:cs="Arial"/>
          <w:noProof/>
          <w:sz w:val="22"/>
          <w:lang w:val="en-US"/>
        </w:rPr>
        <w:t xml:space="preserve">Patel, D. R., Greydanus, D. E., Calles Jr, J. L., &amp; Pratt, H. D. (2010). Developmental disabilities across the lifespan. </w:t>
      </w:r>
      <w:r w:rsidRPr="00B16410">
        <w:rPr>
          <w:rFonts w:eastAsia="Aptos" w:cs="Arial"/>
          <w:i/>
          <w:noProof/>
          <w:sz w:val="22"/>
          <w:lang w:val="en-US"/>
        </w:rPr>
        <w:t>Disease-a-month</w:t>
      </w:r>
      <w:r w:rsidRPr="00B16410">
        <w:rPr>
          <w:rFonts w:eastAsia="Aptos" w:cs="Arial"/>
          <w:noProof/>
          <w:sz w:val="22"/>
          <w:lang w:val="en-US"/>
        </w:rPr>
        <w:t>,</w:t>
      </w:r>
      <w:r w:rsidRPr="00B16410">
        <w:rPr>
          <w:rFonts w:eastAsia="Aptos" w:cs="Arial"/>
          <w:i/>
          <w:noProof/>
          <w:sz w:val="22"/>
          <w:lang w:val="en-US"/>
        </w:rPr>
        <w:t xml:space="preserve"> 56</w:t>
      </w:r>
      <w:r w:rsidRPr="00B16410">
        <w:rPr>
          <w:rFonts w:eastAsia="Aptos" w:cs="Arial"/>
          <w:noProof/>
          <w:sz w:val="22"/>
          <w:lang w:val="en-US"/>
        </w:rPr>
        <w:t xml:space="preserve">(6), 305-397. </w:t>
      </w:r>
      <w:hyperlink r:id="rId513" w:history="1">
        <w:r w:rsidR="005C435F" w:rsidRPr="00B16410">
          <w:rPr>
            <w:rStyle w:val="Hyperlink"/>
            <w:rFonts w:eastAsia="Aptos" w:cs="Arial"/>
            <w:noProof/>
            <w:sz w:val="22"/>
            <w:lang w:val="en-US"/>
          </w:rPr>
          <w:t>https://doi.org/10.1016/j.disamonth.2010.02.001</w:t>
        </w:r>
      </w:hyperlink>
      <w:r w:rsidRPr="00B16410">
        <w:rPr>
          <w:rFonts w:eastAsia="Aptos" w:cs="Arial"/>
          <w:noProof/>
          <w:sz w:val="22"/>
          <w:lang w:val="en-US"/>
        </w:rPr>
        <w:t xml:space="preserve"> </w:t>
      </w:r>
    </w:p>
    <w:p w14:paraId="1AE87EEC" w14:textId="77777777" w:rsidR="005C435F" w:rsidRPr="00B16410" w:rsidRDefault="005C435F" w:rsidP="00B16410">
      <w:pPr>
        <w:spacing w:before="0" w:after="160"/>
        <w:ind w:left="720" w:hanging="720"/>
        <w:rPr>
          <w:rFonts w:eastAsia="Aptos" w:cs="Arial"/>
          <w:noProof/>
          <w:sz w:val="22"/>
          <w:lang w:val="en-US"/>
        </w:rPr>
      </w:pPr>
    </w:p>
    <w:p w14:paraId="3C80B4E5" w14:textId="3EA41CDF" w:rsidR="00EC4C0B" w:rsidRPr="00EC4C0B" w:rsidRDefault="00EC4C0B" w:rsidP="00EC4C0B">
      <w:pPr>
        <w:spacing w:before="0" w:after="160"/>
        <w:ind w:left="720" w:hanging="720"/>
        <w:rPr>
          <w:rFonts w:eastAsia="Aptos" w:cs="Arial"/>
          <w:noProof/>
          <w:sz w:val="22"/>
          <w:lang w:val="en-US"/>
        </w:rPr>
      </w:pPr>
      <w:r w:rsidRPr="00EC4C0B">
        <w:rPr>
          <w:rFonts w:eastAsia="Aptos" w:cs="Arial"/>
          <w:noProof/>
          <w:sz w:val="22"/>
          <w:lang w:val="en-US"/>
        </w:rPr>
        <w:t xml:space="preserve">Pattoni, L. (2012, 1 May). </w:t>
      </w:r>
      <w:r w:rsidRPr="00EC4C0B">
        <w:rPr>
          <w:rFonts w:eastAsia="Aptos" w:cs="Arial"/>
          <w:i/>
          <w:noProof/>
          <w:sz w:val="22"/>
          <w:lang w:val="en-US"/>
        </w:rPr>
        <w:t>Strengths-based approaches for working with individuals</w:t>
      </w:r>
      <w:r w:rsidRPr="00EC4C0B">
        <w:rPr>
          <w:rFonts w:eastAsia="Aptos" w:cs="Arial"/>
          <w:noProof/>
          <w:sz w:val="22"/>
          <w:lang w:val="en-US"/>
        </w:rPr>
        <w:t xml:space="preserve">. Insights: Iriss Glasgow. Retrieved 6 September, 2024 from </w:t>
      </w:r>
      <w:hyperlink r:id="rId514" w:history="1">
        <w:r w:rsidR="00090188" w:rsidRPr="00EC4C0B">
          <w:rPr>
            <w:rStyle w:val="Hyperlink"/>
            <w:rFonts w:eastAsia="Aptos" w:cs="Arial"/>
            <w:noProof/>
            <w:sz w:val="22"/>
            <w:lang w:val="en-US"/>
          </w:rPr>
          <w:t>https://www.iriss.org.uk/resources/insights/strengths-based-approaches-working-individuals</w:t>
        </w:r>
      </w:hyperlink>
      <w:r w:rsidR="00090188">
        <w:rPr>
          <w:rFonts w:eastAsia="Aptos" w:cs="Arial"/>
          <w:noProof/>
          <w:sz w:val="22"/>
          <w:lang w:val="en-US"/>
        </w:rPr>
        <w:t xml:space="preserve"> </w:t>
      </w:r>
    </w:p>
    <w:p w14:paraId="30A893D4" w14:textId="77777777" w:rsidR="00EC4C0B" w:rsidRPr="00EC4C0B" w:rsidRDefault="00EC4C0B" w:rsidP="00EC4C0B">
      <w:pPr>
        <w:spacing w:before="0" w:after="0"/>
        <w:ind w:left="720" w:hanging="720"/>
        <w:rPr>
          <w:rFonts w:eastAsia="Aptos" w:cs="Arial"/>
          <w:noProof/>
          <w:sz w:val="22"/>
          <w:lang w:val="en-US"/>
        </w:rPr>
      </w:pPr>
      <w:r w:rsidRPr="00EC4C0B">
        <w:rPr>
          <w:rFonts w:eastAsia="Aptos" w:cs="Arial"/>
          <w:noProof/>
          <w:sz w:val="22"/>
          <w:lang w:val="en-US"/>
        </w:rPr>
        <w:tab/>
      </w:r>
    </w:p>
    <w:p w14:paraId="4E3BEF4D" w14:textId="77777777" w:rsidR="00EC4C0B" w:rsidRPr="00EC4C0B" w:rsidRDefault="00EC4C0B" w:rsidP="00EC4C0B">
      <w:pPr>
        <w:spacing w:before="0" w:after="160"/>
        <w:ind w:left="720" w:hanging="720"/>
        <w:rPr>
          <w:rFonts w:eastAsia="Aptos" w:cs="Arial"/>
          <w:noProof/>
          <w:sz w:val="22"/>
          <w:lang w:val="en-US"/>
        </w:rPr>
      </w:pPr>
      <w:r w:rsidRPr="00EC4C0B">
        <w:rPr>
          <w:rFonts w:eastAsia="Aptos" w:cs="Arial"/>
          <w:noProof/>
          <w:sz w:val="22"/>
          <w:lang w:val="en-US"/>
        </w:rPr>
        <w:t xml:space="preserve">Pearson, C., Ridley, J., &amp; Hunter, S. (2014). </w:t>
      </w:r>
      <w:r w:rsidRPr="00EC4C0B">
        <w:rPr>
          <w:rFonts w:eastAsia="Aptos" w:cs="Arial"/>
          <w:i/>
          <w:noProof/>
          <w:sz w:val="22"/>
          <w:lang w:val="en-US"/>
        </w:rPr>
        <w:t>Self-directed support: Personalisation, choice and control</w:t>
      </w:r>
      <w:r w:rsidRPr="00EC4C0B">
        <w:rPr>
          <w:rFonts w:eastAsia="Aptos" w:cs="Arial"/>
          <w:noProof/>
          <w:sz w:val="22"/>
          <w:lang w:val="en-US"/>
        </w:rPr>
        <w:t xml:space="preserve"> (Vol. 19). Edinburgh, Scotland: Dunedin Academic Press. </w:t>
      </w:r>
    </w:p>
    <w:p w14:paraId="6C583B28" w14:textId="77777777" w:rsidR="00EC4C0B" w:rsidRPr="00EC4C0B" w:rsidRDefault="00EC4C0B" w:rsidP="00EC4C0B">
      <w:pPr>
        <w:spacing w:before="0" w:after="0"/>
        <w:ind w:left="720" w:hanging="720"/>
        <w:rPr>
          <w:rFonts w:eastAsia="Aptos" w:cs="Arial"/>
          <w:noProof/>
          <w:sz w:val="22"/>
          <w:lang w:val="en-US"/>
        </w:rPr>
      </w:pPr>
      <w:r w:rsidRPr="00EC4C0B">
        <w:rPr>
          <w:rFonts w:eastAsia="Aptos" w:cs="Arial"/>
          <w:noProof/>
          <w:sz w:val="22"/>
          <w:lang w:val="en-US"/>
        </w:rPr>
        <w:tab/>
      </w:r>
    </w:p>
    <w:p w14:paraId="0FE253BD" w14:textId="77777777" w:rsidR="00EC4C0B" w:rsidRPr="00EC4C0B" w:rsidRDefault="00EC4C0B" w:rsidP="00EC4C0B">
      <w:pPr>
        <w:spacing w:before="0" w:after="160"/>
        <w:ind w:left="720" w:hanging="720"/>
        <w:rPr>
          <w:rFonts w:eastAsia="Aptos" w:cs="Arial"/>
          <w:noProof/>
          <w:sz w:val="22"/>
          <w:lang w:val="en-US"/>
        </w:rPr>
      </w:pPr>
      <w:r w:rsidRPr="00EC4C0B">
        <w:rPr>
          <w:rFonts w:eastAsia="Aptos" w:cs="Arial"/>
          <w:noProof/>
          <w:sz w:val="22"/>
          <w:lang w:val="en-US"/>
        </w:rPr>
        <w:t xml:space="preserve">Pearson, J., &amp; Hill, S. (2012). </w:t>
      </w:r>
      <w:r w:rsidRPr="00EC4C0B">
        <w:rPr>
          <w:rFonts w:eastAsia="Aptos" w:cs="Arial"/>
          <w:i/>
          <w:noProof/>
          <w:sz w:val="22"/>
          <w:lang w:val="en-US"/>
        </w:rPr>
        <w:t>Evaluation of phase one: Self-managed funding initiative final report</w:t>
      </w:r>
      <w:r w:rsidRPr="00EC4C0B">
        <w:rPr>
          <w:rFonts w:eastAsia="Aptos" w:cs="Arial"/>
          <w:noProof/>
          <w:sz w:val="22"/>
          <w:lang w:val="en-US"/>
        </w:rPr>
        <w:t xml:space="preserve">. Adelaide, SA: Jenny Pearson and Associates Pty Ltd. </w:t>
      </w:r>
    </w:p>
    <w:p w14:paraId="78B323D7" w14:textId="77777777" w:rsidR="00EC4C0B" w:rsidRPr="00EC4C0B" w:rsidRDefault="00EC4C0B" w:rsidP="00EC4C0B">
      <w:pPr>
        <w:spacing w:before="0" w:after="0"/>
        <w:ind w:left="720" w:hanging="720"/>
        <w:rPr>
          <w:rFonts w:eastAsia="Aptos" w:cs="Arial"/>
          <w:noProof/>
          <w:sz w:val="22"/>
          <w:lang w:val="en-US"/>
        </w:rPr>
      </w:pPr>
      <w:r w:rsidRPr="00EC4C0B">
        <w:rPr>
          <w:rFonts w:eastAsia="Aptos" w:cs="Arial"/>
          <w:noProof/>
          <w:sz w:val="22"/>
          <w:lang w:val="en-US"/>
        </w:rPr>
        <w:tab/>
      </w:r>
    </w:p>
    <w:p w14:paraId="0B72F96D" w14:textId="77777777" w:rsidR="00EC4C0B" w:rsidRDefault="00EC4C0B" w:rsidP="00EC4C0B">
      <w:pPr>
        <w:spacing w:before="0" w:after="160"/>
        <w:ind w:left="720" w:hanging="720"/>
        <w:rPr>
          <w:rFonts w:eastAsia="Aptos" w:cs="Arial"/>
          <w:noProof/>
          <w:sz w:val="22"/>
          <w:lang w:val="en-US"/>
        </w:rPr>
      </w:pPr>
      <w:r w:rsidRPr="00EC4C0B">
        <w:rPr>
          <w:rFonts w:eastAsia="Aptos" w:cs="Arial"/>
          <w:noProof/>
          <w:sz w:val="22"/>
          <w:lang w:val="en-US"/>
        </w:rPr>
        <w:t xml:space="preserve">Pellicano, E., Adams, D., Crane, L., Hollingue, C., Allen, C., Almendinger, K., Botha, M., Haar, T., Kapp, S. K., &amp; Wheeley, E. (2024). A possible threat to data integrity for online qualitative autism research. </w:t>
      </w:r>
      <w:r w:rsidRPr="00EC4C0B">
        <w:rPr>
          <w:rFonts w:eastAsia="Aptos" w:cs="Arial"/>
          <w:i/>
          <w:noProof/>
          <w:sz w:val="22"/>
          <w:lang w:val="en-US"/>
        </w:rPr>
        <w:t>Autism</w:t>
      </w:r>
      <w:r w:rsidRPr="00EC4C0B">
        <w:rPr>
          <w:rFonts w:eastAsia="Aptos" w:cs="Arial"/>
          <w:noProof/>
          <w:sz w:val="22"/>
          <w:lang w:val="en-US"/>
        </w:rPr>
        <w:t>,</w:t>
      </w:r>
      <w:r w:rsidRPr="00EC4C0B">
        <w:rPr>
          <w:rFonts w:eastAsia="Aptos" w:cs="Arial"/>
          <w:i/>
          <w:noProof/>
          <w:sz w:val="22"/>
          <w:lang w:val="en-US"/>
        </w:rPr>
        <w:t xml:space="preserve"> 28</w:t>
      </w:r>
      <w:r w:rsidRPr="00EC4C0B">
        <w:rPr>
          <w:rFonts w:eastAsia="Aptos" w:cs="Arial"/>
          <w:noProof/>
          <w:sz w:val="22"/>
          <w:lang w:val="en-US"/>
        </w:rPr>
        <w:t xml:space="preserve">(3), 786-792. </w:t>
      </w:r>
    </w:p>
    <w:p w14:paraId="7B8D7A77" w14:textId="77777777" w:rsidR="005C435F" w:rsidRPr="00EC4C0B" w:rsidRDefault="005C435F" w:rsidP="00EC4C0B">
      <w:pPr>
        <w:spacing w:before="0" w:after="160"/>
        <w:ind w:left="720" w:hanging="720"/>
        <w:rPr>
          <w:rFonts w:eastAsia="Aptos" w:cs="Arial"/>
          <w:noProof/>
          <w:sz w:val="22"/>
          <w:lang w:val="en-US"/>
        </w:rPr>
      </w:pPr>
    </w:p>
    <w:p w14:paraId="140D434A" w14:textId="07413D07" w:rsidR="00AC5759" w:rsidRPr="00AC5759" w:rsidRDefault="00AC5759" w:rsidP="00AC5759">
      <w:pPr>
        <w:spacing w:before="0" w:after="160"/>
        <w:ind w:left="720" w:hanging="720"/>
        <w:rPr>
          <w:rFonts w:eastAsia="Aptos" w:cs="Arial"/>
          <w:noProof/>
          <w:sz w:val="22"/>
          <w:lang w:val="en-US"/>
        </w:rPr>
      </w:pPr>
      <w:r w:rsidRPr="00AC5759">
        <w:rPr>
          <w:rFonts w:eastAsia="Aptos" w:cs="Arial"/>
          <w:noProof/>
          <w:sz w:val="22"/>
          <w:lang w:val="en-US"/>
        </w:rPr>
        <w:t xml:space="preserve">Pennington, A., Pilkington, G., Bache, I., Watkins, M., Bagnall, A.-M., South, J., &amp; Corcoran, R. (2017). </w:t>
      </w:r>
      <w:r w:rsidRPr="00AC5759">
        <w:rPr>
          <w:rFonts w:eastAsia="Aptos" w:cs="Arial"/>
          <w:i/>
          <w:noProof/>
          <w:sz w:val="22"/>
          <w:lang w:val="en-US"/>
        </w:rPr>
        <w:t>Scoping review of review-level evidence on co-production in local decision-making and its relationship to community wellbeing</w:t>
      </w:r>
      <w:r w:rsidRPr="00AC5759">
        <w:rPr>
          <w:rFonts w:eastAsia="Aptos" w:cs="Arial"/>
          <w:noProof/>
          <w:sz w:val="22"/>
          <w:lang w:val="en-US"/>
        </w:rPr>
        <w:t xml:space="preserve">. London, UK: What Works: Wellbeing Centre. Retrieved 6 September, 2024 from </w:t>
      </w:r>
      <w:hyperlink r:id="rId515" w:history="1">
        <w:r w:rsidR="00090188" w:rsidRPr="00AC5759">
          <w:rPr>
            <w:rStyle w:val="Hyperlink"/>
            <w:rFonts w:eastAsia="Aptos" w:cs="Arial"/>
            <w:noProof/>
            <w:sz w:val="22"/>
            <w:lang w:val="en-US"/>
          </w:rPr>
          <w:t>https://www.whatworkswellbeing.org/product/scoping-review-local-decision-making-and-community-wellbeing/</w:t>
        </w:r>
      </w:hyperlink>
      <w:r w:rsidR="00090188">
        <w:rPr>
          <w:rFonts w:eastAsia="Aptos" w:cs="Arial"/>
          <w:noProof/>
          <w:sz w:val="22"/>
          <w:lang w:val="en-US"/>
        </w:rPr>
        <w:t xml:space="preserve"> </w:t>
      </w:r>
    </w:p>
    <w:p w14:paraId="5BDB2481" w14:textId="77777777" w:rsidR="00AC5759" w:rsidRPr="00AC5759" w:rsidRDefault="00AC5759" w:rsidP="00AC5759">
      <w:pPr>
        <w:spacing w:before="0" w:after="0"/>
        <w:ind w:left="720" w:hanging="720"/>
        <w:rPr>
          <w:rFonts w:eastAsia="Aptos" w:cs="Arial"/>
          <w:noProof/>
          <w:sz w:val="22"/>
          <w:lang w:val="en-US"/>
        </w:rPr>
      </w:pPr>
      <w:r w:rsidRPr="00AC5759">
        <w:rPr>
          <w:rFonts w:eastAsia="Aptos" w:cs="Arial"/>
          <w:noProof/>
          <w:sz w:val="22"/>
          <w:lang w:val="en-US"/>
        </w:rPr>
        <w:tab/>
      </w:r>
    </w:p>
    <w:p w14:paraId="011452AB" w14:textId="2516FA1D" w:rsidR="00AC5759" w:rsidRPr="00AC5759" w:rsidRDefault="00AC5759" w:rsidP="00AC5759">
      <w:pPr>
        <w:spacing w:before="0" w:after="160"/>
        <w:ind w:left="720" w:hanging="720"/>
        <w:rPr>
          <w:rFonts w:eastAsia="Aptos" w:cs="Arial"/>
          <w:noProof/>
          <w:sz w:val="22"/>
          <w:lang w:val="en-US"/>
        </w:rPr>
      </w:pPr>
      <w:r w:rsidRPr="00AC5759">
        <w:rPr>
          <w:rFonts w:eastAsia="Aptos" w:cs="Arial"/>
          <w:noProof/>
          <w:sz w:val="22"/>
          <w:lang w:val="en-US"/>
        </w:rPr>
        <w:t xml:space="preserve">Pennington, A., Watkins, M., Bagnall, A.-M., South, J., Corcoran, R., Whitehead, M., Duncan, D., Tomlins, R., Pickett, K., &amp; Gul, M. (2018). </w:t>
      </w:r>
      <w:r w:rsidRPr="00AC5759">
        <w:rPr>
          <w:rFonts w:eastAsia="Aptos" w:cs="Arial"/>
          <w:i/>
          <w:noProof/>
          <w:sz w:val="22"/>
          <w:lang w:val="en-US"/>
        </w:rPr>
        <w:t>A systematic review of evidence on the impacts of joint decision-making on community wellbeing</w:t>
      </w:r>
      <w:r w:rsidRPr="00AC5759">
        <w:rPr>
          <w:rFonts w:eastAsia="Aptos" w:cs="Arial"/>
          <w:noProof/>
          <w:sz w:val="22"/>
          <w:lang w:val="en-US"/>
        </w:rPr>
        <w:t xml:space="preserve">. London, UK: What Works Centre for Wellbeing. Retrieved 6 September, 2024 from </w:t>
      </w:r>
      <w:hyperlink r:id="rId516" w:history="1">
        <w:r w:rsidR="00090188" w:rsidRPr="00AC5759">
          <w:rPr>
            <w:rStyle w:val="Hyperlink"/>
            <w:rFonts w:eastAsia="Aptos" w:cs="Arial"/>
            <w:noProof/>
            <w:sz w:val="22"/>
            <w:lang w:val="en-US"/>
          </w:rPr>
          <w:t>https://whatworkswellbeing.org/resources/joint-decision-making/</w:t>
        </w:r>
      </w:hyperlink>
      <w:r w:rsidR="00090188">
        <w:rPr>
          <w:rFonts w:eastAsia="Aptos" w:cs="Arial"/>
          <w:noProof/>
          <w:sz w:val="22"/>
          <w:lang w:val="en-US"/>
        </w:rPr>
        <w:t xml:space="preserve"> </w:t>
      </w:r>
    </w:p>
    <w:p w14:paraId="0D5A7364" w14:textId="728A148F" w:rsidR="00C10A14" w:rsidRPr="00075790" w:rsidRDefault="00C10A14" w:rsidP="0030178D">
      <w:pPr>
        <w:pStyle w:val="EndNoteBibliography"/>
        <w:spacing w:after="0"/>
        <w:ind w:left="720" w:hanging="720"/>
      </w:pPr>
    </w:p>
    <w:p w14:paraId="788AF348" w14:textId="581711F8" w:rsidR="00C10A14" w:rsidRPr="00C10A14" w:rsidRDefault="00C10A14" w:rsidP="00C10A14">
      <w:pPr>
        <w:spacing w:before="0" w:after="160"/>
        <w:ind w:left="720" w:hanging="720"/>
        <w:rPr>
          <w:rFonts w:eastAsia="Aptos" w:cs="Arial"/>
          <w:noProof/>
          <w:sz w:val="22"/>
          <w:lang w:val="en-US"/>
        </w:rPr>
      </w:pPr>
      <w:r w:rsidRPr="00C10A14">
        <w:rPr>
          <w:rFonts w:eastAsia="Aptos" w:cs="Arial"/>
          <w:noProof/>
          <w:sz w:val="22"/>
          <w:lang w:val="en-US"/>
        </w:rPr>
        <w:t xml:space="preserve">Peters, M. D. J., Marnie, C., Colquhoun, H., Garritty, C. M., Hempel, S., Horsley, T., Langlois, E. V., Lillie, E., O’Brien, K. K., Tunçalp, Ӧ., Wilson, M. G., Zarin, W., &amp; Tricco, A. C. (2021). Scoping reviews: reinforcing and advancing the methodology and application. </w:t>
      </w:r>
      <w:r w:rsidRPr="00C10A14">
        <w:rPr>
          <w:rFonts w:eastAsia="Aptos" w:cs="Arial"/>
          <w:i/>
          <w:noProof/>
          <w:sz w:val="22"/>
          <w:lang w:val="en-US"/>
        </w:rPr>
        <w:t>Systematic Reviews</w:t>
      </w:r>
      <w:r w:rsidRPr="00C10A14">
        <w:rPr>
          <w:rFonts w:eastAsia="Aptos" w:cs="Arial"/>
          <w:noProof/>
          <w:sz w:val="22"/>
          <w:lang w:val="en-US"/>
        </w:rPr>
        <w:t>,</w:t>
      </w:r>
      <w:r w:rsidRPr="00C10A14">
        <w:rPr>
          <w:rFonts w:eastAsia="Aptos" w:cs="Arial"/>
          <w:i/>
          <w:noProof/>
          <w:sz w:val="22"/>
          <w:lang w:val="en-US"/>
        </w:rPr>
        <w:t xml:space="preserve"> 10</w:t>
      </w:r>
      <w:r w:rsidRPr="00C10A14">
        <w:rPr>
          <w:rFonts w:eastAsia="Aptos" w:cs="Arial"/>
          <w:noProof/>
          <w:sz w:val="22"/>
          <w:lang w:val="en-US"/>
        </w:rPr>
        <w:t xml:space="preserve">(1), 263. </w:t>
      </w:r>
      <w:hyperlink r:id="rId517" w:history="1">
        <w:r w:rsidR="00090188" w:rsidRPr="00C10A14">
          <w:rPr>
            <w:rStyle w:val="Hyperlink"/>
            <w:rFonts w:eastAsia="Aptos" w:cs="Arial"/>
            <w:noProof/>
            <w:sz w:val="22"/>
            <w:lang w:val="en-US"/>
          </w:rPr>
          <w:t>https://doi.org/10.1186/s13643-021-01821-3</w:t>
        </w:r>
      </w:hyperlink>
      <w:r w:rsidR="00090188">
        <w:rPr>
          <w:rFonts w:eastAsia="Aptos" w:cs="Arial"/>
          <w:noProof/>
          <w:sz w:val="22"/>
          <w:lang w:val="en-US"/>
        </w:rPr>
        <w:t xml:space="preserve"> </w:t>
      </w:r>
      <w:r w:rsidRPr="00C10A14">
        <w:rPr>
          <w:rFonts w:eastAsia="Aptos" w:cs="Arial"/>
          <w:noProof/>
          <w:sz w:val="22"/>
          <w:lang w:val="en-US"/>
        </w:rPr>
        <w:t xml:space="preserve"> </w:t>
      </w:r>
    </w:p>
    <w:p w14:paraId="05A3FA36" w14:textId="77777777" w:rsidR="00C10A14" w:rsidRPr="00C10A14" w:rsidRDefault="00C10A14" w:rsidP="00C10A14">
      <w:pPr>
        <w:spacing w:before="0" w:after="0"/>
        <w:ind w:left="720" w:hanging="720"/>
        <w:rPr>
          <w:rFonts w:eastAsia="Aptos" w:cs="Arial"/>
          <w:noProof/>
          <w:sz w:val="22"/>
          <w:lang w:val="en-US"/>
        </w:rPr>
      </w:pPr>
      <w:r w:rsidRPr="00C10A14">
        <w:rPr>
          <w:rFonts w:eastAsia="Aptos" w:cs="Arial"/>
          <w:noProof/>
          <w:sz w:val="22"/>
          <w:lang w:val="en-US"/>
        </w:rPr>
        <w:tab/>
      </w:r>
    </w:p>
    <w:p w14:paraId="7EC29034" w14:textId="61679379" w:rsidR="00C10A14" w:rsidRPr="00C10A14" w:rsidRDefault="00C10A14" w:rsidP="00C10A14">
      <w:pPr>
        <w:spacing w:before="0" w:after="160"/>
        <w:ind w:left="720" w:hanging="720"/>
        <w:rPr>
          <w:rFonts w:eastAsia="Aptos" w:cs="Arial"/>
          <w:noProof/>
          <w:sz w:val="22"/>
          <w:lang w:val="en-US"/>
        </w:rPr>
      </w:pPr>
      <w:r w:rsidRPr="00C10A14">
        <w:rPr>
          <w:rFonts w:eastAsia="Aptos" w:cs="Arial"/>
          <w:noProof/>
          <w:sz w:val="22"/>
          <w:lang w:val="en-US"/>
        </w:rPr>
        <w:t xml:space="preserve">Peters, M. D. J., Marnie, C., Tricco, A. C., Pollock, D., Munn, Z., Alexander, L., McInerney, P., Godfrey, C. M., &amp; Khalil, H. (2020). Updated methodological guidance for the conduct of scoping reviews. </w:t>
      </w:r>
      <w:r w:rsidRPr="00C10A14">
        <w:rPr>
          <w:rFonts w:eastAsia="Aptos" w:cs="Arial"/>
          <w:i/>
          <w:noProof/>
          <w:sz w:val="22"/>
          <w:lang w:val="en-US"/>
        </w:rPr>
        <w:t>JBI Evidence Synthesis</w:t>
      </w:r>
      <w:r w:rsidRPr="00C10A14">
        <w:rPr>
          <w:rFonts w:eastAsia="Aptos" w:cs="Arial"/>
          <w:noProof/>
          <w:sz w:val="22"/>
          <w:lang w:val="en-US"/>
        </w:rPr>
        <w:t>,</w:t>
      </w:r>
      <w:r w:rsidRPr="00C10A14">
        <w:rPr>
          <w:rFonts w:eastAsia="Aptos" w:cs="Arial"/>
          <w:i/>
          <w:noProof/>
          <w:sz w:val="22"/>
          <w:lang w:val="en-US"/>
        </w:rPr>
        <w:t xml:space="preserve"> 18</w:t>
      </w:r>
      <w:r w:rsidRPr="00C10A14">
        <w:rPr>
          <w:rFonts w:eastAsia="Aptos" w:cs="Arial"/>
          <w:noProof/>
          <w:sz w:val="22"/>
          <w:lang w:val="en-US"/>
        </w:rPr>
        <w:t xml:space="preserve">(10), 2119-2126. </w:t>
      </w:r>
      <w:hyperlink r:id="rId518" w:history="1">
        <w:r w:rsidR="00090188" w:rsidRPr="00C10A14">
          <w:rPr>
            <w:rStyle w:val="Hyperlink"/>
            <w:rFonts w:eastAsia="Aptos" w:cs="Arial"/>
            <w:noProof/>
            <w:sz w:val="22"/>
            <w:lang w:val="en-US"/>
          </w:rPr>
          <w:t>https://doi.org/10.11124/jbies-20-00167</w:t>
        </w:r>
      </w:hyperlink>
      <w:r w:rsidR="00090188">
        <w:rPr>
          <w:rFonts w:eastAsia="Aptos" w:cs="Arial"/>
          <w:noProof/>
          <w:sz w:val="22"/>
          <w:lang w:val="en-US"/>
        </w:rPr>
        <w:t xml:space="preserve"> </w:t>
      </w:r>
      <w:r w:rsidRPr="00C10A14">
        <w:rPr>
          <w:rFonts w:eastAsia="Aptos" w:cs="Arial"/>
          <w:noProof/>
          <w:sz w:val="22"/>
          <w:lang w:val="en-US"/>
        </w:rPr>
        <w:t xml:space="preserve"> </w:t>
      </w:r>
    </w:p>
    <w:p w14:paraId="092309A3" w14:textId="77777777" w:rsidR="00C10A14" w:rsidRPr="00C10A14" w:rsidRDefault="00C10A14" w:rsidP="00C10A14">
      <w:pPr>
        <w:spacing w:before="0" w:after="0"/>
        <w:ind w:left="720" w:hanging="720"/>
        <w:rPr>
          <w:rFonts w:eastAsia="Aptos" w:cs="Arial"/>
          <w:noProof/>
          <w:sz w:val="22"/>
          <w:lang w:val="en-US"/>
        </w:rPr>
      </w:pPr>
      <w:r w:rsidRPr="00C10A14">
        <w:rPr>
          <w:rFonts w:eastAsia="Aptos" w:cs="Arial"/>
          <w:noProof/>
          <w:sz w:val="22"/>
          <w:lang w:val="en-US"/>
        </w:rPr>
        <w:tab/>
      </w:r>
    </w:p>
    <w:p w14:paraId="59AE3BEE" w14:textId="253BE111" w:rsidR="00C10A14" w:rsidRDefault="00C10A14" w:rsidP="00C10A14">
      <w:pPr>
        <w:pStyle w:val="EndNoteBibliography"/>
        <w:spacing w:after="0"/>
        <w:ind w:left="720" w:hanging="720"/>
        <w:rPr>
          <w:rFonts w:ascii="Aptos" w:eastAsia="Aptos" w:hAnsi="Aptos" w:cs="Times New Roman"/>
          <w:noProof w:val="0"/>
          <w:sz w:val="24"/>
          <w:lang w:val="en-AU"/>
        </w:rPr>
      </w:pPr>
      <w:r w:rsidRPr="00C10A14">
        <w:rPr>
          <w:rFonts w:ascii="Aptos" w:eastAsia="Aptos" w:hAnsi="Aptos" w:cs="Times New Roman"/>
          <w:noProof w:val="0"/>
          <w:sz w:val="24"/>
          <w:lang w:val="it-IT"/>
        </w:rPr>
        <w:t xml:space="preserve">Petruccelli, K., Davis, J., &amp; Berman, T. (2019). </w:t>
      </w:r>
      <w:r w:rsidRPr="00C10A14">
        <w:rPr>
          <w:rFonts w:ascii="Aptos" w:eastAsia="Aptos" w:hAnsi="Aptos" w:cs="Times New Roman"/>
          <w:noProof w:val="0"/>
          <w:sz w:val="24"/>
          <w:lang w:val="en-AU"/>
        </w:rPr>
        <w:t xml:space="preserve">Adverse childhood experiences and associated health outcomes: A systematic review and meta-analysis. </w:t>
      </w:r>
      <w:r w:rsidRPr="00C10A14">
        <w:rPr>
          <w:rFonts w:ascii="Aptos" w:eastAsia="Aptos" w:hAnsi="Aptos" w:cs="Times New Roman"/>
          <w:i/>
          <w:noProof w:val="0"/>
          <w:sz w:val="24"/>
          <w:lang w:val="en-AU"/>
        </w:rPr>
        <w:t>Child abuse &amp; neglect</w:t>
      </w:r>
      <w:r w:rsidRPr="00C10A14">
        <w:rPr>
          <w:rFonts w:ascii="Aptos" w:eastAsia="Aptos" w:hAnsi="Aptos" w:cs="Times New Roman"/>
          <w:noProof w:val="0"/>
          <w:sz w:val="24"/>
          <w:lang w:val="en-AU"/>
        </w:rPr>
        <w:t>,</w:t>
      </w:r>
      <w:r w:rsidRPr="00C10A14">
        <w:rPr>
          <w:rFonts w:ascii="Aptos" w:eastAsia="Aptos" w:hAnsi="Aptos" w:cs="Times New Roman"/>
          <w:i/>
          <w:noProof w:val="0"/>
          <w:sz w:val="24"/>
          <w:lang w:val="en-AU"/>
        </w:rPr>
        <w:t xml:space="preserve"> 97</w:t>
      </w:r>
      <w:r w:rsidRPr="00C10A14">
        <w:rPr>
          <w:rFonts w:ascii="Aptos" w:eastAsia="Aptos" w:hAnsi="Aptos" w:cs="Times New Roman"/>
          <w:noProof w:val="0"/>
          <w:sz w:val="24"/>
          <w:lang w:val="en-AU"/>
        </w:rPr>
        <w:t xml:space="preserve">, 104127. </w:t>
      </w:r>
      <w:hyperlink r:id="rId519" w:history="1">
        <w:r w:rsidRPr="00326476">
          <w:rPr>
            <w:rStyle w:val="Hyperlink"/>
            <w:rFonts w:ascii="Aptos" w:eastAsia="Aptos" w:hAnsi="Aptos" w:cs="Times New Roman"/>
            <w:noProof w:val="0"/>
            <w:sz w:val="24"/>
            <w:lang w:val="en-AU"/>
          </w:rPr>
          <w:t>https://doi.org/10.1016/j.chiabu.2019.104127</w:t>
        </w:r>
      </w:hyperlink>
    </w:p>
    <w:p w14:paraId="23220E22" w14:textId="77777777" w:rsidR="00C10A14" w:rsidRPr="00075790" w:rsidRDefault="00C10A14" w:rsidP="00C10A14">
      <w:pPr>
        <w:pStyle w:val="EndNoteBibliography"/>
        <w:spacing w:after="0"/>
        <w:ind w:left="720" w:hanging="720"/>
      </w:pPr>
    </w:p>
    <w:p w14:paraId="781AEA07" w14:textId="11A5A001" w:rsidR="000C2D01" w:rsidRPr="000C2D01" w:rsidRDefault="000C2D01" w:rsidP="000C2D01">
      <w:pPr>
        <w:spacing w:before="0" w:after="160"/>
        <w:ind w:left="720" w:hanging="720"/>
        <w:rPr>
          <w:rFonts w:eastAsia="Aptos" w:cs="Arial"/>
          <w:noProof/>
          <w:sz w:val="22"/>
          <w:lang w:val="en-US"/>
        </w:rPr>
      </w:pPr>
      <w:r w:rsidRPr="000C2D01">
        <w:rPr>
          <w:rFonts w:eastAsia="Aptos" w:cs="Arial"/>
          <w:noProof/>
          <w:sz w:val="22"/>
          <w:lang w:val="en-US"/>
        </w:rPr>
        <w:t xml:space="preserve">Phelan, J. C., Link, B. G., &amp; Tehranifar, P. (2010). Social conditions as fundamental causes of health inequalities: theory, evidence, and policy implications. </w:t>
      </w:r>
      <w:r w:rsidRPr="000C2D01">
        <w:rPr>
          <w:rFonts w:eastAsia="Aptos" w:cs="Arial"/>
          <w:i/>
          <w:noProof/>
          <w:sz w:val="22"/>
          <w:lang w:val="en-US"/>
        </w:rPr>
        <w:t>Journal of health and social behavior</w:t>
      </w:r>
      <w:r w:rsidRPr="000C2D01">
        <w:rPr>
          <w:rFonts w:eastAsia="Aptos" w:cs="Arial"/>
          <w:noProof/>
          <w:sz w:val="22"/>
          <w:lang w:val="en-US"/>
        </w:rPr>
        <w:t>,</w:t>
      </w:r>
      <w:r w:rsidRPr="000C2D01">
        <w:rPr>
          <w:rFonts w:eastAsia="Aptos" w:cs="Arial"/>
          <w:i/>
          <w:noProof/>
          <w:sz w:val="22"/>
          <w:lang w:val="en-US"/>
        </w:rPr>
        <w:t xml:space="preserve"> 51</w:t>
      </w:r>
      <w:r w:rsidRPr="000C2D01">
        <w:rPr>
          <w:rFonts w:eastAsia="Aptos" w:cs="Arial"/>
          <w:noProof/>
          <w:sz w:val="22"/>
          <w:lang w:val="en-US"/>
        </w:rPr>
        <w:t xml:space="preserve">, Suppl: S28-S40. </w:t>
      </w:r>
      <w:hyperlink r:id="rId520" w:history="1">
        <w:r w:rsidR="00090188" w:rsidRPr="000C2D01">
          <w:rPr>
            <w:rStyle w:val="Hyperlink"/>
            <w:rFonts w:eastAsia="Aptos" w:cs="Arial"/>
            <w:noProof/>
            <w:sz w:val="22"/>
            <w:lang w:val="en-US"/>
          </w:rPr>
          <w:t>https://doi.org/10.1177/0022146510383498</w:t>
        </w:r>
      </w:hyperlink>
      <w:r w:rsidR="00090188">
        <w:rPr>
          <w:rFonts w:eastAsia="Aptos" w:cs="Arial"/>
          <w:noProof/>
          <w:sz w:val="22"/>
          <w:lang w:val="en-US"/>
        </w:rPr>
        <w:t xml:space="preserve"> </w:t>
      </w:r>
      <w:r w:rsidRPr="000C2D01">
        <w:rPr>
          <w:rFonts w:eastAsia="Aptos" w:cs="Arial"/>
          <w:noProof/>
          <w:sz w:val="22"/>
          <w:lang w:val="en-US"/>
        </w:rPr>
        <w:t xml:space="preserve"> </w:t>
      </w:r>
    </w:p>
    <w:p w14:paraId="3B910D8C" w14:textId="77777777" w:rsidR="000C2D01" w:rsidRPr="000C2D01" w:rsidRDefault="000C2D01" w:rsidP="000C2D01">
      <w:pPr>
        <w:spacing w:before="0" w:after="0"/>
        <w:ind w:left="720" w:hanging="720"/>
        <w:rPr>
          <w:rFonts w:eastAsia="Aptos" w:cs="Arial"/>
          <w:noProof/>
          <w:sz w:val="22"/>
          <w:lang w:val="en-US"/>
        </w:rPr>
      </w:pPr>
      <w:r w:rsidRPr="000C2D01">
        <w:rPr>
          <w:rFonts w:eastAsia="Aptos" w:cs="Arial"/>
          <w:noProof/>
          <w:sz w:val="22"/>
          <w:lang w:val="en-US"/>
        </w:rPr>
        <w:tab/>
      </w:r>
    </w:p>
    <w:p w14:paraId="46C18934" w14:textId="1922E4EB" w:rsidR="000C2D01" w:rsidRPr="000C2D01" w:rsidRDefault="000C2D01" w:rsidP="000C2D01">
      <w:pPr>
        <w:spacing w:before="0" w:after="160"/>
        <w:ind w:left="720" w:hanging="720"/>
        <w:rPr>
          <w:rFonts w:eastAsia="Aptos" w:cs="Arial"/>
          <w:noProof/>
          <w:sz w:val="22"/>
          <w:lang w:val="en-US"/>
        </w:rPr>
      </w:pPr>
      <w:r w:rsidRPr="000C2D01">
        <w:rPr>
          <w:rFonts w:eastAsia="Aptos" w:cs="Arial"/>
          <w:noProof/>
          <w:sz w:val="22"/>
          <w:lang w:val="en-US"/>
        </w:rPr>
        <w:t xml:space="preserve">Phoenix, M., Smart, E., &amp; King, G. (2019). ‘I didn’t know what to expect’: Describing parents’ expectations in children’s rehabilitation services. </w:t>
      </w:r>
      <w:r w:rsidRPr="000C2D01">
        <w:rPr>
          <w:rFonts w:eastAsia="Aptos" w:cs="Arial"/>
          <w:i/>
          <w:noProof/>
          <w:sz w:val="22"/>
          <w:lang w:val="en-US"/>
        </w:rPr>
        <w:t>Physical &amp; Occupational Therapy in Pediatrics</w:t>
      </w:r>
      <w:r w:rsidRPr="000C2D01">
        <w:rPr>
          <w:rFonts w:eastAsia="Aptos" w:cs="Arial"/>
          <w:noProof/>
          <w:sz w:val="22"/>
          <w:lang w:val="en-US"/>
        </w:rPr>
        <w:t>,</w:t>
      </w:r>
      <w:r w:rsidRPr="000C2D01">
        <w:rPr>
          <w:rFonts w:eastAsia="Aptos" w:cs="Arial"/>
          <w:i/>
          <w:noProof/>
          <w:sz w:val="22"/>
          <w:lang w:val="en-US"/>
        </w:rPr>
        <w:t xml:space="preserve"> 40</w:t>
      </w:r>
      <w:r w:rsidRPr="000C2D01">
        <w:rPr>
          <w:rFonts w:eastAsia="Aptos" w:cs="Arial"/>
          <w:noProof/>
          <w:sz w:val="22"/>
          <w:lang w:val="en-US"/>
        </w:rPr>
        <w:t xml:space="preserve">(3), 311-329. </w:t>
      </w:r>
      <w:hyperlink r:id="rId521" w:history="1">
        <w:r w:rsidR="005C435F" w:rsidRPr="000C2D01">
          <w:rPr>
            <w:rStyle w:val="Hyperlink"/>
            <w:rFonts w:eastAsia="Aptos" w:cs="Arial"/>
            <w:noProof/>
            <w:sz w:val="22"/>
            <w:lang w:val="en-US"/>
          </w:rPr>
          <w:t>https://doi.org/10.1080/01942638.2019.1665155</w:t>
        </w:r>
      </w:hyperlink>
      <w:r w:rsidR="005C435F">
        <w:rPr>
          <w:rFonts w:eastAsia="Aptos" w:cs="Arial"/>
          <w:noProof/>
          <w:sz w:val="22"/>
          <w:lang w:val="en-US"/>
        </w:rPr>
        <w:t xml:space="preserve"> </w:t>
      </w:r>
      <w:r w:rsidRPr="000C2D01">
        <w:rPr>
          <w:rFonts w:eastAsia="Aptos" w:cs="Arial"/>
          <w:noProof/>
          <w:sz w:val="22"/>
          <w:lang w:val="en-US"/>
        </w:rPr>
        <w:t xml:space="preserve"> </w:t>
      </w:r>
    </w:p>
    <w:p w14:paraId="09B96576" w14:textId="77777777" w:rsidR="000C2D01" w:rsidRPr="000C2D01" w:rsidRDefault="000C2D01" w:rsidP="000C2D01">
      <w:pPr>
        <w:spacing w:before="0" w:after="0"/>
        <w:ind w:left="720" w:hanging="720"/>
        <w:rPr>
          <w:rFonts w:eastAsia="Aptos" w:cs="Arial"/>
          <w:noProof/>
          <w:sz w:val="22"/>
          <w:lang w:val="en-US"/>
        </w:rPr>
      </w:pPr>
      <w:r w:rsidRPr="000C2D01">
        <w:rPr>
          <w:rFonts w:eastAsia="Aptos" w:cs="Arial"/>
          <w:noProof/>
          <w:sz w:val="22"/>
          <w:lang w:val="en-US"/>
        </w:rPr>
        <w:tab/>
      </w:r>
    </w:p>
    <w:p w14:paraId="287623FB" w14:textId="77777777" w:rsidR="000C2D01" w:rsidRPr="000C2D01" w:rsidRDefault="000C2D01" w:rsidP="000C2D01">
      <w:pPr>
        <w:spacing w:before="0" w:after="160"/>
        <w:ind w:left="720" w:hanging="720"/>
        <w:rPr>
          <w:rFonts w:eastAsia="Aptos" w:cs="Arial"/>
          <w:noProof/>
          <w:sz w:val="22"/>
          <w:lang w:val="en-US"/>
        </w:rPr>
      </w:pPr>
      <w:r w:rsidRPr="000C2D01">
        <w:rPr>
          <w:rFonts w:eastAsia="Aptos" w:cs="Arial"/>
          <w:noProof/>
          <w:sz w:val="22"/>
          <w:lang w:val="en-US"/>
        </w:rPr>
        <w:t xml:space="preserve">Piccolo, L. R., &amp; Noble, K. G. (2019). Poverty, early experience, and brain development. In C. H. Zeanah (Ed.), </w:t>
      </w:r>
      <w:r w:rsidRPr="000C2D01">
        <w:rPr>
          <w:rFonts w:eastAsia="Aptos" w:cs="Arial"/>
          <w:i/>
          <w:noProof/>
          <w:sz w:val="22"/>
          <w:lang w:val="en-US"/>
        </w:rPr>
        <w:t>Handbook of infant mental health</w:t>
      </w:r>
      <w:r w:rsidRPr="000C2D01">
        <w:rPr>
          <w:rFonts w:eastAsia="Aptos" w:cs="Arial"/>
          <w:noProof/>
          <w:sz w:val="22"/>
          <w:lang w:val="en-US"/>
        </w:rPr>
        <w:t xml:space="preserve"> (4th ed., pp. 157-171). New York: Guildford Press. </w:t>
      </w:r>
    </w:p>
    <w:p w14:paraId="574F0BEE" w14:textId="77777777" w:rsidR="000C2D01" w:rsidRPr="000C2D01" w:rsidRDefault="000C2D01" w:rsidP="000C2D01">
      <w:pPr>
        <w:spacing w:before="0" w:after="0"/>
        <w:ind w:left="720" w:hanging="720"/>
        <w:rPr>
          <w:rFonts w:eastAsia="Aptos" w:cs="Arial"/>
          <w:noProof/>
          <w:sz w:val="22"/>
          <w:lang w:val="en-US"/>
        </w:rPr>
      </w:pPr>
      <w:r w:rsidRPr="000C2D01">
        <w:rPr>
          <w:rFonts w:eastAsia="Aptos" w:cs="Arial"/>
          <w:noProof/>
          <w:sz w:val="22"/>
          <w:lang w:val="en-US"/>
        </w:rPr>
        <w:tab/>
      </w:r>
    </w:p>
    <w:p w14:paraId="36D927AE" w14:textId="77777777" w:rsidR="005C435F" w:rsidRDefault="000C2D01" w:rsidP="000C2D01">
      <w:pPr>
        <w:spacing w:before="0" w:after="160"/>
        <w:ind w:left="720" w:hanging="720"/>
        <w:rPr>
          <w:rFonts w:eastAsia="Aptos" w:cs="Arial"/>
          <w:noProof/>
          <w:sz w:val="22"/>
          <w:lang w:val="en-US"/>
        </w:rPr>
      </w:pPr>
      <w:r w:rsidRPr="000C2D01">
        <w:rPr>
          <w:rFonts w:eastAsia="Aptos" w:cs="Arial"/>
          <w:noProof/>
          <w:sz w:val="22"/>
          <w:lang w:val="en-US"/>
        </w:rPr>
        <w:t>Pighini, M. J., Goelman, H., Buchanan, M., Schonert</w:t>
      </w:r>
      <w:r w:rsidRPr="000C2D01">
        <w:rPr>
          <w:rFonts w:ascii="Cambria Math" w:eastAsia="Aptos" w:hAnsi="Cambria Math" w:cs="Cambria Math"/>
          <w:noProof/>
          <w:sz w:val="22"/>
          <w:lang w:val="en-US"/>
        </w:rPr>
        <w:t>‐</w:t>
      </w:r>
      <w:r w:rsidRPr="000C2D01">
        <w:rPr>
          <w:rFonts w:eastAsia="Aptos" w:cs="Arial"/>
          <w:noProof/>
          <w:sz w:val="22"/>
          <w:lang w:val="en-US"/>
        </w:rPr>
        <w:t xml:space="preserve">Reichl, K., &amp; Brynelsen, D. (2014). Learning from parents' stories about what works in early intervention. </w:t>
      </w:r>
      <w:r w:rsidRPr="000C2D01">
        <w:rPr>
          <w:rFonts w:eastAsia="Aptos" w:cs="Arial"/>
          <w:i/>
          <w:noProof/>
          <w:sz w:val="22"/>
          <w:lang w:val="en-US"/>
        </w:rPr>
        <w:t>International Journal of Psychology</w:t>
      </w:r>
      <w:r w:rsidRPr="000C2D01">
        <w:rPr>
          <w:rFonts w:eastAsia="Aptos" w:cs="Arial"/>
          <w:noProof/>
          <w:sz w:val="22"/>
          <w:lang w:val="en-US"/>
        </w:rPr>
        <w:t>,</w:t>
      </w:r>
      <w:r w:rsidRPr="000C2D01">
        <w:rPr>
          <w:rFonts w:eastAsia="Aptos" w:cs="Arial"/>
          <w:i/>
          <w:noProof/>
          <w:sz w:val="22"/>
          <w:lang w:val="en-US"/>
        </w:rPr>
        <w:t xml:space="preserve"> 49</w:t>
      </w:r>
      <w:r w:rsidRPr="000C2D01">
        <w:rPr>
          <w:rFonts w:eastAsia="Aptos" w:cs="Arial"/>
          <w:noProof/>
          <w:sz w:val="22"/>
          <w:lang w:val="en-US"/>
        </w:rPr>
        <w:t xml:space="preserve">(4), 263-270. </w:t>
      </w:r>
      <w:hyperlink r:id="rId522" w:history="1">
        <w:r w:rsidR="005C435F" w:rsidRPr="000C2D01">
          <w:rPr>
            <w:rStyle w:val="Hyperlink"/>
            <w:rFonts w:eastAsia="Aptos" w:cs="Arial"/>
            <w:noProof/>
            <w:sz w:val="22"/>
            <w:lang w:val="en-US"/>
          </w:rPr>
          <w:t>https://doi.org/10.1002/ijop.12024</w:t>
        </w:r>
      </w:hyperlink>
      <w:r w:rsidR="005C435F">
        <w:rPr>
          <w:rFonts w:eastAsia="Aptos" w:cs="Arial"/>
          <w:noProof/>
          <w:sz w:val="22"/>
          <w:lang w:val="en-US"/>
        </w:rPr>
        <w:t xml:space="preserve"> </w:t>
      </w:r>
    </w:p>
    <w:p w14:paraId="0E8988B3" w14:textId="48F714DC" w:rsidR="000C2D01" w:rsidRPr="000C2D01" w:rsidRDefault="000C2D01" w:rsidP="000C2D01">
      <w:pPr>
        <w:spacing w:before="0" w:after="160"/>
        <w:ind w:left="720" w:hanging="720"/>
        <w:rPr>
          <w:rFonts w:eastAsia="Aptos" w:cs="Arial"/>
          <w:noProof/>
          <w:sz w:val="22"/>
          <w:lang w:val="en-US"/>
        </w:rPr>
      </w:pPr>
    </w:p>
    <w:p w14:paraId="525F45A8" w14:textId="5E83EA59" w:rsidR="00F879E4" w:rsidRPr="00F879E4" w:rsidRDefault="00F879E4" w:rsidP="00F879E4">
      <w:pPr>
        <w:spacing w:before="0" w:after="160"/>
        <w:ind w:left="720" w:hanging="720"/>
        <w:rPr>
          <w:rFonts w:eastAsia="Aptos" w:cs="Arial"/>
          <w:noProof/>
          <w:sz w:val="22"/>
          <w:lang w:val="en-US"/>
        </w:rPr>
      </w:pPr>
      <w:r w:rsidRPr="00F879E4">
        <w:rPr>
          <w:rFonts w:eastAsia="Aptos" w:cs="Arial"/>
          <w:noProof/>
          <w:sz w:val="22"/>
          <w:lang w:val="en-US"/>
        </w:rPr>
        <w:t xml:space="preserve">Pike, B., O’Nolan, G., &amp; Farragher, L. (2016). </w:t>
      </w:r>
      <w:r w:rsidRPr="00F879E4">
        <w:rPr>
          <w:rFonts w:eastAsia="Aptos" w:cs="Arial"/>
          <w:i/>
          <w:noProof/>
          <w:sz w:val="22"/>
          <w:lang w:val="en-US"/>
        </w:rPr>
        <w:t>Individualised budgeting for social care services for people with a disability</w:t>
      </w:r>
      <w:r w:rsidRPr="00F879E4">
        <w:rPr>
          <w:rFonts w:eastAsia="Aptos" w:cs="Arial"/>
          <w:noProof/>
          <w:sz w:val="22"/>
          <w:lang w:val="en-US"/>
        </w:rPr>
        <w:t xml:space="preserve">. Dublin, Ireland: Health Research Board. Retrieved 6 September, 2024 from </w:t>
      </w:r>
      <w:hyperlink r:id="rId523" w:history="1">
        <w:r w:rsidR="005C435F" w:rsidRPr="00F879E4">
          <w:rPr>
            <w:rStyle w:val="Hyperlink"/>
            <w:rFonts w:eastAsia="Aptos" w:cs="Arial"/>
            <w:noProof/>
            <w:sz w:val="22"/>
            <w:lang w:val="en-US"/>
          </w:rPr>
          <w:t>http://www.hrb.ie/uploads/tx_hrbpublications/Individualised_budgeting_for_social_care_2016.pdf</w:t>
        </w:r>
      </w:hyperlink>
      <w:r w:rsidR="005C435F">
        <w:rPr>
          <w:rFonts w:eastAsia="Aptos" w:cs="Arial"/>
          <w:noProof/>
          <w:sz w:val="22"/>
          <w:lang w:val="en-US"/>
        </w:rPr>
        <w:t xml:space="preserve"> </w:t>
      </w:r>
    </w:p>
    <w:p w14:paraId="2C0029A1" w14:textId="77777777" w:rsidR="00F879E4" w:rsidRPr="00F879E4" w:rsidRDefault="00F879E4" w:rsidP="00F879E4">
      <w:pPr>
        <w:spacing w:before="0" w:after="0"/>
        <w:ind w:left="720" w:hanging="720"/>
        <w:rPr>
          <w:rFonts w:eastAsia="Aptos" w:cs="Arial"/>
          <w:noProof/>
          <w:sz w:val="22"/>
          <w:lang w:val="en-US"/>
        </w:rPr>
      </w:pPr>
      <w:r w:rsidRPr="00F879E4">
        <w:rPr>
          <w:rFonts w:eastAsia="Aptos" w:cs="Arial"/>
          <w:noProof/>
          <w:sz w:val="22"/>
          <w:lang w:val="en-US"/>
        </w:rPr>
        <w:tab/>
      </w:r>
    </w:p>
    <w:p w14:paraId="1D49D909" w14:textId="77777777" w:rsidR="00F879E4" w:rsidRPr="00F879E4" w:rsidRDefault="00F879E4" w:rsidP="00F879E4">
      <w:pPr>
        <w:spacing w:before="0" w:after="160"/>
        <w:ind w:left="720" w:hanging="720"/>
        <w:rPr>
          <w:rFonts w:eastAsia="Aptos" w:cs="Arial"/>
          <w:noProof/>
          <w:sz w:val="22"/>
          <w:lang w:val="en-US"/>
        </w:rPr>
      </w:pPr>
      <w:r w:rsidRPr="00F879E4">
        <w:rPr>
          <w:rFonts w:eastAsia="Aptos" w:cs="Arial"/>
          <w:noProof/>
          <w:sz w:val="22"/>
          <w:lang w:val="en-US"/>
        </w:rPr>
        <w:t xml:space="preserve">Piketty, T. (2014). </w:t>
      </w:r>
      <w:r w:rsidRPr="00F879E4">
        <w:rPr>
          <w:rFonts w:eastAsia="Aptos" w:cs="Arial"/>
          <w:i/>
          <w:noProof/>
          <w:sz w:val="22"/>
          <w:lang w:val="en-US"/>
        </w:rPr>
        <w:t>Capital in the twenty-first century</w:t>
      </w:r>
      <w:r w:rsidRPr="00F879E4">
        <w:rPr>
          <w:rFonts w:eastAsia="Aptos" w:cs="Arial"/>
          <w:noProof/>
          <w:sz w:val="22"/>
          <w:lang w:val="en-US"/>
        </w:rPr>
        <w:t xml:space="preserve">. Cambridge, MA: Harvard University Press. </w:t>
      </w:r>
    </w:p>
    <w:p w14:paraId="3517F60D" w14:textId="77777777" w:rsidR="00F879E4" w:rsidRPr="00F879E4" w:rsidRDefault="00F879E4" w:rsidP="00F879E4">
      <w:pPr>
        <w:spacing w:before="0" w:after="0"/>
        <w:ind w:left="720" w:hanging="720"/>
        <w:rPr>
          <w:rFonts w:eastAsia="Aptos" w:cs="Arial"/>
          <w:noProof/>
          <w:sz w:val="22"/>
          <w:lang w:val="en-US"/>
        </w:rPr>
      </w:pPr>
      <w:r w:rsidRPr="00F879E4">
        <w:rPr>
          <w:rFonts w:eastAsia="Aptos" w:cs="Arial"/>
          <w:noProof/>
          <w:sz w:val="22"/>
          <w:lang w:val="en-US"/>
        </w:rPr>
        <w:tab/>
      </w:r>
    </w:p>
    <w:p w14:paraId="73472B02" w14:textId="7E5E6C09" w:rsidR="00F879E4" w:rsidRPr="00F879E4" w:rsidRDefault="00F879E4" w:rsidP="00F879E4">
      <w:pPr>
        <w:spacing w:before="0" w:after="160"/>
        <w:ind w:left="720" w:hanging="720"/>
        <w:rPr>
          <w:rFonts w:eastAsia="Aptos" w:cs="Arial"/>
          <w:noProof/>
          <w:sz w:val="22"/>
          <w:lang w:val="en-US"/>
        </w:rPr>
      </w:pPr>
      <w:r w:rsidRPr="00F879E4">
        <w:rPr>
          <w:rFonts w:eastAsia="Aptos" w:cs="Arial"/>
          <w:noProof/>
          <w:sz w:val="22"/>
          <w:lang w:val="en-US"/>
        </w:rPr>
        <w:t xml:space="preserve">Pillas, D., Marmot, M., Naicker, K., Goldblatt, P., Morrison, J., &amp; Pikhart, H. (2014). Social inequalities in early childhood health and development: a European-wide systematic review. </w:t>
      </w:r>
      <w:r w:rsidRPr="00F879E4">
        <w:rPr>
          <w:rFonts w:eastAsia="Aptos" w:cs="Arial"/>
          <w:i/>
          <w:noProof/>
          <w:sz w:val="22"/>
          <w:lang w:val="en-US"/>
        </w:rPr>
        <w:t>Pediatric research</w:t>
      </w:r>
      <w:r w:rsidRPr="00F879E4">
        <w:rPr>
          <w:rFonts w:eastAsia="Aptos" w:cs="Arial"/>
          <w:noProof/>
          <w:sz w:val="22"/>
          <w:lang w:val="en-US"/>
        </w:rPr>
        <w:t>,</w:t>
      </w:r>
      <w:r w:rsidRPr="00F879E4">
        <w:rPr>
          <w:rFonts w:eastAsia="Aptos" w:cs="Arial"/>
          <w:i/>
          <w:noProof/>
          <w:sz w:val="22"/>
          <w:lang w:val="en-US"/>
        </w:rPr>
        <w:t xml:space="preserve"> 76</w:t>
      </w:r>
      <w:r w:rsidRPr="00F879E4">
        <w:rPr>
          <w:rFonts w:eastAsia="Aptos" w:cs="Arial"/>
          <w:noProof/>
          <w:sz w:val="22"/>
          <w:lang w:val="en-US"/>
        </w:rPr>
        <w:t xml:space="preserve">(5), 418-424. </w:t>
      </w:r>
      <w:hyperlink r:id="rId524" w:history="1">
        <w:r w:rsidR="005C435F" w:rsidRPr="00F879E4">
          <w:rPr>
            <w:rStyle w:val="Hyperlink"/>
            <w:rFonts w:eastAsia="Aptos" w:cs="Arial"/>
            <w:noProof/>
            <w:sz w:val="22"/>
            <w:lang w:val="en-US"/>
          </w:rPr>
          <w:t>https://doi.org/10.1038/pr.2014.122</w:t>
        </w:r>
      </w:hyperlink>
      <w:r w:rsidR="005C435F">
        <w:rPr>
          <w:rFonts w:eastAsia="Aptos" w:cs="Arial"/>
          <w:noProof/>
          <w:sz w:val="22"/>
          <w:lang w:val="en-US"/>
        </w:rPr>
        <w:t xml:space="preserve"> </w:t>
      </w:r>
      <w:r w:rsidRPr="00F879E4">
        <w:rPr>
          <w:rFonts w:eastAsia="Aptos" w:cs="Arial"/>
          <w:noProof/>
          <w:sz w:val="22"/>
          <w:lang w:val="en-US"/>
        </w:rPr>
        <w:t xml:space="preserve"> </w:t>
      </w:r>
    </w:p>
    <w:p w14:paraId="0C49E736" w14:textId="77777777" w:rsidR="00F879E4" w:rsidRPr="00F879E4" w:rsidRDefault="00F879E4" w:rsidP="00F879E4">
      <w:pPr>
        <w:spacing w:before="0" w:after="0"/>
        <w:ind w:left="720" w:hanging="720"/>
        <w:rPr>
          <w:rFonts w:eastAsia="Aptos" w:cs="Arial"/>
          <w:noProof/>
          <w:sz w:val="22"/>
          <w:lang w:val="en-US"/>
        </w:rPr>
      </w:pPr>
      <w:r w:rsidRPr="00F879E4">
        <w:rPr>
          <w:rFonts w:eastAsia="Aptos" w:cs="Arial"/>
          <w:noProof/>
          <w:sz w:val="22"/>
          <w:lang w:val="en-US"/>
        </w:rPr>
        <w:tab/>
      </w:r>
    </w:p>
    <w:p w14:paraId="0A37C349" w14:textId="77777777" w:rsidR="00F879E4" w:rsidRPr="00F879E4" w:rsidRDefault="00F879E4" w:rsidP="00F879E4">
      <w:pPr>
        <w:spacing w:before="0" w:after="160"/>
        <w:ind w:left="720" w:hanging="720"/>
        <w:rPr>
          <w:rFonts w:eastAsia="Aptos" w:cs="Arial"/>
          <w:noProof/>
          <w:sz w:val="22"/>
          <w:lang w:val="en-US"/>
        </w:rPr>
      </w:pPr>
      <w:r w:rsidRPr="00F879E4">
        <w:rPr>
          <w:rFonts w:eastAsia="Aptos" w:cs="Arial"/>
          <w:noProof/>
          <w:sz w:val="22"/>
          <w:lang w:val="en-US"/>
        </w:rPr>
        <w:t xml:space="preserve">Pinker, S. (2015). </w:t>
      </w:r>
      <w:r w:rsidRPr="00F879E4">
        <w:rPr>
          <w:rFonts w:eastAsia="Aptos" w:cs="Arial"/>
          <w:i/>
          <w:noProof/>
          <w:sz w:val="22"/>
          <w:lang w:val="en-US"/>
        </w:rPr>
        <w:t>The village effect: Why face-to-face contact matters</w:t>
      </w:r>
      <w:r w:rsidRPr="00F879E4">
        <w:rPr>
          <w:rFonts w:eastAsia="Aptos" w:cs="Arial"/>
          <w:noProof/>
          <w:sz w:val="22"/>
          <w:lang w:val="en-US"/>
        </w:rPr>
        <w:t xml:space="preserve">. London, UK: Atlantic Books. </w:t>
      </w:r>
    </w:p>
    <w:p w14:paraId="184B71A2" w14:textId="77777777" w:rsidR="00F879E4" w:rsidRPr="00F879E4" w:rsidRDefault="00F879E4" w:rsidP="00F879E4">
      <w:pPr>
        <w:spacing w:before="0" w:after="0"/>
        <w:ind w:left="720" w:hanging="720"/>
        <w:rPr>
          <w:rFonts w:eastAsia="Aptos" w:cs="Arial"/>
          <w:noProof/>
          <w:sz w:val="22"/>
          <w:lang w:val="en-US"/>
        </w:rPr>
      </w:pPr>
      <w:r w:rsidRPr="00F879E4">
        <w:rPr>
          <w:rFonts w:eastAsia="Aptos" w:cs="Arial"/>
          <w:noProof/>
          <w:sz w:val="22"/>
          <w:lang w:val="en-US"/>
        </w:rPr>
        <w:tab/>
      </w:r>
    </w:p>
    <w:p w14:paraId="21530A7A" w14:textId="77777777" w:rsidR="00F879E4" w:rsidRPr="00F879E4" w:rsidRDefault="00F879E4" w:rsidP="00F879E4">
      <w:pPr>
        <w:spacing w:before="0" w:after="160"/>
        <w:ind w:left="720" w:hanging="720"/>
        <w:rPr>
          <w:rFonts w:eastAsia="Aptos" w:cs="Arial"/>
          <w:noProof/>
          <w:sz w:val="22"/>
          <w:lang w:val="en-US"/>
        </w:rPr>
      </w:pPr>
      <w:r w:rsidRPr="00F879E4">
        <w:rPr>
          <w:rFonts w:eastAsia="Aptos" w:cs="Arial"/>
          <w:noProof/>
          <w:sz w:val="22"/>
          <w:lang w:val="en-US"/>
        </w:rPr>
        <w:t xml:space="preserve">Pinker, S. (2018). </w:t>
      </w:r>
      <w:r w:rsidRPr="00F879E4">
        <w:rPr>
          <w:rFonts w:eastAsia="Aptos" w:cs="Arial"/>
          <w:i/>
          <w:noProof/>
          <w:sz w:val="22"/>
          <w:lang w:val="en-US"/>
        </w:rPr>
        <w:t>Enlightenment now: The case for reason, science, humanism, and progress</w:t>
      </w:r>
      <w:r w:rsidRPr="00F879E4">
        <w:rPr>
          <w:rFonts w:eastAsia="Aptos" w:cs="Arial"/>
          <w:noProof/>
          <w:sz w:val="22"/>
          <w:lang w:val="en-US"/>
        </w:rPr>
        <w:t xml:space="preserve">. New York: Viking. </w:t>
      </w:r>
    </w:p>
    <w:p w14:paraId="09C5ADC2" w14:textId="77777777" w:rsidR="00F879E4" w:rsidRPr="00F879E4" w:rsidRDefault="00F879E4" w:rsidP="00F879E4">
      <w:pPr>
        <w:spacing w:before="0" w:after="0"/>
        <w:ind w:left="720" w:hanging="720"/>
        <w:rPr>
          <w:rFonts w:eastAsia="Aptos" w:cs="Arial"/>
          <w:noProof/>
          <w:sz w:val="22"/>
          <w:lang w:val="en-US"/>
        </w:rPr>
      </w:pPr>
      <w:r w:rsidRPr="00F879E4">
        <w:rPr>
          <w:rFonts w:eastAsia="Aptos" w:cs="Arial"/>
          <w:noProof/>
          <w:sz w:val="22"/>
          <w:lang w:val="en-US"/>
        </w:rPr>
        <w:tab/>
      </w:r>
    </w:p>
    <w:p w14:paraId="7FA7B13B" w14:textId="4D521C03" w:rsidR="00F879E4" w:rsidRPr="00F879E4" w:rsidRDefault="00F879E4" w:rsidP="00F879E4">
      <w:pPr>
        <w:spacing w:before="0" w:after="160"/>
        <w:ind w:left="720" w:hanging="720"/>
        <w:rPr>
          <w:rFonts w:eastAsia="Aptos" w:cs="Arial"/>
          <w:noProof/>
          <w:sz w:val="22"/>
          <w:lang w:val="en-US"/>
        </w:rPr>
      </w:pPr>
      <w:r w:rsidRPr="00F879E4">
        <w:rPr>
          <w:rFonts w:eastAsia="Aptos" w:cs="Arial"/>
          <w:noProof/>
          <w:sz w:val="22"/>
          <w:lang w:val="en-US"/>
        </w:rPr>
        <w:t xml:space="preserve">Pinney, A. (2017). </w:t>
      </w:r>
      <w:r w:rsidRPr="00F879E4">
        <w:rPr>
          <w:rFonts w:eastAsia="Aptos" w:cs="Arial"/>
          <w:i/>
          <w:noProof/>
          <w:sz w:val="22"/>
          <w:lang w:val="en-US"/>
        </w:rPr>
        <w:t>Understanding the needs of disabled children with complex needs or life limiting conditions – what can we learn from national data? A report</w:t>
      </w:r>
      <w:r w:rsidRPr="00F879E4">
        <w:rPr>
          <w:rFonts w:eastAsia="Aptos" w:cs="Arial"/>
          <w:noProof/>
          <w:sz w:val="22"/>
          <w:lang w:val="en-US"/>
        </w:rPr>
        <w:t xml:space="preserve">. The Council for Disabled Children &amp; The True Colours Trust. Retrieved 6 September, 2024 from </w:t>
      </w:r>
      <w:hyperlink r:id="rId525" w:history="1">
        <w:r w:rsidR="005C435F" w:rsidRPr="00F879E4">
          <w:rPr>
            <w:rStyle w:val="Hyperlink"/>
            <w:rFonts w:eastAsia="Aptos" w:cs="Arial"/>
            <w:noProof/>
            <w:sz w:val="22"/>
            <w:lang w:val="en-US"/>
          </w:rPr>
          <w:t>https://councilfordisabledchildren.org.uk/resources/all-resources/filter/inclusion-send/understanding-needs-disabled-children-complex-needs</w:t>
        </w:r>
      </w:hyperlink>
      <w:r w:rsidR="005C435F">
        <w:rPr>
          <w:rFonts w:eastAsia="Aptos" w:cs="Arial"/>
          <w:noProof/>
          <w:sz w:val="22"/>
          <w:lang w:val="en-US"/>
        </w:rPr>
        <w:t xml:space="preserve"> </w:t>
      </w:r>
    </w:p>
    <w:p w14:paraId="1248BE55" w14:textId="68F83E0E" w:rsidR="005D310C" w:rsidRPr="005D310C" w:rsidRDefault="005D310C" w:rsidP="005D310C">
      <w:pPr>
        <w:spacing w:before="0" w:after="160"/>
        <w:ind w:left="720" w:hanging="720"/>
        <w:rPr>
          <w:rFonts w:eastAsia="Aptos" w:cs="Arial"/>
          <w:noProof/>
          <w:sz w:val="22"/>
          <w:lang w:val="en-US"/>
        </w:rPr>
      </w:pPr>
      <w:r w:rsidRPr="005D310C">
        <w:rPr>
          <w:rFonts w:eastAsia="Aptos" w:cs="Arial"/>
          <w:noProof/>
          <w:sz w:val="22"/>
          <w:lang w:val="en-US"/>
        </w:rPr>
        <w:t>Plesko, C. M., Yu, Z., Tobin, K., &amp; Gross, D. (2021). Social connectedness among parents raising children in low</w:t>
      </w:r>
      <w:r w:rsidRPr="005D310C">
        <w:rPr>
          <w:rFonts w:ascii="Cambria Math" w:eastAsia="Aptos" w:hAnsi="Cambria Math" w:cs="Cambria Math"/>
          <w:noProof/>
          <w:sz w:val="22"/>
          <w:lang w:val="en-US"/>
        </w:rPr>
        <w:t>‐</w:t>
      </w:r>
      <w:r w:rsidRPr="005D310C">
        <w:rPr>
          <w:rFonts w:eastAsia="Aptos" w:cs="Arial"/>
          <w:noProof/>
          <w:sz w:val="22"/>
          <w:lang w:val="en-US"/>
        </w:rPr>
        <w:t xml:space="preserve">income communities: An integrative review. </w:t>
      </w:r>
      <w:r w:rsidRPr="005D310C">
        <w:rPr>
          <w:rFonts w:eastAsia="Aptos" w:cs="Arial"/>
          <w:i/>
          <w:noProof/>
          <w:sz w:val="22"/>
          <w:lang w:val="en-US"/>
        </w:rPr>
        <w:t>Research in Nursing &amp; Health</w:t>
      </w:r>
      <w:r w:rsidRPr="005D310C">
        <w:rPr>
          <w:rFonts w:eastAsia="Aptos" w:cs="Arial"/>
          <w:noProof/>
          <w:sz w:val="22"/>
          <w:lang w:val="en-US"/>
        </w:rPr>
        <w:t>,</w:t>
      </w:r>
      <w:r w:rsidRPr="005D310C">
        <w:rPr>
          <w:rFonts w:eastAsia="Aptos" w:cs="Arial"/>
          <w:i/>
          <w:noProof/>
          <w:sz w:val="22"/>
          <w:lang w:val="en-US"/>
        </w:rPr>
        <w:t xml:space="preserve"> 44</w:t>
      </w:r>
      <w:r w:rsidRPr="005D310C">
        <w:rPr>
          <w:rFonts w:eastAsia="Aptos" w:cs="Arial"/>
          <w:noProof/>
          <w:sz w:val="22"/>
          <w:lang w:val="en-US"/>
        </w:rPr>
        <w:t xml:space="preserve">(6), 957-969. </w:t>
      </w:r>
      <w:hyperlink r:id="rId526" w:history="1">
        <w:r w:rsidR="005C435F" w:rsidRPr="005D310C">
          <w:rPr>
            <w:rStyle w:val="Hyperlink"/>
            <w:rFonts w:eastAsia="Aptos" w:cs="Arial"/>
            <w:noProof/>
            <w:sz w:val="22"/>
            <w:lang w:val="en-US"/>
          </w:rPr>
          <w:t>https://doi.org/10.1002/nur.22189</w:t>
        </w:r>
      </w:hyperlink>
      <w:r w:rsidR="005C435F">
        <w:rPr>
          <w:rFonts w:eastAsia="Aptos" w:cs="Arial"/>
          <w:noProof/>
          <w:sz w:val="22"/>
          <w:lang w:val="en-US"/>
        </w:rPr>
        <w:t xml:space="preserve"> </w:t>
      </w:r>
      <w:r w:rsidRPr="005D310C">
        <w:rPr>
          <w:rFonts w:eastAsia="Aptos" w:cs="Arial"/>
          <w:noProof/>
          <w:sz w:val="22"/>
          <w:lang w:val="en-US"/>
        </w:rPr>
        <w:t xml:space="preserve"> </w:t>
      </w:r>
    </w:p>
    <w:p w14:paraId="0BBA7024" w14:textId="77777777" w:rsidR="005D310C" w:rsidRPr="005D310C" w:rsidRDefault="005D310C" w:rsidP="005D310C">
      <w:pPr>
        <w:spacing w:before="0" w:after="0"/>
        <w:ind w:left="720" w:hanging="720"/>
        <w:rPr>
          <w:rFonts w:eastAsia="Aptos" w:cs="Arial"/>
          <w:noProof/>
          <w:sz w:val="22"/>
          <w:lang w:val="en-US"/>
        </w:rPr>
      </w:pPr>
      <w:r w:rsidRPr="005D310C">
        <w:rPr>
          <w:rFonts w:eastAsia="Aptos" w:cs="Arial"/>
          <w:noProof/>
          <w:sz w:val="22"/>
          <w:lang w:val="en-US"/>
        </w:rPr>
        <w:tab/>
      </w:r>
    </w:p>
    <w:p w14:paraId="0A6CBD78" w14:textId="2539E9EA" w:rsidR="005D310C" w:rsidRPr="005D310C" w:rsidRDefault="005D310C" w:rsidP="005D310C">
      <w:pPr>
        <w:spacing w:before="0" w:after="160"/>
        <w:ind w:left="720" w:hanging="720"/>
        <w:rPr>
          <w:rFonts w:eastAsia="Aptos" w:cs="Arial"/>
          <w:noProof/>
          <w:sz w:val="22"/>
          <w:lang w:val="en-US"/>
        </w:rPr>
      </w:pPr>
      <w:r w:rsidRPr="005D310C">
        <w:rPr>
          <w:rFonts w:eastAsia="Aptos" w:cs="Arial"/>
          <w:noProof/>
          <w:sz w:val="22"/>
          <w:lang w:val="en-US"/>
        </w:rPr>
        <w:t xml:space="preserve">Popkin, S. J., Acs, G., &amp; Smith, R. (2010). Understanding how place matters for kids. </w:t>
      </w:r>
      <w:r w:rsidRPr="005D310C">
        <w:rPr>
          <w:rFonts w:eastAsia="Aptos" w:cs="Arial"/>
          <w:i/>
          <w:noProof/>
          <w:sz w:val="22"/>
          <w:lang w:val="en-US"/>
        </w:rPr>
        <w:t>Community Investments</w:t>
      </w:r>
      <w:r w:rsidRPr="005D310C">
        <w:rPr>
          <w:rFonts w:eastAsia="Aptos" w:cs="Arial"/>
          <w:noProof/>
          <w:sz w:val="22"/>
          <w:lang w:val="en-US"/>
        </w:rPr>
        <w:t>,</w:t>
      </w:r>
      <w:r w:rsidRPr="005D310C">
        <w:rPr>
          <w:rFonts w:eastAsia="Aptos" w:cs="Arial"/>
          <w:i/>
          <w:noProof/>
          <w:sz w:val="22"/>
          <w:lang w:val="en-US"/>
        </w:rPr>
        <w:t xml:space="preserve"> 22</w:t>
      </w:r>
      <w:r w:rsidRPr="005D310C">
        <w:rPr>
          <w:rFonts w:eastAsia="Aptos" w:cs="Arial"/>
          <w:noProof/>
          <w:sz w:val="22"/>
          <w:lang w:val="en-US"/>
        </w:rPr>
        <w:t xml:space="preserve">(1), 23-26. </w:t>
      </w:r>
      <w:hyperlink r:id="rId527" w:history="1">
        <w:r w:rsidR="005C435F" w:rsidRPr="005D310C">
          <w:rPr>
            <w:rStyle w:val="Hyperlink"/>
            <w:rFonts w:eastAsia="Aptos" w:cs="Arial"/>
            <w:noProof/>
            <w:sz w:val="22"/>
            <w:lang w:val="en-US"/>
          </w:rPr>
          <w:t>https://www.frbsf.org/wp-content/uploads/S_Popkins.pdf</w:t>
        </w:r>
      </w:hyperlink>
      <w:r w:rsidR="005C435F">
        <w:rPr>
          <w:rFonts w:eastAsia="Aptos" w:cs="Arial"/>
          <w:noProof/>
          <w:sz w:val="22"/>
          <w:lang w:val="en-US"/>
        </w:rPr>
        <w:t xml:space="preserve"> </w:t>
      </w:r>
      <w:r w:rsidRPr="005D310C">
        <w:rPr>
          <w:rFonts w:eastAsia="Aptos" w:cs="Arial"/>
          <w:noProof/>
          <w:sz w:val="22"/>
          <w:lang w:val="en-US"/>
        </w:rPr>
        <w:t xml:space="preserve"> </w:t>
      </w:r>
    </w:p>
    <w:p w14:paraId="4E5BB97A" w14:textId="3C1DF6FF" w:rsidR="00FB1CDB" w:rsidRPr="00FB1CDB" w:rsidRDefault="00FB1CDB" w:rsidP="00FB1CDB">
      <w:pPr>
        <w:spacing w:before="0" w:after="160"/>
        <w:ind w:left="720" w:hanging="720"/>
        <w:rPr>
          <w:rFonts w:eastAsia="Aptos" w:cs="Arial"/>
          <w:noProof/>
          <w:sz w:val="22"/>
          <w:lang w:val="en-US"/>
        </w:rPr>
      </w:pPr>
      <w:r w:rsidRPr="00FB1CDB">
        <w:rPr>
          <w:rFonts w:eastAsia="Aptos" w:cs="Arial"/>
          <w:noProof/>
          <w:sz w:val="22"/>
          <w:lang w:val="en-US"/>
        </w:rPr>
        <w:t>Postma, A., Ketelaar, M., van Nispen Tot Sevenaer, J., Downs, Z., van Rappard, D., Jongmans, M., &amp; Zinkstok, J. (2024). Exploring individual parent</w:t>
      </w:r>
      <w:r w:rsidRPr="00FB1CDB">
        <w:rPr>
          <w:rFonts w:ascii="Cambria Math" w:eastAsia="Aptos" w:hAnsi="Cambria Math" w:cs="Cambria Math"/>
          <w:noProof/>
          <w:sz w:val="22"/>
          <w:lang w:val="en-US"/>
        </w:rPr>
        <w:t>‐</w:t>
      </w:r>
      <w:r w:rsidRPr="00FB1CDB">
        <w:rPr>
          <w:rFonts w:eastAsia="Aptos" w:cs="Arial"/>
          <w:noProof/>
          <w:sz w:val="22"/>
          <w:lang w:val="en-US"/>
        </w:rPr>
        <w:t>to</w:t>
      </w:r>
      <w:r w:rsidRPr="00FB1CDB">
        <w:rPr>
          <w:rFonts w:ascii="Cambria Math" w:eastAsia="Aptos" w:hAnsi="Cambria Math" w:cs="Cambria Math"/>
          <w:noProof/>
          <w:sz w:val="22"/>
          <w:lang w:val="en-US"/>
        </w:rPr>
        <w:t>‐</w:t>
      </w:r>
      <w:r w:rsidRPr="00FB1CDB">
        <w:rPr>
          <w:rFonts w:eastAsia="Aptos" w:cs="Arial"/>
          <w:noProof/>
          <w:sz w:val="22"/>
          <w:lang w:val="en-US"/>
        </w:rPr>
        <w:t>parent support interventions for parents caring for children with brain</w:t>
      </w:r>
      <w:r w:rsidRPr="00FB1CDB">
        <w:rPr>
          <w:rFonts w:ascii="Cambria Math" w:eastAsia="Aptos" w:hAnsi="Cambria Math" w:cs="Cambria Math"/>
          <w:noProof/>
          <w:sz w:val="22"/>
          <w:lang w:val="en-US"/>
        </w:rPr>
        <w:t>‐</w:t>
      </w:r>
      <w:r w:rsidRPr="00FB1CDB">
        <w:rPr>
          <w:rFonts w:eastAsia="Aptos" w:cs="Arial"/>
          <w:noProof/>
          <w:sz w:val="22"/>
          <w:lang w:val="en-US"/>
        </w:rPr>
        <w:t xml:space="preserve">based developmental disabilities: A scoping review. </w:t>
      </w:r>
      <w:r w:rsidRPr="00FB1CDB">
        <w:rPr>
          <w:rFonts w:eastAsia="Aptos" w:cs="Arial"/>
          <w:i/>
          <w:noProof/>
          <w:sz w:val="22"/>
          <w:lang w:val="en-US"/>
        </w:rPr>
        <w:t>Child: care, health and development</w:t>
      </w:r>
      <w:r w:rsidRPr="00FB1CDB">
        <w:rPr>
          <w:rFonts w:eastAsia="Aptos" w:cs="Arial"/>
          <w:noProof/>
          <w:sz w:val="22"/>
          <w:lang w:val="en-US"/>
        </w:rPr>
        <w:t>,</w:t>
      </w:r>
      <w:r w:rsidRPr="00FB1CDB">
        <w:rPr>
          <w:rFonts w:eastAsia="Aptos" w:cs="Arial"/>
          <w:i/>
          <w:noProof/>
          <w:sz w:val="22"/>
          <w:lang w:val="en-US"/>
        </w:rPr>
        <w:t xml:space="preserve"> 50</w:t>
      </w:r>
      <w:r w:rsidRPr="00FB1CDB">
        <w:rPr>
          <w:rFonts w:eastAsia="Aptos" w:cs="Arial"/>
          <w:noProof/>
          <w:sz w:val="22"/>
          <w:lang w:val="en-US"/>
        </w:rPr>
        <w:t xml:space="preserve">(3), e13255. </w:t>
      </w:r>
      <w:hyperlink r:id="rId528" w:history="1">
        <w:r w:rsidR="00090188" w:rsidRPr="00FB1CDB">
          <w:rPr>
            <w:rStyle w:val="Hyperlink"/>
            <w:rFonts w:eastAsia="Aptos" w:cs="Arial"/>
            <w:noProof/>
            <w:sz w:val="22"/>
            <w:lang w:val="en-US"/>
          </w:rPr>
          <w:t>https://doi.org/10.1111/cch.13255</w:t>
        </w:r>
      </w:hyperlink>
      <w:r w:rsidR="00090188">
        <w:rPr>
          <w:rFonts w:eastAsia="Aptos" w:cs="Arial"/>
          <w:noProof/>
          <w:sz w:val="22"/>
          <w:lang w:val="en-US"/>
        </w:rPr>
        <w:t xml:space="preserve"> </w:t>
      </w:r>
      <w:r w:rsidRPr="00FB1CDB">
        <w:rPr>
          <w:rFonts w:eastAsia="Aptos" w:cs="Arial"/>
          <w:noProof/>
          <w:sz w:val="22"/>
          <w:lang w:val="en-US"/>
        </w:rPr>
        <w:t xml:space="preserve"> </w:t>
      </w:r>
    </w:p>
    <w:p w14:paraId="2FE74A33" w14:textId="77777777" w:rsidR="00FB1CDB" w:rsidRPr="00FB1CDB" w:rsidRDefault="00FB1CDB" w:rsidP="00FB1CDB">
      <w:pPr>
        <w:spacing w:before="0" w:after="0"/>
        <w:ind w:left="720" w:hanging="720"/>
        <w:rPr>
          <w:rFonts w:eastAsia="Aptos" w:cs="Arial"/>
          <w:noProof/>
          <w:sz w:val="22"/>
          <w:lang w:val="en-US"/>
        </w:rPr>
      </w:pPr>
      <w:r w:rsidRPr="00FB1CDB">
        <w:rPr>
          <w:rFonts w:eastAsia="Aptos" w:cs="Arial"/>
          <w:noProof/>
          <w:sz w:val="22"/>
          <w:lang w:val="en-US"/>
        </w:rPr>
        <w:tab/>
      </w:r>
    </w:p>
    <w:p w14:paraId="571647F0" w14:textId="21F0DDE1" w:rsidR="00FB1CDB" w:rsidRPr="00FB1CDB" w:rsidRDefault="00FB1CDB" w:rsidP="00FB1CDB">
      <w:pPr>
        <w:spacing w:before="0" w:after="160"/>
        <w:ind w:left="720" w:hanging="720"/>
        <w:rPr>
          <w:rFonts w:eastAsia="Aptos" w:cs="Arial"/>
          <w:noProof/>
          <w:sz w:val="22"/>
          <w:lang w:val="en-US"/>
        </w:rPr>
      </w:pPr>
      <w:r w:rsidRPr="00FB1CDB">
        <w:rPr>
          <w:rFonts w:eastAsia="Aptos" w:cs="Arial"/>
          <w:noProof/>
          <w:sz w:val="22"/>
          <w:lang w:val="en-US"/>
        </w:rPr>
        <w:t xml:space="preserve">Potvin, M.-C., Prelock, P. A., &amp; Savard, L. (2018). Supporting children with autism and their families: a culturally responsive family-driven interprofessional process. </w:t>
      </w:r>
      <w:r w:rsidRPr="00FB1CDB">
        <w:rPr>
          <w:rFonts w:eastAsia="Aptos" w:cs="Arial"/>
          <w:i/>
          <w:noProof/>
          <w:sz w:val="22"/>
          <w:lang w:val="en-US"/>
        </w:rPr>
        <w:t>Pediatric Clinics</w:t>
      </w:r>
      <w:r w:rsidRPr="00FB1CDB">
        <w:rPr>
          <w:rFonts w:eastAsia="Aptos" w:cs="Arial"/>
          <w:noProof/>
          <w:sz w:val="22"/>
          <w:lang w:val="en-US"/>
        </w:rPr>
        <w:t>,</w:t>
      </w:r>
      <w:r w:rsidRPr="00FB1CDB">
        <w:rPr>
          <w:rFonts w:eastAsia="Aptos" w:cs="Arial"/>
          <w:i/>
          <w:noProof/>
          <w:sz w:val="22"/>
          <w:lang w:val="en-US"/>
        </w:rPr>
        <w:t xml:space="preserve"> 65</w:t>
      </w:r>
      <w:r w:rsidRPr="00FB1CDB">
        <w:rPr>
          <w:rFonts w:eastAsia="Aptos" w:cs="Arial"/>
          <w:noProof/>
          <w:sz w:val="22"/>
          <w:lang w:val="en-US"/>
        </w:rPr>
        <w:t xml:space="preserve">(1), 47-57. </w:t>
      </w:r>
      <w:hyperlink r:id="rId529" w:history="1">
        <w:r w:rsidR="00090188" w:rsidRPr="00FB1CDB">
          <w:rPr>
            <w:rStyle w:val="Hyperlink"/>
            <w:rFonts w:eastAsia="Aptos" w:cs="Arial"/>
            <w:noProof/>
            <w:sz w:val="22"/>
            <w:lang w:val="en-US"/>
          </w:rPr>
          <w:t>https://doi.org/10.1016/j.pcl.2017.08.020</w:t>
        </w:r>
      </w:hyperlink>
      <w:r w:rsidR="00090188">
        <w:rPr>
          <w:rFonts w:eastAsia="Aptos" w:cs="Arial"/>
          <w:noProof/>
          <w:sz w:val="22"/>
          <w:lang w:val="en-US"/>
        </w:rPr>
        <w:t xml:space="preserve"> </w:t>
      </w:r>
      <w:r w:rsidRPr="00FB1CDB">
        <w:rPr>
          <w:rFonts w:eastAsia="Aptos" w:cs="Arial"/>
          <w:noProof/>
          <w:sz w:val="22"/>
          <w:lang w:val="en-US"/>
        </w:rPr>
        <w:t xml:space="preserve"> </w:t>
      </w:r>
    </w:p>
    <w:p w14:paraId="0CD2B1FC" w14:textId="77777777" w:rsidR="00FB1CDB" w:rsidRPr="00FB1CDB" w:rsidRDefault="00FB1CDB" w:rsidP="00FB1CDB">
      <w:pPr>
        <w:spacing w:before="0" w:after="0"/>
        <w:ind w:left="720" w:hanging="720"/>
        <w:rPr>
          <w:rFonts w:eastAsia="Aptos" w:cs="Arial"/>
          <w:noProof/>
          <w:sz w:val="22"/>
          <w:lang w:val="en-US"/>
        </w:rPr>
      </w:pPr>
      <w:r w:rsidRPr="00FB1CDB">
        <w:rPr>
          <w:rFonts w:eastAsia="Aptos" w:cs="Arial"/>
          <w:noProof/>
          <w:sz w:val="22"/>
          <w:lang w:val="en-US"/>
        </w:rPr>
        <w:tab/>
      </w:r>
    </w:p>
    <w:p w14:paraId="0A02C453" w14:textId="74555F5C" w:rsidR="00FB1CDB" w:rsidRPr="00FB1CDB" w:rsidRDefault="00FB1CDB" w:rsidP="00FB1CDB">
      <w:pPr>
        <w:spacing w:before="0" w:after="160"/>
        <w:ind w:left="720" w:hanging="720"/>
        <w:rPr>
          <w:rFonts w:eastAsia="Aptos" w:cs="Arial"/>
          <w:noProof/>
          <w:sz w:val="22"/>
          <w:lang w:val="en-US"/>
        </w:rPr>
      </w:pPr>
      <w:r w:rsidRPr="00FB1CDB">
        <w:rPr>
          <w:rFonts w:eastAsia="Aptos" w:cs="Arial"/>
          <w:noProof/>
          <w:sz w:val="22"/>
          <w:lang w:val="en-US"/>
        </w:rPr>
        <w:t xml:space="preserve">Powell, T., &amp; Gheera, M. (2021). </w:t>
      </w:r>
      <w:r w:rsidRPr="00FB1CDB">
        <w:rPr>
          <w:rFonts w:eastAsia="Aptos" w:cs="Arial"/>
          <w:i/>
          <w:noProof/>
          <w:sz w:val="22"/>
          <w:lang w:val="en-US"/>
        </w:rPr>
        <w:t>Early intervention: A background paper</w:t>
      </w:r>
      <w:r w:rsidRPr="00FB1CDB">
        <w:rPr>
          <w:rFonts w:eastAsia="Aptos" w:cs="Arial"/>
          <w:noProof/>
          <w:sz w:val="22"/>
          <w:lang w:val="en-US"/>
        </w:rPr>
        <w:t xml:space="preserve">. London, UK: House of Commons Library. Retrieved 6 September, 2024 from </w:t>
      </w:r>
      <w:hyperlink r:id="rId530" w:history="1">
        <w:r w:rsidR="00090188" w:rsidRPr="00FB1CDB">
          <w:rPr>
            <w:rStyle w:val="Hyperlink"/>
            <w:rFonts w:eastAsia="Aptos" w:cs="Arial"/>
            <w:noProof/>
            <w:sz w:val="22"/>
            <w:lang w:val="en-US"/>
          </w:rPr>
          <w:t>https://researchbriefings.files.parliament.uk/documents/CBP-9292/CBP-9292.pdf</w:t>
        </w:r>
      </w:hyperlink>
      <w:r w:rsidR="00090188">
        <w:rPr>
          <w:rFonts w:eastAsia="Aptos" w:cs="Arial"/>
          <w:noProof/>
          <w:sz w:val="22"/>
          <w:lang w:val="en-US"/>
        </w:rPr>
        <w:t xml:space="preserve"> </w:t>
      </w:r>
    </w:p>
    <w:p w14:paraId="27326B56" w14:textId="77777777" w:rsidR="00FB1CDB" w:rsidRPr="00FB1CDB" w:rsidRDefault="00FB1CDB" w:rsidP="00FB1CDB">
      <w:pPr>
        <w:spacing w:before="0" w:after="0"/>
        <w:ind w:left="720" w:hanging="720"/>
        <w:rPr>
          <w:rFonts w:eastAsia="Aptos" w:cs="Arial"/>
          <w:noProof/>
          <w:sz w:val="22"/>
          <w:lang w:val="en-US"/>
        </w:rPr>
      </w:pPr>
      <w:r w:rsidRPr="00FB1CDB">
        <w:rPr>
          <w:rFonts w:eastAsia="Aptos" w:cs="Arial"/>
          <w:noProof/>
          <w:sz w:val="22"/>
          <w:lang w:val="en-US"/>
        </w:rPr>
        <w:tab/>
      </w:r>
    </w:p>
    <w:p w14:paraId="544C8B26" w14:textId="3B2E2252" w:rsidR="00FB1CDB" w:rsidRDefault="00FB1CDB" w:rsidP="00FB1CDB">
      <w:pPr>
        <w:spacing w:before="0" w:after="160"/>
        <w:ind w:left="720" w:hanging="720"/>
        <w:rPr>
          <w:rFonts w:eastAsia="Aptos" w:cs="Arial"/>
          <w:noProof/>
          <w:sz w:val="22"/>
          <w:lang w:val="en-US"/>
        </w:rPr>
      </w:pPr>
      <w:r w:rsidRPr="00FB1CDB">
        <w:rPr>
          <w:rFonts w:eastAsia="Aptos" w:cs="Arial"/>
          <w:noProof/>
          <w:sz w:val="22"/>
          <w:lang w:val="en-US"/>
        </w:rPr>
        <w:t xml:space="preserve">Pozniak, K., King, G., Chambers, E., Martens, R., Earl, S., Kraus de Camargo, O., McCauley, D., Teplicky, R., &amp; Rosenbaum, P. (2024). What do parents want from healthcare services? Reports of parents’ experiences with pediatric service delivery for their children with disabilities. </w:t>
      </w:r>
      <w:r w:rsidRPr="00FB1CDB">
        <w:rPr>
          <w:rFonts w:eastAsia="Aptos" w:cs="Arial"/>
          <w:i/>
          <w:noProof/>
          <w:sz w:val="22"/>
          <w:lang w:val="en-US"/>
        </w:rPr>
        <w:t>Disability and Rehabilitation</w:t>
      </w:r>
      <w:r w:rsidRPr="00FB1CDB">
        <w:rPr>
          <w:rFonts w:eastAsia="Aptos" w:cs="Arial"/>
          <w:noProof/>
          <w:sz w:val="22"/>
          <w:lang w:val="en-US"/>
        </w:rPr>
        <w:t>,</w:t>
      </w:r>
      <w:r w:rsidRPr="00FB1CDB">
        <w:rPr>
          <w:rFonts w:eastAsia="Aptos" w:cs="Arial"/>
          <w:i/>
          <w:noProof/>
          <w:sz w:val="22"/>
          <w:lang w:val="en-US"/>
        </w:rPr>
        <w:t xml:space="preserve"> 46</w:t>
      </w:r>
      <w:r w:rsidRPr="00FB1CDB">
        <w:rPr>
          <w:rFonts w:eastAsia="Aptos" w:cs="Arial"/>
          <w:noProof/>
          <w:sz w:val="22"/>
          <w:lang w:val="en-US"/>
        </w:rPr>
        <w:t xml:space="preserve">(12), 2670-2683. </w:t>
      </w:r>
      <w:hyperlink r:id="rId531" w:history="1">
        <w:r w:rsidR="005C435F" w:rsidRPr="00FB1CDB">
          <w:rPr>
            <w:rStyle w:val="Hyperlink"/>
            <w:rFonts w:eastAsia="Aptos" w:cs="Arial"/>
            <w:noProof/>
            <w:sz w:val="22"/>
            <w:lang w:val="en-US"/>
          </w:rPr>
          <w:t>https://doi.org/10.1080/09638288.2023.2229733</w:t>
        </w:r>
      </w:hyperlink>
      <w:r w:rsidRPr="00FB1CDB">
        <w:rPr>
          <w:rFonts w:eastAsia="Aptos" w:cs="Arial"/>
          <w:noProof/>
          <w:sz w:val="22"/>
          <w:lang w:val="en-US"/>
        </w:rPr>
        <w:t xml:space="preserve"> </w:t>
      </w:r>
    </w:p>
    <w:p w14:paraId="7BC5FBB2" w14:textId="77777777" w:rsidR="005C435F" w:rsidRPr="00FB1CDB" w:rsidRDefault="005C435F" w:rsidP="00FB1CDB">
      <w:pPr>
        <w:spacing w:before="0" w:after="160"/>
        <w:ind w:left="720" w:hanging="720"/>
        <w:rPr>
          <w:rFonts w:eastAsia="Aptos" w:cs="Arial"/>
          <w:noProof/>
          <w:sz w:val="22"/>
          <w:lang w:val="en-US"/>
        </w:rPr>
      </w:pPr>
    </w:p>
    <w:p w14:paraId="44C88767" w14:textId="0FD39373" w:rsidR="009A6361" w:rsidRPr="009A6361" w:rsidRDefault="009A6361" w:rsidP="009A6361">
      <w:pPr>
        <w:spacing w:before="0" w:after="160"/>
        <w:ind w:left="720" w:hanging="720"/>
        <w:rPr>
          <w:rFonts w:eastAsia="Aptos" w:cs="Arial"/>
          <w:noProof/>
          <w:sz w:val="22"/>
          <w:lang w:val="en-US"/>
        </w:rPr>
      </w:pPr>
      <w:r w:rsidRPr="009A6361">
        <w:rPr>
          <w:rFonts w:eastAsia="Aptos" w:cs="Arial"/>
          <w:noProof/>
          <w:sz w:val="22"/>
          <w:lang w:val="en-US"/>
        </w:rPr>
        <w:t xml:space="preserve">Prabhakar, M., &amp; Thom, G. (2012). </w:t>
      </w:r>
      <w:r w:rsidRPr="009A6361">
        <w:rPr>
          <w:rFonts w:eastAsia="Aptos" w:cs="Arial"/>
          <w:i/>
          <w:noProof/>
          <w:sz w:val="22"/>
          <w:lang w:val="en-US"/>
        </w:rPr>
        <w:t>Evaluation of the extended individual budget pilot programme for families with disabled children: the extended packages</w:t>
      </w:r>
      <w:r w:rsidRPr="009A6361">
        <w:rPr>
          <w:rFonts w:eastAsia="Aptos" w:cs="Arial"/>
          <w:noProof/>
          <w:sz w:val="22"/>
          <w:lang w:val="en-US"/>
        </w:rPr>
        <w:t xml:space="preserve">. London, UK: Department of Education. Retrieved 6 September, 2024 from </w:t>
      </w:r>
      <w:hyperlink r:id="rId532" w:history="1">
        <w:r w:rsidR="005C435F" w:rsidRPr="009A6361">
          <w:rPr>
            <w:rStyle w:val="Hyperlink"/>
            <w:rFonts w:eastAsia="Aptos" w:cs="Arial"/>
            <w:noProof/>
            <w:sz w:val="22"/>
            <w:lang w:val="en-US"/>
          </w:rPr>
          <w:t>https://dera.ioe.ac.uk/id/eprint/15777/1/DFE-RR232%20Report.pdf</w:t>
        </w:r>
      </w:hyperlink>
      <w:r w:rsidR="005C435F">
        <w:rPr>
          <w:rFonts w:eastAsia="Aptos" w:cs="Arial"/>
          <w:noProof/>
          <w:sz w:val="22"/>
          <w:lang w:val="en-US"/>
        </w:rPr>
        <w:t xml:space="preserve"> </w:t>
      </w:r>
    </w:p>
    <w:p w14:paraId="5BFF518F" w14:textId="77777777" w:rsidR="009A6361" w:rsidRPr="009A6361" w:rsidRDefault="009A6361" w:rsidP="009A6361">
      <w:pPr>
        <w:spacing w:before="0" w:after="0"/>
        <w:ind w:left="720" w:hanging="720"/>
        <w:rPr>
          <w:rFonts w:eastAsia="Aptos" w:cs="Arial"/>
          <w:noProof/>
          <w:sz w:val="22"/>
          <w:lang w:val="en-US"/>
        </w:rPr>
      </w:pPr>
      <w:r w:rsidRPr="009A6361">
        <w:rPr>
          <w:rFonts w:eastAsia="Aptos" w:cs="Arial"/>
          <w:noProof/>
          <w:sz w:val="22"/>
          <w:lang w:val="en-US"/>
        </w:rPr>
        <w:tab/>
      </w:r>
    </w:p>
    <w:p w14:paraId="6CE8BE4D" w14:textId="5DD43830" w:rsidR="009A6361" w:rsidRPr="009A6361" w:rsidRDefault="009A6361" w:rsidP="009A6361">
      <w:pPr>
        <w:spacing w:before="0" w:after="160"/>
        <w:ind w:left="720" w:hanging="720"/>
        <w:rPr>
          <w:rFonts w:eastAsia="Aptos" w:cs="Arial"/>
          <w:noProof/>
          <w:sz w:val="22"/>
          <w:lang w:val="en-US"/>
        </w:rPr>
      </w:pPr>
      <w:r w:rsidRPr="009A6361">
        <w:rPr>
          <w:rFonts w:eastAsia="Aptos" w:cs="Arial"/>
          <w:noProof/>
          <w:sz w:val="22"/>
          <w:lang w:val="en-US"/>
        </w:rPr>
        <w:t xml:space="preserve">Prabhakar, M., Thom, G., &amp; Rhian, J. (2011). </w:t>
      </w:r>
      <w:r w:rsidRPr="009A6361">
        <w:rPr>
          <w:rFonts w:eastAsia="Aptos" w:cs="Arial"/>
          <w:i/>
          <w:noProof/>
          <w:sz w:val="22"/>
          <w:lang w:val="en-US"/>
        </w:rPr>
        <w:t>Individual budgets for families with disabled children. Final evaluation report: The IB process</w:t>
      </w:r>
      <w:r w:rsidRPr="009A6361">
        <w:rPr>
          <w:rFonts w:eastAsia="Aptos" w:cs="Arial"/>
          <w:noProof/>
          <w:sz w:val="22"/>
          <w:lang w:val="en-US"/>
        </w:rPr>
        <w:t xml:space="preserve">. London, UK: Department for Education. Retrieved 6 September, 2024 from </w:t>
      </w:r>
      <w:hyperlink r:id="rId533" w:history="1">
        <w:r w:rsidR="005C435F" w:rsidRPr="009A6361">
          <w:rPr>
            <w:rStyle w:val="Hyperlink"/>
            <w:rFonts w:eastAsia="Aptos" w:cs="Arial"/>
            <w:noProof/>
            <w:sz w:val="22"/>
            <w:lang w:val="en-US"/>
          </w:rPr>
          <w:t>https://www.education.gov.uk/publications/eOrderingDownload/DFE-RR145.pdf</w:t>
        </w:r>
      </w:hyperlink>
      <w:r w:rsidR="005C435F">
        <w:rPr>
          <w:rFonts w:eastAsia="Aptos" w:cs="Arial"/>
          <w:noProof/>
          <w:sz w:val="22"/>
          <w:lang w:val="en-US"/>
        </w:rPr>
        <w:t xml:space="preserve"> </w:t>
      </w:r>
    </w:p>
    <w:p w14:paraId="553EADC2" w14:textId="77777777" w:rsidR="002D3970" w:rsidRPr="002D3970" w:rsidRDefault="002D3970" w:rsidP="002D3970">
      <w:pPr>
        <w:spacing w:before="0" w:after="160"/>
        <w:ind w:left="720" w:hanging="720"/>
        <w:rPr>
          <w:rFonts w:eastAsia="Aptos" w:cs="Arial"/>
          <w:noProof/>
          <w:sz w:val="22"/>
          <w:lang w:val="en-US"/>
        </w:rPr>
      </w:pPr>
      <w:r w:rsidRPr="002D3970">
        <w:rPr>
          <w:rFonts w:eastAsia="Aptos" w:cs="Arial"/>
          <w:noProof/>
          <w:sz w:val="22"/>
          <w:lang w:val="en-US"/>
        </w:rPr>
        <w:t xml:space="preserve">Prescott, S. (2015). </w:t>
      </w:r>
      <w:r w:rsidRPr="002D3970">
        <w:rPr>
          <w:rFonts w:eastAsia="Aptos" w:cs="Arial"/>
          <w:i/>
          <w:noProof/>
          <w:sz w:val="22"/>
          <w:lang w:val="en-US"/>
        </w:rPr>
        <w:t>Origins: early-life solutions to the modern health crisis</w:t>
      </w:r>
      <w:r w:rsidRPr="002D3970">
        <w:rPr>
          <w:rFonts w:eastAsia="Aptos" w:cs="Arial"/>
          <w:noProof/>
          <w:sz w:val="22"/>
          <w:lang w:val="en-US"/>
        </w:rPr>
        <w:t xml:space="preserve">. Perth, WA: The University of Western Australia Publishing. </w:t>
      </w:r>
    </w:p>
    <w:p w14:paraId="609CCD08" w14:textId="77777777" w:rsidR="002D3970" w:rsidRPr="002D3970" w:rsidRDefault="002D3970" w:rsidP="002D3970">
      <w:pPr>
        <w:spacing w:before="0" w:after="0"/>
        <w:ind w:left="720" w:hanging="720"/>
        <w:rPr>
          <w:rFonts w:eastAsia="Aptos" w:cs="Arial"/>
          <w:noProof/>
          <w:sz w:val="22"/>
          <w:lang w:val="en-US"/>
        </w:rPr>
      </w:pPr>
      <w:r w:rsidRPr="002D3970">
        <w:rPr>
          <w:rFonts w:eastAsia="Aptos" w:cs="Arial"/>
          <w:noProof/>
          <w:sz w:val="22"/>
          <w:lang w:val="en-US"/>
        </w:rPr>
        <w:tab/>
      </w:r>
    </w:p>
    <w:p w14:paraId="7A7298C6" w14:textId="597B9A7D" w:rsidR="002D3970" w:rsidRPr="002D3970" w:rsidRDefault="002D3970" w:rsidP="002D3970">
      <w:pPr>
        <w:spacing w:before="0" w:after="160"/>
        <w:ind w:left="720" w:hanging="720"/>
        <w:rPr>
          <w:rFonts w:eastAsia="Aptos" w:cs="Arial"/>
          <w:noProof/>
          <w:sz w:val="22"/>
          <w:lang w:val="en-US"/>
        </w:rPr>
      </w:pPr>
      <w:r w:rsidRPr="002D3970">
        <w:rPr>
          <w:rFonts w:eastAsia="Aptos" w:cs="Arial"/>
          <w:noProof/>
          <w:sz w:val="22"/>
          <w:lang w:val="en-US"/>
        </w:rPr>
        <w:t xml:space="preserve">Preterm Follow-Up Guideline Development Group. (2024). </w:t>
      </w:r>
      <w:r w:rsidRPr="002D3970">
        <w:rPr>
          <w:rFonts w:eastAsia="Aptos" w:cs="Arial"/>
          <w:i/>
          <w:noProof/>
          <w:sz w:val="22"/>
          <w:lang w:val="en-US"/>
        </w:rPr>
        <w:t>Guideline for Growth, Health and Developmental Follow-Up for Children Born Very Preterm</w:t>
      </w:r>
      <w:r w:rsidRPr="002D3970">
        <w:rPr>
          <w:rFonts w:eastAsia="Aptos" w:cs="Arial"/>
          <w:noProof/>
          <w:sz w:val="22"/>
          <w:lang w:val="en-US"/>
        </w:rPr>
        <w:t xml:space="preserve">. Melbourne, VIC: Centre of Research Excellence in Newborn Medicine, Murdoch Children’s Research Institute. Retrieved 6 September, 2024 from </w:t>
      </w:r>
      <w:hyperlink r:id="rId534" w:history="1">
        <w:r w:rsidR="00090188" w:rsidRPr="002D3970">
          <w:rPr>
            <w:rStyle w:val="Hyperlink"/>
            <w:rFonts w:eastAsia="Aptos" w:cs="Arial"/>
            <w:noProof/>
            <w:sz w:val="22"/>
            <w:lang w:val="en-US"/>
          </w:rPr>
          <w:t>https://www.crenewbornmedicine.org.au/media/dhgapqa3/02072024_preterm_followup_guideline.pdf</w:t>
        </w:r>
      </w:hyperlink>
      <w:r w:rsidR="00090188">
        <w:rPr>
          <w:rFonts w:eastAsia="Aptos" w:cs="Arial"/>
          <w:noProof/>
          <w:sz w:val="22"/>
          <w:lang w:val="en-US"/>
        </w:rPr>
        <w:t xml:space="preserve"> </w:t>
      </w:r>
    </w:p>
    <w:p w14:paraId="195BE136" w14:textId="77777777" w:rsidR="002D3970" w:rsidRPr="002D3970" w:rsidRDefault="002D3970" w:rsidP="002D3970">
      <w:pPr>
        <w:spacing w:before="0" w:after="0"/>
        <w:ind w:left="720" w:hanging="720"/>
        <w:rPr>
          <w:rFonts w:eastAsia="Aptos" w:cs="Arial"/>
          <w:noProof/>
          <w:sz w:val="22"/>
          <w:lang w:val="en-US"/>
        </w:rPr>
      </w:pPr>
      <w:r w:rsidRPr="002D3970">
        <w:rPr>
          <w:rFonts w:eastAsia="Aptos" w:cs="Arial"/>
          <w:noProof/>
          <w:sz w:val="22"/>
          <w:lang w:val="en-US"/>
        </w:rPr>
        <w:tab/>
      </w:r>
    </w:p>
    <w:p w14:paraId="74DBA310" w14:textId="1E7E2F65" w:rsidR="002D3970" w:rsidRPr="002D3970" w:rsidRDefault="002D3970" w:rsidP="002D3970">
      <w:pPr>
        <w:spacing w:before="0" w:after="160"/>
        <w:ind w:left="720" w:hanging="720"/>
        <w:rPr>
          <w:rFonts w:eastAsia="Aptos" w:cs="Arial"/>
          <w:noProof/>
          <w:sz w:val="22"/>
          <w:lang w:val="en-US"/>
        </w:rPr>
      </w:pPr>
      <w:r w:rsidRPr="002D3970">
        <w:rPr>
          <w:rFonts w:eastAsia="Aptos" w:cs="Arial"/>
          <w:noProof/>
          <w:sz w:val="22"/>
          <w:lang w:val="en-US"/>
        </w:rPr>
        <w:t xml:space="preserve">Prevention Institute. (2019). </w:t>
      </w:r>
      <w:r w:rsidRPr="002D3970">
        <w:rPr>
          <w:rFonts w:eastAsia="Aptos" w:cs="Arial"/>
          <w:i/>
          <w:noProof/>
          <w:sz w:val="22"/>
          <w:lang w:val="en-US"/>
        </w:rPr>
        <w:t>A system of prevention: Achieving health, safety, and wellbeing for all</w:t>
      </w:r>
      <w:r w:rsidRPr="002D3970">
        <w:rPr>
          <w:rFonts w:eastAsia="Aptos" w:cs="Arial"/>
          <w:noProof/>
          <w:sz w:val="22"/>
          <w:lang w:val="en-US"/>
        </w:rPr>
        <w:t xml:space="preserve">. Oakland, CA: Prevention Institute. Retrieved 6 September, 2024 from </w:t>
      </w:r>
      <w:hyperlink r:id="rId535" w:history="1">
        <w:r w:rsidR="00090188" w:rsidRPr="002D3970">
          <w:rPr>
            <w:rStyle w:val="Hyperlink"/>
            <w:rFonts w:eastAsia="Aptos" w:cs="Arial"/>
            <w:noProof/>
            <w:sz w:val="22"/>
            <w:lang w:val="en-US"/>
          </w:rPr>
          <w:t>https://www.preventioninstitute.org/projects/advancing-system-prevention-achieve-health-equity</w:t>
        </w:r>
      </w:hyperlink>
      <w:r w:rsidR="00090188">
        <w:rPr>
          <w:rFonts w:eastAsia="Aptos" w:cs="Arial"/>
          <w:noProof/>
          <w:sz w:val="22"/>
          <w:lang w:val="en-US"/>
        </w:rPr>
        <w:t xml:space="preserve"> </w:t>
      </w:r>
    </w:p>
    <w:p w14:paraId="1C90D45C" w14:textId="07C5FFF2" w:rsidR="0030178D" w:rsidRPr="00075790" w:rsidRDefault="0030178D" w:rsidP="0030178D">
      <w:pPr>
        <w:pStyle w:val="EndNoteBibliography"/>
        <w:spacing w:after="0"/>
        <w:ind w:left="720" w:hanging="720"/>
      </w:pPr>
    </w:p>
    <w:p w14:paraId="046D1663" w14:textId="4C3115CE" w:rsidR="00BF388C" w:rsidRPr="00BF388C" w:rsidRDefault="00BF388C" w:rsidP="00BF388C">
      <w:pPr>
        <w:spacing w:before="0" w:after="160"/>
        <w:ind w:left="720" w:hanging="720"/>
        <w:rPr>
          <w:rFonts w:eastAsia="Aptos" w:cs="Arial"/>
          <w:noProof/>
          <w:sz w:val="22"/>
          <w:lang w:val="en-US"/>
        </w:rPr>
      </w:pPr>
      <w:r w:rsidRPr="00BF388C">
        <w:rPr>
          <w:rFonts w:eastAsia="Aptos" w:cs="Arial"/>
          <w:noProof/>
          <w:sz w:val="22"/>
          <w:lang w:val="en-US"/>
        </w:rPr>
        <w:t xml:space="preserve">Priest, N., Guo, J., Doery, K., Perry, R., Thurber, K., &amp; Jones, R. (2021). </w:t>
      </w:r>
      <w:r w:rsidRPr="00BF388C">
        <w:rPr>
          <w:rFonts w:eastAsia="Aptos" w:cs="Arial"/>
          <w:i/>
          <w:noProof/>
          <w:sz w:val="22"/>
          <w:lang w:val="en-US"/>
        </w:rPr>
        <w:t>Racism, racial discrimination and child and youth health: a rapid evidence synthesis</w:t>
      </w:r>
      <w:r w:rsidRPr="00BF388C">
        <w:rPr>
          <w:rFonts w:eastAsia="Aptos" w:cs="Arial"/>
          <w:noProof/>
          <w:sz w:val="22"/>
          <w:lang w:val="en-US"/>
        </w:rPr>
        <w:t xml:space="preserve">. West Melbourne, VIC: VicHealth. Retrieved 6 September, 2024 from </w:t>
      </w:r>
      <w:hyperlink r:id="rId536" w:history="1">
        <w:r w:rsidR="00090188" w:rsidRPr="00BF388C">
          <w:rPr>
            <w:rStyle w:val="Hyperlink"/>
            <w:rFonts w:eastAsia="Aptos" w:cs="Arial"/>
            <w:noProof/>
            <w:sz w:val="22"/>
            <w:lang w:val="en-US"/>
          </w:rPr>
          <w:t>https://www.vichealth.vic.gov.au/-/media/Final_Racism-full-technical-report.pdf</w:t>
        </w:r>
      </w:hyperlink>
      <w:r w:rsidR="00090188">
        <w:rPr>
          <w:rFonts w:eastAsia="Aptos" w:cs="Arial"/>
          <w:noProof/>
          <w:sz w:val="22"/>
          <w:lang w:val="en-US"/>
        </w:rPr>
        <w:t xml:space="preserve"> </w:t>
      </w:r>
    </w:p>
    <w:p w14:paraId="6800771B" w14:textId="77777777" w:rsidR="00BF388C" w:rsidRPr="00BF388C" w:rsidRDefault="00BF388C" w:rsidP="00BF388C">
      <w:pPr>
        <w:spacing w:before="0" w:after="0"/>
        <w:ind w:left="720" w:hanging="720"/>
        <w:rPr>
          <w:rFonts w:eastAsia="Aptos" w:cs="Arial"/>
          <w:noProof/>
          <w:sz w:val="22"/>
          <w:lang w:val="en-US"/>
        </w:rPr>
      </w:pPr>
      <w:r w:rsidRPr="00BF388C">
        <w:rPr>
          <w:rFonts w:eastAsia="Aptos" w:cs="Arial"/>
          <w:noProof/>
          <w:sz w:val="22"/>
          <w:lang w:val="en-US"/>
        </w:rPr>
        <w:tab/>
      </w:r>
    </w:p>
    <w:p w14:paraId="74E627EA" w14:textId="655296AF" w:rsidR="00BF388C" w:rsidRPr="00BF388C" w:rsidRDefault="00BF388C" w:rsidP="00BF388C">
      <w:pPr>
        <w:spacing w:before="0" w:after="160"/>
        <w:ind w:left="720" w:hanging="720"/>
        <w:rPr>
          <w:rFonts w:eastAsia="Aptos" w:cs="Arial"/>
          <w:noProof/>
          <w:sz w:val="22"/>
          <w:lang w:val="en-US"/>
        </w:rPr>
      </w:pPr>
      <w:r w:rsidRPr="00367828">
        <w:rPr>
          <w:rFonts w:eastAsia="Aptos" w:cs="Arial"/>
          <w:noProof/>
          <w:sz w:val="22"/>
          <w:lang w:val="en-US"/>
        </w:rPr>
        <w:t xml:space="preserve">Prior, M., Roberts, J. M., Rodger, S., Williams, K., &amp; Sutherland, R. (2011). </w:t>
      </w:r>
      <w:r w:rsidRPr="00367828">
        <w:rPr>
          <w:rFonts w:eastAsia="Aptos" w:cs="Arial"/>
          <w:i/>
          <w:noProof/>
          <w:sz w:val="22"/>
          <w:lang w:val="en-US"/>
        </w:rPr>
        <w:t>A review of the research to identify the most effective models of practice in early intervention for children with autism spectrum disorders</w:t>
      </w:r>
      <w:r w:rsidRPr="00367828">
        <w:rPr>
          <w:rFonts w:eastAsia="Aptos" w:cs="Arial"/>
          <w:noProof/>
          <w:sz w:val="22"/>
          <w:lang w:val="en-US"/>
        </w:rPr>
        <w:t xml:space="preserve">. Canberra, ACT: Department of Families Community Services and Indigenous Affairs. Retrieved 6 September, 2024 from </w:t>
      </w:r>
      <w:hyperlink r:id="rId537" w:history="1">
        <w:r w:rsidR="00090188" w:rsidRPr="00326476">
          <w:rPr>
            <w:rStyle w:val="Hyperlink"/>
            <w:rFonts w:eastAsia="Aptos" w:cs="Arial"/>
            <w:noProof/>
            <w:sz w:val="22"/>
            <w:lang w:val="en-US"/>
          </w:rPr>
          <w:t>https://www.dss.gov.au/sites/default/files/documents/10_2014/review_of_the_research_report_2011_0.pdf</w:t>
        </w:r>
      </w:hyperlink>
      <w:r w:rsidR="00090188">
        <w:rPr>
          <w:rFonts w:eastAsia="Aptos" w:cs="Arial"/>
          <w:noProof/>
          <w:sz w:val="22"/>
          <w:lang w:val="en-US"/>
        </w:rPr>
        <w:t xml:space="preserve"> </w:t>
      </w:r>
    </w:p>
    <w:p w14:paraId="3C96256F" w14:textId="77777777" w:rsidR="00BF388C" w:rsidRPr="00BF388C" w:rsidRDefault="00BF388C" w:rsidP="00BF388C">
      <w:pPr>
        <w:spacing w:before="0" w:after="0"/>
        <w:ind w:left="720" w:hanging="720"/>
        <w:rPr>
          <w:rFonts w:eastAsia="Aptos" w:cs="Arial"/>
          <w:noProof/>
          <w:sz w:val="22"/>
          <w:lang w:val="en-US"/>
        </w:rPr>
      </w:pPr>
      <w:r w:rsidRPr="00BF388C">
        <w:rPr>
          <w:rFonts w:eastAsia="Aptos" w:cs="Arial"/>
          <w:noProof/>
          <w:sz w:val="22"/>
          <w:lang w:val="en-US"/>
        </w:rPr>
        <w:tab/>
      </w:r>
    </w:p>
    <w:p w14:paraId="0911A773" w14:textId="77777777" w:rsidR="00E114EB" w:rsidRDefault="00BF388C" w:rsidP="00BF388C">
      <w:pPr>
        <w:spacing w:before="0" w:after="160"/>
        <w:ind w:left="720" w:hanging="720"/>
        <w:rPr>
          <w:rFonts w:eastAsia="Aptos" w:cs="Arial"/>
          <w:noProof/>
          <w:sz w:val="22"/>
          <w:lang w:val="en-US"/>
        </w:rPr>
      </w:pPr>
      <w:r w:rsidRPr="00BF388C">
        <w:rPr>
          <w:rFonts w:eastAsia="Aptos" w:cs="Arial"/>
          <w:noProof/>
          <w:sz w:val="22"/>
          <w:lang w:val="en-US"/>
        </w:rPr>
        <w:t xml:space="preserve">Prizant, B. M., Wetherby, A. M., Rubin, E., &amp; Laurent, A. C. (2003). The SCERTS model: A transactional, family-centered approach to enhancing communication and socioemotional abilities of children with autism spectrum disorder. </w:t>
      </w:r>
      <w:r w:rsidRPr="00BF388C">
        <w:rPr>
          <w:rFonts w:eastAsia="Aptos" w:cs="Arial"/>
          <w:i/>
          <w:noProof/>
          <w:sz w:val="22"/>
          <w:lang w:val="en-US"/>
        </w:rPr>
        <w:t>Infants &amp; Young Children</w:t>
      </w:r>
      <w:r w:rsidRPr="00BF388C">
        <w:rPr>
          <w:rFonts w:eastAsia="Aptos" w:cs="Arial"/>
          <w:noProof/>
          <w:sz w:val="22"/>
          <w:lang w:val="en-US"/>
        </w:rPr>
        <w:t>,</w:t>
      </w:r>
      <w:r w:rsidRPr="00BF388C">
        <w:rPr>
          <w:rFonts w:eastAsia="Aptos" w:cs="Arial"/>
          <w:i/>
          <w:noProof/>
          <w:sz w:val="22"/>
          <w:lang w:val="en-US"/>
        </w:rPr>
        <w:t xml:space="preserve"> 16</w:t>
      </w:r>
      <w:r w:rsidRPr="00BF388C">
        <w:rPr>
          <w:rFonts w:eastAsia="Aptos" w:cs="Arial"/>
          <w:noProof/>
          <w:sz w:val="22"/>
          <w:lang w:val="en-US"/>
        </w:rPr>
        <w:t xml:space="preserve">(4), 296-316. </w:t>
      </w:r>
      <w:hyperlink r:id="rId538" w:history="1">
        <w:r w:rsidR="00E114EB" w:rsidRPr="00BF388C">
          <w:rPr>
            <w:rStyle w:val="Hyperlink"/>
            <w:rFonts w:eastAsia="Aptos" w:cs="Arial"/>
            <w:noProof/>
            <w:sz w:val="22"/>
            <w:lang w:val="en-US"/>
          </w:rPr>
          <w:t>https://doi.org/10.1097/00001163-200310000-00004</w:t>
        </w:r>
      </w:hyperlink>
      <w:r w:rsidR="00E114EB">
        <w:rPr>
          <w:rFonts w:eastAsia="Aptos" w:cs="Arial"/>
          <w:noProof/>
          <w:sz w:val="22"/>
          <w:lang w:val="en-US"/>
        </w:rPr>
        <w:t xml:space="preserve"> </w:t>
      </w:r>
    </w:p>
    <w:p w14:paraId="6726DCAD" w14:textId="42F9ED4E" w:rsidR="00BF388C" w:rsidRPr="00BF388C" w:rsidRDefault="00BF388C" w:rsidP="00BF388C">
      <w:pPr>
        <w:spacing w:before="0" w:after="160"/>
        <w:ind w:left="720" w:hanging="720"/>
        <w:rPr>
          <w:rFonts w:eastAsia="Aptos" w:cs="Arial"/>
          <w:noProof/>
          <w:sz w:val="22"/>
          <w:lang w:val="en-US"/>
        </w:rPr>
      </w:pPr>
      <w:r w:rsidRPr="00BF388C">
        <w:rPr>
          <w:rFonts w:eastAsia="Aptos" w:cs="Arial"/>
          <w:noProof/>
          <w:sz w:val="22"/>
          <w:lang w:val="en-US"/>
        </w:rPr>
        <w:t xml:space="preserve"> </w:t>
      </w:r>
    </w:p>
    <w:p w14:paraId="25975EF9" w14:textId="66929583" w:rsidR="00BE5B91" w:rsidRPr="00BE5B91" w:rsidRDefault="00BE5B91" w:rsidP="00BE5B91">
      <w:pPr>
        <w:spacing w:before="0" w:after="160"/>
        <w:ind w:left="720" w:hanging="720"/>
        <w:rPr>
          <w:rFonts w:eastAsia="Aptos" w:cs="Arial"/>
          <w:noProof/>
          <w:sz w:val="22"/>
          <w:lang w:val="en-US"/>
        </w:rPr>
      </w:pPr>
      <w:r w:rsidRPr="00BE5B91">
        <w:rPr>
          <w:rFonts w:eastAsia="Aptos" w:cs="Arial"/>
          <w:noProof/>
          <w:sz w:val="22"/>
          <w:lang w:val="en-US"/>
        </w:rPr>
        <w:t xml:space="preserve">Productivity Commission. (2011). </w:t>
      </w:r>
      <w:r w:rsidRPr="00BE5B91">
        <w:rPr>
          <w:rFonts w:eastAsia="Aptos" w:cs="Arial"/>
          <w:i/>
          <w:noProof/>
          <w:sz w:val="22"/>
          <w:lang w:val="en-US"/>
        </w:rPr>
        <w:t>Disability care and support: Productivity commission inquiry aupport: Overview and recommendations</w:t>
      </w:r>
      <w:r w:rsidRPr="00BE5B91">
        <w:rPr>
          <w:rFonts w:eastAsia="Aptos" w:cs="Arial"/>
          <w:noProof/>
          <w:sz w:val="22"/>
          <w:lang w:val="en-US"/>
        </w:rPr>
        <w:t xml:space="preserve">. Melbourne, VIC: Productivity Commission. Retrieved 6 September, 2024 from </w:t>
      </w:r>
      <w:hyperlink r:id="rId539" w:history="1">
        <w:r w:rsidR="00E114EB" w:rsidRPr="00BE5B91">
          <w:rPr>
            <w:rStyle w:val="Hyperlink"/>
            <w:rFonts w:eastAsia="Aptos" w:cs="Arial"/>
            <w:noProof/>
            <w:sz w:val="22"/>
            <w:lang w:val="en-US"/>
          </w:rPr>
          <w:t>https://www.pc.gov.au/inquiries/completed/disability-support/report</w:t>
        </w:r>
      </w:hyperlink>
      <w:r w:rsidR="00E114EB">
        <w:rPr>
          <w:rFonts w:eastAsia="Aptos" w:cs="Arial"/>
          <w:noProof/>
          <w:sz w:val="22"/>
          <w:lang w:val="en-US"/>
        </w:rPr>
        <w:t xml:space="preserve"> </w:t>
      </w:r>
    </w:p>
    <w:p w14:paraId="3B232E47" w14:textId="77777777" w:rsidR="00BE5B91" w:rsidRPr="00BE5B91" w:rsidRDefault="00BE5B91" w:rsidP="00BE5B91">
      <w:pPr>
        <w:spacing w:before="0" w:after="0"/>
        <w:ind w:left="720" w:hanging="720"/>
        <w:rPr>
          <w:rFonts w:eastAsia="Aptos" w:cs="Arial"/>
          <w:noProof/>
          <w:sz w:val="22"/>
          <w:lang w:val="en-US"/>
        </w:rPr>
      </w:pPr>
      <w:r w:rsidRPr="00BE5B91">
        <w:rPr>
          <w:rFonts w:eastAsia="Aptos" w:cs="Arial"/>
          <w:noProof/>
          <w:sz w:val="22"/>
          <w:lang w:val="en-US"/>
        </w:rPr>
        <w:tab/>
      </w:r>
    </w:p>
    <w:p w14:paraId="4FB33FFF" w14:textId="0564AD8D" w:rsidR="00BE5B91" w:rsidRDefault="00BE5B91" w:rsidP="00BE5B91">
      <w:pPr>
        <w:spacing w:before="0" w:after="160"/>
        <w:ind w:left="720" w:hanging="720"/>
        <w:rPr>
          <w:rFonts w:eastAsia="Aptos" w:cs="Arial"/>
          <w:noProof/>
          <w:sz w:val="22"/>
          <w:lang w:val="en-US"/>
        </w:rPr>
      </w:pPr>
      <w:r w:rsidRPr="00BE5B91">
        <w:rPr>
          <w:rFonts w:eastAsia="Aptos" w:cs="Arial"/>
          <w:noProof/>
          <w:sz w:val="22"/>
          <w:lang w:val="en-US"/>
        </w:rPr>
        <w:t xml:space="preserve">Productivity Commission. (2023). </w:t>
      </w:r>
      <w:r w:rsidRPr="00BE5B91">
        <w:rPr>
          <w:rFonts w:eastAsia="Aptos" w:cs="Arial"/>
          <w:i/>
          <w:noProof/>
          <w:sz w:val="22"/>
          <w:lang w:val="en-US"/>
        </w:rPr>
        <w:t>Socio-economic outcome area 4: Aboriginal and Torres Strait Islander children thrive in their early years</w:t>
      </w:r>
      <w:r w:rsidRPr="00BE5B91">
        <w:rPr>
          <w:rFonts w:eastAsia="Aptos" w:cs="Arial"/>
          <w:noProof/>
          <w:sz w:val="22"/>
          <w:lang w:val="en-US"/>
        </w:rPr>
        <w:t xml:space="preserve">. Closing the Gap Information Repository, Productivity Commission, . Retrieved 6 September, 2024 from </w:t>
      </w:r>
      <w:hyperlink r:id="rId540" w:history="1">
        <w:r w:rsidR="00E114EB" w:rsidRPr="00BE5B91">
          <w:rPr>
            <w:rStyle w:val="Hyperlink"/>
            <w:rFonts w:eastAsia="Aptos" w:cs="Arial"/>
            <w:noProof/>
            <w:sz w:val="22"/>
            <w:lang w:val="en-US"/>
          </w:rPr>
          <w:t>https://www.pc.gov.au/closing-the-gap-data/dashboard/se/outcome-area4</w:t>
        </w:r>
      </w:hyperlink>
      <w:r w:rsidR="00E114EB">
        <w:rPr>
          <w:rFonts w:eastAsia="Aptos" w:cs="Arial"/>
          <w:noProof/>
          <w:sz w:val="22"/>
          <w:lang w:val="en-US"/>
        </w:rPr>
        <w:t xml:space="preserve"> </w:t>
      </w:r>
    </w:p>
    <w:p w14:paraId="63586F16" w14:textId="77777777" w:rsidR="00E114EB" w:rsidRPr="00BE5B91" w:rsidRDefault="00E114EB" w:rsidP="00BE5B91">
      <w:pPr>
        <w:spacing w:before="0" w:after="160"/>
        <w:ind w:left="720" w:hanging="720"/>
        <w:rPr>
          <w:rFonts w:eastAsia="Aptos" w:cs="Arial"/>
          <w:noProof/>
          <w:sz w:val="22"/>
          <w:lang w:val="en-US"/>
        </w:rPr>
      </w:pPr>
    </w:p>
    <w:p w14:paraId="6C873297" w14:textId="77777777" w:rsidR="006E0A6C" w:rsidRPr="006E0A6C" w:rsidRDefault="006E0A6C" w:rsidP="006E0A6C">
      <w:pPr>
        <w:spacing w:before="0" w:after="160"/>
        <w:ind w:left="720" w:hanging="720"/>
        <w:rPr>
          <w:rFonts w:eastAsia="Aptos" w:cs="Arial"/>
          <w:noProof/>
          <w:sz w:val="22"/>
          <w:lang w:val="en-US"/>
        </w:rPr>
      </w:pPr>
      <w:r w:rsidRPr="006E0A6C">
        <w:rPr>
          <w:rFonts w:eastAsia="Aptos" w:cs="Arial"/>
          <w:noProof/>
          <w:sz w:val="22"/>
          <w:lang w:val="en-US"/>
        </w:rPr>
        <w:t xml:space="preserve">Putnam, R. D. (2016). </w:t>
      </w:r>
      <w:r w:rsidRPr="006E0A6C">
        <w:rPr>
          <w:rFonts w:eastAsia="Aptos" w:cs="Arial"/>
          <w:i/>
          <w:noProof/>
          <w:sz w:val="22"/>
          <w:lang w:val="en-US"/>
        </w:rPr>
        <w:t>Our kids: The american dream in crisis</w:t>
      </w:r>
      <w:r w:rsidRPr="006E0A6C">
        <w:rPr>
          <w:rFonts w:eastAsia="Aptos" w:cs="Arial"/>
          <w:noProof/>
          <w:sz w:val="22"/>
          <w:lang w:val="en-US"/>
        </w:rPr>
        <w:t xml:space="preserve">. New York: Simon and Schuster. </w:t>
      </w:r>
    </w:p>
    <w:p w14:paraId="19ACC896" w14:textId="77777777" w:rsidR="006E0A6C" w:rsidRPr="006E0A6C" w:rsidRDefault="006E0A6C" w:rsidP="006E0A6C">
      <w:pPr>
        <w:spacing w:before="0" w:after="0"/>
        <w:ind w:left="720" w:hanging="720"/>
        <w:rPr>
          <w:rFonts w:eastAsia="Aptos" w:cs="Arial"/>
          <w:noProof/>
          <w:sz w:val="22"/>
          <w:lang w:val="en-US"/>
        </w:rPr>
      </w:pPr>
      <w:r w:rsidRPr="006E0A6C">
        <w:rPr>
          <w:rFonts w:eastAsia="Aptos" w:cs="Arial"/>
          <w:noProof/>
          <w:sz w:val="22"/>
          <w:lang w:val="en-US"/>
        </w:rPr>
        <w:tab/>
      </w:r>
    </w:p>
    <w:p w14:paraId="1497F48B" w14:textId="77777777" w:rsidR="006E0A6C" w:rsidRPr="006E0A6C" w:rsidRDefault="006E0A6C" w:rsidP="006E0A6C">
      <w:pPr>
        <w:spacing w:before="0" w:after="160"/>
        <w:ind w:left="720" w:hanging="720"/>
        <w:rPr>
          <w:rFonts w:eastAsia="Aptos" w:cs="Arial"/>
          <w:noProof/>
          <w:sz w:val="22"/>
          <w:lang w:val="en-US"/>
        </w:rPr>
      </w:pPr>
      <w:r w:rsidRPr="006E0A6C">
        <w:rPr>
          <w:rFonts w:eastAsia="Aptos" w:cs="Arial"/>
          <w:noProof/>
          <w:sz w:val="22"/>
          <w:lang w:val="en-US"/>
        </w:rPr>
        <w:t xml:space="preserve">Putnam, R. D. (2020). </w:t>
      </w:r>
      <w:r w:rsidRPr="006E0A6C">
        <w:rPr>
          <w:rFonts w:eastAsia="Aptos" w:cs="Arial"/>
          <w:i/>
          <w:noProof/>
          <w:sz w:val="22"/>
          <w:lang w:val="en-US"/>
        </w:rPr>
        <w:t>The upswing: How America came together a century ago and how we can do it again</w:t>
      </w:r>
      <w:r w:rsidRPr="006E0A6C">
        <w:rPr>
          <w:rFonts w:eastAsia="Aptos" w:cs="Arial"/>
          <w:noProof/>
          <w:sz w:val="22"/>
          <w:lang w:val="en-US"/>
        </w:rPr>
        <w:t xml:space="preserve">. London, UK: Swift Press. </w:t>
      </w:r>
    </w:p>
    <w:p w14:paraId="14FDB9B1" w14:textId="222BC389" w:rsidR="00BC114D" w:rsidRPr="00BC114D" w:rsidRDefault="00BC114D" w:rsidP="00BC114D">
      <w:pPr>
        <w:spacing w:before="0" w:after="160"/>
        <w:ind w:left="720" w:hanging="720"/>
        <w:rPr>
          <w:rFonts w:eastAsia="Aptos" w:cs="Arial"/>
          <w:noProof/>
          <w:sz w:val="22"/>
          <w:lang w:val="en-US"/>
        </w:rPr>
      </w:pPr>
      <w:r w:rsidRPr="00BC114D">
        <w:rPr>
          <w:rFonts w:eastAsia="Aptos" w:cs="Arial"/>
          <w:noProof/>
          <w:sz w:val="22"/>
          <w:lang w:val="en-US"/>
        </w:rPr>
        <w:t xml:space="preserve">Quach, J., Nguyen, C., O'Connor, M., &amp; Wake, M. (2017). The cumulative effect of health adversities on children's later academic achievement. </w:t>
      </w:r>
      <w:r w:rsidRPr="00BC114D">
        <w:rPr>
          <w:rFonts w:eastAsia="Aptos" w:cs="Arial"/>
          <w:i/>
          <w:noProof/>
          <w:sz w:val="22"/>
          <w:lang w:val="en-US"/>
        </w:rPr>
        <w:t>Academic Pediatrics</w:t>
      </w:r>
      <w:r w:rsidRPr="00BC114D">
        <w:rPr>
          <w:rFonts w:eastAsia="Aptos" w:cs="Arial"/>
          <w:noProof/>
          <w:sz w:val="22"/>
          <w:lang w:val="en-US"/>
        </w:rPr>
        <w:t>,</w:t>
      </w:r>
      <w:r w:rsidRPr="00BC114D">
        <w:rPr>
          <w:rFonts w:eastAsia="Aptos" w:cs="Arial"/>
          <w:i/>
          <w:noProof/>
          <w:sz w:val="22"/>
          <w:lang w:val="en-US"/>
        </w:rPr>
        <w:t xml:space="preserve"> 17</w:t>
      </w:r>
      <w:r w:rsidRPr="00BC114D">
        <w:rPr>
          <w:rFonts w:eastAsia="Aptos" w:cs="Arial"/>
          <w:noProof/>
          <w:sz w:val="22"/>
          <w:lang w:val="en-US"/>
        </w:rPr>
        <w:t xml:space="preserve">(7), 706-714. </w:t>
      </w:r>
      <w:hyperlink r:id="rId541" w:history="1">
        <w:r w:rsidR="00E114EB" w:rsidRPr="00BC114D">
          <w:rPr>
            <w:rStyle w:val="Hyperlink"/>
            <w:rFonts w:eastAsia="Aptos" w:cs="Arial"/>
            <w:noProof/>
            <w:sz w:val="22"/>
            <w:lang w:val="en-US"/>
          </w:rPr>
          <w:t>https://doi.org/10.1016/j.acap.2017.03.002</w:t>
        </w:r>
      </w:hyperlink>
      <w:r w:rsidR="00E114EB">
        <w:rPr>
          <w:rFonts w:eastAsia="Aptos" w:cs="Arial"/>
          <w:noProof/>
          <w:sz w:val="22"/>
          <w:lang w:val="en-US"/>
        </w:rPr>
        <w:t xml:space="preserve"> </w:t>
      </w:r>
      <w:r w:rsidRPr="00BC114D">
        <w:rPr>
          <w:rFonts w:eastAsia="Aptos" w:cs="Arial"/>
          <w:noProof/>
          <w:sz w:val="22"/>
          <w:lang w:val="en-US"/>
        </w:rPr>
        <w:t xml:space="preserve"> </w:t>
      </w:r>
    </w:p>
    <w:p w14:paraId="64C96F26" w14:textId="77777777" w:rsidR="00BC114D" w:rsidRPr="00BC114D" w:rsidRDefault="00BC114D" w:rsidP="00BC114D">
      <w:pPr>
        <w:spacing w:before="0" w:after="0"/>
        <w:ind w:left="720" w:hanging="720"/>
        <w:rPr>
          <w:rFonts w:eastAsia="Aptos" w:cs="Arial"/>
          <w:noProof/>
          <w:sz w:val="22"/>
          <w:lang w:val="en-US"/>
        </w:rPr>
      </w:pPr>
      <w:r w:rsidRPr="00BC114D">
        <w:rPr>
          <w:rFonts w:eastAsia="Aptos" w:cs="Arial"/>
          <w:noProof/>
          <w:sz w:val="22"/>
          <w:lang w:val="en-US"/>
        </w:rPr>
        <w:tab/>
      </w:r>
    </w:p>
    <w:p w14:paraId="1EB9F952" w14:textId="5876BB8C" w:rsidR="00BC114D" w:rsidRPr="00BC114D" w:rsidRDefault="00BC114D" w:rsidP="00BC114D">
      <w:pPr>
        <w:spacing w:before="0" w:after="160"/>
        <w:ind w:left="720" w:hanging="720"/>
        <w:rPr>
          <w:rFonts w:eastAsia="Aptos" w:cs="Arial"/>
          <w:noProof/>
          <w:sz w:val="22"/>
          <w:lang w:val="en-US"/>
        </w:rPr>
      </w:pPr>
      <w:r w:rsidRPr="00BC114D">
        <w:rPr>
          <w:rFonts w:eastAsia="Aptos" w:cs="Arial"/>
          <w:noProof/>
          <w:sz w:val="22"/>
          <w:lang w:val="en-US"/>
        </w:rPr>
        <w:t xml:space="preserve">Raab, M., Dunst, C., Johnson, M., &amp; Hamby, D. (2013). </w:t>
      </w:r>
      <w:r w:rsidRPr="00BC114D">
        <w:rPr>
          <w:rFonts w:eastAsia="Aptos" w:cs="Arial"/>
          <w:i/>
          <w:noProof/>
          <w:sz w:val="22"/>
          <w:lang w:val="en-US"/>
        </w:rPr>
        <w:t>Influences of a responsive interactional style on young children’s language acquisition</w:t>
      </w:r>
      <w:r w:rsidRPr="00BC114D">
        <w:rPr>
          <w:rFonts w:eastAsia="Aptos" w:cs="Arial"/>
          <w:noProof/>
          <w:sz w:val="22"/>
          <w:lang w:val="en-US"/>
        </w:rPr>
        <w:t xml:space="preserve">. Asheville, NC: Orelena Hawks Puckett Institute. Retrieved 6 September, 2024 from </w:t>
      </w:r>
      <w:hyperlink r:id="rId542" w:history="1">
        <w:r w:rsidR="00E114EB" w:rsidRPr="00BC114D">
          <w:rPr>
            <w:rStyle w:val="Hyperlink"/>
            <w:rFonts w:eastAsia="Aptos" w:cs="Arial"/>
            <w:noProof/>
            <w:sz w:val="22"/>
            <w:lang w:val="en-US"/>
          </w:rPr>
          <w:t>http://www.cecll.org/download/ECLLReport_4_Responsive.pdf</w:t>
        </w:r>
      </w:hyperlink>
      <w:r w:rsidR="00E114EB">
        <w:rPr>
          <w:rFonts w:eastAsia="Aptos" w:cs="Arial"/>
          <w:noProof/>
          <w:sz w:val="22"/>
          <w:lang w:val="en-US"/>
        </w:rPr>
        <w:t xml:space="preserve"> </w:t>
      </w:r>
    </w:p>
    <w:p w14:paraId="149FAAFE" w14:textId="33653ED8" w:rsidR="00EC4C9F" w:rsidRPr="00EC4C9F" w:rsidRDefault="00EC4C9F" w:rsidP="00EC4C9F">
      <w:pPr>
        <w:spacing w:before="0" w:after="160"/>
        <w:ind w:left="720" w:hanging="720"/>
        <w:rPr>
          <w:rFonts w:eastAsia="Aptos" w:cs="Arial"/>
          <w:noProof/>
          <w:sz w:val="22"/>
          <w:lang w:val="en-US"/>
        </w:rPr>
      </w:pPr>
      <w:r w:rsidRPr="00EC4C9F">
        <w:rPr>
          <w:rFonts w:eastAsia="Aptos" w:cs="Arial"/>
          <w:noProof/>
          <w:sz w:val="22"/>
          <w:lang w:val="en-US"/>
        </w:rPr>
        <w:t xml:space="preserve">Randall, M., Egberts, K. J., Samtani, A., Scholten, R. J., Hooft, L., Livingstone, N., Woolfenden, S., &amp; Williams, K. (2018). Diagnostic tests for autism spectrum disorder (ASD) in preschool children. </w:t>
      </w:r>
      <w:r w:rsidRPr="00EC4C9F">
        <w:rPr>
          <w:rFonts w:eastAsia="Aptos" w:cs="Arial"/>
          <w:i/>
          <w:noProof/>
          <w:sz w:val="22"/>
          <w:lang w:val="en-US"/>
        </w:rPr>
        <w:t>Cochrane Systematic Review - Diagnositc Version</w:t>
      </w:r>
      <w:r w:rsidRPr="00EC4C9F">
        <w:rPr>
          <w:rFonts w:eastAsia="Aptos" w:cs="Arial"/>
          <w:noProof/>
          <w:sz w:val="22"/>
          <w:lang w:val="en-US"/>
        </w:rPr>
        <w:t xml:space="preserve">(7), Article CD009044. </w:t>
      </w:r>
      <w:hyperlink r:id="rId543" w:history="1">
        <w:r w:rsidR="00E114EB" w:rsidRPr="00EC4C9F">
          <w:rPr>
            <w:rStyle w:val="Hyperlink"/>
            <w:rFonts w:eastAsia="Aptos" w:cs="Arial"/>
            <w:noProof/>
            <w:sz w:val="22"/>
            <w:lang w:val="en-US"/>
          </w:rPr>
          <w:t>https://doi.org/10.1002/14651858.CD009044.pub2</w:t>
        </w:r>
      </w:hyperlink>
      <w:r w:rsidR="00E114EB">
        <w:rPr>
          <w:rFonts w:eastAsia="Aptos" w:cs="Arial"/>
          <w:noProof/>
          <w:sz w:val="22"/>
          <w:lang w:val="en-US"/>
        </w:rPr>
        <w:t xml:space="preserve"> </w:t>
      </w:r>
      <w:r w:rsidRPr="00EC4C9F">
        <w:rPr>
          <w:rFonts w:eastAsia="Aptos" w:cs="Arial"/>
          <w:noProof/>
          <w:sz w:val="22"/>
          <w:lang w:val="en-US"/>
        </w:rPr>
        <w:t xml:space="preserve"> </w:t>
      </w:r>
    </w:p>
    <w:p w14:paraId="4C6F9F73" w14:textId="77777777" w:rsidR="00EC4C9F" w:rsidRPr="00EC4C9F" w:rsidRDefault="00EC4C9F" w:rsidP="00EC4C9F">
      <w:pPr>
        <w:spacing w:before="0" w:after="0"/>
        <w:ind w:left="720" w:hanging="720"/>
        <w:rPr>
          <w:rFonts w:eastAsia="Aptos" w:cs="Arial"/>
          <w:noProof/>
          <w:sz w:val="22"/>
          <w:lang w:val="en-US"/>
        </w:rPr>
      </w:pPr>
      <w:r w:rsidRPr="00EC4C9F">
        <w:rPr>
          <w:rFonts w:eastAsia="Aptos" w:cs="Arial"/>
          <w:noProof/>
          <w:sz w:val="22"/>
          <w:lang w:val="en-US"/>
        </w:rPr>
        <w:tab/>
      </w:r>
    </w:p>
    <w:p w14:paraId="7144DC0F" w14:textId="77777777" w:rsidR="00EC4C9F" w:rsidRDefault="00EC4C9F" w:rsidP="00EC4C9F">
      <w:pPr>
        <w:spacing w:before="0" w:after="160"/>
        <w:ind w:left="720" w:hanging="720"/>
        <w:rPr>
          <w:rFonts w:eastAsia="Aptos" w:cs="Arial"/>
          <w:noProof/>
          <w:sz w:val="22"/>
          <w:lang w:val="en-US"/>
        </w:rPr>
      </w:pPr>
      <w:r w:rsidRPr="00EC4C9F">
        <w:rPr>
          <w:rFonts w:eastAsia="Aptos" w:cs="Arial"/>
          <w:noProof/>
          <w:sz w:val="22"/>
          <w:lang w:val="en-US"/>
        </w:rPr>
        <w:t xml:space="preserve">Ratcliff, K. S. (2017). </w:t>
      </w:r>
      <w:r w:rsidRPr="00EC4C9F">
        <w:rPr>
          <w:rFonts w:eastAsia="Aptos" w:cs="Arial"/>
          <w:i/>
          <w:noProof/>
          <w:sz w:val="22"/>
          <w:lang w:val="en-US"/>
        </w:rPr>
        <w:t>The social determinants of health: Looking upstream</w:t>
      </w:r>
      <w:r w:rsidRPr="00EC4C9F">
        <w:rPr>
          <w:rFonts w:eastAsia="Aptos" w:cs="Arial"/>
          <w:noProof/>
          <w:sz w:val="22"/>
          <w:lang w:val="en-US"/>
        </w:rPr>
        <w:t xml:space="preserve">. Cambridge, UK: Polity. </w:t>
      </w:r>
    </w:p>
    <w:p w14:paraId="454E3DB0" w14:textId="77777777" w:rsidR="00E114EB" w:rsidRPr="00EC4C9F" w:rsidRDefault="00E114EB" w:rsidP="00EC4C9F">
      <w:pPr>
        <w:spacing w:before="0" w:after="160"/>
        <w:ind w:left="720" w:hanging="720"/>
        <w:rPr>
          <w:rFonts w:eastAsia="Aptos" w:cs="Arial"/>
          <w:noProof/>
          <w:sz w:val="22"/>
          <w:lang w:val="en-US"/>
        </w:rPr>
      </w:pPr>
    </w:p>
    <w:p w14:paraId="36CFD7D5" w14:textId="3F6D9F7C" w:rsidR="0046220F" w:rsidRPr="0046220F" w:rsidRDefault="0046220F" w:rsidP="0046220F">
      <w:pPr>
        <w:spacing w:before="0" w:after="160"/>
        <w:ind w:left="720" w:hanging="720"/>
        <w:rPr>
          <w:rFonts w:eastAsia="Aptos" w:cs="Arial"/>
          <w:noProof/>
          <w:sz w:val="22"/>
          <w:lang w:val="en-US"/>
        </w:rPr>
      </w:pPr>
      <w:r w:rsidRPr="0046220F">
        <w:rPr>
          <w:rFonts w:eastAsia="Aptos" w:cs="Arial"/>
          <w:noProof/>
          <w:sz w:val="22"/>
          <w:lang w:val="en-US"/>
        </w:rPr>
        <w:t xml:space="preserve">Rausch, A., Bold, E., &amp; Strain, P. (2021). The more the merrier: Using collaborative transdisciplinary services to maximize inclusion and child outcomes. </w:t>
      </w:r>
      <w:r w:rsidRPr="0046220F">
        <w:rPr>
          <w:rFonts w:eastAsia="Aptos" w:cs="Arial"/>
          <w:i/>
          <w:noProof/>
          <w:sz w:val="22"/>
          <w:lang w:val="en-US"/>
        </w:rPr>
        <w:t>Young Exceptional Children</w:t>
      </w:r>
      <w:r w:rsidRPr="0046220F">
        <w:rPr>
          <w:rFonts w:eastAsia="Aptos" w:cs="Arial"/>
          <w:noProof/>
          <w:sz w:val="22"/>
          <w:lang w:val="en-US"/>
        </w:rPr>
        <w:t>,</w:t>
      </w:r>
      <w:r w:rsidRPr="0046220F">
        <w:rPr>
          <w:rFonts w:eastAsia="Aptos" w:cs="Arial"/>
          <w:i/>
          <w:noProof/>
          <w:sz w:val="22"/>
          <w:lang w:val="en-US"/>
        </w:rPr>
        <w:t xml:space="preserve"> 24</w:t>
      </w:r>
      <w:r w:rsidRPr="0046220F">
        <w:rPr>
          <w:rFonts w:eastAsia="Aptos" w:cs="Arial"/>
          <w:noProof/>
          <w:sz w:val="22"/>
          <w:lang w:val="en-US"/>
        </w:rPr>
        <w:t xml:space="preserve">(2), 59-69. </w:t>
      </w:r>
      <w:hyperlink r:id="rId544" w:history="1">
        <w:r w:rsidR="003F4668" w:rsidRPr="0046220F">
          <w:rPr>
            <w:rStyle w:val="Hyperlink"/>
            <w:rFonts w:eastAsia="Aptos" w:cs="Arial"/>
            <w:noProof/>
            <w:sz w:val="22"/>
            <w:lang w:val="en-US"/>
          </w:rPr>
          <w:t>https://doi.org/10.1177/1096250620922206</w:t>
        </w:r>
      </w:hyperlink>
      <w:r w:rsidR="003F4668">
        <w:rPr>
          <w:rFonts w:eastAsia="Aptos" w:cs="Arial"/>
          <w:noProof/>
          <w:sz w:val="22"/>
          <w:lang w:val="en-US"/>
        </w:rPr>
        <w:t xml:space="preserve"> </w:t>
      </w:r>
      <w:r w:rsidRPr="0046220F">
        <w:rPr>
          <w:rFonts w:eastAsia="Aptos" w:cs="Arial"/>
          <w:noProof/>
          <w:sz w:val="22"/>
          <w:lang w:val="en-US"/>
        </w:rPr>
        <w:t xml:space="preserve"> </w:t>
      </w:r>
    </w:p>
    <w:p w14:paraId="5E97EA42" w14:textId="77777777" w:rsidR="0046220F" w:rsidRPr="0046220F" w:rsidRDefault="0046220F" w:rsidP="0046220F">
      <w:pPr>
        <w:spacing w:before="0" w:after="0"/>
        <w:ind w:left="720" w:hanging="720"/>
        <w:rPr>
          <w:rFonts w:eastAsia="Aptos" w:cs="Arial"/>
          <w:noProof/>
          <w:sz w:val="22"/>
          <w:lang w:val="en-US"/>
        </w:rPr>
      </w:pPr>
      <w:r w:rsidRPr="0046220F">
        <w:rPr>
          <w:rFonts w:eastAsia="Aptos" w:cs="Arial"/>
          <w:noProof/>
          <w:sz w:val="22"/>
          <w:lang w:val="en-US"/>
        </w:rPr>
        <w:tab/>
      </w:r>
    </w:p>
    <w:p w14:paraId="2923B2FC" w14:textId="759AC1F9" w:rsidR="0030178D" w:rsidRDefault="0046220F" w:rsidP="004C6D79">
      <w:pPr>
        <w:spacing w:before="0" w:after="160"/>
        <w:ind w:left="720" w:hanging="720"/>
        <w:rPr>
          <w:rFonts w:eastAsia="Aptos" w:cs="Arial"/>
          <w:noProof/>
          <w:sz w:val="22"/>
          <w:lang w:val="en-US"/>
        </w:rPr>
      </w:pPr>
      <w:r w:rsidRPr="0046220F">
        <w:rPr>
          <w:rFonts w:eastAsia="Aptos" w:cs="Arial"/>
          <w:noProof/>
          <w:sz w:val="22"/>
          <w:lang w:val="en-US"/>
        </w:rPr>
        <w:t xml:space="preserve">Raver, S. A., &amp; Childress, D. C. (2015a). Collaboration and teamwork with families and professionals. In S.A. Raver &amp; D.C. Childress (Eds.), </w:t>
      </w:r>
      <w:r w:rsidRPr="0046220F">
        <w:rPr>
          <w:rFonts w:eastAsia="Aptos" w:cs="Arial"/>
          <w:i/>
          <w:noProof/>
          <w:sz w:val="22"/>
          <w:lang w:val="en-US"/>
        </w:rPr>
        <w:t>Family-centered early intervention: supporting infants and toddlers in natural environments</w:t>
      </w:r>
      <w:r w:rsidRPr="0046220F">
        <w:rPr>
          <w:rFonts w:eastAsia="Aptos" w:cs="Arial"/>
          <w:noProof/>
          <w:sz w:val="22"/>
          <w:lang w:val="en-US"/>
        </w:rPr>
        <w:t xml:space="preserve"> (pp. 120-130). Baltimore, MD: Paul H. Brookes Publishing Co. </w:t>
      </w:r>
    </w:p>
    <w:p w14:paraId="5FE901E5" w14:textId="77777777" w:rsidR="003F4668" w:rsidRDefault="003F4668" w:rsidP="004C6D79">
      <w:pPr>
        <w:spacing w:before="0" w:after="160"/>
        <w:ind w:left="720" w:hanging="720"/>
        <w:rPr>
          <w:rFonts w:eastAsia="Aptos" w:cs="Arial"/>
          <w:noProof/>
          <w:sz w:val="22"/>
          <w:lang w:val="en-US"/>
        </w:rPr>
      </w:pPr>
    </w:p>
    <w:p w14:paraId="6E567642" w14:textId="77777777" w:rsidR="004C6D79" w:rsidRPr="004C6D79" w:rsidRDefault="004C6D79" w:rsidP="004C6D79">
      <w:pPr>
        <w:spacing w:before="0" w:after="160"/>
        <w:ind w:left="720" w:hanging="720"/>
        <w:rPr>
          <w:rFonts w:eastAsia="Aptos" w:cs="Arial"/>
          <w:noProof/>
          <w:sz w:val="22"/>
          <w:lang w:val="en-US"/>
        </w:rPr>
      </w:pPr>
      <w:r w:rsidRPr="004C6D79">
        <w:rPr>
          <w:rFonts w:eastAsia="Aptos" w:cs="Arial"/>
          <w:noProof/>
          <w:sz w:val="22"/>
          <w:lang w:val="en-US"/>
        </w:rPr>
        <w:t xml:space="preserve">Reber, D. (2018). </w:t>
      </w:r>
      <w:r w:rsidRPr="004C6D79">
        <w:rPr>
          <w:rFonts w:eastAsia="Aptos" w:cs="Arial"/>
          <w:i/>
          <w:noProof/>
          <w:sz w:val="22"/>
          <w:lang w:val="en-US"/>
        </w:rPr>
        <w:t>Differently wired: Raising an exceptional child in a conventional world</w:t>
      </w:r>
      <w:r w:rsidRPr="004C6D79">
        <w:rPr>
          <w:rFonts w:eastAsia="Aptos" w:cs="Arial"/>
          <w:noProof/>
          <w:sz w:val="22"/>
          <w:lang w:val="en-US"/>
        </w:rPr>
        <w:t xml:space="preserve">. New York: Workman Publishing. </w:t>
      </w:r>
    </w:p>
    <w:p w14:paraId="0603A230" w14:textId="77777777" w:rsidR="004C6D79" w:rsidRPr="004C6D79" w:rsidRDefault="004C6D79" w:rsidP="004C6D79">
      <w:pPr>
        <w:spacing w:before="0" w:after="0"/>
        <w:ind w:left="720" w:hanging="720"/>
        <w:rPr>
          <w:rFonts w:eastAsia="Aptos" w:cs="Arial"/>
          <w:noProof/>
          <w:sz w:val="22"/>
          <w:lang w:val="en-US"/>
        </w:rPr>
      </w:pPr>
      <w:r w:rsidRPr="004C6D79">
        <w:rPr>
          <w:rFonts w:eastAsia="Aptos" w:cs="Arial"/>
          <w:noProof/>
          <w:sz w:val="22"/>
          <w:lang w:val="en-US"/>
        </w:rPr>
        <w:tab/>
      </w:r>
    </w:p>
    <w:p w14:paraId="5471C79B" w14:textId="5255A7F5" w:rsidR="004C6D79" w:rsidRPr="004C6D79" w:rsidRDefault="004C6D79" w:rsidP="004C6D79">
      <w:pPr>
        <w:spacing w:before="0" w:after="160"/>
        <w:ind w:left="720" w:hanging="720"/>
        <w:rPr>
          <w:rFonts w:eastAsia="Aptos" w:cs="Arial"/>
          <w:noProof/>
          <w:sz w:val="22"/>
          <w:lang w:val="en-US"/>
        </w:rPr>
      </w:pPr>
      <w:r w:rsidRPr="004C6D79">
        <w:rPr>
          <w:rFonts w:eastAsia="Aptos" w:cs="Arial"/>
          <w:noProof/>
          <w:sz w:val="22"/>
          <w:lang w:val="en-US"/>
        </w:rPr>
        <w:t>Reeder, J., &amp; Morris, J. (2021). Managing the uncertainty associated with being a parent of a child with a long</w:t>
      </w:r>
      <w:r w:rsidRPr="004C6D79">
        <w:rPr>
          <w:rFonts w:ascii="Cambria Math" w:eastAsia="Aptos" w:hAnsi="Cambria Math" w:cs="Cambria Math"/>
          <w:noProof/>
          <w:sz w:val="22"/>
          <w:lang w:val="en-US"/>
        </w:rPr>
        <w:t>‐</w:t>
      </w:r>
      <w:r w:rsidRPr="004C6D79">
        <w:rPr>
          <w:rFonts w:eastAsia="Aptos" w:cs="Arial"/>
          <w:noProof/>
          <w:sz w:val="22"/>
          <w:lang w:val="en-US"/>
        </w:rPr>
        <w:t xml:space="preserve">term disability. </w:t>
      </w:r>
      <w:r w:rsidRPr="004C6D79">
        <w:rPr>
          <w:rFonts w:eastAsia="Aptos" w:cs="Arial"/>
          <w:i/>
          <w:noProof/>
          <w:sz w:val="22"/>
          <w:lang w:val="en-US"/>
        </w:rPr>
        <w:t>Child: care, health and development</w:t>
      </w:r>
      <w:r w:rsidRPr="004C6D79">
        <w:rPr>
          <w:rFonts w:eastAsia="Aptos" w:cs="Arial"/>
          <w:noProof/>
          <w:sz w:val="22"/>
          <w:lang w:val="en-US"/>
        </w:rPr>
        <w:t>,</w:t>
      </w:r>
      <w:r w:rsidRPr="004C6D79">
        <w:rPr>
          <w:rFonts w:eastAsia="Aptos" w:cs="Arial"/>
          <w:i/>
          <w:noProof/>
          <w:sz w:val="22"/>
          <w:lang w:val="en-US"/>
        </w:rPr>
        <w:t xml:space="preserve"> 47</w:t>
      </w:r>
      <w:r w:rsidRPr="004C6D79">
        <w:rPr>
          <w:rFonts w:eastAsia="Aptos" w:cs="Arial"/>
          <w:noProof/>
          <w:sz w:val="22"/>
          <w:lang w:val="en-US"/>
        </w:rPr>
        <w:t xml:space="preserve">(6), 816-824. </w:t>
      </w:r>
      <w:hyperlink r:id="rId545" w:history="1">
        <w:r w:rsidR="003F4668" w:rsidRPr="004C6D79">
          <w:rPr>
            <w:rStyle w:val="Hyperlink"/>
            <w:rFonts w:eastAsia="Aptos" w:cs="Arial"/>
            <w:noProof/>
            <w:sz w:val="22"/>
            <w:lang w:val="en-US"/>
          </w:rPr>
          <w:t>https://doi.org/10.1111/cch.12889</w:t>
        </w:r>
      </w:hyperlink>
      <w:r w:rsidR="003F4668">
        <w:rPr>
          <w:rFonts w:eastAsia="Aptos" w:cs="Arial"/>
          <w:noProof/>
          <w:sz w:val="22"/>
          <w:lang w:val="en-US"/>
        </w:rPr>
        <w:t xml:space="preserve"> </w:t>
      </w:r>
      <w:r w:rsidRPr="004C6D79">
        <w:rPr>
          <w:rFonts w:eastAsia="Aptos" w:cs="Arial"/>
          <w:noProof/>
          <w:sz w:val="22"/>
          <w:lang w:val="en-US"/>
        </w:rPr>
        <w:t xml:space="preserve"> </w:t>
      </w:r>
    </w:p>
    <w:p w14:paraId="2C0359AE" w14:textId="77777777" w:rsidR="004C6D79" w:rsidRPr="004C6D79" w:rsidRDefault="004C6D79" w:rsidP="004C6D79">
      <w:pPr>
        <w:spacing w:before="0" w:after="0"/>
        <w:ind w:left="720" w:hanging="720"/>
        <w:rPr>
          <w:rFonts w:eastAsia="Aptos" w:cs="Arial"/>
          <w:noProof/>
          <w:sz w:val="22"/>
          <w:lang w:val="en-US"/>
        </w:rPr>
      </w:pPr>
      <w:r w:rsidRPr="004C6D79">
        <w:rPr>
          <w:rFonts w:eastAsia="Aptos" w:cs="Arial"/>
          <w:noProof/>
          <w:sz w:val="22"/>
          <w:lang w:val="en-US"/>
        </w:rPr>
        <w:tab/>
      </w:r>
    </w:p>
    <w:p w14:paraId="440C42F6" w14:textId="74B97639" w:rsidR="003F4668" w:rsidRDefault="004C6D79" w:rsidP="004C6D79">
      <w:pPr>
        <w:spacing w:before="0" w:after="160"/>
        <w:ind w:left="720" w:hanging="720"/>
        <w:rPr>
          <w:rFonts w:eastAsia="Aptos" w:cs="Arial"/>
          <w:noProof/>
          <w:sz w:val="22"/>
          <w:lang w:val="en-US"/>
        </w:rPr>
      </w:pPr>
      <w:r w:rsidRPr="004C6D79">
        <w:rPr>
          <w:rFonts w:eastAsia="Aptos" w:cs="Arial"/>
          <w:noProof/>
          <w:sz w:val="22"/>
          <w:lang w:val="en-US"/>
        </w:rPr>
        <w:t xml:space="preserve">Reid, A., Imrie, H., Brouwer, E., Clutton, S., Evans, J., Russell, D., &amp; Bartlett, D. (2011). “If I knew then what I know now”: parents’ reflections on raising a child with cerebral palsy. </w:t>
      </w:r>
      <w:r w:rsidRPr="004C6D79">
        <w:rPr>
          <w:rFonts w:eastAsia="Aptos" w:cs="Arial"/>
          <w:i/>
          <w:noProof/>
          <w:sz w:val="22"/>
          <w:lang w:val="en-US"/>
        </w:rPr>
        <w:t>Physical &amp; Occupational Therapy in Pediatrics</w:t>
      </w:r>
      <w:r w:rsidRPr="004C6D79">
        <w:rPr>
          <w:rFonts w:eastAsia="Aptos" w:cs="Arial"/>
          <w:noProof/>
          <w:sz w:val="22"/>
          <w:lang w:val="en-US"/>
        </w:rPr>
        <w:t>,</w:t>
      </w:r>
      <w:r w:rsidRPr="004C6D79">
        <w:rPr>
          <w:rFonts w:eastAsia="Aptos" w:cs="Arial"/>
          <w:i/>
          <w:noProof/>
          <w:sz w:val="22"/>
          <w:lang w:val="en-US"/>
        </w:rPr>
        <w:t xml:space="preserve"> 31</w:t>
      </w:r>
      <w:r w:rsidRPr="004C6D79">
        <w:rPr>
          <w:rFonts w:eastAsia="Aptos" w:cs="Arial"/>
          <w:noProof/>
          <w:sz w:val="22"/>
          <w:lang w:val="en-US"/>
        </w:rPr>
        <w:t xml:space="preserve">(2), 169-183. </w:t>
      </w:r>
      <w:hyperlink r:id="rId546" w:history="1">
        <w:r w:rsidR="003F4668" w:rsidRPr="004C6D79">
          <w:rPr>
            <w:rStyle w:val="Hyperlink"/>
            <w:rFonts w:eastAsia="Aptos" w:cs="Arial"/>
            <w:noProof/>
            <w:sz w:val="22"/>
            <w:lang w:val="en-US"/>
          </w:rPr>
          <w:t>https://doi.org/10.3109/01942638.2010.540311</w:t>
        </w:r>
      </w:hyperlink>
    </w:p>
    <w:p w14:paraId="17942FEC" w14:textId="751E8E70" w:rsidR="004C6D79" w:rsidRPr="004C6D79" w:rsidRDefault="004C6D79" w:rsidP="004C6D79">
      <w:pPr>
        <w:spacing w:before="0" w:after="160"/>
        <w:ind w:left="720" w:hanging="720"/>
        <w:rPr>
          <w:rFonts w:eastAsia="Aptos" w:cs="Arial"/>
          <w:noProof/>
          <w:sz w:val="22"/>
          <w:lang w:val="en-US"/>
        </w:rPr>
      </w:pPr>
    </w:p>
    <w:p w14:paraId="0322487F" w14:textId="77777777" w:rsidR="00E95B33" w:rsidRPr="00E95B33" w:rsidRDefault="00E95B33" w:rsidP="00E95B33">
      <w:pPr>
        <w:spacing w:before="0" w:after="160"/>
        <w:ind w:left="720" w:hanging="720"/>
        <w:rPr>
          <w:rFonts w:eastAsia="Aptos" w:cs="Arial"/>
          <w:noProof/>
          <w:sz w:val="22"/>
          <w:lang w:val="en-US"/>
        </w:rPr>
      </w:pPr>
      <w:r w:rsidRPr="00E95B33">
        <w:rPr>
          <w:rFonts w:eastAsia="Aptos" w:cs="Arial"/>
          <w:noProof/>
          <w:sz w:val="22"/>
          <w:lang w:val="en-US"/>
        </w:rPr>
        <w:t xml:space="preserve">Reinking, A. K., &amp; Thigpen, L. (2023). </w:t>
      </w:r>
      <w:r w:rsidRPr="00E95B33">
        <w:rPr>
          <w:rFonts w:eastAsia="Aptos" w:cs="Arial"/>
          <w:i/>
          <w:noProof/>
          <w:sz w:val="22"/>
          <w:lang w:val="en-US"/>
        </w:rPr>
        <w:t>Coaching for diversity, equity, inclusion, accessibility, and belonging in early childhood</w:t>
      </w:r>
      <w:r w:rsidRPr="00E95B33">
        <w:rPr>
          <w:rFonts w:eastAsia="Aptos" w:cs="Arial"/>
          <w:noProof/>
          <w:sz w:val="22"/>
          <w:lang w:val="en-US"/>
        </w:rPr>
        <w:t xml:space="preserve">. Baltimore, MD: Paul H. Brookes Publishing Co. </w:t>
      </w:r>
    </w:p>
    <w:p w14:paraId="5543F286" w14:textId="77777777" w:rsidR="00E95B33" w:rsidRPr="00E95B33" w:rsidRDefault="00E95B33" w:rsidP="00E95B33">
      <w:pPr>
        <w:spacing w:before="0" w:after="0"/>
        <w:ind w:left="720" w:hanging="720"/>
        <w:rPr>
          <w:rFonts w:eastAsia="Aptos" w:cs="Arial"/>
          <w:noProof/>
          <w:sz w:val="22"/>
          <w:lang w:val="en-US"/>
        </w:rPr>
      </w:pPr>
      <w:r w:rsidRPr="00E95B33">
        <w:rPr>
          <w:rFonts w:eastAsia="Aptos" w:cs="Arial"/>
          <w:noProof/>
          <w:sz w:val="22"/>
          <w:lang w:val="en-US"/>
        </w:rPr>
        <w:tab/>
      </w:r>
    </w:p>
    <w:p w14:paraId="2ABBD5FA" w14:textId="12807B9C" w:rsidR="00E95B33" w:rsidRPr="00E95B33" w:rsidRDefault="00E95B33" w:rsidP="00E95B33">
      <w:pPr>
        <w:spacing w:before="0" w:after="160"/>
        <w:ind w:left="720" w:hanging="720"/>
        <w:rPr>
          <w:rFonts w:eastAsia="Aptos" w:cs="Arial"/>
          <w:noProof/>
          <w:sz w:val="22"/>
          <w:lang w:val="en-US"/>
        </w:rPr>
      </w:pPr>
      <w:r w:rsidRPr="00E95B33">
        <w:rPr>
          <w:rFonts w:eastAsia="Aptos" w:cs="Arial"/>
          <w:noProof/>
          <w:sz w:val="22"/>
          <w:lang w:val="en-US"/>
        </w:rPr>
        <w:t xml:space="preserve">Rentscher, K. E., Carroll, J. E., &amp; Mitchell, C. (2020). Psychosocial stressors and telomere length: a current review of the science. </w:t>
      </w:r>
      <w:r w:rsidRPr="00E95B33">
        <w:rPr>
          <w:rFonts w:eastAsia="Aptos" w:cs="Arial"/>
          <w:i/>
          <w:noProof/>
          <w:sz w:val="22"/>
          <w:lang w:val="en-US"/>
        </w:rPr>
        <w:t>Annual review of public health</w:t>
      </w:r>
      <w:r w:rsidRPr="00E95B33">
        <w:rPr>
          <w:rFonts w:eastAsia="Aptos" w:cs="Arial"/>
          <w:noProof/>
          <w:sz w:val="22"/>
          <w:lang w:val="en-US"/>
        </w:rPr>
        <w:t>,</w:t>
      </w:r>
      <w:r w:rsidRPr="00E95B33">
        <w:rPr>
          <w:rFonts w:eastAsia="Aptos" w:cs="Arial"/>
          <w:i/>
          <w:noProof/>
          <w:sz w:val="22"/>
          <w:lang w:val="en-US"/>
        </w:rPr>
        <w:t xml:space="preserve"> 41</w:t>
      </w:r>
      <w:r w:rsidRPr="00E95B33">
        <w:rPr>
          <w:rFonts w:eastAsia="Aptos" w:cs="Arial"/>
          <w:noProof/>
          <w:sz w:val="22"/>
          <w:lang w:val="en-US"/>
        </w:rPr>
        <w:t xml:space="preserve">(1), 223-245. </w:t>
      </w:r>
      <w:hyperlink r:id="rId547" w:history="1">
        <w:r w:rsidR="00090188" w:rsidRPr="00E95B33">
          <w:rPr>
            <w:rStyle w:val="Hyperlink"/>
            <w:rFonts w:eastAsia="Aptos" w:cs="Arial"/>
            <w:noProof/>
            <w:sz w:val="22"/>
            <w:lang w:val="en-US"/>
          </w:rPr>
          <w:t>https://doi.org/10.1146/annurev-publhealth-040119-094239</w:t>
        </w:r>
      </w:hyperlink>
      <w:r w:rsidR="00090188">
        <w:rPr>
          <w:rFonts w:eastAsia="Aptos" w:cs="Arial"/>
          <w:noProof/>
          <w:sz w:val="22"/>
          <w:lang w:val="en-US"/>
        </w:rPr>
        <w:t xml:space="preserve"> </w:t>
      </w:r>
      <w:r w:rsidRPr="00E95B33">
        <w:rPr>
          <w:rFonts w:eastAsia="Aptos" w:cs="Arial"/>
          <w:noProof/>
          <w:sz w:val="22"/>
          <w:lang w:val="en-US"/>
        </w:rPr>
        <w:t xml:space="preserve"> </w:t>
      </w:r>
    </w:p>
    <w:p w14:paraId="030C9364" w14:textId="77777777" w:rsidR="00E95B33" w:rsidRPr="00E95B33" w:rsidRDefault="00E95B33" w:rsidP="00E95B33">
      <w:pPr>
        <w:spacing w:before="0" w:after="0"/>
        <w:ind w:left="720" w:hanging="720"/>
        <w:rPr>
          <w:rFonts w:eastAsia="Aptos" w:cs="Arial"/>
          <w:noProof/>
          <w:sz w:val="22"/>
          <w:lang w:val="en-US"/>
        </w:rPr>
      </w:pPr>
      <w:r w:rsidRPr="00E95B33">
        <w:rPr>
          <w:rFonts w:eastAsia="Aptos" w:cs="Arial"/>
          <w:noProof/>
          <w:sz w:val="22"/>
          <w:lang w:val="en-US"/>
        </w:rPr>
        <w:tab/>
      </w:r>
    </w:p>
    <w:p w14:paraId="5E00F2EA" w14:textId="77777777" w:rsidR="003F4668" w:rsidRDefault="00E95B33" w:rsidP="00E95B33">
      <w:pPr>
        <w:spacing w:before="0" w:after="160"/>
        <w:ind w:left="720" w:hanging="720"/>
        <w:rPr>
          <w:rFonts w:eastAsia="Aptos" w:cs="Arial"/>
          <w:noProof/>
          <w:sz w:val="22"/>
          <w:lang w:val="en-US"/>
        </w:rPr>
      </w:pPr>
      <w:r w:rsidRPr="00E95B33">
        <w:rPr>
          <w:rFonts w:eastAsia="Aptos" w:cs="Arial"/>
          <w:noProof/>
          <w:sz w:val="22"/>
          <w:lang w:val="it-IT"/>
        </w:rPr>
        <w:t xml:space="preserve">Richter, L. M., Daelmans, B., Lombardi, J., Heymann, J., Boo, F. L., Behrman, J. R., Lu, C., Lucas, J. E., Perez-Escamilla, R., &amp; Dua, T. (2017). </w:t>
      </w:r>
      <w:r w:rsidRPr="00E95B33">
        <w:rPr>
          <w:rFonts w:eastAsia="Aptos" w:cs="Arial"/>
          <w:noProof/>
          <w:sz w:val="22"/>
          <w:lang w:val="en-US"/>
        </w:rPr>
        <w:t xml:space="preserve">Investing in the foundation of sustainable development: Pathways to scale up for early childhood development. </w:t>
      </w:r>
      <w:r w:rsidRPr="00E95B33">
        <w:rPr>
          <w:rFonts w:eastAsia="Aptos" w:cs="Arial"/>
          <w:i/>
          <w:noProof/>
          <w:sz w:val="22"/>
          <w:lang w:val="en-US"/>
        </w:rPr>
        <w:t>The Lancet</w:t>
      </w:r>
      <w:r w:rsidRPr="00E95B33">
        <w:rPr>
          <w:rFonts w:eastAsia="Aptos" w:cs="Arial"/>
          <w:noProof/>
          <w:sz w:val="22"/>
          <w:lang w:val="en-US"/>
        </w:rPr>
        <w:t>,</w:t>
      </w:r>
      <w:r w:rsidRPr="00E95B33">
        <w:rPr>
          <w:rFonts w:eastAsia="Aptos" w:cs="Arial"/>
          <w:i/>
          <w:noProof/>
          <w:sz w:val="22"/>
          <w:lang w:val="en-US"/>
        </w:rPr>
        <w:t xml:space="preserve"> 389</w:t>
      </w:r>
      <w:r w:rsidRPr="00E95B33">
        <w:rPr>
          <w:rFonts w:eastAsia="Aptos" w:cs="Arial"/>
          <w:noProof/>
          <w:sz w:val="22"/>
          <w:lang w:val="en-US"/>
        </w:rPr>
        <w:t xml:space="preserve">(10064), 103-118. </w:t>
      </w:r>
      <w:hyperlink r:id="rId548" w:history="1">
        <w:r w:rsidR="003F4668" w:rsidRPr="00E95B33">
          <w:rPr>
            <w:rStyle w:val="Hyperlink"/>
            <w:rFonts w:eastAsia="Aptos" w:cs="Arial"/>
            <w:noProof/>
            <w:sz w:val="22"/>
            <w:lang w:val="en-US"/>
          </w:rPr>
          <w:t>https://doi.org/10.1016/S0140-6736(16)31698-1</w:t>
        </w:r>
      </w:hyperlink>
      <w:r w:rsidR="003F4668">
        <w:rPr>
          <w:rFonts w:eastAsia="Aptos" w:cs="Arial"/>
          <w:noProof/>
          <w:sz w:val="22"/>
          <w:lang w:val="en-US"/>
        </w:rPr>
        <w:t xml:space="preserve"> </w:t>
      </w:r>
    </w:p>
    <w:p w14:paraId="147F2651" w14:textId="5263E97B" w:rsidR="00E95B33" w:rsidRPr="00E95B33" w:rsidRDefault="00E95B33" w:rsidP="00E95B33">
      <w:pPr>
        <w:spacing w:before="0" w:after="160"/>
        <w:ind w:left="720" w:hanging="720"/>
        <w:rPr>
          <w:rFonts w:eastAsia="Aptos" w:cs="Arial"/>
          <w:noProof/>
          <w:sz w:val="22"/>
          <w:lang w:val="en-US"/>
        </w:rPr>
      </w:pPr>
      <w:r w:rsidRPr="00E95B33">
        <w:rPr>
          <w:rFonts w:eastAsia="Aptos" w:cs="Arial"/>
          <w:noProof/>
          <w:sz w:val="22"/>
          <w:lang w:val="en-US"/>
        </w:rPr>
        <w:t xml:space="preserve"> </w:t>
      </w:r>
    </w:p>
    <w:p w14:paraId="7AA8B2E0" w14:textId="3CBDE6EC" w:rsidR="00213B2D" w:rsidRPr="00213B2D" w:rsidRDefault="00213B2D" w:rsidP="00213B2D">
      <w:pPr>
        <w:spacing w:before="0" w:after="160"/>
        <w:ind w:left="720" w:hanging="720"/>
        <w:rPr>
          <w:rFonts w:eastAsia="Aptos" w:cs="Arial"/>
          <w:noProof/>
          <w:sz w:val="22"/>
          <w:lang w:val="en-US"/>
        </w:rPr>
      </w:pPr>
      <w:r w:rsidRPr="00090188">
        <w:rPr>
          <w:rFonts w:eastAsia="Aptos" w:cs="Arial"/>
          <w:noProof/>
          <w:sz w:val="22"/>
          <w:lang w:val="it-IT"/>
        </w:rPr>
        <w:t xml:space="preserve">Rini, C., Schetter, C. D., Hobel, C. J., Glynn, L. M., &amp; Sandman, C. A. (2006). </w:t>
      </w:r>
      <w:r w:rsidRPr="00213B2D">
        <w:rPr>
          <w:rFonts w:eastAsia="Aptos" w:cs="Arial"/>
          <w:noProof/>
          <w:sz w:val="22"/>
          <w:lang w:val="en-US"/>
        </w:rPr>
        <w:t xml:space="preserve">Effective social support: Antecedents and consequences of partner support during pregnancy. </w:t>
      </w:r>
      <w:r w:rsidRPr="00213B2D">
        <w:rPr>
          <w:rFonts w:eastAsia="Aptos" w:cs="Arial"/>
          <w:i/>
          <w:noProof/>
          <w:sz w:val="22"/>
          <w:lang w:val="en-US"/>
        </w:rPr>
        <w:t>Personal Relationships</w:t>
      </w:r>
      <w:r w:rsidRPr="00213B2D">
        <w:rPr>
          <w:rFonts w:eastAsia="Aptos" w:cs="Arial"/>
          <w:noProof/>
          <w:sz w:val="22"/>
          <w:lang w:val="en-US"/>
        </w:rPr>
        <w:t>,</w:t>
      </w:r>
      <w:r w:rsidRPr="00213B2D">
        <w:rPr>
          <w:rFonts w:eastAsia="Aptos" w:cs="Arial"/>
          <w:i/>
          <w:noProof/>
          <w:sz w:val="22"/>
          <w:lang w:val="en-US"/>
        </w:rPr>
        <w:t xml:space="preserve"> 13</w:t>
      </w:r>
      <w:r w:rsidRPr="00213B2D">
        <w:rPr>
          <w:rFonts w:eastAsia="Aptos" w:cs="Arial"/>
          <w:noProof/>
          <w:sz w:val="22"/>
          <w:lang w:val="en-US"/>
        </w:rPr>
        <w:t xml:space="preserve">(2), 207-229. </w:t>
      </w:r>
      <w:hyperlink r:id="rId549" w:history="1">
        <w:r w:rsidR="003F4668" w:rsidRPr="00213B2D">
          <w:rPr>
            <w:rStyle w:val="Hyperlink"/>
            <w:rFonts w:eastAsia="Aptos" w:cs="Arial"/>
            <w:noProof/>
            <w:sz w:val="22"/>
            <w:lang w:val="en-US"/>
          </w:rPr>
          <w:t>https://doi.org/10.1111/j.1475-6811.2006.00114.x</w:t>
        </w:r>
      </w:hyperlink>
      <w:r w:rsidR="003F4668">
        <w:rPr>
          <w:rFonts w:eastAsia="Aptos" w:cs="Arial"/>
          <w:noProof/>
          <w:sz w:val="22"/>
          <w:lang w:val="en-US"/>
        </w:rPr>
        <w:t xml:space="preserve"> </w:t>
      </w:r>
      <w:r w:rsidRPr="00213B2D">
        <w:rPr>
          <w:rFonts w:eastAsia="Aptos" w:cs="Arial"/>
          <w:noProof/>
          <w:sz w:val="22"/>
          <w:lang w:val="en-US"/>
        </w:rPr>
        <w:t xml:space="preserve"> </w:t>
      </w:r>
    </w:p>
    <w:p w14:paraId="34E3434C" w14:textId="77777777" w:rsidR="00213B2D" w:rsidRPr="00213B2D" w:rsidRDefault="00213B2D" w:rsidP="00213B2D">
      <w:pPr>
        <w:spacing w:before="0" w:after="0"/>
        <w:ind w:left="720" w:hanging="720"/>
        <w:rPr>
          <w:rFonts w:eastAsia="Aptos" w:cs="Arial"/>
          <w:noProof/>
          <w:sz w:val="22"/>
          <w:lang w:val="en-US"/>
        </w:rPr>
      </w:pPr>
      <w:r w:rsidRPr="00213B2D">
        <w:rPr>
          <w:rFonts w:eastAsia="Aptos" w:cs="Arial"/>
          <w:noProof/>
          <w:sz w:val="22"/>
          <w:lang w:val="en-US"/>
        </w:rPr>
        <w:tab/>
      </w:r>
    </w:p>
    <w:p w14:paraId="0D998145" w14:textId="171D6394" w:rsidR="00213B2D" w:rsidRPr="00213B2D" w:rsidRDefault="00213B2D" w:rsidP="00213B2D">
      <w:pPr>
        <w:spacing w:before="0" w:after="160"/>
        <w:ind w:left="720" w:hanging="720"/>
        <w:rPr>
          <w:rFonts w:eastAsia="Aptos" w:cs="Arial"/>
          <w:noProof/>
          <w:sz w:val="22"/>
          <w:lang w:val="en-US"/>
        </w:rPr>
      </w:pPr>
      <w:r w:rsidRPr="00213B2D">
        <w:rPr>
          <w:rFonts w:eastAsia="Aptos" w:cs="Arial"/>
          <w:noProof/>
          <w:sz w:val="22"/>
          <w:lang w:val="en-US"/>
        </w:rPr>
        <w:t xml:space="preserve">Robinson, G., &amp; Tyler, B. (2006). </w:t>
      </w:r>
      <w:r w:rsidRPr="00213B2D">
        <w:rPr>
          <w:rFonts w:eastAsia="Aptos" w:cs="Arial"/>
          <w:i/>
          <w:noProof/>
          <w:sz w:val="22"/>
          <w:lang w:val="en-US"/>
        </w:rPr>
        <w:t>Ngaripirliga'ajirri. An early intervention program on the Tiwi Islands. Final Evaluation Report</w:t>
      </w:r>
      <w:r w:rsidRPr="00213B2D">
        <w:rPr>
          <w:rFonts w:eastAsia="Aptos" w:cs="Arial"/>
          <w:noProof/>
          <w:sz w:val="22"/>
          <w:lang w:val="en-US"/>
        </w:rPr>
        <w:t xml:space="preserve">. NT, Australia: School for Social and Policy Research, Charles Darwin University. Retrieved 6 September, 2024 from </w:t>
      </w:r>
      <w:hyperlink r:id="rId550" w:history="1">
        <w:r w:rsidR="003F4668" w:rsidRPr="00213B2D">
          <w:rPr>
            <w:rStyle w:val="Hyperlink"/>
            <w:rFonts w:eastAsia="Aptos" w:cs="Arial"/>
            <w:noProof/>
            <w:sz w:val="22"/>
            <w:lang w:val="en-US"/>
          </w:rPr>
          <w:t>https://www.menzies.edu.au/icms_docs/312386_Ngaripirliga%E2%80%99ajirri_An_Early_Intervention_Program_on_the_Tiwi_Islands.pdf</w:t>
        </w:r>
      </w:hyperlink>
      <w:r w:rsidR="003F4668">
        <w:rPr>
          <w:rFonts w:eastAsia="Aptos" w:cs="Arial"/>
          <w:noProof/>
          <w:sz w:val="22"/>
          <w:lang w:val="en-US"/>
        </w:rPr>
        <w:t xml:space="preserve"> </w:t>
      </w:r>
    </w:p>
    <w:p w14:paraId="62C156BE" w14:textId="77777777" w:rsidR="006E3A84" w:rsidRPr="006E3A84" w:rsidRDefault="006E3A84" w:rsidP="006E3A84">
      <w:pPr>
        <w:spacing w:before="0" w:after="160"/>
        <w:ind w:left="720" w:hanging="720"/>
        <w:rPr>
          <w:rFonts w:eastAsia="Aptos" w:cs="Arial"/>
          <w:noProof/>
          <w:sz w:val="22"/>
          <w:lang w:val="en-US"/>
        </w:rPr>
      </w:pPr>
      <w:r w:rsidRPr="006E3A84">
        <w:rPr>
          <w:rFonts w:eastAsia="Aptos" w:cs="Arial"/>
          <w:noProof/>
          <w:sz w:val="22"/>
          <w:lang w:val="en-US"/>
        </w:rPr>
        <w:t xml:space="preserve">Roggman, L. A., Cook, G. A., Innocenti, M. S., Norman, V. J., &amp; Christiansen, K. (2013). </w:t>
      </w:r>
      <w:r w:rsidRPr="006E3A84">
        <w:rPr>
          <w:rFonts w:eastAsia="Aptos" w:cs="Arial"/>
          <w:i/>
          <w:noProof/>
          <w:sz w:val="22"/>
          <w:lang w:val="en-US"/>
        </w:rPr>
        <w:t>Parenting interactions with children: Checklist of observations linked to outcomes (PICCOLO) User’s Guide</w:t>
      </w:r>
      <w:r w:rsidRPr="006E3A84">
        <w:rPr>
          <w:rFonts w:eastAsia="Aptos" w:cs="Arial"/>
          <w:noProof/>
          <w:sz w:val="22"/>
          <w:lang w:val="en-US"/>
        </w:rPr>
        <w:t xml:space="preserve">. Baltimore, MD: Paul H. Brookes Publishing Co. </w:t>
      </w:r>
    </w:p>
    <w:p w14:paraId="2E29A9AA" w14:textId="77777777" w:rsidR="006E3A84" w:rsidRPr="006E3A84" w:rsidRDefault="006E3A84" w:rsidP="006E3A84">
      <w:pPr>
        <w:spacing w:before="0" w:after="0"/>
        <w:ind w:left="720" w:hanging="720"/>
        <w:rPr>
          <w:rFonts w:eastAsia="Aptos" w:cs="Arial"/>
          <w:noProof/>
          <w:sz w:val="22"/>
          <w:lang w:val="en-US"/>
        </w:rPr>
      </w:pPr>
      <w:r w:rsidRPr="006E3A84">
        <w:rPr>
          <w:rFonts w:eastAsia="Aptos" w:cs="Arial"/>
          <w:noProof/>
          <w:sz w:val="22"/>
          <w:lang w:val="en-US"/>
        </w:rPr>
        <w:tab/>
      </w:r>
    </w:p>
    <w:p w14:paraId="0F5EB527" w14:textId="0E3A6FF7" w:rsidR="006E3A84" w:rsidRPr="006E3A84" w:rsidRDefault="006E3A84" w:rsidP="006E3A84">
      <w:pPr>
        <w:spacing w:before="0" w:after="160"/>
        <w:ind w:left="720" w:hanging="720"/>
        <w:rPr>
          <w:rFonts w:eastAsia="Aptos" w:cs="Arial"/>
          <w:noProof/>
          <w:sz w:val="22"/>
          <w:lang w:val="en-US"/>
        </w:rPr>
      </w:pPr>
      <w:r w:rsidRPr="006E3A84">
        <w:rPr>
          <w:rFonts w:eastAsia="Aptos" w:cs="Arial"/>
          <w:noProof/>
          <w:sz w:val="22"/>
          <w:lang w:val="en-US"/>
        </w:rPr>
        <w:t xml:space="preserve">Rosen, E., Kleinman, R., Del Grosso, P., Ayoub, C., Chapman, A., Mondi-Rago, C., &amp; Roberts, J. (2023). </w:t>
      </w:r>
      <w:r w:rsidRPr="006E3A84">
        <w:rPr>
          <w:rFonts w:eastAsia="Aptos" w:cs="Arial"/>
          <w:i/>
          <w:noProof/>
          <w:sz w:val="22"/>
          <w:lang w:val="en-US"/>
        </w:rPr>
        <w:t>A conceptual framework for family engagement in early childhood home visiting</w:t>
      </w:r>
      <w:r w:rsidRPr="006E3A84">
        <w:rPr>
          <w:rFonts w:eastAsia="Aptos" w:cs="Arial"/>
          <w:noProof/>
          <w:sz w:val="22"/>
          <w:lang w:val="en-US"/>
        </w:rPr>
        <w:t xml:space="preserve">. Washington, DC: Office of Planning, Research, and Evaluation, Administration for Children and Families, US. Department of Health and Human Services. Retrieved 6 September, 2024 from </w:t>
      </w:r>
      <w:hyperlink r:id="rId551" w:history="1">
        <w:r w:rsidR="003F4668" w:rsidRPr="006E3A84">
          <w:rPr>
            <w:rStyle w:val="Hyperlink"/>
            <w:rFonts w:eastAsia="Aptos" w:cs="Arial"/>
            <w:noProof/>
            <w:sz w:val="22"/>
            <w:lang w:val="en-US"/>
          </w:rPr>
          <w:t>https://www.acf.hhs.gov/opre/report/conceptual-framework-family-engagement-early-childhood-home-visiting</w:t>
        </w:r>
      </w:hyperlink>
      <w:r w:rsidR="003F4668">
        <w:rPr>
          <w:rFonts w:eastAsia="Aptos" w:cs="Arial"/>
          <w:noProof/>
          <w:sz w:val="22"/>
          <w:lang w:val="en-US"/>
        </w:rPr>
        <w:t xml:space="preserve"> </w:t>
      </w:r>
    </w:p>
    <w:p w14:paraId="6591A593" w14:textId="46FB2F19" w:rsidR="009C446E" w:rsidRPr="009C446E" w:rsidRDefault="009C446E" w:rsidP="009C446E">
      <w:pPr>
        <w:spacing w:before="0" w:after="160"/>
        <w:ind w:left="720" w:hanging="720"/>
        <w:rPr>
          <w:rFonts w:eastAsia="Aptos" w:cs="Arial"/>
          <w:noProof/>
          <w:sz w:val="22"/>
          <w:lang w:val="en-US"/>
        </w:rPr>
      </w:pPr>
      <w:r w:rsidRPr="009C446E">
        <w:rPr>
          <w:rFonts w:eastAsia="Aptos" w:cs="Arial"/>
          <w:noProof/>
          <w:sz w:val="22"/>
          <w:lang w:val="en-US"/>
        </w:rPr>
        <w:t xml:space="preserve">Rosenbaum, P. (2015). Developmental disability in the 21 st century: New ideas for a new millennium. </w:t>
      </w:r>
      <w:r w:rsidRPr="009C446E">
        <w:rPr>
          <w:rFonts w:eastAsia="Aptos" w:cs="Arial"/>
          <w:i/>
          <w:noProof/>
          <w:sz w:val="22"/>
          <w:lang w:val="en-US"/>
        </w:rPr>
        <w:t>Indian Journal of Cerebral Palsy</w:t>
      </w:r>
      <w:r w:rsidRPr="009C446E">
        <w:rPr>
          <w:rFonts w:eastAsia="Aptos" w:cs="Arial"/>
          <w:noProof/>
          <w:sz w:val="22"/>
          <w:lang w:val="en-US"/>
        </w:rPr>
        <w:t>,</w:t>
      </w:r>
      <w:r w:rsidRPr="009C446E">
        <w:rPr>
          <w:rFonts w:eastAsia="Aptos" w:cs="Arial"/>
          <w:i/>
          <w:noProof/>
          <w:sz w:val="22"/>
          <w:lang w:val="en-US"/>
        </w:rPr>
        <w:t xml:space="preserve"> 1</w:t>
      </w:r>
      <w:r w:rsidRPr="009C446E">
        <w:rPr>
          <w:rFonts w:eastAsia="Aptos" w:cs="Arial"/>
          <w:noProof/>
          <w:sz w:val="22"/>
          <w:lang w:val="en-US"/>
        </w:rPr>
        <w:t xml:space="preserve">(1), 4-8. </w:t>
      </w:r>
      <w:hyperlink r:id="rId552" w:history="1">
        <w:r w:rsidR="003F4668" w:rsidRPr="009C446E">
          <w:rPr>
            <w:rStyle w:val="Hyperlink"/>
            <w:rFonts w:eastAsia="Aptos" w:cs="Arial"/>
            <w:noProof/>
            <w:sz w:val="22"/>
            <w:lang w:val="en-US"/>
          </w:rPr>
          <w:t>https://doi.org/10.4103/2395-4264.153555</w:t>
        </w:r>
      </w:hyperlink>
      <w:r w:rsidR="003F4668">
        <w:rPr>
          <w:rFonts w:eastAsia="Aptos" w:cs="Arial"/>
          <w:noProof/>
          <w:sz w:val="22"/>
          <w:lang w:val="en-US"/>
        </w:rPr>
        <w:t xml:space="preserve"> </w:t>
      </w:r>
      <w:r w:rsidRPr="009C446E">
        <w:rPr>
          <w:rFonts w:eastAsia="Aptos" w:cs="Arial"/>
          <w:noProof/>
          <w:sz w:val="22"/>
          <w:lang w:val="en-US"/>
        </w:rPr>
        <w:t xml:space="preserve"> </w:t>
      </w:r>
    </w:p>
    <w:p w14:paraId="1F89E49A" w14:textId="77777777" w:rsidR="009C446E" w:rsidRPr="009C446E" w:rsidRDefault="009C446E" w:rsidP="009C446E">
      <w:pPr>
        <w:spacing w:before="0" w:after="0"/>
        <w:ind w:left="720" w:hanging="720"/>
        <w:rPr>
          <w:rFonts w:eastAsia="Aptos" w:cs="Arial"/>
          <w:noProof/>
          <w:sz w:val="22"/>
          <w:lang w:val="en-US"/>
        </w:rPr>
      </w:pPr>
      <w:r w:rsidRPr="009C446E">
        <w:rPr>
          <w:rFonts w:eastAsia="Aptos" w:cs="Arial"/>
          <w:noProof/>
          <w:sz w:val="22"/>
          <w:lang w:val="en-US"/>
        </w:rPr>
        <w:tab/>
      </w:r>
    </w:p>
    <w:p w14:paraId="0813A684" w14:textId="02BEF578" w:rsidR="009C446E" w:rsidRPr="009C446E" w:rsidRDefault="009C446E" w:rsidP="009C446E">
      <w:pPr>
        <w:spacing w:before="0" w:after="160"/>
        <w:ind w:left="720" w:hanging="720"/>
        <w:rPr>
          <w:rFonts w:eastAsia="Aptos" w:cs="Arial"/>
          <w:noProof/>
          <w:sz w:val="22"/>
          <w:lang w:val="en-US"/>
        </w:rPr>
      </w:pPr>
      <w:r w:rsidRPr="009C446E">
        <w:rPr>
          <w:rFonts w:eastAsia="Aptos" w:cs="Arial"/>
          <w:noProof/>
          <w:sz w:val="22"/>
          <w:lang w:val="en-US"/>
        </w:rPr>
        <w:t xml:space="preserve">Rosenbaum, P. (2016). Changing the discourse: we all must be knowledge brokers. </w:t>
      </w:r>
      <w:r w:rsidRPr="009C446E">
        <w:rPr>
          <w:rFonts w:eastAsia="Aptos" w:cs="Arial"/>
          <w:i/>
          <w:noProof/>
          <w:sz w:val="22"/>
          <w:lang w:val="en-US"/>
        </w:rPr>
        <w:t>Developmental Medicine &amp; Child Neurology</w:t>
      </w:r>
      <w:r w:rsidRPr="009C446E">
        <w:rPr>
          <w:rFonts w:eastAsia="Aptos" w:cs="Arial"/>
          <w:noProof/>
          <w:sz w:val="22"/>
          <w:lang w:val="en-US"/>
        </w:rPr>
        <w:t>,</w:t>
      </w:r>
      <w:r w:rsidRPr="009C446E">
        <w:rPr>
          <w:rFonts w:eastAsia="Aptos" w:cs="Arial"/>
          <w:i/>
          <w:noProof/>
          <w:sz w:val="22"/>
          <w:lang w:val="en-US"/>
        </w:rPr>
        <w:t xml:space="preserve"> 58</w:t>
      </w:r>
      <w:r w:rsidRPr="009C446E">
        <w:rPr>
          <w:rFonts w:eastAsia="Aptos" w:cs="Arial"/>
          <w:noProof/>
          <w:sz w:val="22"/>
          <w:lang w:val="en-US"/>
        </w:rPr>
        <w:t xml:space="preserve">(12), 1204-1204. </w:t>
      </w:r>
      <w:hyperlink r:id="rId553" w:history="1">
        <w:r w:rsidR="003F4668" w:rsidRPr="009C446E">
          <w:rPr>
            <w:rStyle w:val="Hyperlink"/>
            <w:rFonts w:eastAsia="Aptos" w:cs="Arial"/>
            <w:noProof/>
            <w:sz w:val="22"/>
            <w:lang w:val="en-US"/>
          </w:rPr>
          <w:t>https://doi.org/10.1111/dmcn.13280</w:t>
        </w:r>
      </w:hyperlink>
      <w:r w:rsidR="003F4668">
        <w:rPr>
          <w:rFonts w:eastAsia="Aptos" w:cs="Arial"/>
          <w:noProof/>
          <w:sz w:val="22"/>
          <w:lang w:val="en-US"/>
        </w:rPr>
        <w:t xml:space="preserve"> </w:t>
      </w:r>
      <w:r w:rsidRPr="009C446E">
        <w:rPr>
          <w:rFonts w:eastAsia="Aptos" w:cs="Arial"/>
          <w:noProof/>
          <w:sz w:val="22"/>
          <w:lang w:val="en-US"/>
        </w:rPr>
        <w:t xml:space="preserve"> </w:t>
      </w:r>
    </w:p>
    <w:p w14:paraId="74E7BCC3" w14:textId="77777777" w:rsidR="009C446E" w:rsidRPr="009C446E" w:rsidRDefault="009C446E" w:rsidP="009C446E">
      <w:pPr>
        <w:spacing w:before="0" w:after="0"/>
        <w:ind w:left="720" w:hanging="720"/>
        <w:rPr>
          <w:rFonts w:eastAsia="Aptos" w:cs="Arial"/>
          <w:noProof/>
          <w:sz w:val="22"/>
          <w:lang w:val="en-US"/>
        </w:rPr>
      </w:pPr>
      <w:r w:rsidRPr="009C446E">
        <w:rPr>
          <w:rFonts w:eastAsia="Aptos" w:cs="Arial"/>
          <w:noProof/>
          <w:sz w:val="22"/>
          <w:lang w:val="en-US"/>
        </w:rPr>
        <w:tab/>
      </w:r>
    </w:p>
    <w:p w14:paraId="7941887C" w14:textId="1B373906" w:rsidR="009C446E" w:rsidRPr="009C446E" w:rsidRDefault="009C446E" w:rsidP="009C446E">
      <w:pPr>
        <w:spacing w:before="0" w:after="160"/>
        <w:ind w:left="720" w:hanging="720"/>
        <w:rPr>
          <w:rFonts w:eastAsia="Aptos" w:cs="Arial"/>
          <w:noProof/>
          <w:sz w:val="22"/>
          <w:lang w:val="en-US"/>
        </w:rPr>
      </w:pPr>
      <w:r w:rsidRPr="009C446E">
        <w:rPr>
          <w:rFonts w:eastAsia="Aptos" w:cs="Arial"/>
          <w:noProof/>
          <w:sz w:val="22"/>
          <w:lang w:val="en-US"/>
        </w:rPr>
        <w:t xml:space="preserve">Rosenbaum, P. (2019). Diagnosis in developmental disability: a perennial challenge, and a proposed middle ground. </w:t>
      </w:r>
      <w:r w:rsidRPr="009C446E">
        <w:rPr>
          <w:rFonts w:eastAsia="Aptos" w:cs="Arial"/>
          <w:i/>
          <w:noProof/>
          <w:sz w:val="22"/>
          <w:lang w:val="en-US"/>
        </w:rPr>
        <w:t>Developmental Medicine &amp; Child Neurology</w:t>
      </w:r>
      <w:r w:rsidRPr="009C446E">
        <w:rPr>
          <w:rFonts w:eastAsia="Aptos" w:cs="Arial"/>
          <w:noProof/>
          <w:sz w:val="22"/>
          <w:lang w:val="en-US"/>
        </w:rPr>
        <w:t>,</w:t>
      </w:r>
      <w:r w:rsidRPr="009C446E">
        <w:rPr>
          <w:rFonts w:eastAsia="Aptos" w:cs="Arial"/>
          <w:i/>
          <w:noProof/>
          <w:sz w:val="22"/>
          <w:lang w:val="en-US"/>
        </w:rPr>
        <w:t xml:space="preserve"> 61</w:t>
      </w:r>
      <w:r w:rsidRPr="009C446E">
        <w:rPr>
          <w:rFonts w:eastAsia="Aptos" w:cs="Arial"/>
          <w:noProof/>
          <w:sz w:val="22"/>
          <w:lang w:val="en-US"/>
        </w:rPr>
        <w:t xml:space="preserve">(6), 620-620. </w:t>
      </w:r>
      <w:hyperlink r:id="rId554" w:history="1">
        <w:r w:rsidR="003F4668" w:rsidRPr="009C446E">
          <w:rPr>
            <w:rStyle w:val="Hyperlink"/>
            <w:rFonts w:eastAsia="Aptos" w:cs="Arial"/>
            <w:noProof/>
            <w:sz w:val="22"/>
            <w:lang w:val="en-US"/>
          </w:rPr>
          <w:t>https://doi.org/10.1111/dmcn.14216</w:t>
        </w:r>
      </w:hyperlink>
      <w:r w:rsidR="003F4668">
        <w:rPr>
          <w:rFonts w:eastAsia="Aptos" w:cs="Arial"/>
          <w:noProof/>
          <w:sz w:val="22"/>
          <w:lang w:val="en-US"/>
        </w:rPr>
        <w:t xml:space="preserve"> </w:t>
      </w:r>
      <w:r w:rsidRPr="009C446E">
        <w:rPr>
          <w:rFonts w:eastAsia="Aptos" w:cs="Arial"/>
          <w:noProof/>
          <w:sz w:val="22"/>
          <w:lang w:val="en-US"/>
        </w:rPr>
        <w:t xml:space="preserve"> </w:t>
      </w:r>
    </w:p>
    <w:p w14:paraId="621E02CB" w14:textId="77777777" w:rsidR="009C446E" w:rsidRPr="009C446E" w:rsidRDefault="009C446E" w:rsidP="009C446E">
      <w:pPr>
        <w:spacing w:before="0" w:after="0"/>
        <w:ind w:left="720" w:hanging="720"/>
        <w:rPr>
          <w:rFonts w:eastAsia="Aptos" w:cs="Arial"/>
          <w:noProof/>
          <w:sz w:val="22"/>
          <w:lang w:val="en-US"/>
        </w:rPr>
      </w:pPr>
      <w:r w:rsidRPr="009C446E">
        <w:rPr>
          <w:rFonts w:eastAsia="Aptos" w:cs="Arial"/>
          <w:noProof/>
          <w:sz w:val="22"/>
          <w:lang w:val="en-US"/>
        </w:rPr>
        <w:tab/>
      </w:r>
    </w:p>
    <w:p w14:paraId="345E086D" w14:textId="5BBAF7EE" w:rsidR="009C446E" w:rsidRPr="009C446E" w:rsidRDefault="009C446E" w:rsidP="009C446E">
      <w:pPr>
        <w:spacing w:before="0" w:after="160"/>
        <w:ind w:left="720" w:hanging="720"/>
        <w:rPr>
          <w:rFonts w:eastAsia="Aptos" w:cs="Arial"/>
          <w:noProof/>
          <w:sz w:val="22"/>
          <w:lang w:val="en-US"/>
        </w:rPr>
      </w:pPr>
      <w:r w:rsidRPr="009C446E">
        <w:rPr>
          <w:rFonts w:eastAsia="Aptos" w:cs="Arial"/>
          <w:noProof/>
          <w:sz w:val="22"/>
          <w:lang w:val="en-US"/>
        </w:rPr>
        <w:t xml:space="preserve">Rosenbaum, P. (2021a). Developmental disability: families and functioning in child and adolescence. </w:t>
      </w:r>
      <w:r w:rsidRPr="009C446E">
        <w:rPr>
          <w:rFonts w:eastAsia="Aptos" w:cs="Arial"/>
          <w:i/>
          <w:noProof/>
          <w:sz w:val="22"/>
          <w:lang w:val="en-US"/>
        </w:rPr>
        <w:t>Frontiers in Rehabilitation Sciences</w:t>
      </w:r>
      <w:r w:rsidRPr="009C446E">
        <w:rPr>
          <w:rFonts w:eastAsia="Aptos" w:cs="Arial"/>
          <w:noProof/>
          <w:sz w:val="22"/>
          <w:lang w:val="en-US"/>
        </w:rPr>
        <w:t>,</w:t>
      </w:r>
      <w:r w:rsidRPr="009C446E">
        <w:rPr>
          <w:rFonts w:eastAsia="Aptos" w:cs="Arial"/>
          <w:i/>
          <w:noProof/>
          <w:sz w:val="22"/>
          <w:lang w:val="en-US"/>
        </w:rPr>
        <w:t xml:space="preserve"> 2</w:t>
      </w:r>
      <w:r w:rsidRPr="009C446E">
        <w:rPr>
          <w:rFonts w:eastAsia="Aptos" w:cs="Arial"/>
          <w:noProof/>
          <w:sz w:val="22"/>
          <w:lang w:val="en-US"/>
        </w:rPr>
        <w:t xml:space="preserve">, 709984. </w:t>
      </w:r>
      <w:hyperlink r:id="rId555" w:history="1">
        <w:r w:rsidR="003F4668" w:rsidRPr="009C446E">
          <w:rPr>
            <w:rStyle w:val="Hyperlink"/>
            <w:rFonts w:eastAsia="Aptos" w:cs="Arial"/>
            <w:noProof/>
            <w:sz w:val="22"/>
            <w:lang w:val="en-US"/>
          </w:rPr>
          <w:t>https://doi.org/10.3389/fresc.2021.709984</w:t>
        </w:r>
      </w:hyperlink>
      <w:r w:rsidR="003F4668">
        <w:rPr>
          <w:rFonts w:eastAsia="Aptos" w:cs="Arial"/>
          <w:noProof/>
          <w:sz w:val="22"/>
          <w:lang w:val="en-US"/>
        </w:rPr>
        <w:t xml:space="preserve"> </w:t>
      </w:r>
      <w:r w:rsidRPr="009C446E">
        <w:rPr>
          <w:rFonts w:eastAsia="Aptos" w:cs="Arial"/>
          <w:noProof/>
          <w:sz w:val="22"/>
          <w:lang w:val="en-US"/>
        </w:rPr>
        <w:t xml:space="preserve"> </w:t>
      </w:r>
    </w:p>
    <w:p w14:paraId="16761FE8" w14:textId="77777777" w:rsidR="009C446E" w:rsidRPr="009C446E" w:rsidRDefault="009C446E" w:rsidP="009C446E">
      <w:pPr>
        <w:spacing w:before="0" w:after="0"/>
        <w:ind w:left="720" w:hanging="720"/>
        <w:rPr>
          <w:rFonts w:eastAsia="Aptos" w:cs="Arial"/>
          <w:noProof/>
          <w:sz w:val="22"/>
          <w:lang w:val="en-US"/>
        </w:rPr>
      </w:pPr>
      <w:r w:rsidRPr="009C446E">
        <w:rPr>
          <w:rFonts w:eastAsia="Aptos" w:cs="Arial"/>
          <w:noProof/>
          <w:sz w:val="22"/>
          <w:lang w:val="en-US"/>
        </w:rPr>
        <w:tab/>
      </w:r>
    </w:p>
    <w:p w14:paraId="4CB2C6BF" w14:textId="5DCD6677" w:rsidR="009C446E" w:rsidRPr="009C446E" w:rsidRDefault="009C446E" w:rsidP="009C446E">
      <w:pPr>
        <w:spacing w:before="0" w:after="160"/>
        <w:ind w:left="720" w:hanging="720"/>
        <w:rPr>
          <w:rFonts w:eastAsia="Aptos" w:cs="Arial"/>
          <w:noProof/>
          <w:sz w:val="22"/>
          <w:lang w:val="en-US"/>
        </w:rPr>
      </w:pPr>
      <w:r w:rsidRPr="009C446E">
        <w:rPr>
          <w:rFonts w:eastAsia="Aptos" w:cs="Arial"/>
          <w:noProof/>
          <w:sz w:val="22"/>
          <w:lang w:val="en-US"/>
        </w:rPr>
        <w:t xml:space="preserve">Rosenbaum, P. (2021b). To enhance function, promote children’s development. </w:t>
      </w:r>
      <w:r w:rsidRPr="009C446E">
        <w:rPr>
          <w:rFonts w:eastAsia="Aptos" w:cs="Arial"/>
          <w:i/>
          <w:noProof/>
          <w:sz w:val="22"/>
          <w:lang w:val="en-US"/>
        </w:rPr>
        <w:t>Developmental Medicine &amp; Child Neurology</w:t>
      </w:r>
      <w:r w:rsidRPr="009C446E">
        <w:rPr>
          <w:rFonts w:eastAsia="Aptos" w:cs="Arial"/>
          <w:noProof/>
          <w:sz w:val="22"/>
          <w:lang w:val="en-US"/>
        </w:rPr>
        <w:t>,</w:t>
      </w:r>
      <w:r w:rsidRPr="009C446E">
        <w:rPr>
          <w:rFonts w:eastAsia="Aptos" w:cs="Arial"/>
          <w:i/>
          <w:noProof/>
          <w:sz w:val="22"/>
          <w:lang w:val="en-US"/>
        </w:rPr>
        <w:t xml:space="preserve"> 63</w:t>
      </w:r>
      <w:r w:rsidRPr="009C446E">
        <w:rPr>
          <w:rFonts w:eastAsia="Aptos" w:cs="Arial"/>
          <w:noProof/>
          <w:sz w:val="22"/>
          <w:lang w:val="en-US"/>
        </w:rPr>
        <w:t xml:space="preserve">(6), 628-628. </w:t>
      </w:r>
      <w:hyperlink r:id="rId556" w:history="1">
        <w:r w:rsidR="003F4668" w:rsidRPr="009C446E">
          <w:rPr>
            <w:rStyle w:val="Hyperlink"/>
            <w:rFonts w:eastAsia="Aptos" w:cs="Arial"/>
            <w:noProof/>
            <w:sz w:val="22"/>
            <w:lang w:val="en-US"/>
          </w:rPr>
          <w:t>https://doi.org/10.1111/dmcn.14838</w:t>
        </w:r>
      </w:hyperlink>
      <w:r w:rsidR="003F4668">
        <w:rPr>
          <w:rFonts w:eastAsia="Aptos" w:cs="Arial"/>
          <w:noProof/>
          <w:sz w:val="22"/>
          <w:lang w:val="en-US"/>
        </w:rPr>
        <w:t xml:space="preserve"> </w:t>
      </w:r>
      <w:r w:rsidRPr="009C446E">
        <w:rPr>
          <w:rFonts w:eastAsia="Aptos" w:cs="Arial"/>
          <w:noProof/>
          <w:sz w:val="22"/>
          <w:lang w:val="en-US"/>
        </w:rPr>
        <w:t xml:space="preserve"> </w:t>
      </w:r>
    </w:p>
    <w:p w14:paraId="017F6176" w14:textId="77777777" w:rsidR="009C446E" w:rsidRPr="009C446E" w:rsidRDefault="009C446E" w:rsidP="009C446E">
      <w:pPr>
        <w:spacing w:before="0" w:after="0"/>
        <w:ind w:left="720" w:hanging="720"/>
        <w:rPr>
          <w:rFonts w:eastAsia="Aptos" w:cs="Arial"/>
          <w:noProof/>
          <w:sz w:val="22"/>
          <w:lang w:val="en-US"/>
        </w:rPr>
      </w:pPr>
      <w:r w:rsidRPr="009C446E">
        <w:rPr>
          <w:rFonts w:eastAsia="Aptos" w:cs="Arial"/>
          <w:noProof/>
          <w:sz w:val="22"/>
          <w:lang w:val="en-US"/>
        </w:rPr>
        <w:tab/>
      </w:r>
    </w:p>
    <w:p w14:paraId="0ECA97B4" w14:textId="18763BDD" w:rsidR="009C446E" w:rsidRDefault="009C446E" w:rsidP="009C446E">
      <w:pPr>
        <w:spacing w:before="0" w:after="160"/>
        <w:ind w:left="720" w:hanging="720"/>
        <w:rPr>
          <w:rFonts w:eastAsia="Aptos" w:cs="Arial"/>
          <w:noProof/>
          <w:sz w:val="22"/>
          <w:lang w:val="en-US"/>
        </w:rPr>
      </w:pPr>
      <w:r w:rsidRPr="009C446E">
        <w:rPr>
          <w:rFonts w:eastAsia="Aptos" w:cs="Arial"/>
          <w:noProof/>
          <w:sz w:val="22"/>
          <w:lang w:val="en-US"/>
        </w:rPr>
        <w:t xml:space="preserve">Rosenbaum, P. L., Imms, C., Miller, L., Hughes, D., &amp; Cross, A. (2024). Perspectives in childhood-onset disabilities: integrating 21st-Century concepts to expand our horizons. </w:t>
      </w:r>
      <w:r w:rsidRPr="009C446E">
        <w:rPr>
          <w:rFonts w:eastAsia="Aptos" w:cs="Arial"/>
          <w:i/>
          <w:noProof/>
          <w:sz w:val="22"/>
          <w:lang w:val="en-US"/>
        </w:rPr>
        <w:t>Disability and Rehabilitation</w:t>
      </w:r>
      <w:r w:rsidRPr="009C446E">
        <w:rPr>
          <w:rFonts w:eastAsia="Aptos" w:cs="Arial"/>
          <w:noProof/>
          <w:sz w:val="22"/>
          <w:lang w:val="en-US"/>
        </w:rPr>
        <w:t xml:space="preserve">, 1-11. </w:t>
      </w:r>
      <w:hyperlink r:id="rId557" w:history="1">
        <w:r w:rsidR="00367828" w:rsidRPr="00326476">
          <w:rPr>
            <w:rStyle w:val="Hyperlink"/>
            <w:rFonts w:eastAsia="Aptos" w:cs="Arial"/>
            <w:noProof/>
            <w:sz w:val="22"/>
            <w:lang w:val="en-US"/>
          </w:rPr>
          <w:t>https://doi.org/10.1080/09638288.2024.2394647</w:t>
        </w:r>
      </w:hyperlink>
      <w:r w:rsidRPr="00367828">
        <w:rPr>
          <w:rFonts w:eastAsia="Aptos" w:cs="Arial"/>
          <w:noProof/>
          <w:sz w:val="22"/>
          <w:lang w:val="en-US"/>
        </w:rPr>
        <w:t xml:space="preserve"> </w:t>
      </w:r>
    </w:p>
    <w:p w14:paraId="2B236C9A" w14:textId="77777777" w:rsidR="00367828" w:rsidRPr="00367828" w:rsidRDefault="00367828" w:rsidP="009C446E">
      <w:pPr>
        <w:spacing w:before="0" w:after="160"/>
        <w:ind w:left="720" w:hanging="720"/>
        <w:rPr>
          <w:rFonts w:eastAsia="Aptos" w:cs="Arial"/>
          <w:noProof/>
          <w:sz w:val="22"/>
          <w:lang w:val="en-US"/>
        </w:rPr>
      </w:pPr>
    </w:p>
    <w:p w14:paraId="0A91E691" w14:textId="77777777" w:rsidR="00191490" w:rsidRPr="00191490" w:rsidRDefault="00191490" w:rsidP="00191490">
      <w:pPr>
        <w:spacing w:before="0" w:after="160"/>
        <w:ind w:left="720" w:hanging="720"/>
        <w:rPr>
          <w:rFonts w:eastAsia="Aptos" w:cs="Arial"/>
          <w:noProof/>
          <w:sz w:val="22"/>
          <w:lang w:val="en-US"/>
        </w:rPr>
      </w:pPr>
      <w:r w:rsidRPr="00367828">
        <w:rPr>
          <w:rFonts w:eastAsia="Aptos" w:cs="Arial"/>
          <w:noProof/>
          <w:sz w:val="22"/>
          <w:lang w:val="en-US"/>
        </w:rPr>
        <w:t xml:space="preserve">Rosling, H., Rosling, O., &amp; Rönnlund, A. R. (2018). </w:t>
      </w:r>
      <w:r w:rsidRPr="00367828">
        <w:rPr>
          <w:rFonts w:eastAsia="Aptos" w:cs="Arial"/>
          <w:i/>
          <w:noProof/>
          <w:sz w:val="22"/>
          <w:lang w:val="en-US"/>
        </w:rPr>
        <w:t>Factfulness: Ten reasons we're wrong about the world – and why things are better than you think</w:t>
      </w:r>
      <w:r w:rsidRPr="00367828">
        <w:rPr>
          <w:rFonts w:eastAsia="Aptos" w:cs="Arial"/>
          <w:noProof/>
          <w:sz w:val="22"/>
          <w:lang w:val="en-US"/>
        </w:rPr>
        <w:t>. London, UK: Sceptre / Hodder &amp; Stoughton.</w:t>
      </w:r>
      <w:r w:rsidRPr="00191490">
        <w:rPr>
          <w:rFonts w:eastAsia="Aptos" w:cs="Arial"/>
          <w:noProof/>
          <w:sz w:val="22"/>
          <w:lang w:val="en-US"/>
        </w:rPr>
        <w:t xml:space="preserve"> </w:t>
      </w:r>
    </w:p>
    <w:p w14:paraId="1A4701A0" w14:textId="77777777" w:rsidR="00191490" w:rsidRPr="00191490" w:rsidRDefault="00191490" w:rsidP="00191490">
      <w:pPr>
        <w:spacing w:before="0" w:after="0"/>
        <w:ind w:left="720" w:hanging="720"/>
        <w:rPr>
          <w:rFonts w:eastAsia="Aptos" w:cs="Arial"/>
          <w:noProof/>
          <w:sz w:val="22"/>
          <w:lang w:val="en-US"/>
        </w:rPr>
      </w:pPr>
      <w:r w:rsidRPr="00191490">
        <w:rPr>
          <w:rFonts w:eastAsia="Aptos" w:cs="Arial"/>
          <w:noProof/>
          <w:sz w:val="22"/>
          <w:lang w:val="en-US"/>
        </w:rPr>
        <w:tab/>
      </w:r>
    </w:p>
    <w:p w14:paraId="31160C66" w14:textId="77777777" w:rsidR="00191490" w:rsidRPr="00191490" w:rsidRDefault="00191490" w:rsidP="00191490">
      <w:pPr>
        <w:spacing w:before="0" w:after="160"/>
        <w:ind w:left="720" w:hanging="720"/>
        <w:rPr>
          <w:rFonts w:eastAsia="Aptos" w:cs="Arial"/>
          <w:noProof/>
          <w:sz w:val="22"/>
          <w:lang w:val="en-US"/>
        </w:rPr>
      </w:pPr>
      <w:r w:rsidRPr="00191490">
        <w:rPr>
          <w:rFonts w:eastAsia="Aptos" w:cs="Arial"/>
          <w:noProof/>
          <w:sz w:val="22"/>
          <w:lang w:val="en-US"/>
        </w:rPr>
        <w:t xml:space="preserve">Rouse, L. (2012). Family-centred practice: Empowerment, self-efficacy, and challenges for practitioners in early childhood education and care. </w:t>
      </w:r>
      <w:r w:rsidRPr="00191490">
        <w:rPr>
          <w:rFonts w:eastAsia="Aptos" w:cs="Arial"/>
          <w:i/>
          <w:noProof/>
          <w:sz w:val="22"/>
          <w:lang w:val="en-US"/>
        </w:rPr>
        <w:t>Contemporary Issues in Early Childhood</w:t>
      </w:r>
      <w:r w:rsidRPr="00191490">
        <w:rPr>
          <w:rFonts w:eastAsia="Aptos" w:cs="Arial"/>
          <w:noProof/>
          <w:sz w:val="22"/>
          <w:lang w:val="en-US"/>
        </w:rPr>
        <w:t>,</w:t>
      </w:r>
      <w:r w:rsidRPr="00191490">
        <w:rPr>
          <w:rFonts w:eastAsia="Aptos" w:cs="Arial"/>
          <w:i/>
          <w:noProof/>
          <w:sz w:val="22"/>
          <w:lang w:val="en-US"/>
        </w:rPr>
        <w:t xml:space="preserve"> 13</w:t>
      </w:r>
      <w:r w:rsidRPr="00191490">
        <w:rPr>
          <w:rFonts w:eastAsia="Aptos" w:cs="Arial"/>
          <w:noProof/>
          <w:sz w:val="22"/>
          <w:lang w:val="en-US"/>
        </w:rPr>
        <w:t xml:space="preserve">(1), 17-26. https://doi.org/10.2304/ciec.2012.13.1.17 </w:t>
      </w:r>
    </w:p>
    <w:p w14:paraId="6CD2E39E" w14:textId="77777777" w:rsidR="00674ED8" w:rsidRPr="00674ED8" w:rsidRDefault="00674ED8" w:rsidP="00674ED8">
      <w:pPr>
        <w:spacing w:before="0" w:after="160"/>
        <w:ind w:left="720" w:hanging="720"/>
        <w:rPr>
          <w:rFonts w:eastAsia="Aptos" w:cs="Arial"/>
          <w:noProof/>
          <w:sz w:val="22"/>
          <w:lang w:val="en-US"/>
        </w:rPr>
      </w:pPr>
      <w:r w:rsidRPr="00674ED8">
        <w:rPr>
          <w:rFonts w:eastAsia="Aptos" w:cs="Arial"/>
          <w:noProof/>
          <w:sz w:val="22"/>
          <w:lang w:val="en-US"/>
        </w:rPr>
        <w:t xml:space="preserve">Royal Commission into Violence Abuse Neglect and Exploitation of People with Disability. (2023). </w:t>
      </w:r>
      <w:r w:rsidRPr="00674ED8">
        <w:rPr>
          <w:rFonts w:eastAsia="Aptos" w:cs="Arial"/>
          <w:i/>
          <w:noProof/>
          <w:sz w:val="22"/>
          <w:lang w:val="en-US"/>
        </w:rPr>
        <w:t>Final report - executive summary, our vision for an inclusive Australia and recommendations</w:t>
      </w:r>
      <w:r w:rsidRPr="00674ED8">
        <w:rPr>
          <w:rFonts w:eastAsia="Aptos" w:cs="Arial"/>
          <w:noProof/>
          <w:sz w:val="22"/>
          <w:lang w:val="en-US"/>
        </w:rPr>
        <w:t>. The Royal Comission. Retrieved 6 September, 2024 from https://disability.royalcommission.gov.au/publications/final-report-executive-summary-our-vision-inclusive-australia-and-recommendations</w:t>
      </w:r>
    </w:p>
    <w:p w14:paraId="5B469E11" w14:textId="77777777" w:rsidR="009422AA" w:rsidRPr="009422AA" w:rsidRDefault="009422AA" w:rsidP="009422AA">
      <w:pPr>
        <w:spacing w:before="0" w:after="160"/>
        <w:ind w:left="720" w:hanging="720"/>
        <w:rPr>
          <w:rFonts w:eastAsia="Aptos" w:cs="Arial"/>
          <w:noProof/>
          <w:sz w:val="22"/>
          <w:lang w:val="en-US"/>
        </w:rPr>
      </w:pPr>
      <w:r w:rsidRPr="009422AA">
        <w:rPr>
          <w:rFonts w:eastAsia="Aptos" w:cs="Arial"/>
          <w:noProof/>
          <w:sz w:val="22"/>
          <w:lang w:val="en-US"/>
        </w:rPr>
        <w:t xml:space="preserve">Rush, D. D., &amp; Shelden, M. L. L. (2020). </w:t>
      </w:r>
      <w:r w:rsidRPr="009422AA">
        <w:rPr>
          <w:rFonts w:eastAsia="Aptos" w:cs="Arial"/>
          <w:i/>
          <w:noProof/>
          <w:sz w:val="22"/>
          <w:lang w:val="en-US"/>
        </w:rPr>
        <w:t>The early childhood coaching handbook</w:t>
      </w:r>
      <w:r w:rsidRPr="009422AA">
        <w:rPr>
          <w:rFonts w:eastAsia="Aptos" w:cs="Arial"/>
          <w:noProof/>
          <w:sz w:val="22"/>
          <w:lang w:val="en-US"/>
        </w:rPr>
        <w:t xml:space="preserve">. Baltimore, MD: Paul H. Brookes Publishing Co. </w:t>
      </w:r>
    </w:p>
    <w:p w14:paraId="3F2ADC6D" w14:textId="77777777" w:rsidR="009422AA" w:rsidRPr="009422AA" w:rsidRDefault="009422AA" w:rsidP="009422AA">
      <w:pPr>
        <w:spacing w:before="0" w:after="0"/>
        <w:ind w:left="720" w:hanging="720"/>
        <w:rPr>
          <w:rFonts w:eastAsia="Aptos" w:cs="Arial"/>
          <w:noProof/>
          <w:sz w:val="22"/>
          <w:lang w:val="en-US"/>
        </w:rPr>
      </w:pPr>
      <w:r w:rsidRPr="009422AA">
        <w:rPr>
          <w:rFonts w:eastAsia="Aptos" w:cs="Arial"/>
          <w:noProof/>
          <w:sz w:val="22"/>
          <w:lang w:val="en-US"/>
        </w:rPr>
        <w:tab/>
      </w:r>
    </w:p>
    <w:p w14:paraId="6A570ACD" w14:textId="167997F7" w:rsidR="009422AA" w:rsidRPr="009422AA" w:rsidRDefault="009422AA" w:rsidP="009422AA">
      <w:pPr>
        <w:spacing w:before="0" w:after="160"/>
        <w:ind w:left="720" w:hanging="720"/>
        <w:rPr>
          <w:rFonts w:eastAsia="Aptos" w:cs="Arial"/>
          <w:noProof/>
          <w:sz w:val="22"/>
          <w:lang w:val="en-US"/>
        </w:rPr>
      </w:pPr>
      <w:r w:rsidRPr="009422AA">
        <w:rPr>
          <w:rFonts w:eastAsia="Aptos" w:cs="Arial"/>
          <w:noProof/>
          <w:sz w:val="22"/>
          <w:lang w:val="en-US"/>
        </w:rPr>
        <w:t xml:space="preserve">Ryan, R., &amp; Cochrane Consumers and Communication Group. (2016, December). </w:t>
      </w:r>
      <w:r w:rsidRPr="009422AA">
        <w:rPr>
          <w:rFonts w:eastAsia="Aptos" w:cs="Arial"/>
          <w:i/>
          <w:noProof/>
          <w:sz w:val="22"/>
          <w:lang w:val="en-US"/>
        </w:rPr>
        <w:t>Cochrane consumers and communication group: Meta-analysis.</w:t>
      </w:r>
      <w:r w:rsidRPr="009422AA">
        <w:rPr>
          <w:rFonts w:eastAsia="Aptos" w:cs="Arial"/>
          <w:noProof/>
          <w:sz w:val="22"/>
          <w:lang w:val="en-US"/>
        </w:rPr>
        <w:t xml:space="preserve"> Cochrane. Retrieved 6 September, 2024 from </w:t>
      </w:r>
      <w:hyperlink r:id="rId558" w:history="1">
        <w:r w:rsidR="000053CE" w:rsidRPr="009422AA">
          <w:rPr>
            <w:rStyle w:val="Hyperlink"/>
            <w:rFonts w:eastAsia="Aptos" w:cs="Arial"/>
            <w:noProof/>
            <w:sz w:val="22"/>
            <w:lang w:val="en-US"/>
          </w:rPr>
          <w:t>https://cccrg.cochrane.org/</w:t>
        </w:r>
      </w:hyperlink>
      <w:r w:rsidR="000053CE">
        <w:rPr>
          <w:rFonts w:eastAsia="Aptos" w:cs="Arial"/>
          <w:noProof/>
          <w:sz w:val="22"/>
          <w:lang w:val="en-US"/>
        </w:rPr>
        <w:t xml:space="preserve"> </w:t>
      </w:r>
    </w:p>
    <w:p w14:paraId="28464612" w14:textId="77777777" w:rsidR="009422AA" w:rsidRPr="009422AA" w:rsidRDefault="009422AA" w:rsidP="009422AA">
      <w:pPr>
        <w:spacing w:before="0" w:after="0"/>
        <w:ind w:left="720" w:hanging="720"/>
        <w:rPr>
          <w:rFonts w:eastAsia="Aptos" w:cs="Arial"/>
          <w:noProof/>
          <w:sz w:val="22"/>
          <w:lang w:val="en-US"/>
        </w:rPr>
      </w:pPr>
      <w:r w:rsidRPr="009422AA">
        <w:rPr>
          <w:rFonts w:eastAsia="Aptos" w:cs="Arial"/>
          <w:noProof/>
          <w:sz w:val="22"/>
          <w:lang w:val="en-US"/>
        </w:rPr>
        <w:tab/>
      </w:r>
    </w:p>
    <w:p w14:paraId="2AFAF416" w14:textId="6DA7452F" w:rsidR="009422AA" w:rsidRPr="009422AA" w:rsidRDefault="009422AA" w:rsidP="009422AA">
      <w:pPr>
        <w:spacing w:before="0" w:after="160"/>
        <w:ind w:left="720" w:hanging="720"/>
        <w:rPr>
          <w:rFonts w:eastAsia="Aptos" w:cs="Arial"/>
          <w:noProof/>
          <w:sz w:val="22"/>
          <w:lang w:val="en-US"/>
        </w:rPr>
      </w:pPr>
      <w:r w:rsidRPr="009422AA">
        <w:rPr>
          <w:rFonts w:eastAsia="Aptos" w:cs="Arial"/>
          <w:noProof/>
          <w:sz w:val="22"/>
          <w:lang w:val="en-US"/>
        </w:rPr>
        <w:t xml:space="preserve">Sackett, D. L., Rosenberg, W. M., Gray, J. M., Haynes, R. B., &amp; Richardson, W. S. (1996). Evidence based medicine: what it is and what it isn't. </w:t>
      </w:r>
      <w:r w:rsidRPr="009422AA">
        <w:rPr>
          <w:rFonts w:eastAsia="Aptos" w:cs="Arial"/>
          <w:i/>
          <w:noProof/>
          <w:sz w:val="22"/>
          <w:lang w:val="en-US"/>
        </w:rPr>
        <w:t>BMJ</w:t>
      </w:r>
      <w:r w:rsidRPr="009422AA">
        <w:rPr>
          <w:rFonts w:eastAsia="Aptos" w:cs="Arial"/>
          <w:noProof/>
          <w:sz w:val="22"/>
          <w:lang w:val="en-US"/>
        </w:rPr>
        <w:t>,</w:t>
      </w:r>
      <w:r w:rsidRPr="009422AA">
        <w:rPr>
          <w:rFonts w:eastAsia="Aptos" w:cs="Arial"/>
          <w:i/>
          <w:noProof/>
          <w:sz w:val="22"/>
          <w:lang w:val="en-US"/>
        </w:rPr>
        <w:t xml:space="preserve"> 312</w:t>
      </w:r>
      <w:r w:rsidRPr="009422AA">
        <w:rPr>
          <w:rFonts w:eastAsia="Aptos" w:cs="Arial"/>
          <w:noProof/>
          <w:sz w:val="22"/>
          <w:lang w:val="en-US"/>
        </w:rPr>
        <w:t xml:space="preserve">(7023), 71-72. </w:t>
      </w:r>
      <w:hyperlink r:id="rId559" w:history="1">
        <w:r w:rsidR="000053CE" w:rsidRPr="009422AA">
          <w:rPr>
            <w:rStyle w:val="Hyperlink"/>
            <w:rFonts w:eastAsia="Aptos" w:cs="Arial"/>
            <w:noProof/>
            <w:sz w:val="22"/>
            <w:lang w:val="en-US"/>
          </w:rPr>
          <w:t>https://doi.org/10.1136/bmj.312.7023.71</w:t>
        </w:r>
      </w:hyperlink>
      <w:r w:rsidR="000053CE">
        <w:rPr>
          <w:rFonts w:eastAsia="Aptos" w:cs="Arial"/>
          <w:noProof/>
          <w:sz w:val="22"/>
          <w:lang w:val="en-US"/>
        </w:rPr>
        <w:t xml:space="preserve"> </w:t>
      </w:r>
      <w:r w:rsidRPr="009422AA">
        <w:rPr>
          <w:rFonts w:eastAsia="Aptos" w:cs="Arial"/>
          <w:noProof/>
          <w:sz w:val="22"/>
          <w:lang w:val="en-US"/>
        </w:rPr>
        <w:t xml:space="preserve"> </w:t>
      </w:r>
    </w:p>
    <w:p w14:paraId="7872B7C5" w14:textId="77777777" w:rsidR="009422AA" w:rsidRPr="009422AA" w:rsidRDefault="009422AA" w:rsidP="009422AA">
      <w:pPr>
        <w:spacing w:before="0" w:after="0"/>
        <w:ind w:left="720" w:hanging="720"/>
        <w:rPr>
          <w:rFonts w:eastAsia="Aptos" w:cs="Arial"/>
          <w:noProof/>
          <w:sz w:val="22"/>
          <w:lang w:val="en-US"/>
        </w:rPr>
      </w:pPr>
      <w:r w:rsidRPr="009422AA">
        <w:rPr>
          <w:rFonts w:eastAsia="Aptos" w:cs="Arial"/>
          <w:noProof/>
          <w:sz w:val="22"/>
          <w:lang w:val="en-US"/>
        </w:rPr>
        <w:tab/>
      </w:r>
    </w:p>
    <w:p w14:paraId="64010137" w14:textId="77777777" w:rsidR="009422AA" w:rsidRPr="009422AA" w:rsidRDefault="009422AA" w:rsidP="009422AA">
      <w:pPr>
        <w:spacing w:before="0" w:after="160"/>
        <w:ind w:left="720" w:hanging="720"/>
        <w:rPr>
          <w:rFonts w:eastAsia="Aptos" w:cs="Arial"/>
          <w:noProof/>
          <w:sz w:val="22"/>
          <w:lang w:val="en-US"/>
        </w:rPr>
      </w:pPr>
      <w:r w:rsidRPr="009422AA">
        <w:rPr>
          <w:rFonts w:eastAsia="Aptos" w:cs="Arial"/>
          <w:noProof/>
          <w:sz w:val="22"/>
          <w:lang w:val="en-US"/>
        </w:rPr>
        <w:t xml:space="preserve">Saleebey, D. (2005). </w:t>
      </w:r>
      <w:r w:rsidRPr="009422AA">
        <w:rPr>
          <w:rFonts w:eastAsia="Aptos" w:cs="Arial"/>
          <w:i/>
          <w:noProof/>
          <w:sz w:val="22"/>
          <w:lang w:val="en-US"/>
        </w:rPr>
        <w:t xml:space="preserve">The strengths perspective in social work practice </w:t>
      </w:r>
      <w:r w:rsidRPr="009422AA">
        <w:rPr>
          <w:rFonts w:eastAsia="Aptos" w:cs="Arial"/>
          <w:noProof/>
          <w:sz w:val="22"/>
          <w:lang w:val="en-US"/>
        </w:rPr>
        <w:t xml:space="preserve">(4th ed.). Boston, MA: Allyn and Bacon. </w:t>
      </w:r>
    </w:p>
    <w:p w14:paraId="59B5A9C5" w14:textId="60E15D18" w:rsidR="003E25EE" w:rsidRPr="003E25EE" w:rsidRDefault="003E25EE" w:rsidP="003E25EE">
      <w:pPr>
        <w:spacing w:before="0" w:after="160"/>
        <w:ind w:left="720" w:hanging="720"/>
        <w:rPr>
          <w:rFonts w:eastAsia="Aptos" w:cs="Arial"/>
          <w:noProof/>
          <w:sz w:val="22"/>
          <w:lang w:val="en-US"/>
        </w:rPr>
      </w:pPr>
      <w:r w:rsidRPr="003E25EE">
        <w:rPr>
          <w:rFonts w:eastAsia="Aptos" w:cs="Arial"/>
          <w:noProof/>
          <w:sz w:val="22"/>
          <w:lang w:val="en-US"/>
        </w:rPr>
        <w:t xml:space="preserve">Salisbury, C., Woods, J., Snyder, P., Moddelmog, K., Mawdsley, H., Romano, M., &amp; Windsor, K. (2018). Caregiver and Provider Experiences With Coaching and Embedded Intervention. </w:t>
      </w:r>
      <w:r w:rsidRPr="003E25EE">
        <w:rPr>
          <w:rFonts w:eastAsia="Aptos" w:cs="Arial"/>
          <w:i/>
          <w:noProof/>
          <w:sz w:val="22"/>
          <w:lang w:val="en-US"/>
        </w:rPr>
        <w:t>Topics in Early Childhood Special Education</w:t>
      </w:r>
      <w:r w:rsidRPr="003E25EE">
        <w:rPr>
          <w:rFonts w:eastAsia="Aptos" w:cs="Arial"/>
          <w:noProof/>
          <w:sz w:val="22"/>
          <w:lang w:val="en-US"/>
        </w:rPr>
        <w:t>,</w:t>
      </w:r>
      <w:r w:rsidRPr="003E25EE">
        <w:rPr>
          <w:rFonts w:eastAsia="Aptos" w:cs="Arial"/>
          <w:i/>
          <w:noProof/>
          <w:sz w:val="22"/>
          <w:lang w:val="en-US"/>
        </w:rPr>
        <w:t xml:space="preserve"> 38</w:t>
      </w:r>
      <w:r w:rsidRPr="003E25EE">
        <w:rPr>
          <w:rFonts w:eastAsia="Aptos" w:cs="Arial"/>
          <w:noProof/>
          <w:sz w:val="22"/>
          <w:lang w:val="en-US"/>
        </w:rPr>
        <w:t xml:space="preserve">(1), 17-29. </w:t>
      </w:r>
      <w:hyperlink r:id="rId560" w:history="1">
        <w:r w:rsidR="000053CE" w:rsidRPr="003E25EE">
          <w:rPr>
            <w:rStyle w:val="Hyperlink"/>
            <w:rFonts w:eastAsia="Aptos" w:cs="Arial"/>
            <w:noProof/>
            <w:sz w:val="22"/>
            <w:lang w:val="en-US"/>
          </w:rPr>
          <w:t>https://doi.org/10.1177/0271121417708036</w:t>
        </w:r>
      </w:hyperlink>
      <w:r w:rsidR="000053CE">
        <w:rPr>
          <w:rFonts w:eastAsia="Aptos" w:cs="Arial"/>
          <w:noProof/>
          <w:sz w:val="22"/>
          <w:lang w:val="en-US"/>
        </w:rPr>
        <w:t xml:space="preserve"> </w:t>
      </w:r>
      <w:r w:rsidRPr="003E25EE">
        <w:rPr>
          <w:rFonts w:eastAsia="Aptos" w:cs="Arial"/>
          <w:noProof/>
          <w:sz w:val="22"/>
          <w:lang w:val="en-US"/>
        </w:rPr>
        <w:t xml:space="preserve"> </w:t>
      </w:r>
    </w:p>
    <w:p w14:paraId="293EDB7C" w14:textId="77777777" w:rsidR="003E25EE" w:rsidRPr="003E25EE" w:rsidRDefault="003E25EE" w:rsidP="003E25EE">
      <w:pPr>
        <w:spacing w:before="0" w:after="0"/>
        <w:ind w:left="720" w:hanging="720"/>
        <w:rPr>
          <w:rFonts w:eastAsia="Aptos" w:cs="Arial"/>
          <w:noProof/>
          <w:sz w:val="22"/>
          <w:lang w:val="en-US"/>
        </w:rPr>
      </w:pPr>
      <w:r w:rsidRPr="003E25EE">
        <w:rPr>
          <w:rFonts w:eastAsia="Aptos" w:cs="Arial"/>
          <w:noProof/>
          <w:sz w:val="22"/>
          <w:lang w:val="en-US"/>
        </w:rPr>
        <w:tab/>
      </w:r>
    </w:p>
    <w:p w14:paraId="6B76F39E" w14:textId="77777777" w:rsidR="003E25EE" w:rsidRPr="003E25EE" w:rsidRDefault="003E25EE" w:rsidP="003E25EE">
      <w:pPr>
        <w:spacing w:before="0" w:after="160"/>
        <w:ind w:left="720" w:hanging="720"/>
        <w:rPr>
          <w:rFonts w:eastAsia="Aptos" w:cs="Arial"/>
          <w:noProof/>
          <w:sz w:val="22"/>
          <w:lang w:val="en-US"/>
        </w:rPr>
      </w:pPr>
      <w:r w:rsidRPr="003E25EE">
        <w:rPr>
          <w:rFonts w:eastAsia="Aptos" w:cs="Arial"/>
          <w:noProof/>
          <w:sz w:val="22"/>
          <w:lang w:val="en-US"/>
        </w:rPr>
        <w:t xml:space="preserve">Sandall, S., McLean, M. E., &amp; Smith, B. J. (2000). </w:t>
      </w:r>
      <w:r w:rsidRPr="003E25EE">
        <w:rPr>
          <w:rFonts w:eastAsia="Aptos" w:cs="Arial"/>
          <w:i/>
          <w:noProof/>
          <w:sz w:val="22"/>
          <w:lang w:val="en-US"/>
        </w:rPr>
        <w:t>DEC recommended practices in early intervention/early childhood special education</w:t>
      </w:r>
      <w:r w:rsidRPr="003E25EE">
        <w:rPr>
          <w:rFonts w:eastAsia="Aptos" w:cs="Arial"/>
          <w:noProof/>
          <w:sz w:val="22"/>
          <w:lang w:val="en-US"/>
        </w:rPr>
        <w:t xml:space="preserve">. ERIC. </w:t>
      </w:r>
    </w:p>
    <w:p w14:paraId="4D6CF0DB" w14:textId="77777777" w:rsidR="003E25EE" w:rsidRPr="003E25EE" w:rsidRDefault="003E25EE" w:rsidP="003E25EE">
      <w:pPr>
        <w:spacing w:before="0" w:after="0"/>
        <w:ind w:left="720" w:hanging="720"/>
        <w:rPr>
          <w:rFonts w:eastAsia="Aptos" w:cs="Arial"/>
          <w:noProof/>
          <w:sz w:val="22"/>
          <w:lang w:val="en-US"/>
        </w:rPr>
      </w:pPr>
      <w:r w:rsidRPr="003E25EE">
        <w:rPr>
          <w:rFonts w:eastAsia="Aptos" w:cs="Arial"/>
          <w:noProof/>
          <w:sz w:val="22"/>
          <w:lang w:val="en-US"/>
        </w:rPr>
        <w:tab/>
      </w:r>
    </w:p>
    <w:p w14:paraId="6760D028" w14:textId="1AF031DE" w:rsidR="003E25EE" w:rsidRPr="003E25EE" w:rsidRDefault="003E25EE" w:rsidP="003E25EE">
      <w:pPr>
        <w:spacing w:before="0" w:after="160"/>
        <w:ind w:left="720" w:hanging="720"/>
        <w:rPr>
          <w:rFonts w:eastAsia="Aptos" w:cs="Arial"/>
          <w:noProof/>
          <w:sz w:val="22"/>
          <w:lang w:val="en-US"/>
        </w:rPr>
      </w:pPr>
      <w:r w:rsidRPr="003E25EE">
        <w:rPr>
          <w:rFonts w:eastAsia="Aptos" w:cs="Arial"/>
          <w:noProof/>
          <w:sz w:val="22"/>
          <w:lang w:val="en-US"/>
        </w:rPr>
        <w:t xml:space="preserve">Save the Children. (2016). </w:t>
      </w:r>
      <w:r w:rsidRPr="003E25EE">
        <w:rPr>
          <w:rFonts w:eastAsia="Aptos" w:cs="Arial"/>
          <w:i/>
          <w:noProof/>
          <w:sz w:val="22"/>
          <w:lang w:val="en-US"/>
        </w:rPr>
        <w:t>State of Australia's Mothers</w:t>
      </w:r>
      <w:r w:rsidRPr="003E25EE">
        <w:rPr>
          <w:rFonts w:eastAsia="Aptos" w:cs="Arial"/>
          <w:noProof/>
          <w:sz w:val="22"/>
          <w:lang w:val="en-US"/>
        </w:rPr>
        <w:t xml:space="preserve">. Melbourne, VIC: Save the Children. Retrieved 6 September, 2024 from </w:t>
      </w:r>
      <w:hyperlink r:id="rId561" w:history="1">
        <w:r w:rsidR="000053CE" w:rsidRPr="003E25EE">
          <w:rPr>
            <w:rStyle w:val="Hyperlink"/>
            <w:rFonts w:eastAsia="Aptos" w:cs="Arial"/>
            <w:noProof/>
            <w:sz w:val="22"/>
            <w:lang w:val="en-US"/>
          </w:rPr>
          <w:t>https://www.abc.net.au/news/2016-05-08/queensland-worst-state-to-be-a-mother,-report-finds/7392280</w:t>
        </w:r>
      </w:hyperlink>
      <w:r w:rsidR="000053CE">
        <w:rPr>
          <w:rFonts w:eastAsia="Aptos" w:cs="Arial"/>
          <w:noProof/>
          <w:sz w:val="22"/>
          <w:lang w:val="en-US"/>
        </w:rPr>
        <w:t xml:space="preserve"> </w:t>
      </w:r>
    </w:p>
    <w:p w14:paraId="6D4253DE" w14:textId="0BD34866" w:rsidR="00F4749F" w:rsidRPr="00F4749F" w:rsidRDefault="00F4749F" w:rsidP="00F4749F">
      <w:pPr>
        <w:spacing w:before="0" w:after="160"/>
        <w:ind w:left="720" w:hanging="720"/>
        <w:rPr>
          <w:rFonts w:eastAsia="Aptos" w:cs="Arial"/>
          <w:noProof/>
          <w:sz w:val="22"/>
          <w:lang w:val="en-US"/>
        </w:rPr>
      </w:pPr>
      <w:r w:rsidRPr="00F4749F">
        <w:rPr>
          <w:rFonts w:eastAsia="Aptos" w:cs="Arial"/>
          <w:noProof/>
          <w:sz w:val="22"/>
          <w:lang w:val="en-US"/>
        </w:rPr>
        <w:t xml:space="preserve">Sawyer, B. E., &amp; Campbell, P. H. (2017). Teaching caregivers in early intervention. </w:t>
      </w:r>
      <w:r w:rsidRPr="00F4749F">
        <w:rPr>
          <w:rFonts w:eastAsia="Aptos" w:cs="Arial"/>
          <w:i/>
          <w:noProof/>
          <w:sz w:val="22"/>
          <w:lang w:val="en-US"/>
        </w:rPr>
        <w:t>Infants &amp; Young Children</w:t>
      </w:r>
      <w:r w:rsidRPr="00F4749F">
        <w:rPr>
          <w:rFonts w:eastAsia="Aptos" w:cs="Arial"/>
          <w:noProof/>
          <w:sz w:val="22"/>
          <w:lang w:val="en-US"/>
        </w:rPr>
        <w:t>,</w:t>
      </w:r>
      <w:r w:rsidRPr="00F4749F">
        <w:rPr>
          <w:rFonts w:eastAsia="Aptos" w:cs="Arial"/>
          <w:i/>
          <w:noProof/>
          <w:sz w:val="22"/>
          <w:lang w:val="en-US"/>
        </w:rPr>
        <w:t xml:space="preserve"> 30</w:t>
      </w:r>
      <w:r w:rsidRPr="00F4749F">
        <w:rPr>
          <w:rFonts w:eastAsia="Aptos" w:cs="Arial"/>
          <w:noProof/>
          <w:sz w:val="22"/>
          <w:lang w:val="en-US"/>
        </w:rPr>
        <w:t xml:space="preserve">(3), 175-189. </w:t>
      </w:r>
      <w:hyperlink r:id="rId562" w:history="1">
        <w:r w:rsidR="000053CE" w:rsidRPr="00F4749F">
          <w:rPr>
            <w:rStyle w:val="Hyperlink"/>
            <w:rFonts w:eastAsia="Aptos" w:cs="Arial"/>
            <w:noProof/>
            <w:sz w:val="22"/>
            <w:lang w:val="en-US"/>
          </w:rPr>
          <w:t>https://doi.org/10.1097/IYC.0000000000000094</w:t>
        </w:r>
      </w:hyperlink>
      <w:r w:rsidR="000053CE">
        <w:rPr>
          <w:rFonts w:eastAsia="Aptos" w:cs="Arial"/>
          <w:noProof/>
          <w:sz w:val="22"/>
          <w:lang w:val="en-US"/>
        </w:rPr>
        <w:t xml:space="preserve"> </w:t>
      </w:r>
      <w:r w:rsidRPr="00F4749F">
        <w:rPr>
          <w:rFonts w:eastAsia="Aptos" w:cs="Arial"/>
          <w:noProof/>
          <w:sz w:val="22"/>
          <w:lang w:val="en-US"/>
        </w:rPr>
        <w:t xml:space="preserve"> </w:t>
      </w:r>
    </w:p>
    <w:p w14:paraId="249869FB" w14:textId="77777777" w:rsidR="00F4749F" w:rsidRPr="00F4749F" w:rsidRDefault="00F4749F" w:rsidP="00F4749F">
      <w:pPr>
        <w:spacing w:before="0" w:after="0"/>
        <w:ind w:left="720" w:hanging="720"/>
        <w:rPr>
          <w:rFonts w:eastAsia="Aptos" w:cs="Arial"/>
          <w:noProof/>
          <w:sz w:val="22"/>
          <w:lang w:val="en-US"/>
        </w:rPr>
      </w:pPr>
      <w:r w:rsidRPr="00F4749F">
        <w:rPr>
          <w:rFonts w:eastAsia="Aptos" w:cs="Arial"/>
          <w:noProof/>
          <w:sz w:val="22"/>
          <w:lang w:val="en-US"/>
        </w:rPr>
        <w:tab/>
      </w:r>
    </w:p>
    <w:p w14:paraId="06267F41" w14:textId="65D5BBA0" w:rsidR="00F4749F" w:rsidRPr="00F4749F" w:rsidRDefault="00F4749F" w:rsidP="00F4749F">
      <w:pPr>
        <w:spacing w:before="0" w:after="160"/>
        <w:ind w:left="720" w:hanging="720"/>
        <w:rPr>
          <w:rFonts w:eastAsia="Aptos" w:cs="Arial"/>
          <w:noProof/>
          <w:sz w:val="22"/>
          <w:lang w:val="en-US"/>
        </w:rPr>
      </w:pPr>
      <w:r w:rsidRPr="00F4749F">
        <w:rPr>
          <w:rFonts w:eastAsia="Aptos" w:cs="Arial"/>
          <w:noProof/>
          <w:sz w:val="22"/>
          <w:lang w:val="en-US"/>
        </w:rPr>
        <w:t xml:space="preserve">Schalock, R. L., Luckasson, R., Tassé, M. J., &amp; Shogren, K. (2022). The IDD paradigm of shared citizenship: Its operationalization, application, evaluation, and shaping for the future. </w:t>
      </w:r>
      <w:r w:rsidRPr="00F4749F">
        <w:rPr>
          <w:rFonts w:eastAsia="Aptos" w:cs="Arial"/>
          <w:i/>
          <w:noProof/>
          <w:sz w:val="22"/>
          <w:lang w:val="en-US"/>
        </w:rPr>
        <w:t>Intellectual and developmental disabilities</w:t>
      </w:r>
      <w:r w:rsidRPr="00F4749F">
        <w:rPr>
          <w:rFonts w:eastAsia="Aptos" w:cs="Arial"/>
          <w:noProof/>
          <w:sz w:val="22"/>
          <w:lang w:val="en-US"/>
        </w:rPr>
        <w:t>,</w:t>
      </w:r>
      <w:r w:rsidRPr="00F4749F">
        <w:rPr>
          <w:rFonts w:eastAsia="Aptos" w:cs="Arial"/>
          <w:i/>
          <w:noProof/>
          <w:sz w:val="22"/>
          <w:lang w:val="en-US"/>
        </w:rPr>
        <w:t xml:space="preserve"> 60</w:t>
      </w:r>
      <w:r w:rsidRPr="00F4749F">
        <w:rPr>
          <w:rFonts w:eastAsia="Aptos" w:cs="Arial"/>
          <w:noProof/>
          <w:sz w:val="22"/>
          <w:lang w:val="en-US"/>
        </w:rPr>
        <w:t xml:space="preserve">(5), 426-443. </w:t>
      </w:r>
      <w:hyperlink r:id="rId563" w:history="1">
        <w:r w:rsidR="000053CE" w:rsidRPr="00F4749F">
          <w:rPr>
            <w:rStyle w:val="Hyperlink"/>
            <w:rFonts w:eastAsia="Aptos" w:cs="Arial"/>
            <w:noProof/>
            <w:sz w:val="22"/>
            <w:lang w:val="en-US"/>
          </w:rPr>
          <w:t>https://doi.org/10.1352/1934-9556-60.5.42</w:t>
        </w:r>
      </w:hyperlink>
      <w:r w:rsidR="000053CE">
        <w:rPr>
          <w:rFonts w:eastAsia="Aptos" w:cs="Arial"/>
          <w:noProof/>
          <w:sz w:val="22"/>
          <w:lang w:val="en-US"/>
        </w:rPr>
        <w:t xml:space="preserve"> </w:t>
      </w:r>
      <w:r w:rsidRPr="00F4749F">
        <w:rPr>
          <w:rFonts w:eastAsia="Aptos" w:cs="Arial"/>
          <w:noProof/>
          <w:sz w:val="22"/>
          <w:lang w:val="en-US"/>
        </w:rPr>
        <w:t xml:space="preserve"> </w:t>
      </w:r>
    </w:p>
    <w:p w14:paraId="0DEC9584" w14:textId="77777777" w:rsidR="00F4749F" w:rsidRPr="00F4749F" w:rsidRDefault="00F4749F" w:rsidP="00F4749F">
      <w:pPr>
        <w:spacing w:before="0" w:after="0"/>
        <w:ind w:left="720" w:hanging="720"/>
        <w:rPr>
          <w:rFonts w:eastAsia="Aptos" w:cs="Arial"/>
          <w:noProof/>
          <w:sz w:val="22"/>
          <w:lang w:val="en-US"/>
        </w:rPr>
      </w:pPr>
      <w:r w:rsidRPr="00F4749F">
        <w:rPr>
          <w:rFonts w:eastAsia="Aptos" w:cs="Arial"/>
          <w:noProof/>
          <w:sz w:val="22"/>
          <w:lang w:val="en-US"/>
        </w:rPr>
        <w:tab/>
      </w:r>
    </w:p>
    <w:p w14:paraId="4830A592" w14:textId="4984732D" w:rsidR="00F4749F" w:rsidRPr="00F4749F" w:rsidRDefault="00F4749F" w:rsidP="00F4749F">
      <w:pPr>
        <w:spacing w:before="0" w:after="160"/>
        <w:ind w:left="720" w:hanging="720"/>
        <w:rPr>
          <w:rFonts w:eastAsia="Aptos" w:cs="Arial"/>
          <w:noProof/>
          <w:sz w:val="22"/>
          <w:lang w:val="en-US"/>
        </w:rPr>
      </w:pPr>
      <w:r w:rsidRPr="00F4749F">
        <w:rPr>
          <w:rFonts w:eastAsia="Aptos" w:cs="Arial"/>
          <w:noProof/>
          <w:sz w:val="22"/>
          <w:lang w:val="en-US"/>
        </w:rPr>
        <w:t xml:space="preserve">Scheidecker, G., Tekola, B., Rasheed, M., Oppong, S., Mezzenzana, F., Keller, H., &amp; Chaudhary, N. (2024). Ending epistemic exclusion: toward a truly global science and practice of early childhood development. </w:t>
      </w:r>
      <w:r w:rsidRPr="00F4749F">
        <w:rPr>
          <w:rFonts w:eastAsia="Aptos" w:cs="Arial"/>
          <w:i/>
          <w:noProof/>
          <w:sz w:val="22"/>
          <w:lang w:val="en-US"/>
        </w:rPr>
        <w:t>The Lancet Child &amp; Adolescent Health</w:t>
      </w:r>
      <w:r w:rsidRPr="00F4749F">
        <w:rPr>
          <w:rFonts w:eastAsia="Aptos" w:cs="Arial"/>
          <w:noProof/>
          <w:sz w:val="22"/>
          <w:lang w:val="en-US"/>
        </w:rPr>
        <w:t>,</w:t>
      </w:r>
      <w:r w:rsidRPr="00F4749F">
        <w:rPr>
          <w:rFonts w:eastAsia="Aptos" w:cs="Arial"/>
          <w:i/>
          <w:noProof/>
          <w:sz w:val="22"/>
          <w:lang w:val="en-US"/>
        </w:rPr>
        <w:t xml:space="preserve"> 8</w:t>
      </w:r>
      <w:r w:rsidRPr="00F4749F">
        <w:rPr>
          <w:rFonts w:eastAsia="Aptos" w:cs="Arial"/>
          <w:noProof/>
          <w:sz w:val="22"/>
          <w:lang w:val="en-US"/>
        </w:rPr>
        <w:t xml:space="preserve">(1), 3-5. </w:t>
      </w:r>
      <w:hyperlink r:id="rId564" w:history="1">
        <w:r w:rsidR="000053CE" w:rsidRPr="00F4749F">
          <w:rPr>
            <w:rStyle w:val="Hyperlink"/>
            <w:rFonts w:eastAsia="Aptos" w:cs="Arial"/>
            <w:noProof/>
            <w:sz w:val="22"/>
            <w:lang w:val="en-US"/>
          </w:rPr>
          <w:t>https://doi.org/10.1016/S2352-4642(23)00292-4</w:t>
        </w:r>
      </w:hyperlink>
      <w:r w:rsidR="000053CE">
        <w:rPr>
          <w:rFonts w:eastAsia="Aptos" w:cs="Arial"/>
          <w:noProof/>
          <w:sz w:val="22"/>
          <w:lang w:val="en-US"/>
        </w:rPr>
        <w:t xml:space="preserve"> </w:t>
      </w:r>
      <w:r w:rsidRPr="00F4749F">
        <w:rPr>
          <w:rFonts w:eastAsia="Aptos" w:cs="Arial"/>
          <w:noProof/>
          <w:sz w:val="22"/>
          <w:lang w:val="en-US"/>
        </w:rPr>
        <w:t xml:space="preserve"> </w:t>
      </w:r>
    </w:p>
    <w:p w14:paraId="0D4CA9DC" w14:textId="77777777" w:rsidR="00F4749F" w:rsidRPr="00F4749F" w:rsidRDefault="00F4749F" w:rsidP="00F4749F">
      <w:pPr>
        <w:spacing w:before="0" w:after="0"/>
        <w:ind w:left="720" w:hanging="720"/>
        <w:rPr>
          <w:rFonts w:eastAsia="Aptos" w:cs="Arial"/>
          <w:noProof/>
          <w:sz w:val="22"/>
          <w:lang w:val="en-US"/>
        </w:rPr>
      </w:pPr>
      <w:r w:rsidRPr="00F4749F">
        <w:rPr>
          <w:rFonts w:eastAsia="Aptos" w:cs="Arial"/>
          <w:noProof/>
          <w:sz w:val="22"/>
          <w:lang w:val="en-US"/>
        </w:rPr>
        <w:tab/>
      </w:r>
    </w:p>
    <w:p w14:paraId="014BF7F3" w14:textId="77777777" w:rsidR="006C2502" w:rsidRDefault="00F4749F" w:rsidP="00F4749F">
      <w:pPr>
        <w:spacing w:before="0" w:after="160"/>
        <w:ind w:left="720" w:hanging="720"/>
        <w:rPr>
          <w:rFonts w:eastAsia="Aptos" w:cs="Arial"/>
          <w:noProof/>
          <w:sz w:val="22"/>
          <w:lang w:val="en-US"/>
        </w:rPr>
      </w:pPr>
      <w:r w:rsidRPr="00F4749F">
        <w:rPr>
          <w:rFonts w:eastAsia="Aptos" w:cs="Arial"/>
          <w:noProof/>
          <w:sz w:val="22"/>
          <w:lang w:val="en-US"/>
        </w:rPr>
        <w:t>Schenker, R., Parush, S., Rosenbaum, P., Rigbi, A., &amp; Yochman, A. (2016). Is a family</w:t>
      </w:r>
      <w:r w:rsidRPr="00F4749F">
        <w:rPr>
          <w:rFonts w:ascii="Cambria Math" w:eastAsia="Aptos" w:hAnsi="Cambria Math" w:cs="Cambria Math"/>
          <w:noProof/>
          <w:sz w:val="22"/>
          <w:lang w:val="en-US"/>
        </w:rPr>
        <w:t>‐</w:t>
      </w:r>
      <w:r w:rsidRPr="00F4749F">
        <w:rPr>
          <w:rFonts w:eastAsia="Aptos" w:cs="Arial"/>
          <w:noProof/>
          <w:sz w:val="22"/>
          <w:lang w:val="en-US"/>
        </w:rPr>
        <w:t>centred initiative a family</w:t>
      </w:r>
      <w:r w:rsidRPr="00F4749F">
        <w:rPr>
          <w:rFonts w:ascii="Cambria Math" w:eastAsia="Aptos" w:hAnsi="Cambria Math" w:cs="Cambria Math"/>
          <w:noProof/>
          <w:sz w:val="22"/>
          <w:lang w:val="en-US"/>
        </w:rPr>
        <w:t>‐</w:t>
      </w:r>
      <w:r w:rsidRPr="00F4749F">
        <w:rPr>
          <w:rFonts w:eastAsia="Aptos" w:cs="Arial"/>
          <w:noProof/>
          <w:sz w:val="22"/>
          <w:lang w:val="en-US"/>
        </w:rPr>
        <w:t xml:space="preserve">centred service? A case of a conductive education setting for children with cerebral palsy. </w:t>
      </w:r>
      <w:r w:rsidRPr="00F4749F">
        <w:rPr>
          <w:rFonts w:eastAsia="Aptos" w:cs="Arial"/>
          <w:i/>
          <w:noProof/>
          <w:sz w:val="22"/>
          <w:lang w:val="en-US"/>
        </w:rPr>
        <w:t>Child: care, health and development</w:t>
      </w:r>
      <w:r w:rsidRPr="00F4749F">
        <w:rPr>
          <w:rFonts w:eastAsia="Aptos" w:cs="Arial"/>
          <w:noProof/>
          <w:sz w:val="22"/>
          <w:lang w:val="en-US"/>
        </w:rPr>
        <w:t>,</w:t>
      </w:r>
      <w:r w:rsidRPr="00F4749F">
        <w:rPr>
          <w:rFonts w:eastAsia="Aptos" w:cs="Arial"/>
          <w:i/>
          <w:noProof/>
          <w:sz w:val="22"/>
          <w:lang w:val="en-US"/>
        </w:rPr>
        <w:t xml:space="preserve"> 42</w:t>
      </w:r>
      <w:r w:rsidRPr="00F4749F">
        <w:rPr>
          <w:rFonts w:eastAsia="Aptos" w:cs="Arial"/>
          <w:noProof/>
          <w:sz w:val="22"/>
          <w:lang w:val="en-US"/>
        </w:rPr>
        <w:t xml:space="preserve">(6), 909-917. </w:t>
      </w:r>
      <w:hyperlink r:id="rId565" w:history="1">
        <w:r w:rsidR="006C2502" w:rsidRPr="00F4749F">
          <w:rPr>
            <w:rStyle w:val="Hyperlink"/>
            <w:rFonts w:eastAsia="Aptos" w:cs="Arial"/>
            <w:noProof/>
            <w:sz w:val="22"/>
            <w:lang w:val="en-US"/>
          </w:rPr>
          <w:t>https://doi.org/10.1111/cch.12354</w:t>
        </w:r>
      </w:hyperlink>
      <w:r w:rsidR="006C2502">
        <w:rPr>
          <w:rFonts w:eastAsia="Aptos" w:cs="Arial"/>
          <w:noProof/>
          <w:sz w:val="22"/>
          <w:lang w:val="en-US"/>
        </w:rPr>
        <w:t xml:space="preserve"> </w:t>
      </w:r>
    </w:p>
    <w:p w14:paraId="511D0BE7" w14:textId="3ADE6816" w:rsidR="00F4749F" w:rsidRPr="00F4749F" w:rsidRDefault="00F4749F" w:rsidP="00F4749F">
      <w:pPr>
        <w:spacing w:before="0" w:after="160"/>
        <w:ind w:left="720" w:hanging="720"/>
        <w:rPr>
          <w:rFonts w:eastAsia="Aptos" w:cs="Arial"/>
          <w:noProof/>
          <w:sz w:val="22"/>
          <w:lang w:val="en-US"/>
        </w:rPr>
      </w:pPr>
      <w:r w:rsidRPr="00F4749F">
        <w:rPr>
          <w:rFonts w:eastAsia="Aptos" w:cs="Arial"/>
          <w:noProof/>
          <w:sz w:val="22"/>
          <w:lang w:val="en-US"/>
        </w:rPr>
        <w:t xml:space="preserve"> </w:t>
      </w:r>
    </w:p>
    <w:p w14:paraId="0738796D" w14:textId="4A4937FF" w:rsidR="008E3DE1" w:rsidRPr="008E3DE1" w:rsidRDefault="008E3DE1" w:rsidP="008E3DE1">
      <w:pPr>
        <w:spacing w:before="0" w:after="160"/>
        <w:ind w:left="720" w:hanging="720"/>
        <w:rPr>
          <w:rFonts w:eastAsia="Aptos" w:cs="Arial"/>
          <w:noProof/>
          <w:sz w:val="22"/>
          <w:lang w:val="en-US"/>
        </w:rPr>
      </w:pPr>
      <w:r w:rsidRPr="008E3DE1">
        <w:rPr>
          <w:rFonts w:eastAsia="Aptos" w:cs="Arial"/>
          <w:noProof/>
          <w:sz w:val="22"/>
          <w:lang w:val="en-US"/>
        </w:rPr>
        <w:t xml:space="preserve">Schwartz, C. (2003). Parents of children with chronic disabilities: The gratification of caregiving. </w:t>
      </w:r>
      <w:r w:rsidRPr="008E3DE1">
        <w:rPr>
          <w:rFonts w:eastAsia="Aptos" w:cs="Arial"/>
          <w:i/>
          <w:noProof/>
          <w:sz w:val="22"/>
          <w:lang w:val="en-US"/>
        </w:rPr>
        <w:t>Families in Society</w:t>
      </w:r>
      <w:r w:rsidRPr="008E3DE1">
        <w:rPr>
          <w:rFonts w:eastAsia="Aptos" w:cs="Arial"/>
          <w:noProof/>
          <w:sz w:val="22"/>
          <w:lang w:val="en-US"/>
        </w:rPr>
        <w:t>,</w:t>
      </w:r>
      <w:r w:rsidRPr="008E3DE1">
        <w:rPr>
          <w:rFonts w:eastAsia="Aptos" w:cs="Arial"/>
          <w:i/>
          <w:noProof/>
          <w:sz w:val="22"/>
          <w:lang w:val="en-US"/>
        </w:rPr>
        <w:t xml:space="preserve"> 84</w:t>
      </w:r>
      <w:r w:rsidRPr="008E3DE1">
        <w:rPr>
          <w:rFonts w:eastAsia="Aptos" w:cs="Arial"/>
          <w:noProof/>
          <w:sz w:val="22"/>
          <w:lang w:val="en-US"/>
        </w:rPr>
        <w:t xml:space="preserve">(4), 576-584. </w:t>
      </w:r>
      <w:hyperlink r:id="rId566" w:history="1">
        <w:r w:rsidR="006C2502" w:rsidRPr="008E3DE1">
          <w:rPr>
            <w:rStyle w:val="Hyperlink"/>
            <w:rFonts w:eastAsia="Aptos" w:cs="Arial"/>
            <w:noProof/>
            <w:sz w:val="22"/>
            <w:lang w:val="en-US"/>
          </w:rPr>
          <w:t>https://doi.org/10.1606/1044-3894.143</w:t>
        </w:r>
      </w:hyperlink>
      <w:r w:rsidR="006C2502">
        <w:rPr>
          <w:rFonts w:eastAsia="Aptos" w:cs="Arial"/>
          <w:noProof/>
          <w:sz w:val="22"/>
          <w:lang w:val="en-US"/>
        </w:rPr>
        <w:t xml:space="preserve"> </w:t>
      </w:r>
      <w:r w:rsidRPr="008E3DE1">
        <w:rPr>
          <w:rFonts w:eastAsia="Aptos" w:cs="Arial"/>
          <w:noProof/>
          <w:sz w:val="22"/>
          <w:lang w:val="en-US"/>
        </w:rPr>
        <w:t xml:space="preserve"> </w:t>
      </w:r>
    </w:p>
    <w:p w14:paraId="1C970E7C" w14:textId="77777777" w:rsidR="008E3DE1" w:rsidRPr="008E3DE1" w:rsidRDefault="008E3DE1" w:rsidP="008E3DE1">
      <w:pPr>
        <w:spacing w:before="0" w:after="0"/>
        <w:ind w:left="720" w:hanging="720"/>
        <w:rPr>
          <w:rFonts w:eastAsia="Aptos" w:cs="Arial"/>
          <w:noProof/>
          <w:sz w:val="22"/>
          <w:lang w:val="en-US"/>
        </w:rPr>
      </w:pPr>
      <w:r w:rsidRPr="008E3DE1">
        <w:rPr>
          <w:rFonts w:eastAsia="Aptos" w:cs="Arial"/>
          <w:noProof/>
          <w:sz w:val="22"/>
          <w:lang w:val="en-US"/>
        </w:rPr>
        <w:tab/>
      </w:r>
    </w:p>
    <w:p w14:paraId="6A137440" w14:textId="6931323B" w:rsidR="008E3DE1" w:rsidRPr="008E3DE1" w:rsidRDefault="008E3DE1" w:rsidP="008E3DE1">
      <w:pPr>
        <w:spacing w:before="0" w:after="160"/>
        <w:ind w:left="720" w:hanging="720"/>
        <w:rPr>
          <w:rFonts w:eastAsia="Aptos" w:cs="Arial"/>
          <w:noProof/>
          <w:sz w:val="22"/>
          <w:lang w:val="en-US"/>
        </w:rPr>
      </w:pPr>
      <w:r w:rsidRPr="008E3DE1">
        <w:rPr>
          <w:rFonts w:eastAsia="Aptos" w:cs="Arial"/>
          <w:noProof/>
          <w:sz w:val="22"/>
          <w:lang w:val="en-US"/>
        </w:rPr>
        <w:t xml:space="preserve">Schwellnus, H., King, G., &amp; Thompson, L. (2015). Client-centred coaching in the paediatric health professions: a critical scoping review. </w:t>
      </w:r>
      <w:r w:rsidRPr="008E3DE1">
        <w:rPr>
          <w:rFonts w:eastAsia="Aptos" w:cs="Arial"/>
          <w:i/>
          <w:noProof/>
          <w:sz w:val="22"/>
          <w:lang w:val="en-US"/>
        </w:rPr>
        <w:t>Disability and Rehabilitation</w:t>
      </w:r>
      <w:r w:rsidRPr="008E3DE1">
        <w:rPr>
          <w:rFonts w:eastAsia="Aptos" w:cs="Arial"/>
          <w:noProof/>
          <w:sz w:val="22"/>
          <w:lang w:val="en-US"/>
        </w:rPr>
        <w:t>,</w:t>
      </w:r>
      <w:r w:rsidRPr="008E3DE1">
        <w:rPr>
          <w:rFonts w:eastAsia="Aptos" w:cs="Arial"/>
          <w:i/>
          <w:noProof/>
          <w:sz w:val="22"/>
          <w:lang w:val="en-US"/>
        </w:rPr>
        <w:t xml:space="preserve"> 37</w:t>
      </w:r>
      <w:r w:rsidRPr="008E3DE1">
        <w:rPr>
          <w:rFonts w:eastAsia="Aptos" w:cs="Arial"/>
          <w:noProof/>
          <w:sz w:val="22"/>
          <w:lang w:val="en-US"/>
        </w:rPr>
        <w:t xml:space="preserve">(15), 1305-1315. </w:t>
      </w:r>
      <w:hyperlink r:id="rId567" w:history="1">
        <w:r w:rsidR="006C2502" w:rsidRPr="008E3DE1">
          <w:rPr>
            <w:rStyle w:val="Hyperlink"/>
            <w:rFonts w:eastAsia="Aptos" w:cs="Arial"/>
            <w:noProof/>
            <w:sz w:val="22"/>
            <w:lang w:val="en-US"/>
          </w:rPr>
          <w:t>https://doi.org/10.3109/09638288.2014.962105</w:t>
        </w:r>
      </w:hyperlink>
      <w:r w:rsidR="006C2502">
        <w:rPr>
          <w:rFonts w:eastAsia="Aptos" w:cs="Arial"/>
          <w:noProof/>
          <w:sz w:val="22"/>
          <w:lang w:val="en-US"/>
        </w:rPr>
        <w:t xml:space="preserve"> </w:t>
      </w:r>
      <w:r w:rsidRPr="008E3DE1">
        <w:rPr>
          <w:rFonts w:eastAsia="Aptos" w:cs="Arial"/>
          <w:noProof/>
          <w:sz w:val="22"/>
          <w:lang w:val="en-US"/>
        </w:rPr>
        <w:t xml:space="preserve"> </w:t>
      </w:r>
    </w:p>
    <w:p w14:paraId="6973EAF1" w14:textId="77777777" w:rsidR="00367828" w:rsidRPr="00075790" w:rsidRDefault="00367828" w:rsidP="0030178D">
      <w:pPr>
        <w:pStyle w:val="EndNoteBibliography"/>
        <w:spacing w:after="0"/>
        <w:ind w:left="720" w:hanging="720"/>
      </w:pPr>
    </w:p>
    <w:p w14:paraId="01185825" w14:textId="0B2110EC" w:rsidR="00863C23" w:rsidRPr="00863C23" w:rsidRDefault="00863C23" w:rsidP="00863C23">
      <w:pPr>
        <w:spacing w:before="0" w:after="160"/>
        <w:ind w:left="720" w:hanging="720"/>
        <w:rPr>
          <w:rFonts w:eastAsia="Aptos" w:cs="Arial"/>
          <w:noProof/>
          <w:sz w:val="22"/>
          <w:lang w:val="en-US"/>
        </w:rPr>
      </w:pPr>
      <w:r w:rsidRPr="00863C23">
        <w:rPr>
          <w:rFonts w:eastAsia="Aptos" w:cs="Arial"/>
          <w:noProof/>
          <w:sz w:val="22"/>
          <w:lang w:val="en-US"/>
        </w:rPr>
        <w:t xml:space="preserve">Scott, D., Salvaron, M., Reimer, E., Nichols, S., Sivak, L., &amp; Arney, F. (2007). </w:t>
      </w:r>
      <w:r w:rsidRPr="00863C23">
        <w:rPr>
          <w:rFonts w:eastAsia="Aptos" w:cs="Arial"/>
          <w:i/>
          <w:noProof/>
          <w:sz w:val="22"/>
          <w:lang w:val="en-US"/>
        </w:rPr>
        <w:t>Positive Partnerships with Parents of Young Children</w:t>
      </w:r>
      <w:r w:rsidRPr="00863C23">
        <w:rPr>
          <w:rFonts w:eastAsia="Aptos" w:cs="Arial"/>
          <w:noProof/>
          <w:sz w:val="22"/>
          <w:lang w:val="en-US"/>
        </w:rPr>
        <w:t xml:space="preserve">. West Perth, WA: Australian Research Alliance for Children and Youth. Retrieved 6 September, 2024 from </w:t>
      </w:r>
      <w:hyperlink r:id="rId568" w:history="1">
        <w:r w:rsidR="006C2502" w:rsidRPr="00863C23">
          <w:rPr>
            <w:rStyle w:val="Hyperlink"/>
            <w:rFonts w:eastAsia="Aptos" w:cs="Arial"/>
            <w:noProof/>
            <w:sz w:val="22"/>
            <w:lang w:val="en-US"/>
          </w:rPr>
          <w:t>https://www.aracy.org.au/publication-resources/area?command=record&amp;id=83&amp;cid=6</w:t>
        </w:r>
      </w:hyperlink>
      <w:r w:rsidR="006C2502">
        <w:rPr>
          <w:rFonts w:eastAsia="Aptos" w:cs="Arial"/>
          <w:noProof/>
          <w:sz w:val="22"/>
          <w:lang w:val="en-US"/>
        </w:rPr>
        <w:t xml:space="preserve"> </w:t>
      </w:r>
    </w:p>
    <w:p w14:paraId="1DFA399E" w14:textId="77777777" w:rsidR="00863C23" w:rsidRPr="00863C23" w:rsidRDefault="00863C23" w:rsidP="00863C23">
      <w:pPr>
        <w:spacing w:before="0" w:after="0"/>
        <w:ind w:left="720" w:hanging="720"/>
        <w:rPr>
          <w:rFonts w:eastAsia="Aptos" w:cs="Arial"/>
          <w:noProof/>
          <w:sz w:val="22"/>
          <w:lang w:val="en-US"/>
        </w:rPr>
      </w:pPr>
      <w:r w:rsidRPr="00863C23">
        <w:rPr>
          <w:rFonts w:eastAsia="Aptos" w:cs="Arial"/>
          <w:noProof/>
          <w:sz w:val="22"/>
          <w:lang w:val="en-US"/>
        </w:rPr>
        <w:tab/>
      </w:r>
    </w:p>
    <w:p w14:paraId="23812264" w14:textId="1C3D750C" w:rsidR="00863C23" w:rsidRPr="00863C23" w:rsidRDefault="00863C23" w:rsidP="00863C23">
      <w:pPr>
        <w:spacing w:before="0" w:after="160"/>
        <w:ind w:left="720" w:hanging="720"/>
        <w:rPr>
          <w:rFonts w:eastAsia="Aptos" w:cs="Arial"/>
          <w:noProof/>
          <w:sz w:val="22"/>
          <w:lang w:val="en-US"/>
        </w:rPr>
      </w:pPr>
      <w:r w:rsidRPr="00863C23">
        <w:rPr>
          <w:rFonts w:eastAsia="Aptos" w:cs="Arial"/>
          <w:noProof/>
          <w:sz w:val="22"/>
          <w:lang w:val="en-US"/>
        </w:rPr>
        <w:t xml:space="preserve">Seeman, T. E. (2000). Health promoting effects of friends and family on health outcomes in older adults. </w:t>
      </w:r>
      <w:r w:rsidRPr="00863C23">
        <w:rPr>
          <w:rFonts w:eastAsia="Aptos" w:cs="Arial"/>
          <w:i/>
          <w:noProof/>
          <w:sz w:val="22"/>
          <w:lang w:val="en-US"/>
        </w:rPr>
        <w:t>American journal of Health promotion</w:t>
      </w:r>
      <w:r w:rsidRPr="00863C23">
        <w:rPr>
          <w:rFonts w:eastAsia="Aptos" w:cs="Arial"/>
          <w:noProof/>
          <w:sz w:val="22"/>
          <w:lang w:val="en-US"/>
        </w:rPr>
        <w:t>,</w:t>
      </w:r>
      <w:r w:rsidRPr="00863C23">
        <w:rPr>
          <w:rFonts w:eastAsia="Aptos" w:cs="Arial"/>
          <w:i/>
          <w:noProof/>
          <w:sz w:val="22"/>
          <w:lang w:val="en-US"/>
        </w:rPr>
        <w:t xml:space="preserve"> 14</w:t>
      </w:r>
      <w:r w:rsidRPr="00863C23">
        <w:rPr>
          <w:rFonts w:eastAsia="Aptos" w:cs="Arial"/>
          <w:noProof/>
          <w:sz w:val="22"/>
          <w:lang w:val="en-US"/>
        </w:rPr>
        <w:t xml:space="preserve">(6), 362-370. </w:t>
      </w:r>
      <w:hyperlink r:id="rId569" w:history="1">
        <w:r w:rsidR="006C2502" w:rsidRPr="00863C23">
          <w:rPr>
            <w:rStyle w:val="Hyperlink"/>
            <w:rFonts w:eastAsia="Aptos" w:cs="Arial"/>
            <w:noProof/>
            <w:sz w:val="22"/>
            <w:lang w:val="en-US"/>
          </w:rPr>
          <w:t>https://doi.org/10.4278/0890-1171-14.6.362</w:t>
        </w:r>
      </w:hyperlink>
      <w:r w:rsidR="006C2502">
        <w:rPr>
          <w:rFonts w:eastAsia="Aptos" w:cs="Arial"/>
          <w:noProof/>
          <w:sz w:val="22"/>
          <w:lang w:val="en-US"/>
        </w:rPr>
        <w:t xml:space="preserve"> </w:t>
      </w:r>
      <w:r w:rsidRPr="00863C23">
        <w:rPr>
          <w:rFonts w:eastAsia="Aptos" w:cs="Arial"/>
          <w:noProof/>
          <w:sz w:val="22"/>
          <w:lang w:val="en-US"/>
        </w:rPr>
        <w:t xml:space="preserve"> </w:t>
      </w:r>
    </w:p>
    <w:p w14:paraId="2C1119F4" w14:textId="77777777" w:rsidR="00863C23" w:rsidRPr="00863C23" w:rsidRDefault="00863C23" w:rsidP="00863C23">
      <w:pPr>
        <w:spacing w:before="0" w:after="0"/>
        <w:ind w:left="720" w:hanging="720"/>
        <w:rPr>
          <w:rFonts w:eastAsia="Aptos" w:cs="Arial"/>
          <w:noProof/>
          <w:sz w:val="22"/>
          <w:lang w:val="en-US"/>
        </w:rPr>
      </w:pPr>
      <w:r w:rsidRPr="00863C23">
        <w:rPr>
          <w:rFonts w:eastAsia="Aptos" w:cs="Arial"/>
          <w:noProof/>
          <w:sz w:val="22"/>
          <w:lang w:val="en-US"/>
        </w:rPr>
        <w:tab/>
      </w:r>
    </w:p>
    <w:p w14:paraId="271D69A4" w14:textId="579F30F4" w:rsidR="00863C23" w:rsidRPr="00863C23" w:rsidRDefault="00863C23" w:rsidP="00863C23">
      <w:pPr>
        <w:spacing w:before="0" w:after="160"/>
        <w:ind w:left="720" w:hanging="720"/>
        <w:rPr>
          <w:rFonts w:eastAsia="Aptos" w:cs="Arial"/>
          <w:noProof/>
          <w:sz w:val="22"/>
          <w:lang w:val="en-US"/>
        </w:rPr>
      </w:pPr>
      <w:r w:rsidRPr="00863C23">
        <w:rPr>
          <w:rFonts w:eastAsia="Aptos" w:cs="Arial"/>
          <w:noProof/>
          <w:sz w:val="22"/>
          <w:lang w:val="en-US"/>
        </w:rPr>
        <w:t xml:space="preserve">Segal, L., Green, J., Twizeyemariya, A., Hudry, K., Wan, M. W., Barbaro, J., Iacono, T., Varcin, K. J., Pillar, S., &amp; Cooper, M. N. (2023). Estimated Therapy Costs and Downstream Cost Consequences of iBASIS–Video Interaction to Promote Positive Parenting Intervention vs Usual Care Among Children Displaying Early Behavioral Signs of Autism in Australia. </w:t>
      </w:r>
      <w:r w:rsidRPr="00863C23">
        <w:rPr>
          <w:rFonts w:eastAsia="Aptos" w:cs="Arial"/>
          <w:i/>
          <w:noProof/>
          <w:sz w:val="22"/>
          <w:lang w:val="en-US"/>
        </w:rPr>
        <w:t>JAMA network open</w:t>
      </w:r>
      <w:r w:rsidRPr="00863C23">
        <w:rPr>
          <w:rFonts w:eastAsia="Aptos" w:cs="Arial"/>
          <w:noProof/>
          <w:sz w:val="22"/>
          <w:lang w:val="en-US"/>
        </w:rPr>
        <w:t>,</w:t>
      </w:r>
      <w:r w:rsidRPr="00863C23">
        <w:rPr>
          <w:rFonts w:eastAsia="Aptos" w:cs="Arial"/>
          <w:i/>
          <w:noProof/>
          <w:sz w:val="22"/>
          <w:lang w:val="en-US"/>
        </w:rPr>
        <w:t xml:space="preserve"> 6</w:t>
      </w:r>
      <w:r w:rsidRPr="00863C23">
        <w:rPr>
          <w:rFonts w:eastAsia="Aptos" w:cs="Arial"/>
          <w:noProof/>
          <w:sz w:val="22"/>
          <w:lang w:val="en-US"/>
        </w:rPr>
        <w:t xml:space="preserve">(4), e235847-e235847. </w:t>
      </w:r>
      <w:hyperlink r:id="rId570" w:history="1">
        <w:r w:rsidR="006C2502" w:rsidRPr="00863C23">
          <w:rPr>
            <w:rStyle w:val="Hyperlink"/>
            <w:rFonts w:eastAsia="Aptos" w:cs="Arial"/>
            <w:noProof/>
            <w:sz w:val="22"/>
            <w:lang w:val="en-US"/>
          </w:rPr>
          <w:t>https://doi.org/10.1001/jamanetworkopen.2023.5847</w:t>
        </w:r>
      </w:hyperlink>
      <w:r w:rsidR="006C2502">
        <w:rPr>
          <w:rFonts w:eastAsia="Aptos" w:cs="Arial"/>
          <w:noProof/>
          <w:sz w:val="22"/>
          <w:lang w:val="en-US"/>
        </w:rPr>
        <w:t xml:space="preserve"> </w:t>
      </w:r>
      <w:r w:rsidRPr="00863C23">
        <w:rPr>
          <w:rFonts w:eastAsia="Aptos" w:cs="Arial"/>
          <w:noProof/>
          <w:sz w:val="22"/>
          <w:lang w:val="en-US"/>
        </w:rPr>
        <w:t xml:space="preserve"> </w:t>
      </w:r>
    </w:p>
    <w:p w14:paraId="2E6A790E" w14:textId="77777777" w:rsidR="00863C23" w:rsidRPr="00863C23" w:rsidRDefault="00863C23" w:rsidP="00863C23">
      <w:pPr>
        <w:spacing w:before="0" w:after="0"/>
        <w:ind w:left="720" w:hanging="720"/>
        <w:rPr>
          <w:rFonts w:eastAsia="Aptos" w:cs="Arial"/>
          <w:noProof/>
          <w:sz w:val="22"/>
          <w:lang w:val="en-US"/>
        </w:rPr>
      </w:pPr>
      <w:r w:rsidRPr="00863C23">
        <w:rPr>
          <w:rFonts w:eastAsia="Aptos" w:cs="Arial"/>
          <w:noProof/>
          <w:sz w:val="22"/>
          <w:lang w:val="en-US"/>
        </w:rPr>
        <w:tab/>
      </w:r>
    </w:p>
    <w:p w14:paraId="33844376" w14:textId="77777777" w:rsidR="006C2502" w:rsidRDefault="00863C23" w:rsidP="00863C23">
      <w:pPr>
        <w:spacing w:before="0" w:after="160"/>
        <w:ind w:left="720" w:hanging="720"/>
        <w:rPr>
          <w:rFonts w:eastAsia="Aptos" w:cs="Arial"/>
          <w:noProof/>
          <w:sz w:val="22"/>
          <w:lang w:val="en-US"/>
        </w:rPr>
      </w:pPr>
      <w:r w:rsidRPr="00863C23">
        <w:rPr>
          <w:rFonts w:eastAsia="Aptos" w:cs="Arial"/>
          <w:noProof/>
          <w:sz w:val="22"/>
          <w:lang w:val="it-IT"/>
        </w:rPr>
        <w:t xml:space="preserve">Serrano, A. M., Mas, J. M., &amp; Cañadas, M. (2016). </w:t>
      </w:r>
      <w:r w:rsidRPr="00863C23">
        <w:rPr>
          <w:rFonts w:eastAsia="Aptos" w:cs="Arial"/>
          <w:noProof/>
          <w:sz w:val="22"/>
          <w:lang w:val="en-US"/>
        </w:rPr>
        <w:t xml:space="preserve">Family systems and family-centred intervention practices in Portugal and Spain: Iberian reflections on early childhood intervention. In H. Sukkar, C.J. Dunst, &amp; J. Kirkby (Eds.), </w:t>
      </w:r>
      <w:r w:rsidRPr="00863C23">
        <w:rPr>
          <w:rFonts w:eastAsia="Aptos" w:cs="Arial"/>
          <w:i/>
          <w:noProof/>
          <w:sz w:val="22"/>
          <w:lang w:val="en-US"/>
        </w:rPr>
        <w:t>Early Childhood Intervention: Working with Families of Young Children with Special Needs</w:t>
      </w:r>
      <w:r w:rsidRPr="00863C23">
        <w:rPr>
          <w:rFonts w:eastAsia="Aptos" w:cs="Arial"/>
          <w:noProof/>
          <w:sz w:val="22"/>
          <w:lang w:val="en-US"/>
        </w:rPr>
        <w:t xml:space="preserve"> (pp. 193-212). London and New York: Routledge.</w:t>
      </w:r>
    </w:p>
    <w:p w14:paraId="45B2E052" w14:textId="29CCDE98" w:rsidR="00863C23" w:rsidRPr="00863C23" w:rsidRDefault="00863C23" w:rsidP="00863C23">
      <w:pPr>
        <w:spacing w:before="0" w:after="160"/>
        <w:ind w:left="720" w:hanging="720"/>
        <w:rPr>
          <w:rFonts w:eastAsia="Aptos" w:cs="Arial"/>
          <w:noProof/>
          <w:sz w:val="22"/>
          <w:lang w:val="en-US"/>
        </w:rPr>
      </w:pPr>
      <w:r w:rsidRPr="00863C23">
        <w:rPr>
          <w:rFonts w:eastAsia="Aptos" w:cs="Arial"/>
          <w:noProof/>
          <w:sz w:val="22"/>
          <w:lang w:val="en-US"/>
        </w:rPr>
        <w:t xml:space="preserve"> </w:t>
      </w:r>
    </w:p>
    <w:p w14:paraId="72ECF213" w14:textId="6CA0F974" w:rsidR="00C6667A" w:rsidRPr="00C6667A" w:rsidRDefault="00C6667A" w:rsidP="00C6667A">
      <w:pPr>
        <w:spacing w:before="0" w:after="160"/>
        <w:ind w:left="720" w:hanging="720"/>
        <w:rPr>
          <w:rFonts w:eastAsia="Aptos" w:cs="Arial"/>
          <w:noProof/>
          <w:sz w:val="22"/>
          <w:lang w:val="en-US"/>
        </w:rPr>
      </w:pPr>
      <w:r w:rsidRPr="00C6667A">
        <w:rPr>
          <w:rFonts w:eastAsia="Aptos" w:cs="Arial"/>
          <w:noProof/>
          <w:sz w:val="22"/>
          <w:lang w:val="en-US"/>
        </w:rPr>
        <w:t xml:space="preserve">Shafer, K., &amp; Easton, S. D. (2021). Retracted: Adverse childhood experiences, psychological distress, and fathering behaviors. </w:t>
      </w:r>
      <w:r w:rsidRPr="00C6667A">
        <w:rPr>
          <w:rFonts w:eastAsia="Aptos" w:cs="Arial"/>
          <w:i/>
          <w:noProof/>
          <w:sz w:val="22"/>
          <w:lang w:val="en-US"/>
        </w:rPr>
        <w:t>Journal of Marriage and Family</w:t>
      </w:r>
      <w:r w:rsidRPr="00C6667A">
        <w:rPr>
          <w:rFonts w:eastAsia="Aptos" w:cs="Arial"/>
          <w:noProof/>
          <w:sz w:val="22"/>
          <w:lang w:val="en-US"/>
        </w:rPr>
        <w:t>,</w:t>
      </w:r>
      <w:r w:rsidRPr="00C6667A">
        <w:rPr>
          <w:rFonts w:eastAsia="Aptos" w:cs="Arial"/>
          <w:i/>
          <w:noProof/>
          <w:sz w:val="22"/>
          <w:lang w:val="en-US"/>
        </w:rPr>
        <w:t xml:space="preserve"> 83</w:t>
      </w:r>
      <w:r w:rsidRPr="00C6667A">
        <w:rPr>
          <w:rFonts w:eastAsia="Aptos" w:cs="Arial"/>
          <w:noProof/>
          <w:sz w:val="22"/>
          <w:lang w:val="en-US"/>
        </w:rPr>
        <w:t xml:space="preserve">(4), 1076-1098. </w:t>
      </w:r>
      <w:hyperlink r:id="rId571" w:history="1">
        <w:r w:rsidR="006C2502" w:rsidRPr="00C6667A">
          <w:rPr>
            <w:rStyle w:val="Hyperlink"/>
            <w:rFonts w:eastAsia="Aptos" w:cs="Arial"/>
            <w:noProof/>
            <w:sz w:val="22"/>
            <w:lang w:val="en-US"/>
          </w:rPr>
          <w:t>https://doi.org/10.1111/jomf.12759</w:t>
        </w:r>
      </w:hyperlink>
      <w:r w:rsidR="006C2502">
        <w:rPr>
          <w:rFonts w:eastAsia="Aptos" w:cs="Arial"/>
          <w:noProof/>
          <w:sz w:val="22"/>
          <w:lang w:val="en-US"/>
        </w:rPr>
        <w:t xml:space="preserve"> </w:t>
      </w:r>
      <w:r w:rsidRPr="00C6667A">
        <w:rPr>
          <w:rFonts w:eastAsia="Aptos" w:cs="Arial"/>
          <w:noProof/>
          <w:sz w:val="22"/>
          <w:lang w:val="en-US"/>
        </w:rPr>
        <w:t xml:space="preserve"> </w:t>
      </w:r>
    </w:p>
    <w:p w14:paraId="070FB71F" w14:textId="77777777" w:rsidR="00C6667A" w:rsidRPr="00C6667A" w:rsidRDefault="00C6667A" w:rsidP="00C6667A">
      <w:pPr>
        <w:spacing w:before="0" w:after="0"/>
        <w:ind w:left="720" w:hanging="720"/>
        <w:rPr>
          <w:rFonts w:eastAsia="Aptos" w:cs="Arial"/>
          <w:noProof/>
          <w:sz w:val="22"/>
          <w:lang w:val="en-US"/>
        </w:rPr>
      </w:pPr>
      <w:r w:rsidRPr="00C6667A">
        <w:rPr>
          <w:rFonts w:eastAsia="Aptos" w:cs="Arial"/>
          <w:noProof/>
          <w:sz w:val="22"/>
          <w:lang w:val="en-US"/>
        </w:rPr>
        <w:tab/>
      </w:r>
    </w:p>
    <w:p w14:paraId="00F0C940" w14:textId="77777777" w:rsidR="00C6667A" w:rsidRPr="00C6667A" w:rsidRDefault="00C6667A" w:rsidP="00C6667A">
      <w:pPr>
        <w:spacing w:before="0" w:after="160"/>
        <w:ind w:left="720" w:hanging="720"/>
        <w:rPr>
          <w:rFonts w:eastAsia="Aptos" w:cs="Arial"/>
          <w:noProof/>
          <w:sz w:val="22"/>
          <w:lang w:val="en-US"/>
        </w:rPr>
      </w:pPr>
      <w:r w:rsidRPr="00C6667A">
        <w:rPr>
          <w:rFonts w:eastAsia="Aptos" w:cs="Arial"/>
          <w:noProof/>
          <w:sz w:val="22"/>
          <w:lang w:val="en-US"/>
        </w:rPr>
        <w:t xml:space="preserve">Shakespeare, T. (2013). </w:t>
      </w:r>
      <w:r w:rsidRPr="00C6667A">
        <w:rPr>
          <w:rFonts w:eastAsia="Aptos" w:cs="Arial"/>
          <w:i/>
          <w:noProof/>
          <w:sz w:val="22"/>
          <w:lang w:val="en-US"/>
        </w:rPr>
        <w:t>Disability rights and wrongs revisited</w:t>
      </w:r>
      <w:r w:rsidRPr="00C6667A">
        <w:rPr>
          <w:rFonts w:eastAsia="Aptos" w:cs="Arial"/>
          <w:noProof/>
          <w:sz w:val="22"/>
          <w:lang w:val="en-US"/>
        </w:rPr>
        <w:t xml:space="preserve">. Abingdon, Oxon, UK: Routledge. </w:t>
      </w:r>
    </w:p>
    <w:p w14:paraId="30655D70" w14:textId="77777777" w:rsidR="00C6667A" w:rsidRPr="00C6667A" w:rsidRDefault="00C6667A" w:rsidP="00C6667A">
      <w:pPr>
        <w:spacing w:before="0" w:after="0"/>
        <w:ind w:left="720" w:hanging="720"/>
        <w:rPr>
          <w:rFonts w:eastAsia="Aptos" w:cs="Arial"/>
          <w:noProof/>
          <w:sz w:val="22"/>
          <w:lang w:val="en-US"/>
        </w:rPr>
      </w:pPr>
      <w:r w:rsidRPr="00C6667A">
        <w:rPr>
          <w:rFonts w:eastAsia="Aptos" w:cs="Arial"/>
          <w:noProof/>
          <w:sz w:val="22"/>
          <w:lang w:val="en-US"/>
        </w:rPr>
        <w:tab/>
      </w:r>
    </w:p>
    <w:p w14:paraId="3BBE6C94" w14:textId="626A777F" w:rsidR="00C6667A" w:rsidRPr="00C6667A" w:rsidRDefault="00C6667A" w:rsidP="00C6667A">
      <w:pPr>
        <w:spacing w:before="0" w:after="160"/>
        <w:ind w:left="720" w:hanging="720"/>
        <w:rPr>
          <w:rFonts w:eastAsia="Aptos" w:cs="Arial"/>
          <w:noProof/>
          <w:sz w:val="22"/>
          <w:lang w:val="en-US"/>
        </w:rPr>
      </w:pPr>
      <w:r w:rsidRPr="00C6667A">
        <w:rPr>
          <w:rFonts w:eastAsia="Aptos" w:cs="Arial"/>
          <w:noProof/>
          <w:sz w:val="22"/>
          <w:lang w:val="en-US"/>
        </w:rPr>
        <w:t xml:space="preserve">Shea, B. J., Hamel, C., Wells, G. A., Bouter, L. M., Kristjansson, E., Grimshaw, J., Henry, D. A., &amp; Boers, M. (2009). AMSTAR is a reliable and valid measurement tool to assess the methodological quality of systematic reviews. </w:t>
      </w:r>
      <w:r w:rsidRPr="00C6667A">
        <w:rPr>
          <w:rFonts w:eastAsia="Aptos" w:cs="Arial"/>
          <w:i/>
          <w:noProof/>
          <w:sz w:val="22"/>
          <w:lang w:val="en-US"/>
        </w:rPr>
        <w:t>Journal of clinical epidemiology</w:t>
      </w:r>
      <w:r w:rsidRPr="00C6667A">
        <w:rPr>
          <w:rFonts w:eastAsia="Aptos" w:cs="Arial"/>
          <w:noProof/>
          <w:sz w:val="22"/>
          <w:lang w:val="en-US"/>
        </w:rPr>
        <w:t>,</w:t>
      </w:r>
      <w:r w:rsidRPr="00C6667A">
        <w:rPr>
          <w:rFonts w:eastAsia="Aptos" w:cs="Arial"/>
          <w:i/>
          <w:noProof/>
          <w:sz w:val="22"/>
          <w:lang w:val="en-US"/>
        </w:rPr>
        <w:t xml:space="preserve"> 62</w:t>
      </w:r>
      <w:r w:rsidRPr="00C6667A">
        <w:rPr>
          <w:rFonts w:eastAsia="Aptos" w:cs="Arial"/>
          <w:noProof/>
          <w:sz w:val="22"/>
          <w:lang w:val="en-US"/>
        </w:rPr>
        <w:t xml:space="preserve">(10), 1013-1020. </w:t>
      </w:r>
      <w:hyperlink r:id="rId572" w:history="1">
        <w:r w:rsidR="006C2502" w:rsidRPr="00C6667A">
          <w:rPr>
            <w:rStyle w:val="Hyperlink"/>
            <w:rFonts w:eastAsia="Aptos" w:cs="Arial"/>
            <w:noProof/>
            <w:sz w:val="22"/>
            <w:lang w:val="en-US"/>
          </w:rPr>
          <w:t>https://doi.org/10.1016/j.jclinepi.2008.10.009</w:t>
        </w:r>
      </w:hyperlink>
      <w:r w:rsidR="006C2502">
        <w:rPr>
          <w:rFonts w:eastAsia="Aptos" w:cs="Arial"/>
          <w:noProof/>
          <w:sz w:val="22"/>
          <w:lang w:val="en-US"/>
        </w:rPr>
        <w:t xml:space="preserve"> </w:t>
      </w:r>
      <w:r w:rsidRPr="00C6667A">
        <w:rPr>
          <w:rFonts w:eastAsia="Aptos" w:cs="Arial"/>
          <w:noProof/>
          <w:sz w:val="22"/>
          <w:lang w:val="en-US"/>
        </w:rPr>
        <w:t xml:space="preserve"> </w:t>
      </w:r>
    </w:p>
    <w:p w14:paraId="13583569" w14:textId="77777777" w:rsidR="00C6667A" w:rsidRPr="00C6667A" w:rsidRDefault="00C6667A" w:rsidP="00C6667A">
      <w:pPr>
        <w:spacing w:before="0" w:after="0"/>
        <w:ind w:left="720" w:hanging="720"/>
        <w:rPr>
          <w:rFonts w:eastAsia="Aptos" w:cs="Arial"/>
          <w:noProof/>
          <w:sz w:val="22"/>
          <w:lang w:val="en-US"/>
        </w:rPr>
      </w:pPr>
      <w:r w:rsidRPr="00C6667A">
        <w:rPr>
          <w:rFonts w:eastAsia="Aptos" w:cs="Arial"/>
          <w:noProof/>
          <w:sz w:val="22"/>
          <w:lang w:val="en-US"/>
        </w:rPr>
        <w:tab/>
      </w:r>
    </w:p>
    <w:p w14:paraId="3A05AB73" w14:textId="77777777" w:rsidR="00C6667A" w:rsidRPr="00C6667A" w:rsidRDefault="00C6667A" w:rsidP="00C6667A">
      <w:pPr>
        <w:spacing w:before="0" w:after="160"/>
        <w:ind w:left="720" w:hanging="720"/>
        <w:rPr>
          <w:rFonts w:eastAsia="Aptos" w:cs="Arial"/>
          <w:noProof/>
          <w:sz w:val="22"/>
          <w:lang w:val="en-US"/>
        </w:rPr>
      </w:pPr>
      <w:r w:rsidRPr="00C6667A">
        <w:rPr>
          <w:rFonts w:eastAsia="Aptos" w:cs="Arial"/>
          <w:noProof/>
          <w:sz w:val="22"/>
          <w:lang w:val="en-US"/>
        </w:rPr>
        <w:t xml:space="preserve">Sheldon, M., &amp; Rush, D. D. (2022). </w:t>
      </w:r>
      <w:r w:rsidRPr="00C6667A">
        <w:rPr>
          <w:rFonts w:eastAsia="Aptos" w:cs="Arial"/>
          <w:i/>
          <w:noProof/>
          <w:sz w:val="22"/>
          <w:lang w:val="en-US"/>
        </w:rPr>
        <w:t>The early intervention teaming handbook: The primary service provider approach</w:t>
      </w:r>
      <w:r w:rsidRPr="00C6667A">
        <w:rPr>
          <w:rFonts w:eastAsia="Aptos" w:cs="Arial"/>
          <w:noProof/>
          <w:sz w:val="22"/>
          <w:lang w:val="en-US"/>
        </w:rPr>
        <w:t xml:space="preserve"> (2nd ed.). Baltimore, MD: Paul H. Brooks Publishing Co. </w:t>
      </w:r>
    </w:p>
    <w:p w14:paraId="068F3E5C" w14:textId="77777777" w:rsidR="00C6667A" w:rsidRPr="00C6667A" w:rsidRDefault="00C6667A" w:rsidP="00C6667A">
      <w:pPr>
        <w:spacing w:before="0" w:after="0"/>
        <w:ind w:left="720" w:hanging="720"/>
        <w:rPr>
          <w:rFonts w:eastAsia="Aptos" w:cs="Arial"/>
          <w:noProof/>
          <w:sz w:val="22"/>
          <w:lang w:val="en-US"/>
        </w:rPr>
      </w:pPr>
      <w:r w:rsidRPr="00C6667A">
        <w:rPr>
          <w:rFonts w:eastAsia="Aptos" w:cs="Arial"/>
          <w:noProof/>
          <w:sz w:val="22"/>
          <w:lang w:val="en-US"/>
        </w:rPr>
        <w:tab/>
      </w:r>
    </w:p>
    <w:p w14:paraId="3B819CCA" w14:textId="03CBA1B9" w:rsidR="006C2502" w:rsidRDefault="00C6667A" w:rsidP="00C6667A">
      <w:pPr>
        <w:spacing w:before="0" w:after="160"/>
        <w:ind w:left="720" w:hanging="720"/>
        <w:rPr>
          <w:rFonts w:eastAsia="Aptos" w:cs="Arial"/>
          <w:noProof/>
          <w:sz w:val="22"/>
          <w:lang w:val="en-US"/>
        </w:rPr>
      </w:pPr>
      <w:r w:rsidRPr="00C6667A">
        <w:rPr>
          <w:rFonts w:eastAsia="Aptos" w:cs="Arial"/>
          <w:noProof/>
          <w:sz w:val="22"/>
          <w:lang w:val="en-US"/>
        </w:rPr>
        <w:t xml:space="preserve">Shepley, C., &amp; Grisham-Brown, J. (2019). Multi-tiered systems of support for preschool-aged children: A review and meta-analysis. </w:t>
      </w:r>
      <w:r w:rsidRPr="00C6667A">
        <w:rPr>
          <w:rFonts w:eastAsia="Aptos" w:cs="Arial"/>
          <w:i/>
          <w:noProof/>
          <w:sz w:val="22"/>
          <w:lang w:val="en-US"/>
        </w:rPr>
        <w:t>Early Childhood Research Quarterly</w:t>
      </w:r>
      <w:r w:rsidRPr="00C6667A">
        <w:rPr>
          <w:rFonts w:eastAsia="Aptos" w:cs="Arial"/>
          <w:noProof/>
          <w:sz w:val="22"/>
          <w:lang w:val="en-US"/>
        </w:rPr>
        <w:t>,</w:t>
      </w:r>
      <w:r w:rsidRPr="00C6667A">
        <w:rPr>
          <w:rFonts w:eastAsia="Aptos" w:cs="Arial"/>
          <w:i/>
          <w:noProof/>
          <w:sz w:val="22"/>
          <w:lang w:val="en-US"/>
        </w:rPr>
        <w:t xml:space="preserve"> 47</w:t>
      </w:r>
      <w:r w:rsidRPr="00C6667A">
        <w:rPr>
          <w:rFonts w:eastAsia="Aptos" w:cs="Arial"/>
          <w:noProof/>
          <w:sz w:val="22"/>
          <w:lang w:val="en-US"/>
        </w:rPr>
        <w:t xml:space="preserve">, 296-308. </w:t>
      </w:r>
      <w:hyperlink r:id="rId573" w:history="1">
        <w:r w:rsidR="006C2502" w:rsidRPr="00C6667A">
          <w:rPr>
            <w:rStyle w:val="Hyperlink"/>
            <w:rFonts w:eastAsia="Aptos" w:cs="Arial"/>
            <w:noProof/>
            <w:sz w:val="22"/>
            <w:lang w:val="en-US"/>
          </w:rPr>
          <w:t>https://doi.org/10.1016/j.ecresq.2019.01.004</w:t>
        </w:r>
      </w:hyperlink>
    </w:p>
    <w:p w14:paraId="40581242" w14:textId="41502AAA" w:rsidR="00C6667A" w:rsidRPr="00C6667A" w:rsidRDefault="00C6667A" w:rsidP="00C6667A">
      <w:pPr>
        <w:spacing w:before="0" w:after="160"/>
        <w:ind w:left="720" w:hanging="720"/>
        <w:rPr>
          <w:rFonts w:eastAsia="Aptos" w:cs="Arial"/>
          <w:noProof/>
          <w:sz w:val="22"/>
          <w:lang w:val="en-US"/>
        </w:rPr>
      </w:pPr>
      <w:r w:rsidRPr="00C6667A">
        <w:rPr>
          <w:rFonts w:eastAsia="Aptos" w:cs="Arial"/>
          <w:noProof/>
          <w:sz w:val="22"/>
          <w:lang w:val="en-US"/>
        </w:rPr>
        <w:t xml:space="preserve"> </w:t>
      </w:r>
    </w:p>
    <w:p w14:paraId="19BB1AD4" w14:textId="792F1147" w:rsidR="00D84A04" w:rsidRPr="00D84A04" w:rsidRDefault="00D84A04" w:rsidP="00D84A04">
      <w:pPr>
        <w:spacing w:before="0" w:after="160"/>
        <w:ind w:left="720" w:hanging="720"/>
        <w:rPr>
          <w:rFonts w:eastAsia="Aptos" w:cs="Arial"/>
          <w:noProof/>
          <w:sz w:val="22"/>
          <w:lang w:val="en-US"/>
        </w:rPr>
      </w:pPr>
      <w:r w:rsidRPr="00D84A04">
        <w:rPr>
          <w:rFonts w:eastAsia="Aptos" w:cs="Arial"/>
          <w:noProof/>
          <w:sz w:val="22"/>
          <w:lang w:val="en-US"/>
        </w:rPr>
        <w:t>Sherriff, S., &amp; Gwynn, J. D. (2024). Yarning together: toward targeted, co</w:t>
      </w:r>
      <w:r w:rsidRPr="00D84A04">
        <w:rPr>
          <w:rFonts w:ascii="Cambria Math" w:eastAsia="Aptos" w:hAnsi="Cambria Math" w:cs="Cambria Math"/>
          <w:noProof/>
          <w:sz w:val="22"/>
          <w:lang w:val="en-US"/>
        </w:rPr>
        <w:t>‐</w:t>
      </w:r>
      <w:r w:rsidRPr="00D84A04">
        <w:rPr>
          <w:rFonts w:eastAsia="Aptos" w:cs="Arial"/>
          <w:noProof/>
          <w:sz w:val="22"/>
          <w:lang w:val="en-US"/>
        </w:rPr>
        <w:t xml:space="preserve">designed parenting programs for Aboriginal Australians. </w:t>
      </w:r>
      <w:r w:rsidRPr="00D84A04">
        <w:rPr>
          <w:rFonts w:eastAsia="Aptos" w:cs="Arial"/>
          <w:i/>
          <w:noProof/>
          <w:sz w:val="22"/>
          <w:lang w:val="en-US"/>
        </w:rPr>
        <w:t>Medical Journal of Australia</w:t>
      </w:r>
      <w:r w:rsidRPr="00D84A04">
        <w:rPr>
          <w:rFonts w:eastAsia="Aptos" w:cs="Arial"/>
          <w:noProof/>
          <w:sz w:val="22"/>
          <w:lang w:val="en-US"/>
        </w:rPr>
        <w:t>,</w:t>
      </w:r>
      <w:r w:rsidRPr="00D84A04">
        <w:rPr>
          <w:rFonts w:eastAsia="Aptos" w:cs="Arial"/>
          <w:i/>
          <w:noProof/>
          <w:sz w:val="22"/>
          <w:lang w:val="en-US"/>
        </w:rPr>
        <w:t xml:space="preserve"> 220</w:t>
      </w:r>
      <w:r w:rsidRPr="00D84A04">
        <w:rPr>
          <w:rFonts w:eastAsia="Aptos" w:cs="Arial"/>
          <w:noProof/>
          <w:sz w:val="22"/>
          <w:lang w:val="en-US"/>
        </w:rPr>
        <w:t xml:space="preserve">(6), 313-314. </w:t>
      </w:r>
      <w:hyperlink r:id="rId574" w:history="1">
        <w:r w:rsidR="006C2502" w:rsidRPr="00D84A04">
          <w:rPr>
            <w:rStyle w:val="Hyperlink"/>
            <w:rFonts w:eastAsia="Aptos" w:cs="Arial"/>
            <w:noProof/>
            <w:sz w:val="22"/>
            <w:lang w:val="en-US"/>
          </w:rPr>
          <w:t>https://doi.org/10.5694/mja2.52238</w:t>
        </w:r>
      </w:hyperlink>
      <w:r w:rsidR="006C2502">
        <w:rPr>
          <w:rFonts w:eastAsia="Aptos" w:cs="Arial"/>
          <w:noProof/>
          <w:sz w:val="22"/>
          <w:lang w:val="en-US"/>
        </w:rPr>
        <w:t xml:space="preserve"> </w:t>
      </w:r>
      <w:r w:rsidRPr="00D84A04">
        <w:rPr>
          <w:rFonts w:eastAsia="Aptos" w:cs="Arial"/>
          <w:noProof/>
          <w:sz w:val="22"/>
          <w:lang w:val="en-US"/>
        </w:rPr>
        <w:t xml:space="preserve"> </w:t>
      </w:r>
    </w:p>
    <w:p w14:paraId="3A00EB9E" w14:textId="77777777" w:rsidR="00D84A04" w:rsidRPr="00D84A04" w:rsidRDefault="00D84A04" w:rsidP="00D84A04">
      <w:pPr>
        <w:spacing w:before="0" w:after="0"/>
        <w:ind w:left="720" w:hanging="720"/>
        <w:rPr>
          <w:rFonts w:eastAsia="Aptos" w:cs="Arial"/>
          <w:noProof/>
          <w:sz w:val="22"/>
          <w:lang w:val="en-US"/>
        </w:rPr>
      </w:pPr>
      <w:r w:rsidRPr="00D84A04">
        <w:rPr>
          <w:rFonts w:eastAsia="Aptos" w:cs="Arial"/>
          <w:noProof/>
          <w:sz w:val="22"/>
          <w:lang w:val="en-US"/>
        </w:rPr>
        <w:tab/>
      </w:r>
    </w:p>
    <w:p w14:paraId="505BD381" w14:textId="490B9901" w:rsidR="00D84A04" w:rsidRPr="00D84A04" w:rsidRDefault="00D84A04" w:rsidP="00D84A04">
      <w:pPr>
        <w:spacing w:before="0" w:after="160"/>
        <w:ind w:left="720" w:hanging="720"/>
        <w:rPr>
          <w:rFonts w:eastAsia="Aptos" w:cs="Arial"/>
          <w:noProof/>
          <w:sz w:val="22"/>
          <w:lang w:val="en-US"/>
        </w:rPr>
      </w:pPr>
      <w:r w:rsidRPr="00D84A04">
        <w:rPr>
          <w:rFonts w:eastAsia="Aptos" w:cs="Arial"/>
          <w:noProof/>
          <w:sz w:val="22"/>
          <w:lang w:val="en-US"/>
        </w:rPr>
        <w:t>Shilling, V., Bailey, S., Logan, S., &amp; Morris, C. (2015a). Peer support for parents of disabled children part 1: Perceived outcomes of a one</w:t>
      </w:r>
      <w:r w:rsidRPr="00D84A04">
        <w:rPr>
          <w:rFonts w:ascii="Cambria Math" w:eastAsia="Aptos" w:hAnsi="Cambria Math" w:cs="Cambria Math"/>
          <w:noProof/>
          <w:sz w:val="22"/>
          <w:lang w:val="en-US"/>
        </w:rPr>
        <w:t>‐</w:t>
      </w:r>
      <w:r w:rsidRPr="00D84A04">
        <w:rPr>
          <w:rFonts w:eastAsia="Aptos" w:cs="Arial"/>
          <w:noProof/>
          <w:sz w:val="22"/>
          <w:lang w:val="en-US"/>
        </w:rPr>
        <w:t>to</w:t>
      </w:r>
      <w:r w:rsidRPr="00D84A04">
        <w:rPr>
          <w:rFonts w:ascii="Cambria Math" w:eastAsia="Aptos" w:hAnsi="Cambria Math" w:cs="Cambria Math"/>
          <w:noProof/>
          <w:sz w:val="22"/>
          <w:lang w:val="en-US"/>
        </w:rPr>
        <w:t>‐</w:t>
      </w:r>
      <w:r w:rsidRPr="00D84A04">
        <w:rPr>
          <w:rFonts w:eastAsia="Aptos" w:cs="Arial"/>
          <w:noProof/>
          <w:sz w:val="22"/>
          <w:lang w:val="en-US"/>
        </w:rPr>
        <w:t xml:space="preserve">one service, a qualitative study. </w:t>
      </w:r>
      <w:r w:rsidRPr="00D84A04">
        <w:rPr>
          <w:rFonts w:eastAsia="Aptos" w:cs="Arial"/>
          <w:i/>
          <w:noProof/>
          <w:sz w:val="22"/>
          <w:lang w:val="en-US"/>
        </w:rPr>
        <w:t>Child: care, health and development</w:t>
      </w:r>
      <w:r w:rsidRPr="00D84A04">
        <w:rPr>
          <w:rFonts w:eastAsia="Aptos" w:cs="Arial"/>
          <w:noProof/>
          <w:sz w:val="22"/>
          <w:lang w:val="en-US"/>
        </w:rPr>
        <w:t>,</w:t>
      </w:r>
      <w:r w:rsidRPr="00D84A04">
        <w:rPr>
          <w:rFonts w:eastAsia="Aptos" w:cs="Arial"/>
          <w:i/>
          <w:noProof/>
          <w:sz w:val="22"/>
          <w:lang w:val="en-US"/>
        </w:rPr>
        <w:t xml:space="preserve"> 41</w:t>
      </w:r>
      <w:r w:rsidRPr="00D84A04">
        <w:rPr>
          <w:rFonts w:eastAsia="Aptos" w:cs="Arial"/>
          <w:noProof/>
          <w:sz w:val="22"/>
          <w:lang w:val="en-US"/>
        </w:rPr>
        <w:t xml:space="preserve">(4), 524-536. </w:t>
      </w:r>
      <w:hyperlink r:id="rId575" w:history="1">
        <w:r w:rsidR="006C2502" w:rsidRPr="00D84A04">
          <w:rPr>
            <w:rStyle w:val="Hyperlink"/>
            <w:rFonts w:eastAsia="Aptos" w:cs="Arial"/>
            <w:noProof/>
            <w:sz w:val="22"/>
            <w:lang w:val="en-US"/>
          </w:rPr>
          <w:t>https://doi.org/10.1111/cch.12223</w:t>
        </w:r>
      </w:hyperlink>
      <w:r w:rsidR="006C2502">
        <w:rPr>
          <w:rFonts w:eastAsia="Aptos" w:cs="Arial"/>
          <w:noProof/>
          <w:sz w:val="22"/>
          <w:lang w:val="en-US"/>
        </w:rPr>
        <w:t xml:space="preserve"> </w:t>
      </w:r>
      <w:r w:rsidRPr="00D84A04">
        <w:rPr>
          <w:rFonts w:eastAsia="Aptos" w:cs="Arial"/>
          <w:noProof/>
          <w:sz w:val="22"/>
          <w:lang w:val="en-US"/>
        </w:rPr>
        <w:t xml:space="preserve"> </w:t>
      </w:r>
    </w:p>
    <w:p w14:paraId="6DCDE429" w14:textId="77777777" w:rsidR="00D84A04" w:rsidRPr="00D84A04" w:rsidRDefault="00D84A04" w:rsidP="00D84A04">
      <w:pPr>
        <w:spacing w:before="0" w:after="0"/>
        <w:ind w:left="720" w:hanging="720"/>
        <w:rPr>
          <w:rFonts w:eastAsia="Aptos" w:cs="Arial"/>
          <w:noProof/>
          <w:sz w:val="22"/>
          <w:lang w:val="en-US"/>
        </w:rPr>
      </w:pPr>
      <w:r w:rsidRPr="00D84A04">
        <w:rPr>
          <w:rFonts w:eastAsia="Aptos" w:cs="Arial"/>
          <w:noProof/>
          <w:sz w:val="22"/>
          <w:lang w:val="en-US"/>
        </w:rPr>
        <w:tab/>
      </w:r>
    </w:p>
    <w:p w14:paraId="4D635FF6" w14:textId="74399900" w:rsidR="006C2502" w:rsidRDefault="00D84A04" w:rsidP="00D84A04">
      <w:pPr>
        <w:spacing w:before="0" w:after="160"/>
        <w:ind w:left="720" w:hanging="720"/>
        <w:rPr>
          <w:rFonts w:eastAsia="Aptos" w:cs="Arial"/>
          <w:noProof/>
          <w:sz w:val="22"/>
          <w:lang w:val="en-US"/>
        </w:rPr>
      </w:pPr>
      <w:r w:rsidRPr="00D84A04">
        <w:rPr>
          <w:rFonts w:eastAsia="Aptos" w:cs="Arial"/>
          <w:noProof/>
          <w:sz w:val="22"/>
          <w:lang w:val="en-US"/>
        </w:rPr>
        <w:t>Shilling, V., Bailey, S., Logan, S., &amp; Morris, C. (2015b). Peer support for parents of disabled children part 2: How organizational and process factors influenced shared experience in a one</w:t>
      </w:r>
      <w:r w:rsidRPr="00D84A04">
        <w:rPr>
          <w:rFonts w:ascii="Cambria Math" w:eastAsia="Aptos" w:hAnsi="Cambria Math" w:cs="Cambria Math"/>
          <w:noProof/>
          <w:sz w:val="22"/>
          <w:lang w:val="en-US"/>
        </w:rPr>
        <w:t>‐</w:t>
      </w:r>
      <w:r w:rsidRPr="00D84A04">
        <w:rPr>
          <w:rFonts w:eastAsia="Aptos" w:cs="Arial"/>
          <w:noProof/>
          <w:sz w:val="22"/>
          <w:lang w:val="en-US"/>
        </w:rPr>
        <w:t>to</w:t>
      </w:r>
      <w:r w:rsidRPr="00D84A04">
        <w:rPr>
          <w:rFonts w:ascii="Cambria Math" w:eastAsia="Aptos" w:hAnsi="Cambria Math" w:cs="Cambria Math"/>
          <w:noProof/>
          <w:sz w:val="22"/>
          <w:lang w:val="en-US"/>
        </w:rPr>
        <w:t>‐</w:t>
      </w:r>
      <w:r w:rsidRPr="00D84A04">
        <w:rPr>
          <w:rFonts w:eastAsia="Aptos" w:cs="Arial"/>
          <w:noProof/>
          <w:sz w:val="22"/>
          <w:lang w:val="en-US"/>
        </w:rPr>
        <w:t xml:space="preserve">one service, a qualitative study. </w:t>
      </w:r>
      <w:r w:rsidRPr="00D84A04">
        <w:rPr>
          <w:rFonts w:eastAsia="Aptos" w:cs="Arial"/>
          <w:i/>
          <w:noProof/>
          <w:sz w:val="22"/>
          <w:lang w:val="en-US"/>
        </w:rPr>
        <w:t>Child: care, health and development</w:t>
      </w:r>
      <w:r w:rsidRPr="00D84A04">
        <w:rPr>
          <w:rFonts w:eastAsia="Aptos" w:cs="Arial"/>
          <w:noProof/>
          <w:sz w:val="22"/>
          <w:lang w:val="en-US"/>
        </w:rPr>
        <w:t>,</w:t>
      </w:r>
      <w:r w:rsidRPr="00D84A04">
        <w:rPr>
          <w:rFonts w:eastAsia="Aptos" w:cs="Arial"/>
          <w:i/>
          <w:noProof/>
          <w:sz w:val="22"/>
          <w:lang w:val="en-US"/>
        </w:rPr>
        <w:t xml:space="preserve"> 41</w:t>
      </w:r>
      <w:r w:rsidRPr="00D84A04">
        <w:rPr>
          <w:rFonts w:eastAsia="Aptos" w:cs="Arial"/>
          <w:noProof/>
          <w:sz w:val="22"/>
          <w:lang w:val="en-US"/>
        </w:rPr>
        <w:t xml:space="preserve">(4), 537-546. </w:t>
      </w:r>
      <w:hyperlink r:id="rId576" w:history="1">
        <w:r w:rsidR="006C2502" w:rsidRPr="00D84A04">
          <w:rPr>
            <w:rStyle w:val="Hyperlink"/>
            <w:rFonts w:eastAsia="Aptos" w:cs="Arial"/>
            <w:noProof/>
            <w:sz w:val="22"/>
            <w:lang w:val="en-US"/>
          </w:rPr>
          <w:t>https://doi.org/10.1111/cch.12222</w:t>
        </w:r>
      </w:hyperlink>
    </w:p>
    <w:p w14:paraId="0EB6F31B" w14:textId="5115D398" w:rsidR="00D84A04" w:rsidRPr="00D84A04" w:rsidRDefault="00D84A04" w:rsidP="00D84A04">
      <w:pPr>
        <w:spacing w:before="0" w:after="160"/>
        <w:ind w:left="720" w:hanging="720"/>
        <w:rPr>
          <w:rFonts w:eastAsia="Aptos" w:cs="Arial"/>
          <w:noProof/>
          <w:sz w:val="22"/>
          <w:lang w:val="en-US"/>
        </w:rPr>
      </w:pPr>
      <w:r w:rsidRPr="00D84A04">
        <w:rPr>
          <w:rFonts w:eastAsia="Aptos" w:cs="Arial"/>
          <w:noProof/>
          <w:sz w:val="22"/>
          <w:lang w:val="en-US"/>
        </w:rPr>
        <w:t xml:space="preserve"> </w:t>
      </w:r>
    </w:p>
    <w:p w14:paraId="04B82708" w14:textId="77777777" w:rsidR="00B7209F" w:rsidRPr="00B7209F" w:rsidRDefault="00B7209F" w:rsidP="00B7209F">
      <w:pPr>
        <w:spacing w:before="0" w:after="160"/>
        <w:ind w:left="720" w:hanging="720"/>
        <w:rPr>
          <w:rFonts w:eastAsia="Aptos" w:cs="Arial"/>
          <w:noProof/>
          <w:sz w:val="22"/>
          <w:lang w:val="en-US"/>
        </w:rPr>
      </w:pPr>
      <w:r w:rsidRPr="00B7209F">
        <w:rPr>
          <w:rFonts w:eastAsia="Aptos" w:cs="Arial"/>
          <w:noProof/>
          <w:sz w:val="22"/>
          <w:lang w:val="en-US"/>
        </w:rPr>
        <w:t xml:space="preserve">Shonkoff, J. (2016). Center on the Developing Child at Harvard University. </w:t>
      </w:r>
      <w:r w:rsidRPr="00B7209F">
        <w:rPr>
          <w:rFonts w:eastAsia="Aptos" w:cs="Arial"/>
          <w:i/>
          <w:noProof/>
          <w:sz w:val="22"/>
          <w:lang w:val="en-US"/>
        </w:rPr>
        <w:t>From Best Practices to Breakthrough Impacts: A Science-Based Approach to Building a More Promising Future for Young Children and Families</w:t>
      </w:r>
      <w:r w:rsidRPr="00B7209F">
        <w:rPr>
          <w:rFonts w:eastAsia="Aptos" w:cs="Arial"/>
          <w:noProof/>
          <w:sz w:val="22"/>
          <w:lang w:val="en-US"/>
        </w:rPr>
        <w:t xml:space="preserve">. </w:t>
      </w:r>
    </w:p>
    <w:p w14:paraId="27BE180D" w14:textId="77777777" w:rsidR="00B7209F" w:rsidRPr="00B7209F" w:rsidRDefault="00B7209F" w:rsidP="00B7209F">
      <w:pPr>
        <w:spacing w:before="0" w:after="0"/>
        <w:ind w:left="720" w:hanging="720"/>
        <w:rPr>
          <w:rFonts w:eastAsia="Aptos" w:cs="Arial"/>
          <w:noProof/>
          <w:sz w:val="22"/>
          <w:lang w:val="en-US"/>
        </w:rPr>
      </w:pPr>
      <w:r w:rsidRPr="00B7209F">
        <w:rPr>
          <w:rFonts w:eastAsia="Aptos" w:cs="Arial"/>
          <w:noProof/>
          <w:sz w:val="22"/>
          <w:lang w:val="en-US"/>
        </w:rPr>
        <w:tab/>
      </w:r>
    </w:p>
    <w:p w14:paraId="42AD82C3" w14:textId="07931E92" w:rsidR="00B7209F" w:rsidRPr="00B7209F" w:rsidRDefault="00B7209F" w:rsidP="00B7209F">
      <w:pPr>
        <w:spacing w:before="0" w:after="160"/>
        <w:ind w:left="720" w:hanging="720"/>
        <w:rPr>
          <w:rFonts w:eastAsia="Aptos" w:cs="Arial"/>
          <w:noProof/>
          <w:sz w:val="22"/>
          <w:lang w:val="it-IT"/>
        </w:rPr>
      </w:pPr>
      <w:r w:rsidRPr="00B7209F">
        <w:rPr>
          <w:rFonts w:eastAsia="Aptos" w:cs="Arial"/>
          <w:noProof/>
          <w:sz w:val="22"/>
          <w:lang w:val="en-US"/>
        </w:rPr>
        <w:t xml:space="preserve">Shonkoff, J. P., Garner, A. S., Committee on Psychosocial Aspects of Child Family Health, Committee on Early Childhood Adoption Dependent Care, Section on Developmental Behavioral Pediatrics, Siegel, B. S., Dobbins, M. I., Earls, M. F., Garner, A. S., McGuinn, L., Pascoe, J., &amp; Wood, D. L. (2012). The lifelong effects of early childhood adversity and toxic stress. </w:t>
      </w:r>
      <w:r w:rsidRPr="00B7209F">
        <w:rPr>
          <w:rFonts w:eastAsia="Aptos" w:cs="Arial"/>
          <w:i/>
          <w:noProof/>
          <w:sz w:val="22"/>
          <w:lang w:val="it-IT"/>
        </w:rPr>
        <w:t>Pediatrics</w:t>
      </w:r>
      <w:r w:rsidRPr="00B7209F">
        <w:rPr>
          <w:rFonts w:eastAsia="Aptos" w:cs="Arial"/>
          <w:noProof/>
          <w:sz w:val="22"/>
          <w:lang w:val="it-IT"/>
        </w:rPr>
        <w:t>,</w:t>
      </w:r>
      <w:r w:rsidRPr="00B7209F">
        <w:rPr>
          <w:rFonts w:eastAsia="Aptos" w:cs="Arial"/>
          <w:i/>
          <w:noProof/>
          <w:sz w:val="22"/>
          <w:lang w:val="it-IT"/>
        </w:rPr>
        <w:t xml:space="preserve"> 129</w:t>
      </w:r>
      <w:r w:rsidRPr="00B7209F">
        <w:rPr>
          <w:rFonts w:eastAsia="Aptos" w:cs="Arial"/>
          <w:noProof/>
          <w:sz w:val="22"/>
          <w:lang w:val="it-IT"/>
        </w:rPr>
        <w:t xml:space="preserve">(1), e232-e246. </w:t>
      </w:r>
      <w:hyperlink r:id="rId577" w:history="1">
        <w:r w:rsidR="006C2502" w:rsidRPr="00B7209F">
          <w:rPr>
            <w:rStyle w:val="Hyperlink"/>
            <w:rFonts w:eastAsia="Aptos" w:cs="Arial"/>
            <w:noProof/>
            <w:sz w:val="22"/>
            <w:lang w:val="it-IT"/>
          </w:rPr>
          <w:t>https://doi.org/10.1542/peds.2011-2663</w:t>
        </w:r>
      </w:hyperlink>
      <w:r w:rsidR="006C2502">
        <w:rPr>
          <w:rFonts w:eastAsia="Aptos" w:cs="Arial"/>
          <w:noProof/>
          <w:sz w:val="22"/>
          <w:lang w:val="it-IT"/>
        </w:rPr>
        <w:t xml:space="preserve"> </w:t>
      </w:r>
      <w:r w:rsidRPr="00B7209F">
        <w:rPr>
          <w:rFonts w:eastAsia="Aptos" w:cs="Arial"/>
          <w:noProof/>
          <w:sz w:val="22"/>
          <w:lang w:val="it-IT"/>
        </w:rPr>
        <w:t xml:space="preserve"> </w:t>
      </w:r>
    </w:p>
    <w:p w14:paraId="157E5D17" w14:textId="77777777" w:rsidR="00B7209F" w:rsidRPr="00B7209F" w:rsidRDefault="00B7209F" w:rsidP="00B7209F">
      <w:pPr>
        <w:spacing w:before="0" w:after="0"/>
        <w:ind w:left="720" w:hanging="720"/>
        <w:rPr>
          <w:rFonts w:eastAsia="Aptos" w:cs="Arial"/>
          <w:noProof/>
          <w:sz w:val="22"/>
          <w:lang w:val="it-IT"/>
        </w:rPr>
      </w:pPr>
      <w:r w:rsidRPr="00B7209F">
        <w:rPr>
          <w:rFonts w:eastAsia="Aptos" w:cs="Arial"/>
          <w:noProof/>
          <w:sz w:val="22"/>
          <w:lang w:val="it-IT"/>
        </w:rPr>
        <w:tab/>
      </w:r>
    </w:p>
    <w:p w14:paraId="2BC60490" w14:textId="77777777" w:rsidR="00B7209F" w:rsidRPr="00B7209F" w:rsidRDefault="00B7209F" w:rsidP="00B7209F">
      <w:pPr>
        <w:spacing w:before="0" w:after="160"/>
        <w:ind w:left="720" w:hanging="720"/>
        <w:rPr>
          <w:rFonts w:eastAsia="Aptos" w:cs="Arial"/>
          <w:noProof/>
          <w:sz w:val="22"/>
          <w:lang w:val="en-US"/>
        </w:rPr>
      </w:pPr>
      <w:r w:rsidRPr="00B7209F">
        <w:rPr>
          <w:rFonts w:eastAsia="Aptos" w:cs="Arial"/>
          <w:noProof/>
          <w:sz w:val="22"/>
        </w:rPr>
        <w:t xml:space="preserve">Shonkoff, J. P., &amp; Richter, L. (2013). </w:t>
      </w:r>
      <w:r w:rsidRPr="00B7209F">
        <w:rPr>
          <w:rFonts w:eastAsia="Aptos" w:cs="Arial"/>
          <w:noProof/>
          <w:sz w:val="22"/>
          <w:lang w:val="en-US"/>
        </w:rPr>
        <w:t xml:space="preserve">The powerful reach of early childhood development. In P. R. Britto, P. L. Engle, &amp; C. M. Super (Eds.), </w:t>
      </w:r>
      <w:r w:rsidRPr="00B7209F">
        <w:rPr>
          <w:rFonts w:eastAsia="Aptos" w:cs="Arial"/>
          <w:i/>
          <w:noProof/>
          <w:sz w:val="22"/>
          <w:lang w:val="en-US"/>
        </w:rPr>
        <w:t>Handbook of early childhood development research and its impact on global policy</w:t>
      </w:r>
      <w:r w:rsidRPr="00B7209F">
        <w:rPr>
          <w:rFonts w:eastAsia="Aptos" w:cs="Arial"/>
          <w:noProof/>
          <w:sz w:val="22"/>
          <w:lang w:val="en-US"/>
        </w:rPr>
        <w:t xml:space="preserve"> (Vol. 24-34). Oxford and New York: Oxford University Press. </w:t>
      </w:r>
    </w:p>
    <w:p w14:paraId="66A9CD8B" w14:textId="77777777" w:rsidR="00B7209F" w:rsidRPr="00B7209F" w:rsidRDefault="00B7209F" w:rsidP="00B7209F">
      <w:pPr>
        <w:spacing w:before="0" w:after="0"/>
        <w:ind w:left="720" w:hanging="720"/>
        <w:rPr>
          <w:rFonts w:eastAsia="Aptos" w:cs="Arial"/>
          <w:noProof/>
          <w:sz w:val="22"/>
          <w:lang w:val="en-US"/>
        </w:rPr>
      </w:pPr>
      <w:r w:rsidRPr="00B7209F">
        <w:rPr>
          <w:rFonts w:eastAsia="Aptos" w:cs="Arial"/>
          <w:noProof/>
          <w:sz w:val="22"/>
          <w:lang w:val="en-US"/>
        </w:rPr>
        <w:tab/>
      </w:r>
    </w:p>
    <w:p w14:paraId="34A1C379" w14:textId="6DC66670" w:rsidR="006C2502" w:rsidRDefault="00B7209F" w:rsidP="00B7209F">
      <w:pPr>
        <w:spacing w:before="0" w:after="160"/>
        <w:ind w:left="720" w:hanging="720"/>
        <w:rPr>
          <w:rFonts w:eastAsia="Aptos" w:cs="Arial"/>
          <w:noProof/>
          <w:sz w:val="22"/>
          <w:lang w:val="en-US"/>
        </w:rPr>
      </w:pPr>
      <w:r w:rsidRPr="00B7209F">
        <w:rPr>
          <w:rFonts w:eastAsia="Aptos" w:cs="Arial"/>
          <w:noProof/>
          <w:sz w:val="22"/>
          <w:lang w:val="en-US"/>
        </w:rPr>
        <w:t xml:space="preserve">Shonkoff, J. P., Slopen, N., &amp; Williams, D. R. (2021). Early childhood adversity, toxic stress, and the impacts of racism on the foundations of health. </w:t>
      </w:r>
      <w:r w:rsidRPr="00B7209F">
        <w:rPr>
          <w:rFonts w:eastAsia="Aptos" w:cs="Arial"/>
          <w:i/>
          <w:noProof/>
          <w:sz w:val="22"/>
          <w:lang w:val="en-US"/>
        </w:rPr>
        <w:t>Annual review of public health</w:t>
      </w:r>
      <w:r w:rsidRPr="00B7209F">
        <w:rPr>
          <w:rFonts w:eastAsia="Aptos" w:cs="Arial"/>
          <w:noProof/>
          <w:sz w:val="22"/>
          <w:lang w:val="en-US"/>
        </w:rPr>
        <w:t>,</w:t>
      </w:r>
      <w:r w:rsidRPr="00B7209F">
        <w:rPr>
          <w:rFonts w:eastAsia="Aptos" w:cs="Arial"/>
          <w:i/>
          <w:noProof/>
          <w:sz w:val="22"/>
          <w:lang w:val="en-US"/>
        </w:rPr>
        <w:t xml:space="preserve"> 42</w:t>
      </w:r>
      <w:r w:rsidRPr="00B7209F">
        <w:rPr>
          <w:rFonts w:eastAsia="Aptos" w:cs="Arial"/>
          <w:noProof/>
          <w:sz w:val="22"/>
          <w:lang w:val="en-US"/>
        </w:rPr>
        <w:t xml:space="preserve">(1), 115-134. </w:t>
      </w:r>
      <w:hyperlink r:id="rId578" w:history="1">
        <w:r w:rsidR="006C2502" w:rsidRPr="00B7209F">
          <w:rPr>
            <w:rStyle w:val="Hyperlink"/>
            <w:rFonts w:eastAsia="Aptos" w:cs="Arial"/>
            <w:noProof/>
            <w:sz w:val="22"/>
            <w:lang w:val="en-US"/>
          </w:rPr>
          <w:t>https://doi.org/10.1146/annurev-publhealth-090419-101940</w:t>
        </w:r>
      </w:hyperlink>
    </w:p>
    <w:p w14:paraId="1B3F4768" w14:textId="77ACA0CD" w:rsidR="00B7209F" w:rsidRPr="00B7209F" w:rsidRDefault="00B7209F" w:rsidP="00B7209F">
      <w:pPr>
        <w:spacing w:before="0" w:after="160"/>
        <w:ind w:left="720" w:hanging="720"/>
        <w:rPr>
          <w:rFonts w:eastAsia="Aptos" w:cs="Arial"/>
          <w:noProof/>
          <w:sz w:val="22"/>
          <w:lang w:val="en-US"/>
        </w:rPr>
      </w:pPr>
      <w:r w:rsidRPr="00B7209F">
        <w:rPr>
          <w:rFonts w:eastAsia="Aptos" w:cs="Arial"/>
          <w:noProof/>
          <w:sz w:val="22"/>
          <w:lang w:val="en-US"/>
        </w:rPr>
        <w:t xml:space="preserve"> </w:t>
      </w:r>
    </w:p>
    <w:p w14:paraId="46EF9CDA" w14:textId="747BE410" w:rsidR="0010068D" w:rsidRPr="0010068D" w:rsidRDefault="0010068D" w:rsidP="0010068D">
      <w:pPr>
        <w:spacing w:before="0" w:after="160"/>
        <w:ind w:left="720" w:hanging="720"/>
        <w:rPr>
          <w:rFonts w:eastAsia="Aptos" w:cs="Arial"/>
          <w:noProof/>
          <w:sz w:val="22"/>
          <w:lang w:val="en-US"/>
        </w:rPr>
      </w:pPr>
      <w:r w:rsidRPr="0010068D">
        <w:rPr>
          <w:rFonts w:eastAsia="Aptos" w:cs="Arial"/>
          <w:noProof/>
          <w:sz w:val="22"/>
          <w:lang w:val="en-US"/>
        </w:rPr>
        <w:t xml:space="preserve">Shuey, E. A., &amp; Kankaraš, M. (2018). </w:t>
      </w:r>
      <w:r w:rsidRPr="0010068D">
        <w:rPr>
          <w:rFonts w:eastAsia="Aptos" w:cs="Arial"/>
          <w:i/>
          <w:noProof/>
          <w:sz w:val="22"/>
          <w:lang w:val="en-US"/>
        </w:rPr>
        <w:t>The power and promise of early learning</w:t>
      </w:r>
      <w:r w:rsidRPr="0010068D">
        <w:rPr>
          <w:rFonts w:eastAsia="Aptos" w:cs="Arial"/>
          <w:noProof/>
          <w:sz w:val="22"/>
          <w:lang w:val="en-US"/>
        </w:rPr>
        <w:t xml:space="preserve">. Paris, France: OECD Publishing. Retrieved 6 September, 2024 from </w:t>
      </w:r>
      <w:hyperlink r:id="rId579" w:history="1">
        <w:r w:rsidR="006C2502" w:rsidRPr="0010068D">
          <w:rPr>
            <w:rStyle w:val="Hyperlink"/>
            <w:rFonts w:eastAsia="Aptos" w:cs="Arial"/>
            <w:noProof/>
            <w:sz w:val="22"/>
            <w:lang w:val="en-US"/>
          </w:rPr>
          <w:t>https://www.oecd-ilibrary.org/education/the-power-and-promise-of-early-learning_f9b2e53f-en</w:t>
        </w:r>
      </w:hyperlink>
      <w:r w:rsidR="006C2502">
        <w:rPr>
          <w:rFonts w:eastAsia="Aptos" w:cs="Arial"/>
          <w:noProof/>
          <w:sz w:val="22"/>
          <w:lang w:val="en-US"/>
        </w:rPr>
        <w:t xml:space="preserve"> </w:t>
      </w:r>
    </w:p>
    <w:p w14:paraId="7161250B" w14:textId="77777777" w:rsidR="0010068D" w:rsidRPr="0010068D" w:rsidRDefault="0010068D" w:rsidP="0010068D">
      <w:pPr>
        <w:spacing w:before="0" w:after="0"/>
        <w:ind w:left="720" w:hanging="720"/>
        <w:rPr>
          <w:rFonts w:eastAsia="Aptos" w:cs="Arial"/>
          <w:noProof/>
          <w:sz w:val="22"/>
          <w:lang w:val="en-US"/>
        </w:rPr>
      </w:pPr>
      <w:r w:rsidRPr="0010068D">
        <w:rPr>
          <w:rFonts w:eastAsia="Aptos" w:cs="Arial"/>
          <w:noProof/>
          <w:sz w:val="22"/>
          <w:lang w:val="en-US"/>
        </w:rPr>
        <w:tab/>
      </w:r>
    </w:p>
    <w:p w14:paraId="36D70CA2" w14:textId="77777777" w:rsidR="0010068D" w:rsidRPr="0010068D" w:rsidRDefault="0010068D" w:rsidP="0010068D">
      <w:pPr>
        <w:spacing w:before="0" w:after="160"/>
        <w:ind w:left="720" w:hanging="720"/>
        <w:rPr>
          <w:rFonts w:eastAsia="Aptos" w:cs="Arial"/>
          <w:noProof/>
          <w:sz w:val="22"/>
          <w:lang w:val="en-US"/>
        </w:rPr>
      </w:pPr>
      <w:r w:rsidRPr="0010068D">
        <w:rPr>
          <w:rFonts w:eastAsia="Aptos" w:cs="Arial"/>
          <w:noProof/>
          <w:sz w:val="22"/>
          <w:lang w:val="en-US"/>
        </w:rPr>
        <w:t xml:space="preserve">Siegel, B. (2018). </w:t>
      </w:r>
      <w:r w:rsidRPr="0010068D">
        <w:rPr>
          <w:rFonts w:eastAsia="Aptos" w:cs="Arial"/>
          <w:i/>
          <w:noProof/>
          <w:sz w:val="22"/>
          <w:lang w:val="en-US"/>
        </w:rPr>
        <w:t>The politics of autism</w:t>
      </w:r>
      <w:r w:rsidRPr="0010068D">
        <w:rPr>
          <w:rFonts w:eastAsia="Aptos" w:cs="Arial"/>
          <w:noProof/>
          <w:sz w:val="22"/>
          <w:lang w:val="en-US"/>
        </w:rPr>
        <w:t xml:space="preserve">. New York: Oxford University Press. </w:t>
      </w:r>
    </w:p>
    <w:p w14:paraId="730C8395" w14:textId="77777777" w:rsidR="0010068D" w:rsidRPr="0010068D" w:rsidRDefault="0010068D" w:rsidP="0010068D">
      <w:pPr>
        <w:spacing w:before="0" w:after="0"/>
        <w:ind w:left="720" w:hanging="720"/>
        <w:rPr>
          <w:rFonts w:eastAsia="Aptos" w:cs="Arial"/>
          <w:noProof/>
          <w:sz w:val="22"/>
          <w:lang w:val="en-US"/>
        </w:rPr>
      </w:pPr>
      <w:r w:rsidRPr="0010068D">
        <w:rPr>
          <w:rFonts w:eastAsia="Aptos" w:cs="Arial"/>
          <w:noProof/>
          <w:sz w:val="22"/>
          <w:lang w:val="en-US"/>
        </w:rPr>
        <w:tab/>
      </w:r>
    </w:p>
    <w:p w14:paraId="4220D813" w14:textId="77777777" w:rsidR="0010068D" w:rsidRPr="0010068D" w:rsidRDefault="0010068D" w:rsidP="0010068D">
      <w:pPr>
        <w:spacing w:before="0" w:after="160"/>
        <w:ind w:left="720" w:hanging="720"/>
        <w:rPr>
          <w:rFonts w:eastAsia="Aptos" w:cs="Arial"/>
          <w:noProof/>
          <w:sz w:val="22"/>
          <w:lang w:val="en-US"/>
        </w:rPr>
      </w:pPr>
      <w:r w:rsidRPr="0010068D">
        <w:rPr>
          <w:rFonts w:eastAsia="Aptos" w:cs="Arial"/>
          <w:noProof/>
          <w:sz w:val="22"/>
          <w:lang w:val="en-US"/>
        </w:rPr>
        <w:t xml:space="preserve">Siegel, D. J. (2020). </w:t>
      </w:r>
      <w:r w:rsidRPr="0010068D">
        <w:rPr>
          <w:rFonts w:eastAsia="Aptos" w:cs="Arial"/>
          <w:i/>
          <w:noProof/>
          <w:sz w:val="22"/>
          <w:lang w:val="en-US"/>
        </w:rPr>
        <w:t>The developing mind: How relationships and the brain interact to shape who we are</w:t>
      </w:r>
      <w:r w:rsidRPr="0010068D">
        <w:rPr>
          <w:rFonts w:eastAsia="Aptos" w:cs="Arial"/>
          <w:noProof/>
          <w:sz w:val="22"/>
          <w:lang w:val="en-US"/>
        </w:rPr>
        <w:t xml:space="preserve"> (3rd ed.). New York: Guilford Press. </w:t>
      </w:r>
    </w:p>
    <w:p w14:paraId="010E2EF1" w14:textId="77777777" w:rsidR="0010068D" w:rsidRPr="0010068D" w:rsidRDefault="0010068D" w:rsidP="0010068D">
      <w:pPr>
        <w:spacing w:before="0" w:after="0"/>
        <w:ind w:left="720" w:hanging="720"/>
        <w:rPr>
          <w:rFonts w:eastAsia="Aptos" w:cs="Arial"/>
          <w:noProof/>
          <w:sz w:val="22"/>
          <w:lang w:val="en-US"/>
        </w:rPr>
      </w:pPr>
      <w:r w:rsidRPr="0010068D">
        <w:rPr>
          <w:rFonts w:eastAsia="Aptos" w:cs="Arial"/>
          <w:noProof/>
          <w:sz w:val="22"/>
          <w:lang w:val="en-US"/>
        </w:rPr>
        <w:tab/>
      </w:r>
    </w:p>
    <w:p w14:paraId="21434427" w14:textId="77777777" w:rsidR="006C2502" w:rsidRDefault="0010068D" w:rsidP="0010068D">
      <w:pPr>
        <w:spacing w:before="0" w:after="160"/>
        <w:ind w:left="720" w:hanging="720"/>
        <w:rPr>
          <w:rFonts w:eastAsia="Aptos" w:cs="Arial"/>
          <w:noProof/>
          <w:sz w:val="22"/>
          <w:lang w:val="en-US"/>
        </w:rPr>
      </w:pPr>
      <w:r w:rsidRPr="0010068D">
        <w:rPr>
          <w:rFonts w:eastAsia="Aptos" w:cs="Arial"/>
          <w:noProof/>
          <w:sz w:val="22"/>
          <w:lang w:val="en-US"/>
        </w:rPr>
        <w:t xml:space="preserve">Silbereisen, R. K., &amp; Chen, X. (2010). </w:t>
      </w:r>
      <w:r w:rsidRPr="0010068D">
        <w:rPr>
          <w:rFonts w:eastAsia="Aptos" w:cs="Arial"/>
          <w:i/>
          <w:noProof/>
          <w:sz w:val="22"/>
          <w:lang w:val="en-US"/>
        </w:rPr>
        <w:t>Social change and human development: Concept and results</w:t>
      </w:r>
      <w:r w:rsidRPr="0010068D">
        <w:rPr>
          <w:rFonts w:eastAsia="Aptos" w:cs="Arial"/>
          <w:noProof/>
          <w:sz w:val="22"/>
          <w:lang w:val="en-US"/>
        </w:rPr>
        <w:t xml:space="preserve">. London, UK: Sage Publications. </w:t>
      </w:r>
      <w:hyperlink r:id="rId580" w:history="1">
        <w:r w:rsidR="006C2502" w:rsidRPr="0010068D">
          <w:rPr>
            <w:rStyle w:val="Hyperlink"/>
            <w:rFonts w:eastAsia="Aptos" w:cs="Arial"/>
            <w:noProof/>
            <w:sz w:val="22"/>
            <w:lang w:val="en-US"/>
          </w:rPr>
          <w:t>https://doi.org/10.4135/9781446252161</w:t>
        </w:r>
      </w:hyperlink>
      <w:r w:rsidR="006C2502">
        <w:rPr>
          <w:rFonts w:eastAsia="Aptos" w:cs="Arial"/>
          <w:noProof/>
          <w:sz w:val="22"/>
          <w:lang w:val="en-US"/>
        </w:rPr>
        <w:t xml:space="preserve"> </w:t>
      </w:r>
    </w:p>
    <w:p w14:paraId="182B8575" w14:textId="592FFE7F" w:rsidR="0010068D" w:rsidRPr="0010068D" w:rsidRDefault="0010068D" w:rsidP="0010068D">
      <w:pPr>
        <w:spacing w:before="0" w:after="160"/>
        <w:ind w:left="720" w:hanging="720"/>
        <w:rPr>
          <w:rFonts w:eastAsia="Aptos" w:cs="Arial"/>
          <w:noProof/>
          <w:sz w:val="22"/>
          <w:lang w:val="en-US"/>
        </w:rPr>
      </w:pPr>
      <w:r w:rsidRPr="0010068D">
        <w:rPr>
          <w:rFonts w:eastAsia="Aptos" w:cs="Arial"/>
          <w:noProof/>
          <w:sz w:val="22"/>
          <w:lang w:val="en-US"/>
        </w:rPr>
        <w:t xml:space="preserve"> </w:t>
      </w:r>
    </w:p>
    <w:p w14:paraId="342F104F" w14:textId="77777777" w:rsidR="00984ECB" w:rsidRPr="00984ECB" w:rsidRDefault="00984ECB" w:rsidP="00984ECB">
      <w:pPr>
        <w:spacing w:before="0" w:after="160"/>
        <w:ind w:left="720" w:hanging="720"/>
        <w:rPr>
          <w:rFonts w:eastAsia="Aptos" w:cs="Arial"/>
          <w:noProof/>
          <w:sz w:val="22"/>
          <w:lang w:val="en-US"/>
        </w:rPr>
      </w:pPr>
      <w:r w:rsidRPr="00984ECB">
        <w:rPr>
          <w:rFonts w:eastAsia="Aptos" w:cs="Arial"/>
          <w:noProof/>
          <w:sz w:val="22"/>
          <w:lang w:val="en-US"/>
        </w:rPr>
        <w:t xml:space="preserve">Silberman, S. (2015). </w:t>
      </w:r>
      <w:r w:rsidRPr="00984ECB">
        <w:rPr>
          <w:rFonts w:eastAsia="Aptos" w:cs="Arial"/>
          <w:i/>
          <w:noProof/>
          <w:sz w:val="22"/>
          <w:lang w:val="en-US"/>
        </w:rPr>
        <w:t>NeuroTribes: The legacy of autism and how to think smarter about people who think differently</w:t>
      </w:r>
      <w:r w:rsidRPr="00984ECB">
        <w:rPr>
          <w:rFonts w:eastAsia="Aptos" w:cs="Arial"/>
          <w:noProof/>
          <w:sz w:val="22"/>
          <w:lang w:val="en-US"/>
        </w:rPr>
        <w:t xml:space="preserve">. Crows Nest, NSW: Allen and Unwin. </w:t>
      </w:r>
    </w:p>
    <w:p w14:paraId="0C91766D" w14:textId="77777777" w:rsidR="00984ECB" w:rsidRPr="00984ECB" w:rsidRDefault="00984ECB" w:rsidP="00984ECB">
      <w:pPr>
        <w:spacing w:before="0" w:after="0"/>
        <w:ind w:left="720" w:hanging="720"/>
        <w:rPr>
          <w:rFonts w:eastAsia="Aptos" w:cs="Arial"/>
          <w:noProof/>
          <w:sz w:val="22"/>
          <w:lang w:val="en-US"/>
        </w:rPr>
      </w:pPr>
      <w:r w:rsidRPr="00984ECB">
        <w:rPr>
          <w:rFonts w:eastAsia="Aptos" w:cs="Arial"/>
          <w:noProof/>
          <w:sz w:val="22"/>
          <w:lang w:val="en-US"/>
        </w:rPr>
        <w:tab/>
      </w:r>
    </w:p>
    <w:p w14:paraId="4378F144" w14:textId="1A8FB5BA" w:rsidR="00984ECB" w:rsidRPr="00984ECB" w:rsidRDefault="00984ECB" w:rsidP="00984ECB">
      <w:pPr>
        <w:spacing w:before="0" w:after="160"/>
        <w:ind w:left="720" w:hanging="720"/>
        <w:rPr>
          <w:rFonts w:eastAsia="Aptos" w:cs="Arial"/>
          <w:noProof/>
          <w:sz w:val="22"/>
          <w:lang w:val="en-US"/>
        </w:rPr>
      </w:pPr>
      <w:r w:rsidRPr="00984ECB">
        <w:rPr>
          <w:rFonts w:eastAsia="Aptos" w:cs="Arial"/>
          <w:noProof/>
          <w:sz w:val="22"/>
          <w:lang w:val="en-US"/>
        </w:rPr>
        <w:t>Simeonsson, R. J. (2009). ICF</w:t>
      </w:r>
      <w:r w:rsidRPr="00984ECB">
        <w:rPr>
          <w:rFonts w:ascii="Cambria Math" w:eastAsia="Aptos" w:hAnsi="Cambria Math" w:cs="Cambria Math"/>
          <w:noProof/>
          <w:sz w:val="22"/>
          <w:lang w:val="en-US"/>
        </w:rPr>
        <w:t>‐</w:t>
      </w:r>
      <w:r w:rsidRPr="00984ECB">
        <w:rPr>
          <w:rFonts w:eastAsia="Aptos" w:cs="Arial"/>
          <w:noProof/>
          <w:sz w:val="22"/>
          <w:lang w:val="en-US"/>
        </w:rPr>
        <w:t xml:space="preserve">CY: a universal tool for documentation of disability. </w:t>
      </w:r>
      <w:r w:rsidRPr="00984ECB">
        <w:rPr>
          <w:rFonts w:eastAsia="Aptos" w:cs="Arial"/>
          <w:i/>
          <w:noProof/>
          <w:sz w:val="22"/>
          <w:lang w:val="en-US"/>
        </w:rPr>
        <w:t>Journal of Policy and Practice in Intellectual Disabilities</w:t>
      </w:r>
      <w:r w:rsidRPr="00984ECB">
        <w:rPr>
          <w:rFonts w:eastAsia="Aptos" w:cs="Arial"/>
          <w:noProof/>
          <w:sz w:val="22"/>
          <w:lang w:val="en-US"/>
        </w:rPr>
        <w:t>,</w:t>
      </w:r>
      <w:r w:rsidRPr="00984ECB">
        <w:rPr>
          <w:rFonts w:eastAsia="Aptos" w:cs="Arial"/>
          <w:i/>
          <w:noProof/>
          <w:sz w:val="22"/>
          <w:lang w:val="en-US"/>
        </w:rPr>
        <w:t xml:space="preserve"> 6</w:t>
      </w:r>
      <w:r w:rsidRPr="00984ECB">
        <w:rPr>
          <w:rFonts w:eastAsia="Aptos" w:cs="Arial"/>
          <w:noProof/>
          <w:sz w:val="22"/>
          <w:lang w:val="en-US"/>
        </w:rPr>
        <w:t xml:space="preserve">(2), 70-72. </w:t>
      </w:r>
      <w:hyperlink r:id="rId581" w:history="1">
        <w:r w:rsidR="006C2502" w:rsidRPr="00984ECB">
          <w:rPr>
            <w:rStyle w:val="Hyperlink"/>
            <w:rFonts w:eastAsia="Aptos" w:cs="Arial"/>
            <w:noProof/>
            <w:sz w:val="22"/>
            <w:lang w:val="en-US"/>
          </w:rPr>
          <w:t>https://doi.org/10.1111/j.1741-1130.2009.00215.x</w:t>
        </w:r>
      </w:hyperlink>
      <w:r w:rsidR="006C2502">
        <w:rPr>
          <w:rFonts w:eastAsia="Aptos" w:cs="Arial"/>
          <w:noProof/>
          <w:sz w:val="22"/>
          <w:lang w:val="en-US"/>
        </w:rPr>
        <w:t xml:space="preserve"> </w:t>
      </w:r>
      <w:r w:rsidRPr="00984ECB">
        <w:rPr>
          <w:rFonts w:eastAsia="Aptos" w:cs="Arial"/>
          <w:noProof/>
          <w:sz w:val="22"/>
          <w:lang w:val="en-US"/>
        </w:rPr>
        <w:t xml:space="preserve"> </w:t>
      </w:r>
    </w:p>
    <w:p w14:paraId="11CC83FD" w14:textId="77777777" w:rsidR="00984ECB" w:rsidRPr="00984ECB" w:rsidRDefault="00984ECB" w:rsidP="00984ECB">
      <w:pPr>
        <w:spacing w:before="0" w:after="0"/>
        <w:ind w:left="720" w:hanging="720"/>
        <w:rPr>
          <w:rFonts w:eastAsia="Aptos" w:cs="Arial"/>
          <w:noProof/>
          <w:sz w:val="22"/>
          <w:lang w:val="en-US"/>
        </w:rPr>
      </w:pPr>
      <w:r w:rsidRPr="00984ECB">
        <w:rPr>
          <w:rFonts w:eastAsia="Aptos" w:cs="Arial"/>
          <w:noProof/>
          <w:sz w:val="22"/>
          <w:lang w:val="en-US"/>
        </w:rPr>
        <w:tab/>
      </w:r>
    </w:p>
    <w:p w14:paraId="77CCDE11" w14:textId="77777777" w:rsidR="006C2502" w:rsidRDefault="00984ECB" w:rsidP="00984ECB">
      <w:pPr>
        <w:spacing w:before="0" w:after="160"/>
        <w:ind w:left="720" w:hanging="720"/>
        <w:rPr>
          <w:rFonts w:eastAsia="Aptos" w:cs="Arial"/>
          <w:noProof/>
          <w:sz w:val="22"/>
          <w:lang w:val="en-US"/>
        </w:rPr>
      </w:pPr>
      <w:r w:rsidRPr="00984ECB">
        <w:rPr>
          <w:rFonts w:eastAsia="Aptos" w:cs="Arial"/>
          <w:noProof/>
          <w:sz w:val="22"/>
          <w:lang w:val="en-US"/>
        </w:rPr>
        <w:t xml:space="preserve">Simpson, D. (2015). Coaching as a family-centred, occupational therapy intervention for autism: A literature review. </w:t>
      </w:r>
      <w:r w:rsidRPr="00984ECB">
        <w:rPr>
          <w:rFonts w:eastAsia="Aptos" w:cs="Arial"/>
          <w:i/>
          <w:noProof/>
          <w:sz w:val="22"/>
          <w:lang w:val="en-US"/>
        </w:rPr>
        <w:t>Journal of Occupational Therapy, Schools, &amp; Early Intervention</w:t>
      </w:r>
      <w:r w:rsidRPr="00984ECB">
        <w:rPr>
          <w:rFonts w:eastAsia="Aptos" w:cs="Arial"/>
          <w:noProof/>
          <w:sz w:val="22"/>
          <w:lang w:val="en-US"/>
        </w:rPr>
        <w:t>,</w:t>
      </w:r>
      <w:r w:rsidRPr="00984ECB">
        <w:rPr>
          <w:rFonts w:eastAsia="Aptos" w:cs="Arial"/>
          <w:i/>
          <w:noProof/>
          <w:sz w:val="22"/>
          <w:lang w:val="en-US"/>
        </w:rPr>
        <w:t xml:space="preserve"> 8</w:t>
      </w:r>
      <w:r w:rsidRPr="00984ECB">
        <w:rPr>
          <w:rFonts w:eastAsia="Aptos" w:cs="Arial"/>
          <w:noProof/>
          <w:sz w:val="22"/>
          <w:lang w:val="en-US"/>
        </w:rPr>
        <w:t xml:space="preserve">(2), 109-125. </w:t>
      </w:r>
      <w:hyperlink r:id="rId582" w:history="1">
        <w:r w:rsidR="006C2502" w:rsidRPr="00984ECB">
          <w:rPr>
            <w:rStyle w:val="Hyperlink"/>
            <w:rFonts w:eastAsia="Aptos" w:cs="Arial"/>
            <w:noProof/>
            <w:sz w:val="22"/>
            <w:lang w:val="en-US"/>
          </w:rPr>
          <w:t>https://doi.org/10.1080/19411243.2015.1040941</w:t>
        </w:r>
      </w:hyperlink>
      <w:r w:rsidR="006C2502">
        <w:rPr>
          <w:rFonts w:eastAsia="Aptos" w:cs="Arial"/>
          <w:noProof/>
          <w:sz w:val="22"/>
          <w:lang w:val="en-US"/>
        </w:rPr>
        <w:t xml:space="preserve"> </w:t>
      </w:r>
    </w:p>
    <w:p w14:paraId="6DF042EB" w14:textId="1E1A737A" w:rsidR="00984ECB" w:rsidRPr="00984ECB" w:rsidRDefault="00984ECB" w:rsidP="00984ECB">
      <w:pPr>
        <w:spacing w:before="0" w:after="160"/>
        <w:ind w:left="720" w:hanging="720"/>
        <w:rPr>
          <w:rFonts w:eastAsia="Aptos" w:cs="Arial"/>
          <w:noProof/>
          <w:sz w:val="22"/>
          <w:lang w:val="en-US"/>
        </w:rPr>
      </w:pPr>
      <w:r w:rsidRPr="00984ECB">
        <w:rPr>
          <w:rFonts w:eastAsia="Aptos" w:cs="Arial"/>
          <w:noProof/>
          <w:sz w:val="22"/>
          <w:lang w:val="en-US"/>
        </w:rPr>
        <w:t xml:space="preserve"> </w:t>
      </w:r>
    </w:p>
    <w:p w14:paraId="5F93FC86" w14:textId="227DA2DB" w:rsidR="00E06DB4" w:rsidRPr="00E06DB4" w:rsidRDefault="00E06DB4" w:rsidP="00E06DB4">
      <w:pPr>
        <w:spacing w:before="0" w:after="160"/>
        <w:ind w:left="720" w:hanging="720"/>
        <w:rPr>
          <w:rFonts w:eastAsia="Aptos" w:cs="Arial"/>
          <w:noProof/>
          <w:sz w:val="22"/>
          <w:lang w:val="en-US"/>
        </w:rPr>
      </w:pPr>
      <w:r w:rsidRPr="00E06DB4">
        <w:rPr>
          <w:rFonts w:eastAsia="Aptos" w:cs="Arial"/>
          <w:noProof/>
          <w:sz w:val="22"/>
          <w:lang w:val="en-US"/>
        </w:rPr>
        <w:t xml:space="preserve">Slay, J., &amp; Stephens, L. (2013). </w:t>
      </w:r>
      <w:r w:rsidRPr="00E06DB4">
        <w:rPr>
          <w:rFonts w:eastAsia="Aptos" w:cs="Arial"/>
          <w:i/>
          <w:noProof/>
          <w:sz w:val="22"/>
          <w:lang w:val="en-US"/>
        </w:rPr>
        <w:t>Co-production in mental health: A literature review</w:t>
      </w:r>
      <w:r w:rsidRPr="00E06DB4">
        <w:rPr>
          <w:rFonts w:eastAsia="Aptos" w:cs="Arial"/>
          <w:noProof/>
          <w:sz w:val="22"/>
          <w:lang w:val="en-US"/>
        </w:rPr>
        <w:t xml:space="preserve">. London, UK: New Economics Foundation. Retrieved 6 September, 2024 from </w:t>
      </w:r>
      <w:hyperlink r:id="rId583" w:history="1">
        <w:r w:rsidR="006C2502" w:rsidRPr="00E06DB4">
          <w:rPr>
            <w:rStyle w:val="Hyperlink"/>
            <w:rFonts w:eastAsia="Aptos" w:cs="Arial"/>
            <w:noProof/>
            <w:sz w:val="22"/>
            <w:lang w:val="en-US"/>
          </w:rPr>
          <w:t>http://www.neweconomics.org/publications/entry/co-production-in-mental-health-a-literature-review</w:t>
        </w:r>
      </w:hyperlink>
      <w:r w:rsidR="006C2502">
        <w:rPr>
          <w:rFonts w:eastAsia="Aptos" w:cs="Arial"/>
          <w:noProof/>
          <w:sz w:val="22"/>
          <w:lang w:val="en-US"/>
        </w:rPr>
        <w:t xml:space="preserve"> </w:t>
      </w:r>
    </w:p>
    <w:p w14:paraId="4B4B8A2E" w14:textId="77777777" w:rsidR="00E06DB4" w:rsidRPr="00E06DB4" w:rsidRDefault="00E06DB4" w:rsidP="00E06DB4">
      <w:pPr>
        <w:spacing w:before="0" w:after="0"/>
        <w:ind w:left="720" w:hanging="720"/>
        <w:rPr>
          <w:rFonts w:eastAsia="Aptos" w:cs="Arial"/>
          <w:noProof/>
          <w:sz w:val="22"/>
          <w:lang w:val="en-US"/>
        </w:rPr>
      </w:pPr>
      <w:r w:rsidRPr="00E06DB4">
        <w:rPr>
          <w:rFonts w:eastAsia="Aptos" w:cs="Arial"/>
          <w:noProof/>
          <w:sz w:val="22"/>
          <w:lang w:val="en-US"/>
        </w:rPr>
        <w:tab/>
      </w:r>
    </w:p>
    <w:p w14:paraId="2C00D6F6" w14:textId="17E44FAF" w:rsidR="00E06DB4" w:rsidRPr="00E06DB4" w:rsidRDefault="00E06DB4" w:rsidP="00E06DB4">
      <w:pPr>
        <w:spacing w:before="0" w:after="160"/>
        <w:ind w:left="720" w:hanging="720"/>
        <w:rPr>
          <w:rFonts w:eastAsia="Aptos" w:cs="Arial"/>
          <w:noProof/>
          <w:sz w:val="22"/>
          <w:lang w:val="en-US"/>
        </w:rPr>
      </w:pPr>
      <w:r w:rsidRPr="00E06DB4">
        <w:rPr>
          <w:rFonts w:eastAsia="Aptos" w:cs="Arial"/>
          <w:noProof/>
          <w:sz w:val="22"/>
          <w:lang w:val="en-US"/>
        </w:rPr>
        <w:t xml:space="preserve">Slopen, N., &amp; Heard-Garris, N. (2022). Structural racism and pediatric health — a call for research to confront the origins of racial disparities in health. </w:t>
      </w:r>
      <w:r w:rsidRPr="00E06DB4">
        <w:rPr>
          <w:rFonts w:eastAsia="Aptos" w:cs="Arial"/>
          <w:i/>
          <w:noProof/>
          <w:sz w:val="22"/>
          <w:lang w:val="en-US"/>
        </w:rPr>
        <w:t>JAMA pediatrics</w:t>
      </w:r>
      <w:r w:rsidRPr="00E06DB4">
        <w:rPr>
          <w:rFonts w:eastAsia="Aptos" w:cs="Arial"/>
          <w:noProof/>
          <w:sz w:val="22"/>
          <w:lang w:val="en-US"/>
        </w:rPr>
        <w:t>,</w:t>
      </w:r>
      <w:r w:rsidRPr="00E06DB4">
        <w:rPr>
          <w:rFonts w:eastAsia="Aptos" w:cs="Arial"/>
          <w:i/>
          <w:noProof/>
          <w:sz w:val="22"/>
          <w:lang w:val="en-US"/>
        </w:rPr>
        <w:t xml:space="preserve"> 176</w:t>
      </w:r>
      <w:r w:rsidRPr="00E06DB4">
        <w:rPr>
          <w:rFonts w:eastAsia="Aptos" w:cs="Arial"/>
          <w:noProof/>
          <w:sz w:val="22"/>
          <w:lang w:val="en-US"/>
        </w:rPr>
        <w:t xml:space="preserve">(1), 13-15. </w:t>
      </w:r>
      <w:hyperlink r:id="rId584" w:history="1">
        <w:r w:rsidR="006C2502" w:rsidRPr="00E06DB4">
          <w:rPr>
            <w:rStyle w:val="Hyperlink"/>
            <w:rFonts w:eastAsia="Aptos" w:cs="Arial"/>
            <w:noProof/>
            <w:sz w:val="22"/>
            <w:lang w:val="en-US"/>
          </w:rPr>
          <w:t>https://doi.org/10.1001/jamapediatrics.2021.3594</w:t>
        </w:r>
      </w:hyperlink>
      <w:r w:rsidR="006C2502">
        <w:rPr>
          <w:rFonts w:eastAsia="Aptos" w:cs="Arial"/>
          <w:noProof/>
          <w:sz w:val="22"/>
          <w:lang w:val="en-US"/>
        </w:rPr>
        <w:t xml:space="preserve"> </w:t>
      </w:r>
      <w:r w:rsidRPr="00E06DB4">
        <w:rPr>
          <w:rFonts w:eastAsia="Aptos" w:cs="Arial"/>
          <w:noProof/>
          <w:sz w:val="22"/>
          <w:lang w:val="en-US"/>
        </w:rPr>
        <w:t xml:space="preserve"> </w:t>
      </w:r>
    </w:p>
    <w:p w14:paraId="3CF4A5BB" w14:textId="55A42806" w:rsidR="00171991" w:rsidRPr="00171991" w:rsidRDefault="00171991" w:rsidP="00171991">
      <w:pPr>
        <w:spacing w:before="0" w:after="160"/>
        <w:ind w:left="720" w:hanging="720"/>
        <w:rPr>
          <w:rFonts w:eastAsia="Aptos" w:cs="Arial"/>
          <w:noProof/>
          <w:sz w:val="22"/>
          <w:lang w:val="en-US"/>
        </w:rPr>
      </w:pPr>
      <w:r w:rsidRPr="00171991">
        <w:rPr>
          <w:rFonts w:eastAsia="Aptos" w:cs="Arial"/>
          <w:noProof/>
          <w:sz w:val="22"/>
          <w:lang w:val="en-US"/>
        </w:rPr>
        <w:t xml:space="preserve">Smith, B. J., Fox, L., Dunlap, G., Strain, P., Trivette, C. M., Perez Binder, D., Bovey, T., McCullough, K., &amp; Blase, K. (2015). </w:t>
      </w:r>
      <w:r w:rsidRPr="00171991">
        <w:rPr>
          <w:rFonts w:eastAsia="Aptos" w:cs="Arial"/>
          <w:i/>
          <w:noProof/>
          <w:sz w:val="22"/>
          <w:lang w:val="en-US"/>
        </w:rPr>
        <w:t>Planning guide to statewide implementation, scale-up, and sustainability of recommended practices. RP 2: Reaching potentials through recommended practices</w:t>
      </w:r>
      <w:r w:rsidRPr="00171991">
        <w:rPr>
          <w:rFonts w:eastAsia="Aptos" w:cs="Arial"/>
          <w:noProof/>
          <w:sz w:val="22"/>
          <w:lang w:val="en-US"/>
        </w:rPr>
        <w:t xml:space="preserve">. Early Childhood Technical Assistance Center. Retrieved 6 September, 2024 from </w:t>
      </w:r>
      <w:hyperlink r:id="rId585" w:history="1">
        <w:r w:rsidR="006C2502" w:rsidRPr="00171991">
          <w:rPr>
            <w:rStyle w:val="Hyperlink"/>
            <w:rFonts w:eastAsia="Aptos" w:cs="Arial"/>
            <w:noProof/>
            <w:sz w:val="22"/>
            <w:lang w:val="en-US"/>
          </w:rPr>
          <w:t>https://files.eric.ed.gov/fulltext/ED575699.pdf</w:t>
        </w:r>
      </w:hyperlink>
      <w:r w:rsidR="006C2502">
        <w:rPr>
          <w:rFonts w:eastAsia="Aptos" w:cs="Arial"/>
          <w:noProof/>
          <w:sz w:val="22"/>
          <w:lang w:val="en-US"/>
        </w:rPr>
        <w:t xml:space="preserve"> </w:t>
      </w:r>
    </w:p>
    <w:p w14:paraId="1086D2CD" w14:textId="77777777" w:rsidR="00171991" w:rsidRPr="00171991" w:rsidRDefault="00171991" w:rsidP="00171991">
      <w:pPr>
        <w:spacing w:before="0" w:after="0"/>
        <w:ind w:left="720" w:hanging="720"/>
        <w:rPr>
          <w:rFonts w:eastAsia="Aptos" w:cs="Arial"/>
          <w:noProof/>
          <w:sz w:val="22"/>
          <w:lang w:val="en-US"/>
        </w:rPr>
      </w:pPr>
      <w:r w:rsidRPr="00171991">
        <w:rPr>
          <w:rFonts w:eastAsia="Aptos" w:cs="Arial"/>
          <w:noProof/>
          <w:sz w:val="22"/>
          <w:lang w:val="en-US"/>
        </w:rPr>
        <w:tab/>
      </w:r>
    </w:p>
    <w:p w14:paraId="1F51AA1D" w14:textId="12C56F63" w:rsidR="00171991" w:rsidRPr="00171991" w:rsidRDefault="00171991" w:rsidP="00171991">
      <w:pPr>
        <w:spacing w:before="0" w:after="160"/>
        <w:ind w:left="720" w:hanging="720"/>
        <w:rPr>
          <w:rFonts w:eastAsia="Aptos" w:cs="Arial"/>
          <w:noProof/>
          <w:sz w:val="22"/>
          <w:lang w:val="en-US"/>
        </w:rPr>
      </w:pPr>
      <w:r w:rsidRPr="00171991">
        <w:rPr>
          <w:rFonts w:eastAsia="Aptos" w:cs="Arial"/>
          <w:noProof/>
          <w:sz w:val="22"/>
          <w:lang w:val="en-US"/>
        </w:rPr>
        <w:t xml:space="preserve">Smith, B. J., Fox, L., Strain, P., Binder, D. P., Bovey, T., Jones, A., McCullough, K., Veguilla, M., Dunlap, G., Blase, K., Trivette, C. M., Shapland, D., &amp; Danaher, J. (2018). </w:t>
      </w:r>
      <w:r w:rsidRPr="00171991">
        <w:rPr>
          <w:rFonts w:eastAsia="Aptos" w:cs="Arial"/>
          <w:i/>
          <w:noProof/>
          <w:sz w:val="22"/>
          <w:lang w:val="en-US"/>
        </w:rPr>
        <w:t>Statewide implementation guide</w:t>
      </w:r>
      <w:r w:rsidRPr="00171991">
        <w:rPr>
          <w:rFonts w:eastAsia="Aptos" w:cs="Arial"/>
          <w:noProof/>
          <w:sz w:val="22"/>
          <w:lang w:val="en-US"/>
        </w:rPr>
        <w:t xml:space="preserve">. Early Childhood Technical Assistance Center. Retrieved 6 September, 2024 from </w:t>
      </w:r>
      <w:hyperlink r:id="rId586" w:history="1">
        <w:r w:rsidR="006C2502" w:rsidRPr="00171991">
          <w:rPr>
            <w:rStyle w:val="Hyperlink"/>
            <w:rFonts w:eastAsia="Aptos" w:cs="Arial"/>
            <w:noProof/>
            <w:sz w:val="22"/>
            <w:lang w:val="en-US"/>
          </w:rPr>
          <w:t>https://ectacenter.org/sig/</w:t>
        </w:r>
      </w:hyperlink>
      <w:r w:rsidR="006C2502">
        <w:rPr>
          <w:rFonts w:eastAsia="Aptos" w:cs="Arial"/>
          <w:noProof/>
          <w:sz w:val="22"/>
          <w:lang w:val="en-US"/>
        </w:rPr>
        <w:t xml:space="preserve"> </w:t>
      </w:r>
    </w:p>
    <w:p w14:paraId="1AF7D163" w14:textId="77777777" w:rsidR="00171991" w:rsidRPr="00171991" w:rsidRDefault="00171991" w:rsidP="00171991">
      <w:pPr>
        <w:spacing w:before="0" w:after="0"/>
        <w:ind w:left="720" w:hanging="720"/>
        <w:rPr>
          <w:rFonts w:eastAsia="Aptos" w:cs="Arial"/>
          <w:noProof/>
          <w:sz w:val="22"/>
          <w:lang w:val="en-US"/>
        </w:rPr>
      </w:pPr>
      <w:r w:rsidRPr="00171991">
        <w:rPr>
          <w:rFonts w:eastAsia="Aptos" w:cs="Arial"/>
          <w:noProof/>
          <w:sz w:val="22"/>
          <w:lang w:val="en-US"/>
        </w:rPr>
        <w:tab/>
      </w:r>
    </w:p>
    <w:p w14:paraId="302874F1" w14:textId="59525474" w:rsidR="00171991" w:rsidRPr="00171991" w:rsidRDefault="00171991" w:rsidP="00171991">
      <w:pPr>
        <w:spacing w:before="0" w:after="160"/>
        <w:ind w:left="720" w:hanging="720"/>
        <w:rPr>
          <w:rFonts w:eastAsia="Aptos" w:cs="Arial"/>
          <w:noProof/>
          <w:sz w:val="22"/>
          <w:lang w:val="en-US"/>
        </w:rPr>
      </w:pPr>
      <w:r w:rsidRPr="00171991">
        <w:rPr>
          <w:rFonts w:eastAsia="Aptos" w:cs="Arial"/>
          <w:noProof/>
          <w:sz w:val="22"/>
          <w:lang w:val="en-US"/>
        </w:rPr>
        <w:t xml:space="preserve">Smith, B. J., Strain, P. S., Snyder, P., Sandall, S. R., McLean, M. E., Ramsey, A. B., &amp; Sumi, W. C. (2002). DEC recommended practices: A review of 9 years of EIlECSE research literature. </w:t>
      </w:r>
      <w:r w:rsidRPr="00171991">
        <w:rPr>
          <w:rFonts w:eastAsia="Aptos" w:cs="Arial"/>
          <w:i/>
          <w:noProof/>
          <w:sz w:val="22"/>
          <w:lang w:val="en-US"/>
        </w:rPr>
        <w:t>Journal of Early Intervention</w:t>
      </w:r>
      <w:r w:rsidRPr="00171991">
        <w:rPr>
          <w:rFonts w:eastAsia="Aptos" w:cs="Arial"/>
          <w:noProof/>
          <w:sz w:val="22"/>
          <w:lang w:val="en-US"/>
        </w:rPr>
        <w:t>,</w:t>
      </w:r>
      <w:r w:rsidRPr="00171991">
        <w:rPr>
          <w:rFonts w:eastAsia="Aptos" w:cs="Arial"/>
          <w:i/>
          <w:noProof/>
          <w:sz w:val="22"/>
          <w:lang w:val="en-US"/>
        </w:rPr>
        <w:t xml:space="preserve"> 25</w:t>
      </w:r>
      <w:r w:rsidRPr="00171991">
        <w:rPr>
          <w:rFonts w:eastAsia="Aptos" w:cs="Arial"/>
          <w:noProof/>
          <w:sz w:val="22"/>
          <w:lang w:val="en-US"/>
        </w:rPr>
        <w:t xml:space="preserve">(2), 108-119. </w:t>
      </w:r>
      <w:hyperlink r:id="rId587" w:history="1">
        <w:r w:rsidR="006C2502" w:rsidRPr="00171991">
          <w:rPr>
            <w:rStyle w:val="Hyperlink"/>
            <w:rFonts w:eastAsia="Aptos" w:cs="Arial"/>
            <w:noProof/>
            <w:sz w:val="22"/>
            <w:lang w:val="en-US"/>
          </w:rPr>
          <w:t>https://doi.org/10.1177/105381510202500208</w:t>
        </w:r>
      </w:hyperlink>
      <w:r w:rsidR="006C2502">
        <w:rPr>
          <w:rFonts w:eastAsia="Aptos" w:cs="Arial"/>
          <w:noProof/>
          <w:sz w:val="22"/>
          <w:lang w:val="en-US"/>
        </w:rPr>
        <w:t xml:space="preserve"> </w:t>
      </w:r>
      <w:r w:rsidRPr="00171991">
        <w:rPr>
          <w:rFonts w:eastAsia="Aptos" w:cs="Arial"/>
          <w:noProof/>
          <w:sz w:val="22"/>
          <w:lang w:val="en-US"/>
        </w:rPr>
        <w:t xml:space="preserve"> </w:t>
      </w:r>
    </w:p>
    <w:p w14:paraId="1B1B2150" w14:textId="77777777" w:rsidR="00171991" w:rsidRPr="00171991" w:rsidRDefault="00171991" w:rsidP="00171991">
      <w:pPr>
        <w:spacing w:before="0" w:after="0"/>
        <w:ind w:left="720" w:hanging="720"/>
        <w:rPr>
          <w:rFonts w:eastAsia="Aptos" w:cs="Arial"/>
          <w:noProof/>
          <w:sz w:val="22"/>
          <w:lang w:val="en-US"/>
        </w:rPr>
      </w:pPr>
      <w:r w:rsidRPr="00171991">
        <w:rPr>
          <w:rFonts w:eastAsia="Aptos" w:cs="Arial"/>
          <w:noProof/>
          <w:sz w:val="22"/>
          <w:lang w:val="en-US"/>
        </w:rPr>
        <w:tab/>
      </w:r>
    </w:p>
    <w:p w14:paraId="7AD9B2C8" w14:textId="5819DF49" w:rsidR="00171991" w:rsidRPr="00171991" w:rsidRDefault="00171991" w:rsidP="00171991">
      <w:pPr>
        <w:spacing w:before="0" w:after="160"/>
        <w:ind w:left="720" w:hanging="720"/>
        <w:rPr>
          <w:rFonts w:eastAsia="Aptos" w:cs="Arial"/>
          <w:noProof/>
          <w:sz w:val="22"/>
          <w:lang w:val="en-US"/>
        </w:rPr>
      </w:pPr>
      <w:r w:rsidRPr="00171991">
        <w:rPr>
          <w:rFonts w:eastAsia="Aptos" w:cs="Arial"/>
          <w:noProof/>
          <w:sz w:val="22"/>
          <w:lang w:val="en-US"/>
        </w:rPr>
        <w:t xml:space="preserve">Smith, H., Black, M. H., Thompson, C., Falkmer, M., Falkmer, T., Girdler, S., &amp; Milbourn, B. (2023). Exploration of caregiver experiences of reported first signs of autism. </w:t>
      </w:r>
      <w:r w:rsidRPr="00171991">
        <w:rPr>
          <w:rFonts w:eastAsia="Aptos" w:cs="Arial"/>
          <w:i/>
          <w:noProof/>
          <w:sz w:val="22"/>
          <w:lang w:val="en-US"/>
        </w:rPr>
        <w:t>Child: care, health and development</w:t>
      </w:r>
      <w:r w:rsidRPr="00171991">
        <w:rPr>
          <w:rFonts w:eastAsia="Aptos" w:cs="Arial"/>
          <w:noProof/>
          <w:sz w:val="22"/>
          <w:lang w:val="en-US"/>
        </w:rPr>
        <w:t>,</w:t>
      </w:r>
      <w:r w:rsidRPr="00171991">
        <w:rPr>
          <w:rFonts w:eastAsia="Aptos" w:cs="Arial"/>
          <w:i/>
          <w:noProof/>
          <w:sz w:val="22"/>
          <w:lang w:val="en-US"/>
        </w:rPr>
        <w:t xml:space="preserve"> 49</w:t>
      </w:r>
      <w:r w:rsidRPr="00171991">
        <w:rPr>
          <w:rFonts w:eastAsia="Aptos" w:cs="Arial"/>
          <w:noProof/>
          <w:sz w:val="22"/>
          <w:lang w:val="en-US"/>
        </w:rPr>
        <w:t xml:space="preserve">(5), 879-888. </w:t>
      </w:r>
      <w:hyperlink r:id="rId588" w:history="1">
        <w:r w:rsidR="006C2502" w:rsidRPr="00171991">
          <w:rPr>
            <w:rStyle w:val="Hyperlink"/>
            <w:rFonts w:eastAsia="Aptos" w:cs="Arial"/>
            <w:noProof/>
            <w:sz w:val="22"/>
            <w:lang w:val="en-US"/>
          </w:rPr>
          <w:t>https://doi.org/10.1111/cch.13096</w:t>
        </w:r>
      </w:hyperlink>
      <w:r w:rsidR="006C2502">
        <w:rPr>
          <w:rFonts w:eastAsia="Aptos" w:cs="Arial"/>
          <w:noProof/>
          <w:sz w:val="22"/>
          <w:lang w:val="en-US"/>
        </w:rPr>
        <w:t xml:space="preserve"> </w:t>
      </w:r>
      <w:r w:rsidRPr="00171991">
        <w:rPr>
          <w:rFonts w:eastAsia="Aptos" w:cs="Arial"/>
          <w:noProof/>
          <w:sz w:val="22"/>
          <w:lang w:val="en-US"/>
        </w:rPr>
        <w:t xml:space="preserve"> </w:t>
      </w:r>
    </w:p>
    <w:p w14:paraId="0CAC8FC1" w14:textId="77777777" w:rsidR="00171991" w:rsidRPr="00171991" w:rsidRDefault="00171991" w:rsidP="00171991">
      <w:pPr>
        <w:spacing w:before="0" w:after="0"/>
        <w:ind w:left="720" w:hanging="720"/>
        <w:rPr>
          <w:rFonts w:eastAsia="Aptos" w:cs="Arial"/>
          <w:noProof/>
          <w:sz w:val="22"/>
          <w:lang w:val="en-US"/>
        </w:rPr>
      </w:pPr>
      <w:r w:rsidRPr="00171991">
        <w:rPr>
          <w:rFonts w:eastAsia="Aptos" w:cs="Arial"/>
          <w:noProof/>
          <w:sz w:val="22"/>
          <w:lang w:val="en-US"/>
        </w:rPr>
        <w:tab/>
      </w:r>
    </w:p>
    <w:p w14:paraId="5313A492" w14:textId="46A5DB74" w:rsidR="00171991" w:rsidRPr="00171991" w:rsidRDefault="00171991" w:rsidP="00171991">
      <w:pPr>
        <w:spacing w:before="0" w:after="160"/>
        <w:ind w:left="720" w:hanging="720"/>
        <w:rPr>
          <w:rFonts w:eastAsia="Aptos" w:cs="Arial"/>
          <w:noProof/>
          <w:sz w:val="22"/>
          <w:lang w:val="en-US"/>
        </w:rPr>
      </w:pPr>
      <w:r w:rsidRPr="00171991">
        <w:rPr>
          <w:rFonts w:eastAsia="Aptos" w:cs="Arial"/>
          <w:noProof/>
          <w:sz w:val="22"/>
          <w:lang w:val="en-US"/>
        </w:rPr>
        <w:t xml:space="preserve">Smith, J., Halliwell, N., Laurent, A., Tsotsoros, J., Harris, K., &amp; DeGrace, B. (2023). Social participation experiences of families raising a young child with autism spectrum disorder: Implications for mental health and well-being. </w:t>
      </w:r>
      <w:r w:rsidRPr="00171991">
        <w:rPr>
          <w:rFonts w:eastAsia="Aptos" w:cs="Arial"/>
          <w:i/>
          <w:noProof/>
          <w:sz w:val="22"/>
          <w:lang w:val="en-US"/>
        </w:rPr>
        <w:t>The American Journal of Occupational Therapy</w:t>
      </w:r>
      <w:r w:rsidRPr="00171991">
        <w:rPr>
          <w:rFonts w:eastAsia="Aptos" w:cs="Arial"/>
          <w:noProof/>
          <w:sz w:val="22"/>
          <w:lang w:val="en-US"/>
        </w:rPr>
        <w:t>,</w:t>
      </w:r>
      <w:r w:rsidRPr="00171991">
        <w:rPr>
          <w:rFonts w:eastAsia="Aptos" w:cs="Arial"/>
          <w:i/>
          <w:noProof/>
          <w:sz w:val="22"/>
          <w:lang w:val="en-US"/>
        </w:rPr>
        <w:t xml:space="preserve"> 77</w:t>
      </w:r>
      <w:r w:rsidRPr="00171991">
        <w:rPr>
          <w:rFonts w:eastAsia="Aptos" w:cs="Arial"/>
          <w:noProof/>
          <w:sz w:val="22"/>
          <w:lang w:val="en-US"/>
        </w:rPr>
        <w:t xml:space="preserve">(2), 7702185090. </w:t>
      </w:r>
      <w:hyperlink r:id="rId589" w:history="1">
        <w:r w:rsidR="006C2502" w:rsidRPr="00171991">
          <w:rPr>
            <w:rStyle w:val="Hyperlink"/>
            <w:rFonts w:eastAsia="Aptos" w:cs="Arial"/>
            <w:noProof/>
            <w:sz w:val="22"/>
            <w:lang w:val="en-US"/>
          </w:rPr>
          <w:t>https://doi.org/10.5014/ajot.2023.050156</w:t>
        </w:r>
      </w:hyperlink>
      <w:r w:rsidR="006C2502">
        <w:rPr>
          <w:rFonts w:eastAsia="Aptos" w:cs="Arial"/>
          <w:noProof/>
          <w:sz w:val="22"/>
          <w:lang w:val="en-US"/>
        </w:rPr>
        <w:t xml:space="preserve"> </w:t>
      </w:r>
      <w:r w:rsidRPr="00171991">
        <w:rPr>
          <w:rFonts w:eastAsia="Aptos" w:cs="Arial"/>
          <w:noProof/>
          <w:sz w:val="22"/>
          <w:lang w:val="en-US"/>
        </w:rPr>
        <w:t xml:space="preserve"> </w:t>
      </w:r>
    </w:p>
    <w:p w14:paraId="339D5D7D" w14:textId="77777777" w:rsidR="00171991" w:rsidRPr="00171991" w:rsidRDefault="00171991" w:rsidP="00171991">
      <w:pPr>
        <w:spacing w:before="0" w:after="0"/>
        <w:ind w:left="720" w:hanging="720"/>
        <w:rPr>
          <w:rFonts w:eastAsia="Aptos" w:cs="Arial"/>
          <w:noProof/>
          <w:sz w:val="22"/>
          <w:lang w:val="en-US"/>
        </w:rPr>
      </w:pPr>
      <w:r w:rsidRPr="00171991">
        <w:rPr>
          <w:rFonts w:eastAsia="Aptos" w:cs="Arial"/>
          <w:noProof/>
          <w:sz w:val="22"/>
          <w:lang w:val="en-US"/>
        </w:rPr>
        <w:tab/>
      </w:r>
    </w:p>
    <w:p w14:paraId="37186631" w14:textId="77777777" w:rsidR="00171991" w:rsidRPr="00171991" w:rsidRDefault="00171991" w:rsidP="00171991">
      <w:pPr>
        <w:spacing w:before="0" w:after="160"/>
        <w:ind w:left="720" w:hanging="720"/>
        <w:rPr>
          <w:rFonts w:eastAsia="Aptos" w:cs="Arial"/>
          <w:noProof/>
          <w:sz w:val="22"/>
          <w:lang w:val="en-US"/>
        </w:rPr>
      </w:pPr>
      <w:r w:rsidRPr="00171991">
        <w:rPr>
          <w:rFonts w:eastAsia="Aptos" w:cs="Arial"/>
          <w:noProof/>
          <w:sz w:val="22"/>
          <w:lang w:val="en-US"/>
        </w:rPr>
        <w:t xml:space="preserve">Smith, P. (2021). Cultural safety: Moving beyond cultural competence. </w:t>
      </w:r>
      <w:r w:rsidRPr="00171991">
        <w:rPr>
          <w:rFonts w:eastAsia="Aptos" w:cs="Arial"/>
          <w:i/>
          <w:noProof/>
          <w:sz w:val="22"/>
          <w:lang w:val="en-US"/>
        </w:rPr>
        <w:t>InPsych: Bulletin of the Australian Psychological Society</w:t>
      </w:r>
      <w:r w:rsidRPr="00171991">
        <w:rPr>
          <w:rFonts w:eastAsia="Aptos" w:cs="Arial"/>
          <w:noProof/>
          <w:sz w:val="22"/>
          <w:lang w:val="en-US"/>
        </w:rPr>
        <w:t>,</w:t>
      </w:r>
      <w:r w:rsidRPr="00171991">
        <w:rPr>
          <w:rFonts w:eastAsia="Aptos" w:cs="Arial"/>
          <w:i/>
          <w:noProof/>
          <w:sz w:val="22"/>
          <w:lang w:val="en-US"/>
        </w:rPr>
        <w:t xml:space="preserve"> 43</w:t>
      </w:r>
      <w:r w:rsidRPr="00171991">
        <w:rPr>
          <w:rFonts w:eastAsia="Aptos" w:cs="Arial"/>
          <w:noProof/>
          <w:sz w:val="22"/>
          <w:lang w:val="en-US"/>
        </w:rPr>
        <w:t xml:space="preserve">(1), 29-33. </w:t>
      </w:r>
    </w:p>
    <w:p w14:paraId="3E154137" w14:textId="77777777" w:rsidR="00171991" w:rsidRPr="00171991" w:rsidRDefault="00171991" w:rsidP="00171991">
      <w:pPr>
        <w:spacing w:before="0" w:after="0"/>
        <w:ind w:left="720" w:hanging="720"/>
        <w:rPr>
          <w:rFonts w:eastAsia="Aptos" w:cs="Arial"/>
          <w:noProof/>
          <w:sz w:val="22"/>
          <w:lang w:val="en-US"/>
        </w:rPr>
      </w:pPr>
      <w:r w:rsidRPr="00171991">
        <w:rPr>
          <w:rFonts w:eastAsia="Aptos" w:cs="Arial"/>
          <w:noProof/>
          <w:sz w:val="22"/>
          <w:lang w:val="en-US"/>
        </w:rPr>
        <w:tab/>
      </w:r>
    </w:p>
    <w:p w14:paraId="5073A589" w14:textId="714F0F01" w:rsidR="00171991" w:rsidRPr="00171991" w:rsidRDefault="00171991" w:rsidP="00171991">
      <w:pPr>
        <w:spacing w:before="0" w:after="160"/>
        <w:ind w:left="720" w:hanging="720"/>
        <w:rPr>
          <w:rFonts w:eastAsia="Aptos" w:cs="Arial"/>
          <w:noProof/>
          <w:sz w:val="22"/>
          <w:lang w:val="en-US"/>
        </w:rPr>
      </w:pPr>
      <w:r w:rsidRPr="00171991">
        <w:rPr>
          <w:rFonts w:eastAsia="Aptos" w:cs="Arial"/>
          <w:noProof/>
          <w:sz w:val="22"/>
          <w:lang w:val="en-US"/>
        </w:rPr>
        <w:t xml:space="preserve">Smith, V., Devane, D., Begley, C. M., &amp; Clarke, M. (2011). Methodology in conducting a systematic review of systematic reviews of healthcare interventions. </w:t>
      </w:r>
      <w:r w:rsidRPr="00171991">
        <w:rPr>
          <w:rFonts w:eastAsia="Aptos" w:cs="Arial"/>
          <w:i/>
          <w:noProof/>
          <w:sz w:val="22"/>
          <w:lang w:val="en-US"/>
        </w:rPr>
        <w:t>BMC Medical Research Methodology</w:t>
      </w:r>
      <w:r w:rsidRPr="00171991">
        <w:rPr>
          <w:rFonts w:eastAsia="Aptos" w:cs="Arial"/>
          <w:noProof/>
          <w:sz w:val="22"/>
          <w:lang w:val="en-US"/>
        </w:rPr>
        <w:t>,</w:t>
      </w:r>
      <w:r w:rsidRPr="00171991">
        <w:rPr>
          <w:rFonts w:eastAsia="Aptos" w:cs="Arial"/>
          <w:i/>
          <w:noProof/>
          <w:sz w:val="22"/>
          <w:lang w:val="en-US"/>
        </w:rPr>
        <w:t xml:space="preserve"> 11</w:t>
      </w:r>
      <w:r w:rsidRPr="00171991">
        <w:rPr>
          <w:rFonts w:eastAsia="Aptos" w:cs="Arial"/>
          <w:noProof/>
          <w:sz w:val="22"/>
          <w:lang w:val="en-US"/>
        </w:rPr>
        <w:t xml:space="preserve">(1), 15. </w:t>
      </w:r>
      <w:hyperlink r:id="rId590" w:history="1">
        <w:r w:rsidR="006C2502" w:rsidRPr="00171991">
          <w:rPr>
            <w:rStyle w:val="Hyperlink"/>
            <w:rFonts w:eastAsia="Aptos" w:cs="Arial"/>
            <w:noProof/>
            <w:sz w:val="22"/>
            <w:lang w:val="en-US"/>
          </w:rPr>
          <w:t>https://doi.org/10.1186/1471-2288-11-15</w:t>
        </w:r>
      </w:hyperlink>
      <w:r w:rsidR="006C2502">
        <w:rPr>
          <w:rFonts w:eastAsia="Aptos" w:cs="Arial"/>
          <w:noProof/>
          <w:sz w:val="22"/>
          <w:lang w:val="en-US"/>
        </w:rPr>
        <w:t xml:space="preserve"> </w:t>
      </w:r>
      <w:r w:rsidRPr="00171991">
        <w:rPr>
          <w:rFonts w:eastAsia="Aptos" w:cs="Arial"/>
          <w:noProof/>
          <w:sz w:val="22"/>
          <w:lang w:val="en-US"/>
        </w:rPr>
        <w:t xml:space="preserve"> </w:t>
      </w:r>
    </w:p>
    <w:p w14:paraId="16446536" w14:textId="77777777" w:rsidR="00AA4DDD" w:rsidRPr="00AA4DDD" w:rsidRDefault="00AA4DDD" w:rsidP="00AA4DDD">
      <w:pPr>
        <w:spacing w:before="0" w:after="160"/>
        <w:ind w:left="720" w:hanging="720"/>
        <w:rPr>
          <w:rFonts w:eastAsia="Aptos" w:cs="Arial"/>
          <w:noProof/>
          <w:sz w:val="22"/>
          <w:lang w:val="en-US"/>
        </w:rPr>
      </w:pPr>
      <w:r w:rsidRPr="00AA4DDD">
        <w:rPr>
          <w:rFonts w:eastAsia="Aptos" w:cs="Arial"/>
          <w:noProof/>
          <w:sz w:val="22"/>
          <w:lang w:val="en-US"/>
        </w:rPr>
        <w:t xml:space="preserve">Smoller, J. (2012). </w:t>
      </w:r>
      <w:r w:rsidRPr="00AA4DDD">
        <w:rPr>
          <w:rFonts w:eastAsia="Aptos" w:cs="Arial"/>
          <w:i/>
          <w:noProof/>
          <w:sz w:val="22"/>
          <w:lang w:val="en-US"/>
        </w:rPr>
        <w:t>The other side of normal: How biology is providing the clues to unlock the secrets of normal and abnormal behavior</w:t>
      </w:r>
      <w:r w:rsidRPr="00AA4DDD">
        <w:rPr>
          <w:rFonts w:eastAsia="Aptos" w:cs="Arial"/>
          <w:noProof/>
          <w:sz w:val="22"/>
          <w:lang w:val="en-US"/>
        </w:rPr>
        <w:t xml:space="preserve">. New York: William Morrow &amp; Company. </w:t>
      </w:r>
    </w:p>
    <w:p w14:paraId="58EB950B" w14:textId="77777777" w:rsidR="00AA4DDD" w:rsidRPr="00AA4DDD" w:rsidRDefault="00AA4DDD" w:rsidP="00AA4DDD">
      <w:pPr>
        <w:spacing w:before="0" w:after="0"/>
        <w:ind w:left="720" w:hanging="720"/>
        <w:rPr>
          <w:rFonts w:eastAsia="Aptos" w:cs="Arial"/>
          <w:noProof/>
          <w:sz w:val="22"/>
          <w:lang w:val="en-US"/>
        </w:rPr>
      </w:pPr>
      <w:r w:rsidRPr="00AA4DDD">
        <w:rPr>
          <w:rFonts w:eastAsia="Aptos" w:cs="Arial"/>
          <w:noProof/>
          <w:sz w:val="22"/>
          <w:lang w:val="en-US"/>
        </w:rPr>
        <w:tab/>
      </w:r>
    </w:p>
    <w:p w14:paraId="60C1AB53" w14:textId="1D5E1C67" w:rsidR="00AA4DDD" w:rsidRPr="00AA4DDD" w:rsidRDefault="00AA4DDD" w:rsidP="00AA4DDD">
      <w:pPr>
        <w:spacing w:before="0" w:after="160"/>
        <w:ind w:left="720" w:hanging="720"/>
        <w:rPr>
          <w:rFonts w:eastAsia="Aptos" w:cs="Arial"/>
          <w:noProof/>
          <w:sz w:val="22"/>
          <w:lang w:val="en-US"/>
        </w:rPr>
      </w:pPr>
      <w:r w:rsidRPr="00AA4DDD">
        <w:rPr>
          <w:rFonts w:eastAsia="Aptos" w:cs="Arial"/>
          <w:noProof/>
          <w:sz w:val="22"/>
          <w:lang w:val="en-US"/>
        </w:rPr>
        <w:t xml:space="preserve">SNAICC. (2021a). </w:t>
      </w:r>
      <w:r w:rsidRPr="00AA4DDD">
        <w:rPr>
          <w:rFonts w:eastAsia="Aptos" w:cs="Arial"/>
          <w:i/>
          <w:noProof/>
          <w:sz w:val="22"/>
          <w:lang w:val="en-US"/>
        </w:rPr>
        <w:t xml:space="preserve">National Aboriginal and Torres Strait Islander Early Childhood Strategy Consultation Report </w:t>
      </w:r>
      <w:r w:rsidRPr="00AA4DDD">
        <w:rPr>
          <w:rFonts w:eastAsia="Aptos" w:cs="Arial"/>
          <w:noProof/>
          <w:sz w:val="22"/>
          <w:lang w:val="en-US"/>
        </w:rPr>
        <w:t xml:space="preserve">SNAICC. Retrieved 6 September, 2024 from </w:t>
      </w:r>
      <w:hyperlink r:id="rId591" w:history="1">
        <w:r w:rsidR="006C2502" w:rsidRPr="00AA4DDD">
          <w:rPr>
            <w:rStyle w:val="Hyperlink"/>
            <w:rFonts w:eastAsia="Aptos" w:cs="Arial"/>
            <w:noProof/>
            <w:sz w:val="22"/>
            <w:lang w:val="en-US"/>
          </w:rPr>
          <w:t>https://www.snaicc.org.au/wp-content/uploads/2023/09/211207_9_National-Early-Childhood-Strategy-Report.pdf</w:t>
        </w:r>
      </w:hyperlink>
      <w:r w:rsidR="006C2502">
        <w:rPr>
          <w:rFonts w:eastAsia="Aptos" w:cs="Arial"/>
          <w:noProof/>
          <w:sz w:val="22"/>
          <w:lang w:val="en-US"/>
        </w:rPr>
        <w:t xml:space="preserve"> </w:t>
      </w:r>
    </w:p>
    <w:p w14:paraId="00D67150" w14:textId="77777777" w:rsidR="00AA4DDD" w:rsidRPr="00AA4DDD" w:rsidRDefault="00AA4DDD" w:rsidP="00AA4DDD">
      <w:pPr>
        <w:spacing w:before="0" w:after="0"/>
        <w:ind w:left="720" w:hanging="720"/>
        <w:rPr>
          <w:rFonts w:eastAsia="Aptos" w:cs="Arial"/>
          <w:noProof/>
          <w:sz w:val="22"/>
          <w:lang w:val="en-US"/>
        </w:rPr>
      </w:pPr>
      <w:r w:rsidRPr="00AA4DDD">
        <w:rPr>
          <w:rFonts w:eastAsia="Aptos" w:cs="Arial"/>
          <w:noProof/>
          <w:sz w:val="22"/>
          <w:lang w:val="en-US"/>
        </w:rPr>
        <w:tab/>
      </w:r>
    </w:p>
    <w:p w14:paraId="3DC5BB97" w14:textId="7AB67DF2" w:rsidR="00AA4DDD" w:rsidRPr="00AA4DDD" w:rsidRDefault="00AA4DDD" w:rsidP="00AA4DDD">
      <w:pPr>
        <w:spacing w:before="0" w:after="160"/>
        <w:ind w:left="720" w:hanging="720"/>
        <w:rPr>
          <w:rFonts w:eastAsia="Aptos" w:cs="Arial"/>
          <w:noProof/>
          <w:sz w:val="22"/>
          <w:lang w:val="en-US"/>
        </w:rPr>
      </w:pPr>
      <w:r w:rsidRPr="00AA4DDD">
        <w:rPr>
          <w:rFonts w:eastAsia="Aptos" w:cs="Arial"/>
          <w:noProof/>
          <w:sz w:val="22"/>
          <w:lang w:val="en-US"/>
        </w:rPr>
        <w:t xml:space="preserve">SNAICC. (2021b). </w:t>
      </w:r>
      <w:r w:rsidRPr="00AA4DDD">
        <w:rPr>
          <w:rFonts w:eastAsia="Aptos" w:cs="Arial"/>
          <w:i/>
          <w:noProof/>
          <w:sz w:val="22"/>
          <w:lang w:val="en-US"/>
        </w:rPr>
        <w:t>National Framework for Protecting Australia's Children 2021-2031. Successor Plan Consultation Report</w:t>
      </w:r>
      <w:r w:rsidRPr="00AA4DDD">
        <w:rPr>
          <w:rFonts w:eastAsia="Aptos" w:cs="Arial"/>
          <w:noProof/>
          <w:sz w:val="22"/>
          <w:lang w:val="en-US"/>
        </w:rPr>
        <w:t xml:space="preserve">. SNAICC. Retrieved 6 September, 2024 from </w:t>
      </w:r>
      <w:hyperlink r:id="rId592" w:history="1">
        <w:r w:rsidR="006C2502" w:rsidRPr="00AA4DDD">
          <w:rPr>
            <w:rStyle w:val="Hyperlink"/>
            <w:rFonts w:eastAsia="Aptos" w:cs="Arial"/>
            <w:noProof/>
            <w:sz w:val="22"/>
            <w:lang w:val="en-US"/>
          </w:rPr>
          <w:t>https://www.snaicc.org.au/wp-content/uploads/2021/11/211101_8_National-Framework-Protecting-Australias-Children.pdf</w:t>
        </w:r>
      </w:hyperlink>
      <w:r w:rsidR="006C2502">
        <w:rPr>
          <w:rFonts w:eastAsia="Aptos" w:cs="Arial"/>
          <w:noProof/>
          <w:sz w:val="22"/>
          <w:lang w:val="en-US"/>
        </w:rPr>
        <w:t xml:space="preserve"> </w:t>
      </w:r>
    </w:p>
    <w:p w14:paraId="65BA6C2B" w14:textId="77777777" w:rsidR="00AA4DDD" w:rsidRPr="00AA4DDD" w:rsidRDefault="00AA4DDD" w:rsidP="00AA4DDD">
      <w:pPr>
        <w:spacing w:before="0" w:after="0"/>
        <w:ind w:left="720" w:hanging="720"/>
        <w:rPr>
          <w:rFonts w:eastAsia="Aptos" w:cs="Arial"/>
          <w:noProof/>
          <w:sz w:val="22"/>
          <w:lang w:val="en-US"/>
        </w:rPr>
      </w:pPr>
      <w:r w:rsidRPr="00AA4DDD">
        <w:rPr>
          <w:rFonts w:eastAsia="Aptos" w:cs="Arial"/>
          <w:noProof/>
          <w:sz w:val="22"/>
          <w:lang w:val="en-US"/>
        </w:rPr>
        <w:tab/>
      </w:r>
    </w:p>
    <w:p w14:paraId="3BD48A88" w14:textId="2670C428" w:rsidR="00AA4DDD" w:rsidRPr="00AA4DDD" w:rsidRDefault="00AA4DDD" w:rsidP="00AA4DDD">
      <w:pPr>
        <w:spacing w:before="0" w:after="160"/>
        <w:ind w:left="720" w:hanging="720"/>
        <w:rPr>
          <w:rFonts w:eastAsia="Aptos" w:cs="Arial"/>
          <w:noProof/>
          <w:sz w:val="22"/>
          <w:lang w:val="en-US"/>
        </w:rPr>
      </w:pPr>
      <w:r w:rsidRPr="00AA4DDD">
        <w:rPr>
          <w:rFonts w:eastAsia="Aptos" w:cs="Arial"/>
          <w:noProof/>
          <w:sz w:val="22"/>
          <w:lang w:val="en-US"/>
        </w:rPr>
        <w:t xml:space="preserve">SNAICC. (2023). </w:t>
      </w:r>
      <w:r w:rsidRPr="00AA4DDD">
        <w:rPr>
          <w:rFonts w:eastAsia="Aptos" w:cs="Arial"/>
          <w:i/>
          <w:noProof/>
          <w:sz w:val="22"/>
          <w:lang w:val="en-US"/>
        </w:rPr>
        <w:t>Believe Inquire Respond to Disclosures (BIRD) Research Report August 2023</w:t>
      </w:r>
      <w:r w:rsidRPr="00AA4DDD">
        <w:rPr>
          <w:rFonts w:eastAsia="Aptos" w:cs="Arial"/>
          <w:noProof/>
          <w:sz w:val="22"/>
          <w:lang w:val="en-US"/>
        </w:rPr>
        <w:t xml:space="preserve">. SNAICC. Retrieved 6 September, 2024 from </w:t>
      </w:r>
      <w:hyperlink r:id="rId593" w:history="1">
        <w:r w:rsidR="006C2502" w:rsidRPr="00AA4DDD">
          <w:rPr>
            <w:rStyle w:val="Hyperlink"/>
            <w:rFonts w:eastAsia="Aptos" w:cs="Arial"/>
            <w:noProof/>
            <w:sz w:val="22"/>
            <w:lang w:val="en-US"/>
          </w:rPr>
          <w:t>https://www.snaicc.org.au/wp-content/uploads/2024/06/240605-BIRD-Research-Report_5_June.pdf</w:t>
        </w:r>
      </w:hyperlink>
      <w:r w:rsidR="006C2502">
        <w:rPr>
          <w:rFonts w:eastAsia="Aptos" w:cs="Arial"/>
          <w:noProof/>
          <w:sz w:val="22"/>
          <w:lang w:val="en-US"/>
        </w:rPr>
        <w:t xml:space="preserve"> </w:t>
      </w:r>
    </w:p>
    <w:p w14:paraId="63D3663C" w14:textId="77777777" w:rsidR="00AA4DDD" w:rsidRPr="00AA4DDD" w:rsidRDefault="00AA4DDD" w:rsidP="00AA4DDD">
      <w:pPr>
        <w:spacing w:before="0" w:after="0"/>
        <w:ind w:left="720" w:hanging="720"/>
        <w:rPr>
          <w:rFonts w:eastAsia="Aptos" w:cs="Arial"/>
          <w:noProof/>
          <w:sz w:val="22"/>
          <w:lang w:val="en-US"/>
        </w:rPr>
      </w:pPr>
      <w:r w:rsidRPr="00AA4DDD">
        <w:rPr>
          <w:rFonts w:eastAsia="Aptos" w:cs="Arial"/>
          <w:noProof/>
          <w:sz w:val="22"/>
          <w:lang w:val="en-US"/>
        </w:rPr>
        <w:tab/>
      </w:r>
    </w:p>
    <w:p w14:paraId="4005FC0A" w14:textId="5C7B1A7D" w:rsidR="00AA4DDD" w:rsidRPr="00AA4DDD" w:rsidRDefault="00AA4DDD" w:rsidP="00AA4DDD">
      <w:pPr>
        <w:spacing w:before="0" w:after="160"/>
        <w:ind w:left="720" w:hanging="720"/>
        <w:rPr>
          <w:rFonts w:eastAsia="Aptos" w:cs="Arial"/>
          <w:noProof/>
          <w:sz w:val="22"/>
          <w:lang w:val="en-US"/>
        </w:rPr>
      </w:pPr>
      <w:r w:rsidRPr="00AA4DDD">
        <w:rPr>
          <w:rFonts w:eastAsia="Aptos" w:cs="Arial"/>
          <w:noProof/>
          <w:sz w:val="22"/>
          <w:lang w:val="en-US"/>
        </w:rPr>
        <w:t xml:space="preserve">SNAICC, &amp; Early Childhood Australia. (2019, February). </w:t>
      </w:r>
      <w:r w:rsidRPr="00AA4DDD">
        <w:rPr>
          <w:rFonts w:eastAsia="Aptos" w:cs="Arial"/>
          <w:i/>
          <w:noProof/>
          <w:sz w:val="22"/>
          <w:lang w:val="en-US"/>
        </w:rPr>
        <w:t>Position Paper: Working Together to Ensure Equality for Aboriginal and Torres Strait Islander Children in the Early Years</w:t>
      </w:r>
      <w:r w:rsidRPr="00AA4DDD">
        <w:rPr>
          <w:rFonts w:eastAsia="Aptos" w:cs="Arial"/>
          <w:noProof/>
          <w:sz w:val="22"/>
          <w:lang w:val="en-US"/>
        </w:rPr>
        <w:t xml:space="preserve">. SNAICC, Early Childhood Australia. Retrieved 6 September, 20214 from </w:t>
      </w:r>
      <w:hyperlink r:id="rId594" w:history="1">
        <w:r w:rsidR="006C2502" w:rsidRPr="00AA4DDD">
          <w:rPr>
            <w:rStyle w:val="Hyperlink"/>
            <w:rFonts w:eastAsia="Aptos" w:cs="Arial"/>
            <w:noProof/>
            <w:sz w:val="22"/>
            <w:lang w:val="en-US"/>
          </w:rPr>
          <w:t>https://www.snaicc.org.au/wp-content/uploads/2023/09/190201_9_Working-Together-Ensure-Equality-Paper.pdf</w:t>
        </w:r>
      </w:hyperlink>
      <w:r w:rsidR="006C2502">
        <w:rPr>
          <w:rFonts w:eastAsia="Aptos" w:cs="Arial"/>
          <w:noProof/>
          <w:sz w:val="22"/>
          <w:lang w:val="en-US"/>
        </w:rPr>
        <w:t xml:space="preserve"> </w:t>
      </w:r>
    </w:p>
    <w:p w14:paraId="72674D46" w14:textId="77777777" w:rsidR="00B07A57" w:rsidRPr="00B07A57" w:rsidRDefault="00B07A57" w:rsidP="00B07A57">
      <w:pPr>
        <w:spacing w:before="0" w:after="160"/>
        <w:ind w:left="720" w:hanging="720"/>
        <w:rPr>
          <w:rFonts w:eastAsia="Aptos" w:cs="Arial"/>
          <w:noProof/>
          <w:sz w:val="22"/>
          <w:lang w:val="en-US"/>
        </w:rPr>
      </w:pPr>
      <w:r w:rsidRPr="00B07A57">
        <w:rPr>
          <w:rFonts w:eastAsia="Aptos" w:cs="Arial"/>
          <w:noProof/>
          <w:sz w:val="22"/>
          <w:lang w:val="en-US"/>
        </w:rPr>
        <w:t xml:space="preserve">Snow, K. (2013). </w:t>
      </w:r>
      <w:r w:rsidRPr="00B07A57">
        <w:rPr>
          <w:rFonts w:eastAsia="Aptos" w:cs="Arial"/>
          <w:i/>
          <w:noProof/>
          <w:sz w:val="22"/>
          <w:lang w:val="en-US"/>
        </w:rPr>
        <w:t>Disability is Natural: Revolutionary Common Sense for Raising Successful Children with Disabilities</w:t>
      </w:r>
      <w:r w:rsidRPr="00B07A57">
        <w:rPr>
          <w:rFonts w:eastAsia="Aptos" w:cs="Arial"/>
          <w:noProof/>
          <w:sz w:val="22"/>
          <w:lang w:val="en-US"/>
        </w:rPr>
        <w:t xml:space="preserve"> (3rd ed.). San Antonio, TX: Braveheart Press. </w:t>
      </w:r>
    </w:p>
    <w:p w14:paraId="000C5A9D" w14:textId="77777777" w:rsidR="00B07A57" w:rsidRPr="00B07A57" w:rsidRDefault="00B07A57" w:rsidP="00B07A57">
      <w:pPr>
        <w:spacing w:before="0" w:after="0"/>
        <w:ind w:left="720" w:hanging="720"/>
        <w:rPr>
          <w:rFonts w:eastAsia="Aptos" w:cs="Arial"/>
          <w:noProof/>
          <w:sz w:val="22"/>
          <w:lang w:val="en-US"/>
        </w:rPr>
      </w:pPr>
      <w:r w:rsidRPr="00B07A57">
        <w:rPr>
          <w:rFonts w:eastAsia="Aptos" w:cs="Arial"/>
          <w:noProof/>
          <w:sz w:val="22"/>
          <w:lang w:val="en-US"/>
        </w:rPr>
        <w:tab/>
      </w:r>
    </w:p>
    <w:p w14:paraId="74FCE6F7" w14:textId="77777777" w:rsidR="00B07A57" w:rsidRPr="00B07A57" w:rsidRDefault="00B07A57" w:rsidP="00B07A57">
      <w:pPr>
        <w:spacing w:before="0" w:after="160"/>
        <w:ind w:left="720" w:hanging="720"/>
        <w:rPr>
          <w:rFonts w:eastAsia="Aptos" w:cs="Arial"/>
          <w:noProof/>
          <w:sz w:val="22"/>
          <w:lang w:val="en-US"/>
        </w:rPr>
      </w:pPr>
      <w:r w:rsidRPr="00B07A57">
        <w:rPr>
          <w:rFonts w:eastAsia="Aptos" w:cs="Arial"/>
          <w:noProof/>
          <w:sz w:val="22"/>
          <w:lang w:val="en-US"/>
        </w:rPr>
        <w:t xml:space="preserve">Snyder, P. (2022). </w:t>
      </w:r>
      <w:r w:rsidRPr="00B07A57">
        <w:rPr>
          <w:rFonts w:eastAsia="Aptos" w:cs="Arial"/>
          <w:i/>
          <w:noProof/>
          <w:sz w:val="22"/>
          <w:lang w:val="en-US"/>
        </w:rPr>
        <w:t>Essentials of practice-based coaching: Supporting effective practices in early childhood</w:t>
      </w:r>
      <w:r w:rsidRPr="00B07A57">
        <w:rPr>
          <w:rFonts w:eastAsia="Aptos" w:cs="Arial"/>
          <w:noProof/>
          <w:sz w:val="22"/>
          <w:lang w:val="en-US"/>
        </w:rPr>
        <w:t xml:space="preserve">. Baltimore, MD: Paul H. Brooks Publishing Co. </w:t>
      </w:r>
    </w:p>
    <w:p w14:paraId="253578D6" w14:textId="77777777" w:rsidR="00B07A57" w:rsidRPr="00B07A57" w:rsidRDefault="00B07A57" w:rsidP="00B07A57">
      <w:pPr>
        <w:spacing w:before="0" w:after="0"/>
        <w:ind w:left="720" w:hanging="720"/>
        <w:rPr>
          <w:rFonts w:eastAsia="Aptos" w:cs="Arial"/>
          <w:noProof/>
          <w:sz w:val="22"/>
          <w:lang w:val="en-US"/>
        </w:rPr>
      </w:pPr>
      <w:r w:rsidRPr="00B07A57">
        <w:rPr>
          <w:rFonts w:eastAsia="Aptos" w:cs="Arial"/>
          <w:noProof/>
          <w:sz w:val="22"/>
          <w:lang w:val="en-US"/>
        </w:rPr>
        <w:tab/>
      </w:r>
    </w:p>
    <w:p w14:paraId="0F69689C" w14:textId="77777777" w:rsidR="00B07A57" w:rsidRPr="00B07A57" w:rsidRDefault="00B07A57" w:rsidP="00B07A57">
      <w:pPr>
        <w:spacing w:before="0" w:after="160"/>
        <w:ind w:left="720" w:hanging="720"/>
        <w:rPr>
          <w:rFonts w:eastAsia="Aptos" w:cs="Arial"/>
          <w:noProof/>
          <w:sz w:val="22"/>
          <w:lang w:val="en-US"/>
        </w:rPr>
      </w:pPr>
      <w:r w:rsidRPr="00B07A57">
        <w:rPr>
          <w:rFonts w:eastAsia="Aptos" w:cs="Arial"/>
          <w:noProof/>
          <w:sz w:val="22"/>
          <w:lang w:val="en-US"/>
        </w:rPr>
        <w:t xml:space="preserve">Snyder, P., &amp; Ayankoya, B. (2015). Revisiting the division for early childhood recommended practices: When, who, and how. In </w:t>
      </w:r>
      <w:r w:rsidRPr="00B07A57">
        <w:rPr>
          <w:rFonts w:eastAsia="Aptos" w:cs="Arial"/>
          <w:i/>
          <w:noProof/>
          <w:sz w:val="22"/>
          <w:lang w:val="en-US"/>
        </w:rPr>
        <w:t>DEC recommended practices: Enhancing services for young children with disabilities and their families</w:t>
      </w:r>
      <w:r w:rsidRPr="00B07A57">
        <w:rPr>
          <w:rFonts w:eastAsia="Aptos" w:cs="Arial"/>
          <w:noProof/>
          <w:sz w:val="22"/>
          <w:lang w:val="en-US"/>
        </w:rPr>
        <w:t xml:space="preserve"> (pp. 11-24). Los Angeles, CA: Division for Early Childhood. </w:t>
      </w:r>
    </w:p>
    <w:p w14:paraId="59DEEB5B" w14:textId="77777777" w:rsidR="00B07A57" w:rsidRPr="00B07A57" w:rsidRDefault="00B07A57" w:rsidP="00B07A57">
      <w:pPr>
        <w:spacing w:before="0" w:after="0"/>
        <w:ind w:left="720" w:hanging="720"/>
        <w:rPr>
          <w:rFonts w:eastAsia="Aptos" w:cs="Arial"/>
          <w:noProof/>
          <w:sz w:val="22"/>
          <w:lang w:val="en-US"/>
        </w:rPr>
      </w:pPr>
      <w:r w:rsidRPr="00B07A57">
        <w:rPr>
          <w:rFonts w:eastAsia="Aptos" w:cs="Arial"/>
          <w:noProof/>
          <w:sz w:val="22"/>
          <w:lang w:val="en-US"/>
        </w:rPr>
        <w:tab/>
      </w:r>
    </w:p>
    <w:p w14:paraId="57F7F539" w14:textId="77777777" w:rsidR="00B07A57" w:rsidRPr="00B07A57" w:rsidRDefault="00B07A57" w:rsidP="00B07A57">
      <w:pPr>
        <w:spacing w:before="0" w:after="160"/>
        <w:ind w:left="720" w:hanging="720"/>
        <w:rPr>
          <w:rFonts w:eastAsia="Aptos" w:cs="Arial"/>
          <w:noProof/>
          <w:sz w:val="22"/>
          <w:lang w:val="en-US"/>
        </w:rPr>
      </w:pPr>
      <w:r w:rsidRPr="00B07A57">
        <w:rPr>
          <w:rFonts w:eastAsia="Aptos" w:cs="Arial"/>
          <w:noProof/>
          <w:sz w:val="22"/>
          <w:lang w:val="en-US"/>
        </w:rPr>
        <w:t xml:space="preserve">Snyder, P. A., Bishop, C. C., &amp; McLaughlin, T. W. (2017). Frameworks for guiding program focus and practices in early intervention. In J. M. Kauffman, D. P. Hallahan, &amp; C. P. Pullen (Eds.), </w:t>
      </w:r>
      <w:r w:rsidRPr="00B07A57">
        <w:rPr>
          <w:rFonts w:eastAsia="Aptos" w:cs="Arial"/>
          <w:i/>
          <w:noProof/>
          <w:sz w:val="22"/>
          <w:lang w:val="en-US"/>
        </w:rPr>
        <w:t>Handbook of special education</w:t>
      </w:r>
      <w:r w:rsidRPr="00B07A57">
        <w:rPr>
          <w:rFonts w:eastAsia="Aptos" w:cs="Arial"/>
          <w:noProof/>
          <w:sz w:val="22"/>
          <w:lang w:val="en-US"/>
        </w:rPr>
        <w:t xml:space="preserve"> (2nd ed., pp. 865-881). New York: Routledge. </w:t>
      </w:r>
    </w:p>
    <w:p w14:paraId="5E876C83" w14:textId="77777777" w:rsidR="00B07A57" w:rsidRPr="00B07A57" w:rsidRDefault="00B07A57" w:rsidP="00B07A57">
      <w:pPr>
        <w:spacing w:before="0" w:after="0"/>
        <w:ind w:left="720" w:hanging="720"/>
        <w:rPr>
          <w:rFonts w:eastAsia="Aptos" w:cs="Arial"/>
          <w:noProof/>
          <w:sz w:val="22"/>
          <w:lang w:val="en-US"/>
        </w:rPr>
      </w:pPr>
      <w:r w:rsidRPr="00B07A57">
        <w:rPr>
          <w:rFonts w:eastAsia="Aptos" w:cs="Arial"/>
          <w:noProof/>
          <w:sz w:val="22"/>
          <w:lang w:val="en-US"/>
        </w:rPr>
        <w:tab/>
      </w:r>
    </w:p>
    <w:p w14:paraId="0C5AD182" w14:textId="5C391E37" w:rsidR="00B07A57" w:rsidRPr="00B07A57" w:rsidRDefault="00B07A57" w:rsidP="00B07A57">
      <w:pPr>
        <w:spacing w:before="0" w:after="160"/>
        <w:ind w:left="720" w:hanging="720"/>
        <w:rPr>
          <w:rFonts w:eastAsia="Aptos" w:cs="Arial"/>
          <w:noProof/>
          <w:sz w:val="22"/>
          <w:lang w:val="en-US"/>
        </w:rPr>
      </w:pPr>
      <w:r w:rsidRPr="00B07A57">
        <w:rPr>
          <w:rFonts w:eastAsia="Aptos" w:cs="Arial"/>
          <w:noProof/>
          <w:sz w:val="22"/>
          <w:lang w:val="en-US"/>
        </w:rPr>
        <w:t xml:space="preserve">Snyder, P. A., Hemmeter, M. L., &amp; Fox, L. (2015). Supporting implementation of evidence-based practices through practice-based coaching. </w:t>
      </w:r>
      <w:r w:rsidRPr="00B07A57">
        <w:rPr>
          <w:rFonts w:eastAsia="Aptos" w:cs="Arial"/>
          <w:i/>
          <w:noProof/>
          <w:sz w:val="22"/>
          <w:lang w:val="en-US"/>
        </w:rPr>
        <w:t>Topics in Early Childhood Special Education</w:t>
      </w:r>
      <w:r w:rsidRPr="00B07A57">
        <w:rPr>
          <w:rFonts w:eastAsia="Aptos" w:cs="Arial"/>
          <w:noProof/>
          <w:sz w:val="22"/>
          <w:lang w:val="en-US"/>
        </w:rPr>
        <w:t>,</w:t>
      </w:r>
      <w:r w:rsidRPr="00B07A57">
        <w:rPr>
          <w:rFonts w:eastAsia="Aptos" w:cs="Arial"/>
          <w:i/>
          <w:noProof/>
          <w:sz w:val="22"/>
          <w:lang w:val="en-US"/>
        </w:rPr>
        <w:t xml:space="preserve"> 35</w:t>
      </w:r>
      <w:r w:rsidRPr="00B07A57">
        <w:rPr>
          <w:rFonts w:eastAsia="Aptos" w:cs="Arial"/>
          <w:noProof/>
          <w:sz w:val="22"/>
          <w:lang w:val="en-US"/>
        </w:rPr>
        <w:t xml:space="preserve">(3), 133-143. </w:t>
      </w:r>
      <w:hyperlink r:id="rId595" w:history="1">
        <w:r w:rsidR="006C2502" w:rsidRPr="00B07A57">
          <w:rPr>
            <w:rStyle w:val="Hyperlink"/>
            <w:rFonts w:eastAsia="Aptos" w:cs="Arial"/>
            <w:noProof/>
            <w:sz w:val="22"/>
            <w:lang w:val="en-US"/>
          </w:rPr>
          <w:t>https://doi.org/10.1177/0271121415594925</w:t>
        </w:r>
      </w:hyperlink>
      <w:r w:rsidR="006C2502">
        <w:rPr>
          <w:rFonts w:eastAsia="Aptos" w:cs="Arial"/>
          <w:noProof/>
          <w:sz w:val="22"/>
          <w:lang w:val="en-US"/>
        </w:rPr>
        <w:t xml:space="preserve"> </w:t>
      </w:r>
      <w:r w:rsidRPr="00B07A57">
        <w:rPr>
          <w:rFonts w:eastAsia="Aptos" w:cs="Arial"/>
          <w:noProof/>
          <w:sz w:val="22"/>
          <w:lang w:val="en-US"/>
        </w:rPr>
        <w:t xml:space="preserve"> </w:t>
      </w:r>
    </w:p>
    <w:p w14:paraId="13241BA1" w14:textId="77777777" w:rsidR="00B07A57" w:rsidRPr="00B07A57" w:rsidRDefault="00B07A57" w:rsidP="00B07A57">
      <w:pPr>
        <w:spacing w:before="0" w:after="0"/>
        <w:ind w:left="720" w:hanging="720"/>
        <w:rPr>
          <w:rFonts w:eastAsia="Aptos" w:cs="Arial"/>
          <w:noProof/>
          <w:sz w:val="22"/>
          <w:lang w:val="en-US"/>
        </w:rPr>
      </w:pPr>
      <w:r w:rsidRPr="00B07A57">
        <w:rPr>
          <w:rFonts w:eastAsia="Aptos" w:cs="Arial"/>
          <w:noProof/>
          <w:sz w:val="22"/>
          <w:lang w:val="en-US"/>
        </w:rPr>
        <w:tab/>
      </w:r>
    </w:p>
    <w:p w14:paraId="6B44BA31" w14:textId="0360274B" w:rsidR="00B07A57" w:rsidRDefault="00B07A57" w:rsidP="00B07A57">
      <w:pPr>
        <w:spacing w:before="0" w:after="160"/>
        <w:ind w:left="720" w:hanging="720"/>
        <w:rPr>
          <w:rFonts w:eastAsia="Aptos" w:cs="Arial"/>
          <w:noProof/>
          <w:sz w:val="22"/>
          <w:lang w:val="en-US"/>
        </w:rPr>
      </w:pPr>
      <w:r w:rsidRPr="00B07A57">
        <w:rPr>
          <w:rFonts w:eastAsia="Aptos" w:cs="Arial"/>
          <w:noProof/>
          <w:sz w:val="22"/>
          <w:lang w:val="en-US"/>
        </w:rPr>
        <w:t xml:space="preserve">Snyder S. (2013). </w:t>
      </w:r>
      <w:r w:rsidRPr="00B07A57">
        <w:rPr>
          <w:rFonts w:eastAsia="Aptos" w:cs="Arial"/>
          <w:i/>
          <w:noProof/>
          <w:sz w:val="22"/>
          <w:lang w:val="en-US"/>
        </w:rPr>
        <w:t>The simple, the complicated, and the complex: Educational reform through the lens of complexity theory</w:t>
      </w:r>
      <w:r w:rsidRPr="00B07A57">
        <w:rPr>
          <w:rFonts w:eastAsia="Aptos" w:cs="Arial"/>
          <w:noProof/>
          <w:sz w:val="22"/>
          <w:lang w:val="en-US"/>
        </w:rPr>
        <w:t xml:space="preserve">. Paris, France: Organisation for Economic Cooperation and Development (OECD).No. 96 from </w:t>
      </w:r>
      <w:hyperlink r:id="rId596" w:history="1">
        <w:r w:rsidR="00E3551C" w:rsidRPr="00326476">
          <w:rPr>
            <w:rStyle w:val="Hyperlink"/>
            <w:rFonts w:eastAsia="Aptos" w:cs="Arial"/>
            <w:noProof/>
            <w:sz w:val="22"/>
            <w:lang w:val="en-US"/>
          </w:rPr>
          <w:t>https://www.oecd-ilibrary.org/education/the-simple-the-complicated-and-the-complex-educational-reform-through-the-lens-of-complexity-theory_5k3txnpt1lnr-en</w:t>
        </w:r>
      </w:hyperlink>
    </w:p>
    <w:p w14:paraId="1978E4F4" w14:textId="77777777" w:rsidR="00E3551C" w:rsidRPr="00B07A57" w:rsidRDefault="00E3551C" w:rsidP="00B07A57">
      <w:pPr>
        <w:spacing w:before="0" w:after="160"/>
        <w:ind w:left="720" w:hanging="720"/>
        <w:rPr>
          <w:rFonts w:eastAsia="Aptos" w:cs="Arial"/>
          <w:noProof/>
          <w:sz w:val="22"/>
          <w:lang w:val="en-US"/>
        </w:rPr>
      </w:pPr>
    </w:p>
    <w:p w14:paraId="00C6938A" w14:textId="489FB07F" w:rsidR="00DB0794" w:rsidRPr="00DB0794" w:rsidRDefault="00DB0794" w:rsidP="00DB0794">
      <w:pPr>
        <w:spacing w:before="0" w:after="160"/>
        <w:ind w:left="720" w:hanging="720"/>
        <w:rPr>
          <w:rFonts w:eastAsia="Aptos" w:cs="Arial"/>
          <w:noProof/>
          <w:sz w:val="22"/>
          <w:lang w:val="en-US"/>
        </w:rPr>
      </w:pPr>
      <w:r w:rsidRPr="00E3551C">
        <w:rPr>
          <w:rFonts w:eastAsia="Aptos" w:cs="Arial"/>
          <w:noProof/>
          <w:sz w:val="22"/>
          <w:lang w:val="en-US"/>
        </w:rPr>
        <w:t xml:space="preserve">Social Health Reference Group. (2004). </w:t>
      </w:r>
      <w:r w:rsidRPr="00E3551C">
        <w:rPr>
          <w:rFonts w:eastAsia="Aptos" w:cs="Arial"/>
          <w:i/>
          <w:noProof/>
          <w:sz w:val="22"/>
          <w:lang w:val="en-US"/>
        </w:rPr>
        <w:t>Social and emotional well being framework: A national strategic framework for Aboriginal and Torres Strait Islander mental health and social and emotional well being 2004-2009</w:t>
      </w:r>
      <w:r w:rsidRPr="00E3551C">
        <w:rPr>
          <w:rFonts w:eastAsia="Aptos" w:cs="Arial"/>
          <w:noProof/>
          <w:sz w:val="22"/>
          <w:lang w:val="en-US"/>
        </w:rPr>
        <w:t xml:space="preserve">. Canberra, ACT: Australian Government. Retrieved 6 September, 2024 from </w:t>
      </w:r>
      <w:hyperlink r:id="rId597" w:history="1">
        <w:r w:rsidR="006C2502" w:rsidRPr="00326476">
          <w:rPr>
            <w:rStyle w:val="Hyperlink"/>
            <w:rFonts w:eastAsia="Aptos" w:cs="Arial"/>
            <w:noProof/>
            <w:sz w:val="22"/>
            <w:lang w:val="en-US"/>
          </w:rPr>
          <w:t>https://healthinfonet.ecu.edu.au/key-resources/policies-and-strategies/2940/?title=Social+and+emotional+well+being+framework++a+national+strategic+framework+for+Aboriginal+and+Torres+Strait+Islander+mental+health+and+social+and+emotional+well+being+2004+2009&amp;contenttypeid=1&amp;contentid=2940_1</w:t>
        </w:r>
      </w:hyperlink>
      <w:r w:rsidR="006C2502">
        <w:rPr>
          <w:rFonts w:eastAsia="Aptos" w:cs="Arial"/>
          <w:noProof/>
          <w:sz w:val="22"/>
          <w:lang w:val="en-US"/>
        </w:rPr>
        <w:t xml:space="preserve"> </w:t>
      </w:r>
    </w:p>
    <w:p w14:paraId="5D16D472" w14:textId="77777777" w:rsidR="00DB0794" w:rsidRPr="00DB0794" w:rsidRDefault="00DB0794" w:rsidP="00DB0794">
      <w:pPr>
        <w:spacing w:before="0" w:after="0"/>
        <w:ind w:left="720" w:hanging="720"/>
        <w:rPr>
          <w:rFonts w:eastAsia="Aptos" w:cs="Arial"/>
          <w:noProof/>
          <w:sz w:val="22"/>
          <w:lang w:val="en-US"/>
        </w:rPr>
      </w:pPr>
      <w:r w:rsidRPr="00DB0794">
        <w:rPr>
          <w:rFonts w:eastAsia="Aptos" w:cs="Arial"/>
          <w:noProof/>
          <w:sz w:val="22"/>
          <w:lang w:val="en-US"/>
        </w:rPr>
        <w:tab/>
      </w:r>
    </w:p>
    <w:p w14:paraId="4FE105E9" w14:textId="6C1587CB" w:rsidR="00DB0794" w:rsidRPr="00DB0794" w:rsidRDefault="00DB0794" w:rsidP="00DB0794">
      <w:pPr>
        <w:spacing w:before="0" w:after="160"/>
        <w:ind w:left="720" w:hanging="720"/>
        <w:rPr>
          <w:rFonts w:eastAsia="Aptos" w:cs="Arial"/>
          <w:noProof/>
          <w:sz w:val="22"/>
          <w:lang w:val="en-US"/>
        </w:rPr>
      </w:pPr>
      <w:r w:rsidRPr="00DB0794">
        <w:rPr>
          <w:rFonts w:eastAsia="Aptos" w:cs="Arial"/>
          <w:noProof/>
          <w:sz w:val="22"/>
          <w:lang w:val="en-US"/>
        </w:rPr>
        <w:t xml:space="preserve">Sollis, K. (2019, February). </w:t>
      </w:r>
      <w:r w:rsidRPr="00DB0794">
        <w:rPr>
          <w:rFonts w:eastAsia="Aptos" w:cs="Arial"/>
          <w:i/>
          <w:noProof/>
          <w:sz w:val="22"/>
          <w:lang w:val="en-US"/>
        </w:rPr>
        <w:t>Measuring child deprivation and opportunity in Australia: Applying the Nest framework to develop a measure of deprivation and opportunity for children using the Longitudinal Study of Australian Children</w:t>
      </w:r>
      <w:r w:rsidRPr="00DB0794">
        <w:rPr>
          <w:rFonts w:eastAsia="Aptos" w:cs="Arial"/>
          <w:noProof/>
          <w:sz w:val="22"/>
          <w:lang w:val="en-US"/>
        </w:rPr>
        <w:t xml:space="preserve">. Canberra, ACT: Australian Research Alliance for Children and Youth (ARACY). Retrieved 6 September, 2024 from </w:t>
      </w:r>
      <w:hyperlink r:id="rId598" w:history="1">
        <w:r w:rsidR="006C2502" w:rsidRPr="00DB0794">
          <w:rPr>
            <w:rStyle w:val="Hyperlink"/>
            <w:rFonts w:eastAsia="Aptos" w:cs="Arial"/>
            <w:noProof/>
            <w:sz w:val="22"/>
            <w:lang w:val="en-US"/>
          </w:rPr>
          <w:t>https://www.aracy.org.au/publication-resources/command/download_file/id/384/filename/ARACY_Measuring_child_deprivation_and_opportunity_in_Australia.pdf</w:t>
        </w:r>
      </w:hyperlink>
      <w:r w:rsidR="006C2502">
        <w:rPr>
          <w:rFonts w:eastAsia="Aptos" w:cs="Arial"/>
          <w:noProof/>
          <w:sz w:val="22"/>
          <w:lang w:val="en-US"/>
        </w:rPr>
        <w:t xml:space="preserve"> </w:t>
      </w:r>
    </w:p>
    <w:p w14:paraId="2FE7C892" w14:textId="12CAC5ED" w:rsidR="0030178D" w:rsidRPr="00075790" w:rsidRDefault="0030178D" w:rsidP="0030178D">
      <w:pPr>
        <w:pStyle w:val="EndNoteBibliography"/>
        <w:spacing w:after="0"/>
        <w:ind w:left="720" w:hanging="720"/>
      </w:pPr>
    </w:p>
    <w:p w14:paraId="193D07B3" w14:textId="7B2F85F1" w:rsidR="008614EB" w:rsidRPr="008614EB" w:rsidRDefault="008614EB" w:rsidP="008614EB">
      <w:pPr>
        <w:spacing w:before="0" w:after="160"/>
        <w:ind w:left="720" w:hanging="720"/>
        <w:rPr>
          <w:rFonts w:eastAsia="Aptos" w:cs="Arial"/>
          <w:noProof/>
          <w:sz w:val="22"/>
          <w:lang w:val="en-US"/>
        </w:rPr>
      </w:pPr>
      <w:r w:rsidRPr="008614EB">
        <w:rPr>
          <w:rFonts w:eastAsia="Aptos" w:cs="Arial"/>
          <w:noProof/>
          <w:sz w:val="22"/>
          <w:lang w:val="en-US"/>
        </w:rPr>
        <w:t xml:space="preserve">Solomon, A. (2008, 27 May). </w:t>
      </w:r>
      <w:r w:rsidRPr="008614EB">
        <w:rPr>
          <w:rFonts w:eastAsia="Aptos" w:cs="Arial"/>
          <w:i/>
          <w:noProof/>
          <w:sz w:val="22"/>
          <w:lang w:val="en-US"/>
        </w:rPr>
        <w:t>The autism rights movement</w:t>
      </w:r>
      <w:r w:rsidRPr="008614EB">
        <w:rPr>
          <w:rFonts w:eastAsia="Aptos" w:cs="Arial"/>
          <w:noProof/>
          <w:sz w:val="22"/>
          <w:lang w:val="en-US"/>
        </w:rPr>
        <w:t xml:space="preserve">. New York Magazine. Retrieved 6 September, 2024 from </w:t>
      </w:r>
      <w:hyperlink r:id="rId599" w:history="1">
        <w:r w:rsidR="006C2502" w:rsidRPr="008614EB">
          <w:rPr>
            <w:rStyle w:val="Hyperlink"/>
            <w:rFonts w:eastAsia="Aptos" w:cs="Arial"/>
            <w:noProof/>
            <w:sz w:val="22"/>
            <w:lang w:val="en-US"/>
          </w:rPr>
          <w:t>http://nymag.com/news/features/47225/</w:t>
        </w:r>
      </w:hyperlink>
      <w:r w:rsidR="006C2502">
        <w:rPr>
          <w:rFonts w:eastAsia="Aptos" w:cs="Arial"/>
          <w:noProof/>
          <w:sz w:val="22"/>
          <w:lang w:val="en-US"/>
        </w:rPr>
        <w:t xml:space="preserve"> </w:t>
      </w:r>
    </w:p>
    <w:p w14:paraId="555D1F24" w14:textId="77777777" w:rsidR="008614EB" w:rsidRPr="008614EB" w:rsidRDefault="008614EB" w:rsidP="008614EB">
      <w:pPr>
        <w:spacing w:before="0" w:after="0"/>
        <w:ind w:left="720" w:hanging="720"/>
        <w:rPr>
          <w:rFonts w:eastAsia="Aptos" w:cs="Arial"/>
          <w:noProof/>
          <w:sz w:val="22"/>
          <w:lang w:val="en-US"/>
        </w:rPr>
      </w:pPr>
      <w:r w:rsidRPr="008614EB">
        <w:rPr>
          <w:rFonts w:eastAsia="Aptos" w:cs="Arial"/>
          <w:noProof/>
          <w:sz w:val="22"/>
          <w:lang w:val="en-US"/>
        </w:rPr>
        <w:tab/>
      </w:r>
    </w:p>
    <w:p w14:paraId="70807BFF" w14:textId="77777777" w:rsidR="008614EB" w:rsidRPr="008614EB" w:rsidRDefault="008614EB" w:rsidP="008614EB">
      <w:pPr>
        <w:spacing w:before="0" w:after="160"/>
        <w:ind w:left="720" w:hanging="720"/>
        <w:rPr>
          <w:rFonts w:eastAsia="Aptos" w:cs="Arial"/>
          <w:noProof/>
          <w:sz w:val="22"/>
          <w:lang w:val="en-US"/>
        </w:rPr>
      </w:pPr>
      <w:r w:rsidRPr="008614EB">
        <w:rPr>
          <w:rFonts w:eastAsia="Aptos" w:cs="Arial"/>
          <w:noProof/>
          <w:sz w:val="22"/>
          <w:lang w:val="en-US"/>
        </w:rPr>
        <w:t xml:space="preserve">Solomon, A. (2012). </w:t>
      </w:r>
      <w:r w:rsidRPr="008614EB">
        <w:rPr>
          <w:rFonts w:eastAsia="Aptos" w:cs="Arial"/>
          <w:i/>
          <w:noProof/>
          <w:sz w:val="22"/>
          <w:lang w:val="en-US"/>
        </w:rPr>
        <w:t>Far from the tree: Parents, children and the search for identity</w:t>
      </w:r>
      <w:r w:rsidRPr="008614EB">
        <w:rPr>
          <w:rFonts w:eastAsia="Aptos" w:cs="Arial"/>
          <w:noProof/>
          <w:sz w:val="22"/>
          <w:lang w:val="en-US"/>
        </w:rPr>
        <w:t xml:space="preserve">. London, UK: Chatto and Windus. </w:t>
      </w:r>
    </w:p>
    <w:p w14:paraId="0C21D043" w14:textId="77777777" w:rsidR="008614EB" w:rsidRPr="008614EB" w:rsidRDefault="008614EB" w:rsidP="008614EB">
      <w:pPr>
        <w:spacing w:before="0" w:after="0"/>
        <w:ind w:left="720" w:hanging="720"/>
        <w:rPr>
          <w:rFonts w:eastAsia="Aptos" w:cs="Arial"/>
          <w:noProof/>
          <w:sz w:val="22"/>
          <w:lang w:val="en-US"/>
        </w:rPr>
      </w:pPr>
      <w:r w:rsidRPr="008614EB">
        <w:rPr>
          <w:rFonts w:eastAsia="Aptos" w:cs="Arial"/>
          <w:noProof/>
          <w:sz w:val="22"/>
          <w:lang w:val="en-US"/>
        </w:rPr>
        <w:tab/>
      </w:r>
    </w:p>
    <w:p w14:paraId="43265D25" w14:textId="1E8964B4" w:rsidR="006C2502" w:rsidRDefault="008614EB" w:rsidP="008614EB">
      <w:pPr>
        <w:spacing w:before="0" w:after="160"/>
        <w:ind w:left="720" w:hanging="720"/>
        <w:rPr>
          <w:rFonts w:eastAsia="Aptos" w:cs="Arial"/>
          <w:noProof/>
          <w:sz w:val="22"/>
          <w:lang w:val="en-US"/>
        </w:rPr>
      </w:pPr>
      <w:r w:rsidRPr="008614EB">
        <w:rPr>
          <w:rFonts w:eastAsia="Aptos" w:cs="Arial"/>
          <w:noProof/>
          <w:sz w:val="22"/>
          <w:lang w:val="en-US"/>
        </w:rPr>
        <w:t xml:space="preserve">Somerville, M. (2016). Aboriginal parent engagement. In C. Woodrow, M. Somerville, L. Naidoo, &amp; K. Power (Eds.), </w:t>
      </w:r>
      <w:r w:rsidRPr="008614EB">
        <w:rPr>
          <w:rFonts w:eastAsia="Aptos" w:cs="Arial"/>
          <w:i/>
          <w:noProof/>
          <w:sz w:val="22"/>
          <w:lang w:val="en-US"/>
        </w:rPr>
        <w:t>Researching Parent Engagement: A qualitative field study</w:t>
      </w:r>
      <w:r w:rsidRPr="008614EB">
        <w:rPr>
          <w:rFonts w:eastAsia="Aptos" w:cs="Arial"/>
          <w:noProof/>
          <w:sz w:val="22"/>
          <w:lang w:val="en-US"/>
        </w:rPr>
        <w:t xml:space="preserve">. Penrith, NSW: Centre for Educational Research, Western Sydney University. </w:t>
      </w:r>
      <w:hyperlink r:id="rId600" w:history="1">
        <w:r w:rsidR="006C2502" w:rsidRPr="008614EB">
          <w:rPr>
            <w:rStyle w:val="Hyperlink"/>
            <w:rFonts w:eastAsia="Aptos" w:cs="Arial"/>
            <w:noProof/>
            <w:sz w:val="22"/>
            <w:lang w:val="en-US"/>
          </w:rPr>
          <w:t>https://doi.org/10.4225/35/5715bcdd2df24</w:t>
        </w:r>
      </w:hyperlink>
    </w:p>
    <w:p w14:paraId="083F601A" w14:textId="1C92B494" w:rsidR="008614EB" w:rsidRPr="008614EB" w:rsidRDefault="008614EB" w:rsidP="008614EB">
      <w:pPr>
        <w:spacing w:before="0" w:after="160"/>
        <w:ind w:left="720" w:hanging="720"/>
        <w:rPr>
          <w:rFonts w:eastAsia="Aptos" w:cs="Arial"/>
          <w:noProof/>
          <w:sz w:val="22"/>
          <w:lang w:val="en-US"/>
        </w:rPr>
      </w:pPr>
      <w:r w:rsidRPr="008614EB">
        <w:rPr>
          <w:rFonts w:eastAsia="Aptos" w:cs="Arial"/>
          <w:noProof/>
          <w:sz w:val="22"/>
          <w:lang w:val="en-US"/>
        </w:rPr>
        <w:t xml:space="preserve"> </w:t>
      </w:r>
    </w:p>
    <w:p w14:paraId="4E88C1B7" w14:textId="3DD75593" w:rsidR="00F31FB2" w:rsidRPr="00F31FB2" w:rsidRDefault="00F31FB2" w:rsidP="00F31FB2">
      <w:pPr>
        <w:spacing w:before="0" w:after="160"/>
        <w:ind w:left="720" w:hanging="720"/>
        <w:rPr>
          <w:rFonts w:eastAsia="Aptos" w:cs="Arial"/>
          <w:noProof/>
          <w:sz w:val="22"/>
          <w:lang w:val="en-US"/>
        </w:rPr>
      </w:pPr>
      <w:r w:rsidRPr="00F31FB2">
        <w:rPr>
          <w:rFonts w:eastAsia="Aptos" w:cs="Arial"/>
          <w:noProof/>
          <w:sz w:val="22"/>
          <w:lang w:val="en-US"/>
        </w:rPr>
        <w:t xml:space="preserve">Song, J., Reilly, M., &amp; Reichow, B. (2024). Overview of meta-analyses on naturalistic developmental behavioral interventions for children with autism spectrum disorder. </w:t>
      </w:r>
      <w:r w:rsidRPr="00F31FB2">
        <w:rPr>
          <w:rFonts w:eastAsia="Aptos" w:cs="Arial"/>
          <w:i/>
          <w:noProof/>
          <w:sz w:val="22"/>
          <w:lang w:val="en-US"/>
        </w:rPr>
        <w:t>Journal of Autism and Developmental Disorders</w:t>
      </w:r>
      <w:r w:rsidRPr="00F31FB2">
        <w:rPr>
          <w:rFonts w:eastAsia="Aptos" w:cs="Arial"/>
          <w:noProof/>
          <w:sz w:val="22"/>
          <w:lang w:val="en-US"/>
        </w:rPr>
        <w:t xml:space="preserve">, 1-13. </w:t>
      </w:r>
      <w:hyperlink r:id="rId601" w:history="1">
        <w:r w:rsidR="006C2502" w:rsidRPr="00F31FB2">
          <w:rPr>
            <w:rStyle w:val="Hyperlink"/>
            <w:rFonts w:eastAsia="Aptos" w:cs="Arial"/>
            <w:noProof/>
            <w:sz w:val="22"/>
            <w:lang w:val="en-US"/>
          </w:rPr>
          <w:t>https://doi.org/10.1007/s10803-023-06198-x</w:t>
        </w:r>
      </w:hyperlink>
      <w:r w:rsidR="006C2502">
        <w:rPr>
          <w:rFonts w:eastAsia="Aptos" w:cs="Arial"/>
          <w:noProof/>
          <w:sz w:val="22"/>
          <w:lang w:val="en-US"/>
        </w:rPr>
        <w:t xml:space="preserve"> </w:t>
      </w:r>
      <w:r w:rsidRPr="00F31FB2">
        <w:rPr>
          <w:rFonts w:eastAsia="Aptos" w:cs="Arial"/>
          <w:noProof/>
          <w:sz w:val="22"/>
          <w:lang w:val="en-US"/>
        </w:rPr>
        <w:t xml:space="preserve"> </w:t>
      </w:r>
    </w:p>
    <w:p w14:paraId="6F7C6A36" w14:textId="77777777" w:rsidR="00F31FB2" w:rsidRPr="00F31FB2" w:rsidRDefault="00F31FB2" w:rsidP="00F31FB2">
      <w:pPr>
        <w:spacing w:before="0" w:after="0"/>
        <w:ind w:left="720" w:hanging="720"/>
        <w:rPr>
          <w:rFonts w:eastAsia="Aptos" w:cs="Arial"/>
          <w:noProof/>
          <w:sz w:val="22"/>
          <w:lang w:val="en-US"/>
        </w:rPr>
      </w:pPr>
      <w:r w:rsidRPr="00F31FB2">
        <w:rPr>
          <w:rFonts w:eastAsia="Aptos" w:cs="Arial"/>
          <w:noProof/>
          <w:sz w:val="22"/>
          <w:lang w:val="en-US"/>
        </w:rPr>
        <w:tab/>
      </w:r>
    </w:p>
    <w:p w14:paraId="13038691" w14:textId="7FC22206" w:rsidR="00F31FB2" w:rsidRPr="00F31FB2" w:rsidRDefault="00F31FB2" w:rsidP="00F31FB2">
      <w:pPr>
        <w:spacing w:before="0" w:after="160"/>
        <w:ind w:left="720" w:hanging="720"/>
        <w:rPr>
          <w:rFonts w:eastAsia="Aptos" w:cs="Arial"/>
          <w:noProof/>
          <w:sz w:val="22"/>
          <w:lang w:val="en-US"/>
        </w:rPr>
      </w:pPr>
      <w:r w:rsidRPr="00F31FB2">
        <w:rPr>
          <w:rFonts w:eastAsia="Aptos" w:cs="Arial"/>
          <w:noProof/>
          <w:sz w:val="22"/>
          <w:lang w:val="it-IT"/>
        </w:rPr>
        <w:t>Sonuga</w:t>
      </w:r>
      <w:r w:rsidRPr="00F31FB2">
        <w:rPr>
          <w:rFonts w:ascii="Cambria Math" w:eastAsia="Aptos" w:hAnsi="Cambria Math" w:cs="Cambria Math"/>
          <w:noProof/>
          <w:sz w:val="22"/>
          <w:lang w:val="it-IT"/>
        </w:rPr>
        <w:t>‐</w:t>
      </w:r>
      <w:r w:rsidRPr="00F31FB2">
        <w:rPr>
          <w:rFonts w:eastAsia="Aptos" w:cs="Arial"/>
          <w:noProof/>
          <w:sz w:val="22"/>
          <w:lang w:val="it-IT"/>
        </w:rPr>
        <w:t xml:space="preserve">Barke, E. J. S. (2023). </w:t>
      </w:r>
      <w:r w:rsidRPr="00F31FB2">
        <w:rPr>
          <w:rFonts w:eastAsia="Aptos" w:cs="Arial"/>
          <w:noProof/>
          <w:sz w:val="22"/>
          <w:lang w:val="en-US"/>
        </w:rPr>
        <w:t xml:space="preserve">Paradigm ‘flipping’to reinvigorate translational science: Outlining a neurodevelopmental science framework from a ‘neurodiversity’perspective. </w:t>
      </w:r>
      <w:r w:rsidRPr="00F31FB2">
        <w:rPr>
          <w:rFonts w:eastAsia="Aptos" w:cs="Arial"/>
          <w:i/>
          <w:noProof/>
          <w:sz w:val="22"/>
          <w:lang w:val="en-US"/>
        </w:rPr>
        <w:t>Journal of Child Psychology and Psychiatry</w:t>
      </w:r>
      <w:r w:rsidRPr="00F31FB2">
        <w:rPr>
          <w:rFonts w:eastAsia="Aptos" w:cs="Arial"/>
          <w:noProof/>
          <w:sz w:val="22"/>
          <w:lang w:val="en-US"/>
        </w:rPr>
        <w:t>,</w:t>
      </w:r>
      <w:r w:rsidRPr="00F31FB2">
        <w:rPr>
          <w:rFonts w:eastAsia="Aptos" w:cs="Arial"/>
          <w:i/>
          <w:noProof/>
          <w:sz w:val="22"/>
          <w:lang w:val="en-US"/>
        </w:rPr>
        <w:t xml:space="preserve"> 64</w:t>
      </w:r>
      <w:r w:rsidRPr="00F31FB2">
        <w:rPr>
          <w:rFonts w:eastAsia="Aptos" w:cs="Arial"/>
          <w:noProof/>
          <w:sz w:val="22"/>
          <w:lang w:val="en-US"/>
        </w:rPr>
        <w:t xml:space="preserve">(10), 1405-1408. </w:t>
      </w:r>
      <w:hyperlink r:id="rId602" w:history="1">
        <w:r w:rsidR="006C2502" w:rsidRPr="00F31FB2">
          <w:rPr>
            <w:rStyle w:val="Hyperlink"/>
            <w:rFonts w:eastAsia="Aptos" w:cs="Arial"/>
            <w:noProof/>
            <w:sz w:val="22"/>
            <w:lang w:val="en-US"/>
          </w:rPr>
          <w:t>https://doi.org/10.1111/jcpp.13886</w:t>
        </w:r>
      </w:hyperlink>
      <w:r w:rsidR="006C2502">
        <w:rPr>
          <w:rFonts w:eastAsia="Aptos" w:cs="Arial"/>
          <w:noProof/>
          <w:sz w:val="22"/>
          <w:lang w:val="en-US"/>
        </w:rPr>
        <w:t xml:space="preserve"> </w:t>
      </w:r>
      <w:r w:rsidRPr="00F31FB2">
        <w:rPr>
          <w:rFonts w:eastAsia="Aptos" w:cs="Arial"/>
          <w:noProof/>
          <w:sz w:val="22"/>
          <w:lang w:val="en-US"/>
        </w:rPr>
        <w:t xml:space="preserve"> </w:t>
      </w:r>
    </w:p>
    <w:p w14:paraId="094E205A" w14:textId="77777777" w:rsidR="00F31FB2" w:rsidRPr="00F31FB2" w:rsidRDefault="00F31FB2" w:rsidP="00F31FB2">
      <w:pPr>
        <w:spacing w:before="0" w:after="0"/>
        <w:ind w:left="720" w:hanging="720"/>
        <w:rPr>
          <w:rFonts w:eastAsia="Aptos" w:cs="Arial"/>
          <w:noProof/>
          <w:sz w:val="22"/>
          <w:lang w:val="en-US"/>
        </w:rPr>
      </w:pPr>
      <w:r w:rsidRPr="00F31FB2">
        <w:rPr>
          <w:rFonts w:eastAsia="Aptos" w:cs="Arial"/>
          <w:noProof/>
          <w:sz w:val="22"/>
          <w:lang w:val="en-US"/>
        </w:rPr>
        <w:tab/>
      </w:r>
    </w:p>
    <w:p w14:paraId="153BCE9A" w14:textId="6D7A2D89" w:rsidR="00F31FB2" w:rsidRPr="00F31FB2" w:rsidRDefault="00F31FB2" w:rsidP="00F31FB2">
      <w:pPr>
        <w:spacing w:before="0" w:after="160"/>
        <w:ind w:left="720" w:hanging="720"/>
        <w:rPr>
          <w:rFonts w:eastAsia="Aptos" w:cs="Arial"/>
          <w:noProof/>
          <w:sz w:val="22"/>
          <w:lang w:val="en-US"/>
        </w:rPr>
      </w:pPr>
      <w:r w:rsidRPr="00F31FB2">
        <w:rPr>
          <w:rFonts w:eastAsia="Aptos" w:cs="Arial"/>
          <w:noProof/>
          <w:sz w:val="22"/>
          <w:lang w:val="en-US"/>
        </w:rPr>
        <w:t xml:space="preserve">Soukakou, E., Evangelou, M., &amp; Holbrooke, B. (2018). Inclusive Classroom Profile: a pilot study of its use as a professional development tool. </w:t>
      </w:r>
      <w:r w:rsidRPr="00F31FB2">
        <w:rPr>
          <w:rFonts w:eastAsia="Aptos" w:cs="Arial"/>
          <w:i/>
          <w:noProof/>
          <w:sz w:val="22"/>
          <w:lang w:val="en-US"/>
        </w:rPr>
        <w:t>International Journal of Inclusive Education</w:t>
      </w:r>
      <w:r w:rsidRPr="00F31FB2">
        <w:rPr>
          <w:rFonts w:eastAsia="Aptos" w:cs="Arial"/>
          <w:noProof/>
          <w:sz w:val="22"/>
          <w:lang w:val="en-US"/>
        </w:rPr>
        <w:t>,</w:t>
      </w:r>
      <w:r w:rsidRPr="00F31FB2">
        <w:rPr>
          <w:rFonts w:eastAsia="Aptos" w:cs="Arial"/>
          <w:i/>
          <w:noProof/>
          <w:sz w:val="22"/>
          <w:lang w:val="en-US"/>
        </w:rPr>
        <w:t xml:space="preserve"> 22</w:t>
      </w:r>
      <w:r w:rsidRPr="00F31FB2">
        <w:rPr>
          <w:rFonts w:eastAsia="Aptos" w:cs="Arial"/>
          <w:noProof/>
          <w:sz w:val="22"/>
          <w:lang w:val="en-US"/>
        </w:rPr>
        <w:t xml:space="preserve">(10), 1124-1135. </w:t>
      </w:r>
      <w:hyperlink r:id="rId603" w:history="1">
        <w:r w:rsidR="006C2502" w:rsidRPr="00F31FB2">
          <w:rPr>
            <w:rStyle w:val="Hyperlink"/>
            <w:rFonts w:eastAsia="Aptos" w:cs="Arial"/>
            <w:noProof/>
            <w:sz w:val="22"/>
            <w:lang w:val="en-US"/>
          </w:rPr>
          <w:t>https://doi.org/10.1080/13603116.2017.1416188</w:t>
        </w:r>
      </w:hyperlink>
      <w:r w:rsidR="006C2502">
        <w:rPr>
          <w:rFonts w:eastAsia="Aptos" w:cs="Arial"/>
          <w:noProof/>
          <w:sz w:val="22"/>
          <w:lang w:val="en-US"/>
        </w:rPr>
        <w:t xml:space="preserve"> </w:t>
      </w:r>
      <w:r w:rsidRPr="00F31FB2">
        <w:rPr>
          <w:rFonts w:eastAsia="Aptos" w:cs="Arial"/>
          <w:noProof/>
          <w:sz w:val="22"/>
          <w:lang w:val="en-US"/>
        </w:rPr>
        <w:t xml:space="preserve"> </w:t>
      </w:r>
    </w:p>
    <w:p w14:paraId="7A109AFA" w14:textId="70190CB2" w:rsidR="00BA15E3" w:rsidRPr="00BA15E3" w:rsidRDefault="00BA15E3" w:rsidP="00BA15E3">
      <w:pPr>
        <w:spacing w:before="0" w:after="160"/>
        <w:ind w:left="720" w:hanging="720"/>
        <w:rPr>
          <w:rFonts w:eastAsia="Aptos" w:cs="Arial"/>
          <w:noProof/>
          <w:sz w:val="22"/>
          <w:lang w:val="en-US"/>
        </w:rPr>
      </w:pPr>
      <w:r w:rsidRPr="00BA15E3">
        <w:rPr>
          <w:rFonts w:eastAsia="Aptos" w:cs="Arial"/>
          <w:noProof/>
          <w:sz w:val="22"/>
          <w:lang w:val="en-US"/>
        </w:rPr>
        <w:t xml:space="preserve">Soukakou, E., Winton, P., &amp; West, T. (2012). </w:t>
      </w:r>
      <w:r w:rsidRPr="00BA15E3">
        <w:rPr>
          <w:rFonts w:eastAsia="Aptos" w:cs="Arial"/>
          <w:i/>
          <w:noProof/>
          <w:sz w:val="22"/>
          <w:lang w:val="en-US"/>
        </w:rPr>
        <w:t>The Inclusive Classroom Profile (ICP) preliminary findings of demonstration study in North Carolina</w:t>
      </w:r>
      <w:r w:rsidRPr="00BA15E3">
        <w:rPr>
          <w:rFonts w:eastAsia="Aptos" w:cs="Arial"/>
          <w:noProof/>
          <w:sz w:val="22"/>
          <w:lang w:val="en-US"/>
        </w:rPr>
        <w:t xml:space="preserve">. Chapel Hill, NC: National Professional Development Centre on Inclusions, FPG Child Development Centre, University of North Carolina at Chapel Hill. Retrieved 6 September, 2024 from </w:t>
      </w:r>
      <w:hyperlink r:id="rId604" w:history="1">
        <w:r w:rsidR="006C2502" w:rsidRPr="00BA15E3">
          <w:rPr>
            <w:rStyle w:val="Hyperlink"/>
            <w:rFonts w:eastAsia="Aptos" w:cs="Arial"/>
            <w:noProof/>
            <w:sz w:val="22"/>
            <w:lang w:val="en-US"/>
          </w:rPr>
          <w:t>http://npdci.fpg.unc.edu/sites/npdci.fpg.unc.edu/files/resources/ICP-demonstration-study-NC-2012.pdf</w:t>
        </w:r>
      </w:hyperlink>
      <w:r w:rsidR="006C2502">
        <w:rPr>
          <w:rFonts w:eastAsia="Aptos" w:cs="Arial"/>
          <w:noProof/>
          <w:sz w:val="22"/>
          <w:lang w:val="en-US"/>
        </w:rPr>
        <w:t xml:space="preserve"> </w:t>
      </w:r>
    </w:p>
    <w:p w14:paraId="6A167130" w14:textId="77777777" w:rsidR="00BA15E3" w:rsidRPr="00BA15E3" w:rsidRDefault="00BA15E3" w:rsidP="00BA15E3">
      <w:pPr>
        <w:spacing w:before="0" w:after="0"/>
        <w:ind w:left="720" w:hanging="720"/>
        <w:rPr>
          <w:rFonts w:eastAsia="Aptos" w:cs="Arial"/>
          <w:noProof/>
          <w:sz w:val="22"/>
          <w:lang w:val="en-US"/>
        </w:rPr>
      </w:pPr>
      <w:r w:rsidRPr="00BA15E3">
        <w:rPr>
          <w:rFonts w:eastAsia="Aptos" w:cs="Arial"/>
          <w:noProof/>
          <w:sz w:val="22"/>
          <w:lang w:val="en-US"/>
        </w:rPr>
        <w:tab/>
      </w:r>
    </w:p>
    <w:p w14:paraId="7A012EC0" w14:textId="4C50EB4D" w:rsidR="00BA15E3" w:rsidRPr="00BA15E3" w:rsidRDefault="00BA15E3" w:rsidP="00BA15E3">
      <w:pPr>
        <w:spacing w:before="0" w:after="160"/>
        <w:ind w:left="720" w:hanging="720"/>
        <w:rPr>
          <w:rFonts w:eastAsia="Aptos" w:cs="Arial"/>
          <w:noProof/>
          <w:sz w:val="22"/>
          <w:lang w:val="en-US"/>
        </w:rPr>
      </w:pPr>
      <w:r w:rsidRPr="00BA15E3">
        <w:rPr>
          <w:rFonts w:eastAsia="Aptos" w:cs="Arial"/>
          <w:noProof/>
          <w:sz w:val="22"/>
          <w:lang w:val="en-US"/>
        </w:rPr>
        <w:t xml:space="preserve">Soukakou, E. P. (2012). Measuring quality in inclusive preschool classrooms: Development and validation of the Inclusive Classroom Profile (ICP). </w:t>
      </w:r>
      <w:r w:rsidRPr="00BA15E3">
        <w:rPr>
          <w:rFonts w:eastAsia="Aptos" w:cs="Arial"/>
          <w:i/>
          <w:noProof/>
          <w:sz w:val="22"/>
          <w:lang w:val="en-US"/>
        </w:rPr>
        <w:t>Early Childhood Research Quarterly</w:t>
      </w:r>
      <w:r w:rsidRPr="00BA15E3">
        <w:rPr>
          <w:rFonts w:eastAsia="Aptos" w:cs="Arial"/>
          <w:noProof/>
          <w:sz w:val="22"/>
          <w:lang w:val="en-US"/>
        </w:rPr>
        <w:t>,</w:t>
      </w:r>
      <w:r w:rsidRPr="00BA15E3">
        <w:rPr>
          <w:rFonts w:eastAsia="Aptos" w:cs="Arial"/>
          <w:i/>
          <w:noProof/>
          <w:sz w:val="22"/>
          <w:lang w:val="en-US"/>
        </w:rPr>
        <w:t xml:space="preserve"> 27</w:t>
      </w:r>
      <w:r w:rsidRPr="00BA15E3">
        <w:rPr>
          <w:rFonts w:eastAsia="Aptos" w:cs="Arial"/>
          <w:noProof/>
          <w:sz w:val="22"/>
          <w:lang w:val="en-US"/>
        </w:rPr>
        <w:t xml:space="preserve">(3), 478-488. </w:t>
      </w:r>
      <w:hyperlink r:id="rId605" w:history="1">
        <w:r w:rsidR="006C2502" w:rsidRPr="00BA15E3">
          <w:rPr>
            <w:rStyle w:val="Hyperlink"/>
            <w:rFonts w:eastAsia="Aptos" w:cs="Arial"/>
            <w:noProof/>
            <w:sz w:val="22"/>
            <w:lang w:val="en-US"/>
          </w:rPr>
          <w:t>https://doi.org/10.1016/j.ecresq.2011.12.003</w:t>
        </w:r>
      </w:hyperlink>
      <w:r w:rsidR="006C2502">
        <w:rPr>
          <w:rFonts w:eastAsia="Aptos" w:cs="Arial"/>
          <w:noProof/>
          <w:sz w:val="22"/>
          <w:lang w:val="en-US"/>
        </w:rPr>
        <w:t xml:space="preserve"> </w:t>
      </w:r>
      <w:r w:rsidRPr="00BA15E3">
        <w:rPr>
          <w:rFonts w:eastAsia="Aptos" w:cs="Arial"/>
          <w:noProof/>
          <w:sz w:val="22"/>
          <w:lang w:val="en-US"/>
        </w:rPr>
        <w:t xml:space="preserve"> </w:t>
      </w:r>
    </w:p>
    <w:p w14:paraId="1A6B86AB" w14:textId="77777777" w:rsidR="00BA15E3" w:rsidRPr="00BA15E3" w:rsidRDefault="00BA15E3" w:rsidP="00BA15E3">
      <w:pPr>
        <w:spacing w:before="0" w:after="0"/>
        <w:ind w:left="720" w:hanging="720"/>
        <w:rPr>
          <w:rFonts w:eastAsia="Aptos" w:cs="Arial"/>
          <w:noProof/>
          <w:sz w:val="22"/>
          <w:lang w:val="en-US"/>
        </w:rPr>
      </w:pPr>
      <w:r w:rsidRPr="00BA15E3">
        <w:rPr>
          <w:rFonts w:eastAsia="Aptos" w:cs="Arial"/>
          <w:noProof/>
          <w:sz w:val="22"/>
          <w:lang w:val="en-US"/>
        </w:rPr>
        <w:tab/>
      </w:r>
    </w:p>
    <w:p w14:paraId="2A1A1EF8" w14:textId="227A1B1D" w:rsidR="00BA15E3" w:rsidRPr="00BA15E3" w:rsidRDefault="00BA15E3" w:rsidP="00BA15E3">
      <w:pPr>
        <w:spacing w:before="0" w:after="160"/>
        <w:ind w:left="720" w:hanging="720"/>
        <w:rPr>
          <w:rFonts w:eastAsia="Aptos" w:cs="Arial"/>
          <w:noProof/>
          <w:sz w:val="22"/>
          <w:lang w:val="en-US"/>
        </w:rPr>
      </w:pPr>
      <w:r w:rsidRPr="00BA15E3">
        <w:rPr>
          <w:rFonts w:eastAsia="Aptos" w:cs="Arial"/>
          <w:noProof/>
          <w:sz w:val="22"/>
          <w:lang w:val="en-US"/>
        </w:rPr>
        <w:t xml:space="preserve">Soukakou, E. P., Winton, P. J., West, T. A., Sideris, J. H., &amp; Rucker, L. M. (2014). Measuring the quality of inclusive practices: Findings from the inclusive classroom profile pilot. </w:t>
      </w:r>
      <w:r w:rsidRPr="00BA15E3">
        <w:rPr>
          <w:rFonts w:eastAsia="Aptos" w:cs="Arial"/>
          <w:i/>
          <w:noProof/>
          <w:sz w:val="22"/>
          <w:lang w:val="en-US"/>
        </w:rPr>
        <w:t>Journal of Early Intervention</w:t>
      </w:r>
      <w:r w:rsidRPr="00BA15E3">
        <w:rPr>
          <w:rFonts w:eastAsia="Aptos" w:cs="Arial"/>
          <w:noProof/>
          <w:sz w:val="22"/>
          <w:lang w:val="en-US"/>
        </w:rPr>
        <w:t>,</w:t>
      </w:r>
      <w:r w:rsidRPr="00BA15E3">
        <w:rPr>
          <w:rFonts w:eastAsia="Aptos" w:cs="Arial"/>
          <w:i/>
          <w:noProof/>
          <w:sz w:val="22"/>
          <w:lang w:val="en-US"/>
        </w:rPr>
        <w:t xml:space="preserve"> 36</w:t>
      </w:r>
      <w:r w:rsidRPr="00BA15E3">
        <w:rPr>
          <w:rFonts w:eastAsia="Aptos" w:cs="Arial"/>
          <w:noProof/>
          <w:sz w:val="22"/>
          <w:lang w:val="en-US"/>
        </w:rPr>
        <w:t xml:space="preserve">(3), 223-240. </w:t>
      </w:r>
      <w:hyperlink r:id="rId606" w:history="1">
        <w:r w:rsidR="006C2502" w:rsidRPr="00BA15E3">
          <w:rPr>
            <w:rStyle w:val="Hyperlink"/>
            <w:rFonts w:eastAsia="Aptos" w:cs="Arial"/>
            <w:noProof/>
            <w:sz w:val="22"/>
            <w:lang w:val="en-US"/>
          </w:rPr>
          <w:t>https://doi.org/https://doi.org/10.1177/1053815115569732</w:t>
        </w:r>
      </w:hyperlink>
      <w:r w:rsidR="006C2502">
        <w:rPr>
          <w:rFonts w:eastAsia="Aptos" w:cs="Arial"/>
          <w:noProof/>
          <w:sz w:val="22"/>
          <w:lang w:val="en-US"/>
        </w:rPr>
        <w:t xml:space="preserve"> </w:t>
      </w:r>
      <w:r w:rsidRPr="00BA15E3">
        <w:rPr>
          <w:rFonts w:eastAsia="Aptos" w:cs="Arial"/>
          <w:noProof/>
          <w:sz w:val="22"/>
          <w:lang w:val="en-US"/>
        </w:rPr>
        <w:t xml:space="preserve"> </w:t>
      </w:r>
    </w:p>
    <w:p w14:paraId="4722E98F" w14:textId="77777777" w:rsidR="00BA15E3" w:rsidRPr="00BA15E3" w:rsidRDefault="00BA15E3" w:rsidP="00BA15E3">
      <w:pPr>
        <w:spacing w:before="0" w:after="0"/>
        <w:ind w:left="720" w:hanging="720"/>
        <w:rPr>
          <w:rFonts w:eastAsia="Aptos" w:cs="Arial"/>
          <w:noProof/>
          <w:sz w:val="22"/>
          <w:lang w:val="en-US"/>
        </w:rPr>
      </w:pPr>
      <w:r w:rsidRPr="00BA15E3">
        <w:rPr>
          <w:rFonts w:eastAsia="Aptos" w:cs="Arial"/>
          <w:noProof/>
          <w:sz w:val="22"/>
          <w:lang w:val="en-US"/>
        </w:rPr>
        <w:tab/>
      </w:r>
    </w:p>
    <w:p w14:paraId="2166E825" w14:textId="33EBFE36" w:rsidR="00BA15E3" w:rsidRDefault="00BA15E3" w:rsidP="00BA15E3">
      <w:pPr>
        <w:spacing w:before="0" w:after="160"/>
        <w:ind w:left="720" w:hanging="720"/>
        <w:rPr>
          <w:rFonts w:eastAsia="Aptos" w:cs="Arial"/>
          <w:noProof/>
          <w:sz w:val="22"/>
          <w:lang w:val="en-US"/>
        </w:rPr>
      </w:pPr>
      <w:r w:rsidRPr="00BA15E3">
        <w:rPr>
          <w:rFonts w:eastAsia="Aptos" w:cs="Arial"/>
          <w:noProof/>
          <w:sz w:val="22"/>
          <w:lang w:val="en-US"/>
        </w:rPr>
        <w:t xml:space="preserve">Spicker, P. (2013). Personalisation falls short. </w:t>
      </w:r>
      <w:r w:rsidRPr="00BA15E3">
        <w:rPr>
          <w:rFonts w:eastAsia="Aptos" w:cs="Arial"/>
          <w:i/>
          <w:noProof/>
          <w:sz w:val="22"/>
          <w:lang w:val="en-US"/>
        </w:rPr>
        <w:t>British Journal of Social Work</w:t>
      </w:r>
      <w:r w:rsidRPr="00BA15E3">
        <w:rPr>
          <w:rFonts w:eastAsia="Aptos" w:cs="Arial"/>
          <w:noProof/>
          <w:sz w:val="22"/>
          <w:lang w:val="en-US"/>
        </w:rPr>
        <w:t>,</w:t>
      </w:r>
      <w:r w:rsidRPr="00BA15E3">
        <w:rPr>
          <w:rFonts w:eastAsia="Aptos" w:cs="Arial"/>
          <w:i/>
          <w:noProof/>
          <w:sz w:val="22"/>
          <w:lang w:val="en-US"/>
        </w:rPr>
        <w:t xml:space="preserve"> 43</w:t>
      </w:r>
      <w:r w:rsidRPr="00BA15E3">
        <w:rPr>
          <w:rFonts w:eastAsia="Aptos" w:cs="Arial"/>
          <w:noProof/>
          <w:sz w:val="22"/>
          <w:lang w:val="en-US"/>
        </w:rPr>
        <w:t xml:space="preserve">(7), 1259-1275. </w:t>
      </w:r>
      <w:hyperlink r:id="rId607" w:history="1">
        <w:r w:rsidR="00B9370D" w:rsidRPr="00326476">
          <w:rPr>
            <w:rStyle w:val="Hyperlink"/>
            <w:rFonts w:eastAsia="Aptos" w:cs="Arial"/>
            <w:noProof/>
            <w:sz w:val="22"/>
            <w:lang w:val="en-US"/>
          </w:rPr>
          <w:t>https://doi.org/10.1093/bjsw/bcs063</w:t>
        </w:r>
      </w:hyperlink>
      <w:r w:rsidRPr="00BA15E3">
        <w:rPr>
          <w:rFonts w:eastAsia="Aptos" w:cs="Arial"/>
          <w:noProof/>
          <w:sz w:val="22"/>
          <w:lang w:val="en-US"/>
        </w:rPr>
        <w:t xml:space="preserve"> </w:t>
      </w:r>
    </w:p>
    <w:p w14:paraId="15B7DC11" w14:textId="77777777" w:rsidR="003F4668" w:rsidRDefault="003F4668" w:rsidP="00BA15E3">
      <w:pPr>
        <w:spacing w:before="0" w:after="160"/>
        <w:ind w:left="720" w:hanging="720"/>
        <w:rPr>
          <w:rFonts w:eastAsia="Aptos" w:cs="Arial"/>
          <w:noProof/>
          <w:sz w:val="22"/>
          <w:lang w:val="en-US"/>
        </w:rPr>
      </w:pPr>
    </w:p>
    <w:p w14:paraId="3765779A" w14:textId="77777777" w:rsidR="003F4668" w:rsidRDefault="00311866" w:rsidP="00311866">
      <w:pPr>
        <w:spacing w:before="0" w:after="160"/>
        <w:ind w:left="720" w:hanging="720"/>
        <w:rPr>
          <w:rFonts w:eastAsia="Aptos" w:cs="Arial"/>
          <w:noProof/>
          <w:sz w:val="22"/>
          <w:lang w:val="en-US"/>
        </w:rPr>
      </w:pPr>
      <w:r w:rsidRPr="00311866">
        <w:rPr>
          <w:rFonts w:eastAsia="Aptos" w:cs="Arial"/>
          <w:noProof/>
          <w:sz w:val="22"/>
          <w:lang w:val="en-US"/>
        </w:rPr>
        <w:t xml:space="preserve">Sprigg Dos Santos, N., Kendall, G., &amp; Munns, A. (2022). Applying an authentic partnership approach to facilitate optimal health of Aboriginal children. </w:t>
      </w:r>
      <w:r w:rsidRPr="00311866">
        <w:rPr>
          <w:rFonts w:eastAsia="Aptos" w:cs="Arial"/>
          <w:i/>
          <w:noProof/>
          <w:sz w:val="22"/>
          <w:lang w:val="en-US"/>
        </w:rPr>
        <w:t>Primary Health Care Research &amp; Development</w:t>
      </w:r>
      <w:r w:rsidRPr="00311866">
        <w:rPr>
          <w:rFonts w:eastAsia="Aptos" w:cs="Arial"/>
          <w:noProof/>
          <w:sz w:val="22"/>
          <w:lang w:val="en-US"/>
        </w:rPr>
        <w:t>,</w:t>
      </w:r>
      <w:r w:rsidRPr="00311866">
        <w:rPr>
          <w:rFonts w:eastAsia="Aptos" w:cs="Arial"/>
          <w:i/>
          <w:noProof/>
          <w:sz w:val="22"/>
          <w:lang w:val="en-US"/>
        </w:rPr>
        <w:t xml:space="preserve"> 23</w:t>
      </w:r>
      <w:r w:rsidRPr="00311866">
        <w:rPr>
          <w:rFonts w:eastAsia="Aptos" w:cs="Arial"/>
          <w:noProof/>
          <w:sz w:val="22"/>
          <w:lang w:val="en-US"/>
        </w:rPr>
        <w:t xml:space="preserve">, e47. </w:t>
      </w:r>
      <w:hyperlink r:id="rId608" w:history="1">
        <w:r w:rsidR="003F4668" w:rsidRPr="00311866">
          <w:rPr>
            <w:rStyle w:val="Hyperlink"/>
            <w:rFonts w:eastAsia="Aptos" w:cs="Arial"/>
            <w:noProof/>
            <w:sz w:val="22"/>
            <w:lang w:val="en-US"/>
          </w:rPr>
          <w:t>https://doi.org/10.1017/S1463423622000329</w:t>
        </w:r>
      </w:hyperlink>
      <w:r w:rsidR="003F4668">
        <w:rPr>
          <w:rFonts w:eastAsia="Aptos" w:cs="Arial"/>
          <w:noProof/>
          <w:sz w:val="22"/>
          <w:lang w:val="en-US"/>
        </w:rPr>
        <w:t xml:space="preserve"> </w:t>
      </w:r>
    </w:p>
    <w:p w14:paraId="63EE2900" w14:textId="6A9D80DC" w:rsidR="00B9370D" w:rsidRPr="00BA15E3" w:rsidRDefault="00311866" w:rsidP="00311866">
      <w:pPr>
        <w:spacing w:before="0" w:after="160"/>
        <w:ind w:left="720" w:hanging="720"/>
        <w:rPr>
          <w:rFonts w:eastAsia="Aptos" w:cs="Arial"/>
          <w:noProof/>
          <w:sz w:val="22"/>
          <w:lang w:val="en-US"/>
        </w:rPr>
      </w:pPr>
      <w:r w:rsidRPr="00311866">
        <w:rPr>
          <w:rFonts w:eastAsia="Aptos" w:cs="Arial"/>
          <w:noProof/>
          <w:sz w:val="22"/>
          <w:lang w:val="en-US"/>
        </w:rPr>
        <w:t xml:space="preserve"> </w:t>
      </w:r>
    </w:p>
    <w:p w14:paraId="1FCAD7F2" w14:textId="67753BEE" w:rsidR="00312995" w:rsidRPr="00312995" w:rsidRDefault="00312995" w:rsidP="00312995">
      <w:pPr>
        <w:spacing w:before="0" w:after="160"/>
        <w:ind w:left="720" w:hanging="720"/>
        <w:rPr>
          <w:rFonts w:eastAsia="Aptos" w:cs="Arial"/>
          <w:noProof/>
          <w:sz w:val="22"/>
          <w:lang w:val="en-US"/>
        </w:rPr>
      </w:pPr>
      <w:r w:rsidRPr="00312995">
        <w:rPr>
          <w:rFonts w:eastAsia="Aptos" w:cs="Arial"/>
          <w:noProof/>
          <w:sz w:val="22"/>
          <w:lang w:val="en-US"/>
        </w:rPr>
        <w:t xml:space="preserve">Stanley, T., Baron, S., &amp; Robertson, P. (2021). Examining practice frameworks –mapping out the gains. </w:t>
      </w:r>
      <w:r w:rsidRPr="00312995">
        <w:rPr>
          <w:rFonts w:eastAsia="Aptos" w:cs="Arial"/>
          <w:i/>
          <w:noProof/>
          <w:sz w:val="22"/>
          <w:lang w:val="en-US"/>
        </w:rPr>
        <w:t>Practice</w:t>
      </w:r>
      <w:r w:rsidRPr="00312995">
        <w:rPr>
          <w:rFonts w:eastAsia="Aptos" w:cs="Arial"/>
          <w:noProof/>
          <w:sz w:val="22"/>
          <w:lang w:val="en-US"/>
        </w:rPr>
        <w:t>,</w:t>
      </w:r>
      <w:r w:rsidRPr="00312995">
        <w:rPr>
          <w:rFonts w:eastAsia="Aptos" w:cs="Arial"/>
          <w:i/>
          <w:noProof/>
          <w:sz w:val="22"/>
          <w:lang w:val="en-US"/>
        </w:rPr>
        <w:t xml:space="preserve"> 33</w:t>
      </w:r>
      <w:r w:rsidRPr="00312995">
        <w:rPr>
          <w:rFonts w:eastAsia="Aptos" w:cs="Arial"/>
          <w:noProof/>
          <w:sz w:val="22"/>
          <w:lang w:val="en-US"/>
        </w:rPr>
        <w:t xml:space="preserve">(1), 21-35. </w:t>
      </w:r>
      <w:hyperlink r:id="rId609" w:history="1">
        <w:r w:rsidR="006C2502" w:rsidRPr="00312995">
          <w:rPr>
            <w:rStyle w:val="Hyperlink"/>
            <w:rFonts w:eastAsia="Aptos" w:cs="Arial"/>
            <w:noProof/>
            <w:sz w:val="22"/>
            <w:lang w:val="en-US"/>
          </w:rPr>
          <w:t>https://doi.org/10.1080/09503153.2020.1713312</w:t>
        </w:r>
      </w:hyperlink>
      <w:r w:rsidR="006C2502">
        <w:rPr>
          <w:rFonts w:eastAsia="Aptos" w:cs="Arial"/>
          <w:noProof/>
          <w:sz w:val="22"/>
          <w:lang w:val="en-US"/>
        </w:rPr>
        <w:t xml:space="preserve"> </w:t>
      </w:r>
      <w:r w:rsidRPr="00312995">
        <w:rPr>
          <w:rFonts w:eastAsia="Aptos" w:cs="Arial"/>
          <w:noProof/>
          <w:sz w:val="22"/>
          <w:lang w:val="en-US"/>
        </w:rPr>
        <w:t xml:space="preserve"> </w:t>
      </w:r>
    </w:p>
    <w:p w14:paraId="43CB1ED4" w14:textId="77777777" w:rsidR="00312995" w:rsidRPr="00312995" w:rsidRDefault="00312995" w:rsidP="00312995">
      <w:pPr>
        <w:spacing w:before="0" w:after="0"/>
        <w:ind w:left="720" w:hanging="720"/>
        <w:rPr>
          <w:rFonts w:eastAsia="Aptos" w:cs="Arial"/>
          <w:noProof/>
          <w:sz w:val="22"/>
          <w:lang w:val="en-US"/>
        </w:rPr>
      </w:pPr>
      <w:r w:rsidRPr="00312995">
        <w:rPr>
          <w:rFonts w:eastAsia="Aptos" w:cs="Arial"/>
          <w:noProof/>
          <w:sz w:val="22"/>
          <w:lang w:val="en-US"/>
        </w:rPr>
        <w:tab/>
      </w:r>
    </w:p>
    <w:p w14:paraId="626A8288" w14:textId="403404C5" w:rsidR="00312995" w:rsidRPr="00312995" w:rsidRDefault="00312995" w:rsidP="00312995">
      <w:pPr>
        <w:spacing w:before="0" w:after="160"/>
        <w:ind w:left="720" w:hanging="720"/>
        <w:rPr>
          <w:rFonts w:eastAsia="Aptos" w:cs="Arial"/>
          <w:noProof/>
          <w:sz w:val="22"/>
          <w:lang w:val="en-US"/>
        </w:rPr>
      </w:pPr>
      <w:r w:rsidRPr="00312995">
        <w:rPr>
          <w:rFonts w:eastAsia="Aptos" w:cs="Arial"/>
          <w:noProof/>
          <w:sz w:val="22"/>
          <w:lang w:val="en-US"/>
        </w:rPr>
        <w:t xml:space="preserve">State of Victoria. (2022). </w:t>
      </w:r>
      <w:r w:rsidRPr="00312995">
        <w:rPr>
          <w:rFonts w:eastAsia="Aptos" w:cs="Arial"/>
          <w:i/>
          <w:noProof/>
          <w:sz w:val="22"/>
          <w:lang w:val="en-US"/>
        </w:rPr>
        <w:t>The early years assessment and learning tool</w:t>
      </w:r>
      <w:r w:rsidRPr="00312995">
        <w:rPr>
          <w:rFonts w:eastAsia="Aptos" w:cs="Arial"/>
          <w:noProof/>
          <w:sz w:val="22"/>
          <w:lang w:val="en-US"/>
        </w:rPr>
        <w:t xml:space="preserve">. Department of Education and Training. Retrieved 6 September, 2024 from </w:t>
      </w:r>
      <w:hyperlink r:id="rId610" w:history="1">
        <w:r w:rsidR="006C2502" w:rsidRPr="00312995">
          <w:rPr>
            <w:rStyle w:val="Hyperlink"/>
            <w:rFonts w:eastAsia="Aptos" w:cs="Arial"/>
            <w:noProof/>
            <w:sz w:val="22"/>
            <w:lang w:val="en-US"/>
          </w:rPr>
          <w:t>https://www.vic.gov.au/early-years-assessment-and-learning-tool</w:t>
        </w:r>
      </w:hyperlink>
      <w:r w:rsidR="006C2502">
        <w:rPr>
          <w:rFonts w:eastAsia="Aptos" w:cs="Arial"/>
          <w:noProof/>
          <w:sz w:val="22"/>
          <w:lang w:val="en-US"/>
        </w:rPr>
        <w:t xml:space="preserve"> </w:t>
      </w:r>
    </w:p>
    <w:p w14:paraId="2B1E7B3E" w14:textId="77777777" w:rsidR="00312995" w:rsidRPr="00312995" w:rsidRDefault="00312995" w:rsidP="00312995">
      <w:pPr>
        <w:spacing w:before="0" w:after="0"/>
        <w:ind w:left="720" w:hanging="720"/>
        <w:rPr>
          <w:rFonts w:eastAsia="Aptos" w:cs="Arial"/>
          <w:noProof/>
          <w:sz w:val="22"/>
          <w:lang w:val="en-US"/>
        </w:rPr>
      </w:pPr>
      <w:r w:rsidRPr="00312995">
        <w:rPr>
          <w:rFonts w:eastAsia="Aptos" w:cs="Arial"/>
          <w:noProof/>
          <w:sz w:val="22"/>
          <w:lang w:val="en-US"/>
        </w:rPr>
        <w:tab/>
      </w:r>
    </w:p>
    <w:p w14:paraId="4B6AB936" w14:textId="65D8359F" w:rsidR="00312995" w:rsidRPr="00312995" w:rsidRDefault="00312995" w:rsidP="00312995">
      <w:pPr>
        <w:spacing w:before="0" w:after="160"/>
        <w:ind w:left="720" w:hanging="720"/>
        <w:rPr>
          <w:rFonts w:eastAsia="Aptos" w:cs="Arial"/>
          <w:noProof/>
          <w:sz w:val="22"/>
          <w:lang w:val="en-US"/>
        </w:rPr>
      </w:pPr>
      <w:r w:rsidRPr="00312995">
        <w:rPr>
          <w:rFonts w:eastAsia="Aptos" w:cs="Arial"/>
          <w:noProof/>
          <w:sz w:val="22"/>
          <w:lang w:val="en-US"/>
        </w:rPr>
        <w:t xml:space="preserve">State of Victoria, &amp; Department of Education and Training. (2016). </w:t>
      </w:r>
      <w:r w:rsidRPr="00312995">
        <w:rPr>
          <w:rFonts w:eastAsia="Aptos" w:cs="Arial"/>
          <w:i/>
          <w:noProof/>
          <w:sz w:val="22"/>
          <w:lang w:val="en-US"/>
        </w:rPr>
        <w:t>Victorian early years learning and development framework: For all children from birth to eight years</w:t>
      </w:r>
      <w:r w:rsidRPr="00312995">
        <w:rPr>
          <w:rFonts w:eastAsia="Aptos" w:cs="Arial"/>
          <w:noProof/>
          <w:sz w:val="22"/>
          <w:lang w:val="en-US"/>
        </w:rPr>
        <w:t xml:space="preserve">. Melbourne, VIC: Department of Education and Training. Retrieved 6 September, 2024 from </w:t>
      </w:r>
      <w:hyperlink r:id="rId611" w:history="1">
        <w:r w:rsidR="006C2502" w:rsidRPr="00312995">
          <w:rPr>
            <w:rStyle w:val="Hyperlink"/>
            <w:rFonts w:eastAsia="Aptos" w:cs="Arial"/>
            <w:noProof/>
            <w:sz w:val="22"/>
            <w:lang w:val="en-US"/>
          </w:rPr>
          <w:t>https://www.vic.gov.au/victorian-early-years-learning-development-framework-veyldf</w:t>
        </w:r>
      </w:hyperlink>
      <w:r w:rsidR="006C2502">
        <w:rPr>
          <w:rFonts w:eastAsia="Aptos" w:cs="Arial"/>
          <w:noProof/>
          <w:sz w:val="22"/>
          <w:lang w:val="en-US"/>
        </w:rPr>
        <w:t xml:space="preserve"> </w:t>
      </w:r>
    </w:p>
    <w:p w14:paraId="58503597" w14:textId="77777777" w:rsidR="00312995" w:rsidRPr="00312995" w:rsidRDefault="00312995" w:rsidP="00312995">
      <w:pPr>
        <w:spacing w:before="0" w:after="0"/>
        <w:ind w:left="720" w:hanging="720"/>
        <w:rPr>
          <w:rFonts w:eastAsia="Aptos" w:cs="Arial"/>
          <w:noProof/>
          <w:sz w:val="22"/>
          <w:lang w:val="en-US"/>
        </w:rPr>
      </w:pPr>
      <w:r w:rsidRPr="00312995">
        <w:rPr>
          <w:rFonts w:eastAsia="Aptos" w:cs="Arial"/>
          <w:noProof/>
          <w:sz w:val="22"/>
          <w:lang w:val="en-US"/>
        </w:rPr>
        <w:tab/>
      </w:r>
    </w:p>
    <w:p w14:paraId="1824CE0E" w14:textId="5A479643" w:rsidR="00312995" w:rsidRDefault="00312995" w:rsidP="00312995">
      <w:pPr>
        <w:spacing w:before="0" w:after="160"/>
        <w:ind w:left="720" w:hanging="720"/>
        <w:rPr>
          <w:rFonts w:eastAsia="Aptos" w:cs="Arial"/>
          <w:noProof/>
          <w:sz w:val="22"/>
          <w:lang w:val="en-US"/>
        </w:rPr>
      </w:pPr>
      <w:r w:rsidRPr="00312995">
        <w:rPr>
          <w:rFonts w:eastAsia="Aptos" w:cs="Arial"/>
          <w:noProof/>
          <w:sz w:val="22"/>
          <w:lang w:val="en-US"/>
        </w:rPr>
        <w:t xml:space="preserve">Stayton, V. D., Kilgo, J., Horn, E., Kemp, P., &amp; Bruder, M. B. (2023). Standards for early intervention/early childhood special education: The development, uses, and vision for the future. </w:t>
      </w:r>
      <w:r w:rsidRPr="00312995">
        <w:rPr>
          <w:rFonts w:eastAsia="Aptos" w:cs="Arial"/>
          <w:i/>
          <w:noProof/>
          <w:sz w:val="22"/>
          <w:lang w:val="en-US"/>
        </w:rPr>
        <w:t>Topics in Early Childhood Special Education</w:t>
      </w:r>
      <w:r w:rsidRPr="00312995">
        <w:rPr>
          <w:rFonts w:eastAsia="Aptos" w:cs="Arial"/>
          <w:noProof/>
          <w:sz w:val="22"/>
          <w:lang w:val="en-US"/>
        </w:rPr>
        <w:t xml:space="preserve">. </w:t>
      </w:r>
      <w:hyperlink r:id="rId612" w:history="1">
        <w:r w:rsidR="006C2502" w:rsidRPr="00312995">
          <w:rPr>
            <w:rStyle w:val="Hyperlink"/>
            <w:rFonts w:eastAsia="Aptos" w:cs="Arial"/>
            <w:noProof/>
            <w:sz w:val="22"/>
            <w:lang w:val="en-US"/>
          </w:rPr>
          <w:t>https://doi.org/10.1177/02711214231165192</w:t>
        </w:r>
      </w:hyperlink>
      <w:r w:rsidR="006C2502">
        <w:rPr>
          <w:rFonts w:eastAsia="Aptos" w:cs="Arial"/>
          <w:noProof/>
          <w:sz w:val="22"/>
          <w:lang w:val="en-US"/>
        </w:rPr>
        <w:t xml:space="preserve"> </w:t>
      </w:r>
      <w:r w:rsidRPr="00312995">
        <w:rPr>
          <w:rFonts w:eastAsia="Aptos" w:cs="Arial"/>
          <w:noProof/>
          <w:sz w:val="22"/>
          <w:lang w:val="en-US"/>
        </w:rPr>
        <w:t xml:space="preserve"> </w:t>
      </w:r>
    </w:p>
    <w:p w14:paraId="4D769C5D" w14:textId="77777777" w:rsidR="001C2A89" w:rsidRDefault="001C2A89" w:rsidP="00312995">
      <w:pPr>
        <w:spacing w:before="0" w:after="160"/>
        <w:ind w:left="720" w:hanging="720"/>
        <w:rPr>
          <w:rFonts w:eastAsia="Aptos" w:cs="Arial"/>
          <w:noProof/>
          <w:sz w:val="22"/>
          <w:lang w:val="en-US"/>
        </w:rPr>
      </w:pPr>
    </w:p>
    <w:p w14:paraId="4BD8D30E" w14:textId="754A3ADE" w:rsidR="004742CF" w:rsidRDefault="004742CF" w:rsidP="004742CF">
      <w:pPr>
        <w:spacing w:before="0" w:after="160"/>
        <w:ind w:left="720" w:hanging="720"/>
        <w:rPr>
          <w:rFonts w:eastAsia="Aptos" w:cs="Arial"/>
          <w:noProof/>
          <w:sz w:val="22"/>
          <w:lang w:val="en-US"/>
        </w:rPr>
      </w:pPr>
      <w:r w:rsidRPr="001C2A89">
        <w:rPr>
          <w:rFonts w:eastAsia="Aptos" w:cs="Arial"/>
          <w:noProof/>
          <w:sz w:val="22"/>
          <w:lang w:val="en-US"/>
        </w:rPr>
        <w:t xml:space="preserve">Steenberg, J. S., Thompson, N., Woods, J., &amp; Younggren, N. (2008, 3 November). </w:t>
      </w:r>
      <w:r w:rsidRPr="001C2A89">
        <w:rPr>
          <w:rFonts w:eastAsia="Aptos" w:cs="Arial"/>
          <w:i/>
          <w:noProof/>
          <w:sz w:val="22"/>
          <w:lang w:val="en-US"/>
        </w:rPr>
        <w:t>Seven key principles: Looks like / doesn’t look like</w:t>
      </w:r>
      <w:r w:rsidRPr="001C2A89">
        <w:rPr>
          <w:rFonts w:eastAsia="Aptos" w:cs="Arial"/>
          <w:noProof/>
          <w:sz w:val="22"/>
          <w:lang w:val="en-US"/>
        </w:rPr>
        <w:t xml:space="preserve">. Chapel Hill, NC: National Early Childhood Technical Assistance Centre, Office of Special Education Programs, US Department of Education. Retrieved 6 September, 2024 from </w:t>
      </w:r>
      <w:hyperlink r:id="rId613" w:history="1">
        <w:r w:rsidR="001C2A89" w:rsidRPr="00326476">
          <w:rPr>
            <w:rStyle w:val="Hyperlink"/>
            <w:rFonts w:eastAsia="Aptos" w:cs="Arial"/>
            <w:noProof/>
            <w:sz w:val="22"/>
            <w:lang w:val="en-US"/>
          </w:rPr>
          <w:t>https://ectacenter.org/~pdfs/topics/families/Principles_LooksLike_DoesntLookLike3_11_08.pdf</w:t>
        </w:r>
      </w:hyperlink>
    </w:p>
    <w:p w14:paraId="39E3E7AB" w14:textId="77777777" w:rsidR="001C2A89" w:rsidRPr="00312995" w:rsidRDefault="001C2A89" w:rsidP="004742CF">
      <w:pPr>
        <w:spacing w:before="0" w:after="160"/>
        <w:ind w:left="720" w:hanging="720"/>
        <w:rPr>
          <w:rFonts w:eastAsia="Aptos" w:cs="Arial"/>
          <w:noProof/>
          <w:sz w:val="22"/>
          <w:lang w:val="en-US"/>
        </w:rPr>
      </w:pPr>
    </w:p>
    <w:p w14:paraId="13E8FC3B" w14:textId="634DD242" w:rsidR="00911FCA" w:rsidRPr="00911FCA" w:rsidRDefault="00911FCA" w:rsidP="00911FCA">
      <w:pPr>
        <w:spacing w:before="0" w:after="160"/>
        <w:ind w:left="720" w:hanging="720"/>
        <w:rPr>
          <w:rFonts w:eastAsia="Aptos" w:cs="Arial"/>
          <w:noProof/>
          <w:sz w:val="22"/>
          <w:lang w:val="en-US"/>
        </w:rPr>
      </w:pPr>
      <w:r w:rsidRPr="00911FCA">
        <w:rPr>
          <w:rFonts w:eastAsia="Aptos" w:cs="Arial"/>
          <w:noProof/>
          <w:sz w:val="22"/>
          <w:lang w:val="en-US"/>
        </w:rPr>
        <w:t xml:space="preserve">Stein, R. E., &amp; Jessop, D. J. (1989). What diagnosis does not tell: The case for a noncategorical approach to chronic illness in childhood. </w:t>
      </w:r>
      <w:r w:rsidRPr="00911FCA">
        <w:rPr>
          <w:rFonts w:eastAsia="Aptos" w:cs="Arial"/>
          <w:i/>
          <w:noProof/>
          <w:sz w:val="22"/>
          <w:lang w:val="en-US"/>
        </w:rPr>
        <w:t>Social Science &amp; Medicine</w:t>
      </w:r>
      <w:r w:rsidRPr="00911FCA">
        <w:rPr>
          <w:rFonts w:eastAsia="Aptos" w:cs="Arial"/>
          <w:noProof/>
          <w:sz w:val="22"/>
          <w:lang w:val="en-US"/>
        </w:rPr>
        <w:t>,</w:t>
      </w:r>
      <w:r w:rsidRPr="00911FCA">
        <w:rPr>
          <w:rFonts w:eastAsia="Aptos" w:cs="Arial"/>
          <w:i/>
          <w:noProof/>
          <w:sz w:val="22"/>
          <w:lang w:val="en-US"/>
        </w:rPr>
        <w:t xml:space="preserve"> 29</w:t>
      </w:r>
      <w:r w:rsidRPr="00911FCA">
        <w:rPr>
          <w:rFonts w:eastAsia="Aptos" w:cs="Arial"/>
          <w:noProof/>
          <w:sz w:val="22"/>
          <w:lang w:val="en-US"/>
        </w:rPr>
        <w:t xml:space="preserve">(6), 769-778. </w:t>
      </w:r>
      <w:hyperlink r:id="rId614" w:history="1">
        <w:r w:rsidR="006C2502" w:rsidRPr="00911FCA">
          <w:rPr>
            <w:rStyle w:val="Hyperlink"/>
            <w:rFonts w:eastAsia="Aptos" w:cs="Arial"/>
            <w:noProof/>
            <w:sz w:val="22"/>
            <w:lang w:val="en-US"/>
          </w:rPr>
          <w:t>https://doi.org/10.1016/0277-9536(89)90157-3</w:t>
        </w:r>
      </w:hyperlink>
      <w:r w:rsidR="006C2502">
        <w:rPr>
          <w:rFonts w:eastAsia="Aptos" w:cs="Arial"/>
          <w:noProof/>
          <w:sz w:val="22"/>
          <w:lang w:val="en-US"/>
        </w:rPr>
        <w:t xml:space="preserve"> </w:t>
      </w:r>
      <w:r w:rsidRPr="00911FCA">
        <w:rPr>
          <w:rFonts w:eastAsia="Aptos" w:cs="Arial"/>
          <w:noProof/>
          <w:sz w:val="22"/>
          <w:lang w:val="en-US"/>
        </w:rPr>
        <w:t xml:space="preserve"> </w:t>
      </w:r>
    </w:p>
    <w:p w14:paraId="6C21249E" w14:textId="77777777" w:rsidR="00911FCA" w:rsidRPr="00911FCA" w:rsidRDefault="00911FCA" w:rsidP="00911FCA">
      <w:pPr>
        <w:spacing w:before="0" w:after="0"/>
        <w:ind w:left="720" w:hanging="720"/>
        <w:rPr>
          <w:rFonts w:eastAsia="Aptos" w:cs="Arial"/>
          <w:noProof/>
          <w:sz w:val="22"/>
          <w:lang w:val="en-US"/>
        </w:rPr>
      </w:pPr>
      <w:r w:rsidRPr="00911FCA">
        <w:rPr>
          <w:rFonts w:eastAsia="Aptos" w:cs="Arial"/>
          <w:noProof/>
          <w:sz w:val="22"/>
          <w:lang w:val="en-US"/>
        </w:rPr>
        <w:tab/>
      </w:r>
    </w:p>
    <w:p w14:paraId="4E86C2A6" w14:textId="625EA10F" w:rsidR="00911FCA" w:rsidRPr="00911FCA" w:rsidRDefault="00911FCA" w:rsidP="00911FCA">
      <w:pPr>
        <w:spacing w:before="0" w:after="160"/>
        <w:ind w:left="720" w:hanging="720"/>
        <w:rPr>
          <w:rFonts w:eastAsia="Aptos" w:cs="Arial"/>
          <w:noProof/>
          <w:sz w:val="22"/>
          <w:lang w:val="en-US"/>
        </w:rPr>
      </w:pPr>
      <w:r w:rsidRPr="00911FCA">
        <w:rPr>
          <w:rFonts w:eastAsia="Aptos" w:cs="Arial"/>
          <w:noProof/>
          <w:sz w:val="22"/>
          <w:lang w:val="en-US"/>
        </w:rPr>
        <w:t xml:space="preserve">Sterne, J. A., Hernán, M. A., Reeves, B. C., Savović, J., Berkman, N. D., Viswanathan, M., Henry, D., Altman, D. G., Ansari, M. T., &amp; Boutron, I. (2016). ROBINS-I: a tool for assessing risk of bias in non-randomised studies of interventions. </w:t>
      </w:r>
      <w:r w:rsidRPr="00911FCA">
        <w:rPr>
          <w:rFonts w:eastAsia="Aptos" w:cs="Arial"/>
          <w:i/>
          <w:noProof/>
          <w:sz w:val="22"/>
          <w:lang w:val="en-US"/>
        </w:rPr>
        <w:t>BMJ</w:t>
      </w:r>
      <w:r w:rsidRPr="00911FCA">
        <w:rPr>
          <w:rFonts w:eastAsia="Aptos" w:cs="Arial"/>
          <w:noProof/>
          <w:sz w:val="22"/>
          <w:lang w:val="en-US"/>
        </w:rPr>
        <w:t>,</w:t>
      </w:r>
      <w:r w:rsidRPr="00911FCA">
        <w:rPr>
          <w:rFonts w:eastAsia="Aptos" w:cs="Arial"/>
          <w:i/>
          <w:noProof/>
          <w:sz w:val="22"/>
          <w:lang w:val="en-US"/>
        </w:rPr>
        <w:t xml:space="preserve"> 355</w:t>
      </w:r>
      <w:r w:rsidRPr="00911FCA">
        <w:rPr>
          <w:rFonts w:eastAsia="Aptos" w:cs="Arial"/>
          <w:noProof/>
          <w:sz w:val="22"/>
          <w:lang w:val="en-US"/>
        </w:rPr>
        <w:t xml:space="preserve">, 1756-1833. </w:t>
      </w:r>
      <w:hyperlink r:id="rId615" w:history="1">
        <w:r w:rsidR="006C2502" w:rsidRPr="00911FCA">
          <w:rPr>
            <w:rStyle w:val="Hyperlink"/>
            <w:rFonts w:eastAsia="Aptos" w:cs="Arial"/>
            <w:noProof/>
            <w:sz w:val="22"/>
            <w:lang w:val="en-US"/>
          </w:rPr>
          <w:t>https://doi.org/10.1136/bmj.i4919</w:t>
        </w:r>
      </w:hyperlink>
      <w:r w:rsidR="006C2502">
        <w:rPr>
          <w:rFonts w:eastAsia="Aptos" w:cs="Arial"/>
          <w:noProof/>
          <w:sz w:val="22"/>
          <w:lang w:val="en-US"/>
        </w:rPr>
        <w:t xml:space="preserve"> </w:t>
      </w:r>
      <w:r w:rsidRPr="00911FCA">
        <w:rPr>
          <w:rFonts w:eastAsia="Aptos" w:cs="Arial"/>
          <w:noProof/>
          <w:sz w:val="22"/>
          <w:lang w:val="en-US"/>
        </w:rPr>
        <w:t xml:space="preserve"> </w:t>
      </w:r>
    </w:p>
    <w:p w14:paraId="22E640E2" w14:textId="77777777" w:rsidR="00911FCA" w:rsidRPr="00911FCA" w:rsidRDefault="00911FCA" w:rsidP="00911FCA">
      <w:pPr>
        <w:spacing w:before="0" w:after="0"/>
        <w:ind w:left="720" w:hanging="720"/>
        <w:rPr>
          <w:rFonts w:eastAsia="Aptos" w:cs="Arial"/>
          <w:noProof/>
          <w:sz w:val="22"/>
          <w:lang w:val="en-US"/>
        </w:rPr>
      </w:pPr>
      <w:r w:rsidRPr="00911FCA">
        <w:rPr>
          <w:rFonts w:eastAsia="Aptos" w:cs="Arial"/>
          <w:noProof/>
          <w:sz w:val="22"/>
          <w:lang w:val="en-US"/>
        </w:rPr>
        <w:tab/>
      </w:r>
    </w:p>
    <w:p w14:paraId="7653EB20" w14:textId="77777777" w:rsidR="00911FCA" w:rsidRDefault="00911FCA" w:rsidP="00911FCA">
      <w:pPr>
        <w:spacing w:before="0" w:after="160"/>
        <w:ind w:left="720" w:hanging="720"/>
        <w:rPr>
          <w:rFonts w:eastAsia="Aptos" w:cs="Arial"/>
          <w:noProof/>
          <w:sz w:val="22"/>
          <w:lang w:val="en-US"/>
        </w:rPr>
      </w:pPr>
      <w:r w:rsidRPr="00D174CA">
        <w:rPr>
          <w:rFonts w:eastAsia="Aptos" w:cs="Arial"/>
          <w:noProof/>
          <w:sz w:val="22"/>
          <w:lang w:val="en-US"/>
        </w:rPr>
        <w:t xml:space="preserve">Strathearn, L., Giannotti, M., Mills, R., Kisely, S., Najman, J., &amp; Abajobir, A. (2020). Long-term cognitive, psychological, and health outcomes associated with child abuse and neglect. </w:t>
      </w:r>
      <w:r w:rsidRPr="00D174CA">
        <w:rPr>
          <w:rFonts w:eastAsia="Aptos" w:cs="Arial"/>
          <w:i/>
          <w:noProof/>
          <w:sz w:val="22"/>
          <w:lang w:val="en-US"/>
        </w:rPr>
        <w:t>Pediatrics</w:t>
      </w:r>
      <w:r w:rsidRPr="00D174CA">
        <w:rPr>
          <w:rFonts w:eastAsia="Aptos" w:cs="Arial"/>
          <w:noProof/>
          <w:sz w:val="22"/>
          <w:lang w:val="en-US"/>
        </w:rPr>
        <w:t>,</w:t>
      </w:r>
      <w:r w:rsidRPr="00D174CA">
        <w:rPr>
          <w:rFonts w:eastAsia="Aptos" w:cs="Arial"/>
          <w:i/>
          <w:noProof/>
          <w:sz w:val="22"/>
          <w:lang w:val="en-US"/>
        </w:rPr>
        <w:t xml:space="preserve"> 146</w:t>
      </w:r>
      <w:r w:rsidRPr="00D174CA">
        <w:rPr>
          <w:rFonts w:eastAsia="Aptos" w:cs="Arial"/>
          <w:noProof/>
          <w:sz w:val="22"/>
          <w:lang w:val="en-US"/>
        </w:rPr>
        <w:t>(4).</w:t>
      </w:r>
      <w:r w:rsidRPr="00911FCA">
        <w:rPr>
          <w:rFonts w:eastAsia="Aptos" w:cs="Arial"/>
          <w:noProof/>
          <w:sz w:val="22"/>
          <w:lang w:val="en-US"/>
        </w:rPr>
        <w:t xml:space="preserve"> </w:t>
      </w:r>
    </w:p>
    <w:p w14:paraId="1006E9CE" w14:textId="77777777" w:rsidR="00D174CA" w:rsidRPr="00911FCA" w:rsidRDefault="00D174CA" w:rsidP="00911FCA">
      <w:pPr>
        <w:spacing w:before="0" w:after="160"/>
        <w:ind w:left="720" w:hanging="720"/>
        <w:rPr>
          <w:rFonts w:eastAsia="Aptos" w:cs="Arial"/>
          <w:noProof/>
          <w:sz w:val="22"/>
          <w:lang w:val="en-US"/>
        </w:rPr>
      </w:pPr>
    </w:p>
    <w:p w14:paraId="67F964DA" w14:textId="0DE53881" w:rsidR="002A21F2" w:rsidRPr="002A21F2" w:rsidRDefault="002A21F2" w:rsidP="002A21F2">
      <w:pPr>
        <w:spacing w:before="0" w:after="160"/>
        <w:ind w:left="720" w:hanging="720"/>
        <w:rPr>
          <w:rFonts w:eastAsia="Aptos" w:cs="Arial"/>
          <w:noProof/>
          <w:sz w:val="22"/>
          <w:lang w:val="en-US"/>
        </w:rPr>
      </w:pPr>
      <w:r w:rsidRPr="00D52DB7">
        <w:rPr>
          <w:rFonts w:eastAsia="Aptos" w:cs="Arial"/>
          <w:noProof/>
          <w:sz w:val="22"/>
          <w:lang w:val="it-IT"/>
        </w:rPr>
        <w:t xml:space="preserve">Strawa, C., &amp; Sartore, G.-M. (2023). </w:t>
      </w:r>
      <w:r w:rsidRPr="002A21F2">
        <w:rPr>
          <w:rFonts w:eastAsia="Aptos" w:cs="Arial"/>
          <w:i/>
          <w:noProof/>
          <w:sz w:val="22"/>
          <w:lang w:val="en-US"/>
        </w:rPr>
        <w:t>Peer support for parents of children with complex needs</w:t>
      </w:r>
      <w:r w:rsidRPr="002A21F2">
        <w:rPr>
          <w:rFonts w:eastAsia="Aptos" w:cs="Arial"/>
          <w:noProof/>
          <w:sz w:val="22"/>
          <w:lang w:val="en-US"/>
        </w:rPr>
        <w:t xml:space="preserve">. Melbourne, VIC: Child Family Community Australia, Australian Institute of Family Studies. Retrieved 6 September, 2024 from </w:t>
      </w:r>
      <w:hyperlink r:id="rId616" w:history="1">
        <w:r w:rsidR="006C2502" w:rsidRPr="002A21F2">
          <w:rPr>
            <w:rStyle w:val="Hyperlink"/>
            <w:rFonts w:eastAsia="Aptos" w:cs="Arial"/>
            <w:noProof/>
            <w:sz w:val="22"/>
            <w:lang w:val="en-US"/>
          </w:rPr>
          <w:t>https://aifs.gov.au/resources/short-articles/peer-support-parents-children-complex-needs</w:t>
        </w:r>
      </w:hyperlink>
      <w:r w:rsidR="006C2502">
        <w:rPr>
          <w:rFonts w:eastAsia="Aptos" w:cs="Arial"/>
          <w:noProof/>
          <w:sz w:val="22"/>
          <w:lang w:val="en-US"/>
        </w:rPr>
        <w:t xml:space="preserve"> </w:t>
      </w:r>
    </w:p>
    <w:p w14:paraId="659EE193" w14:textId="77777777" w:rsidR="002A21F2" w:rsidRPr="002A21F2" w:rsidRDefault="002A21F2" w:rsidP="002A21F2">
      <w:pPr>
        <w:spacing w:before="0" w:after="0"/>
        <w:ind w:left="720" w:hanging="720"/>
        <w:rPr>
          <w:rFonts w:eastAsia="Aptos" w:cs="Arial"/>
          <w:noProof/>
          <w:sz w:val="22"/>
          <w:lang w:val="en-US"/>
        </w:rPr>
      </w:pPr>
      <w:r w:rsidRPr="002A21F2">
        <w:rPr>
          <w:rFonts w:eastAsia="Aptos" w:cs="Arial"/>
          <w:noProof/>
          <w:sz w:val="22"/>
          <w:lang w:val="en-US"/>
        </w:rPr>
        <w:tab/>
      </w:r>
    </w:p>
    <w:p w14:paraId="1B40B133" w14:textId="7797F32E" w:rsidR="002A21F2" w:rsidRPr="002A21F2" w:rsidRDefault="002A21F2" w:rsidP="002A21F2">
      <w:pPr>
        <w:spacing w:before="0" w:after="160"/>
        <w:ind w:left="720" w:hanging="720"/>
        <w:rPr>
          <w:rFonts w:eastAsia="Aptos" w:cs="Arial"/>
          <w:noProof/>
          <w:sz w:val="22"/>
          <w:lang w:val="en-US"/>
        </w:rPr>
      </w:pPr>
      <w:r w:rsidRPr="002A21F2">
        <w:rPr>
          <w:rFonts w:eastAsia="Aptos" w:cs="Arial"/>
          <w:noProof/>
          <w:sz w:val="22"/>
          <w:lang w:val="en-US"/>
        </w:rPr>
        <w:t xml:space="preserve">Sukhera, J. (2022). Narrative reviews: Flexible, rigorous, and practical. </w:t>
      </w:r>
      <w:r w:rsidRPr="002A21F2">
        <w:rPr>
          <w:rFonts w:eastAsia="Aptos" w:cs="Arial"/>
          <w:i/>
          <w:noProof/>
          <w:sz w:val="22"/>
          <w:lang w:val="en-US"/>
        </w:rPr>
        <w:t>Journal of graduate medical education</w:t>
      </w:r>
      <w:r w:rsidRPr="002A21F2">
        <w:rPr>
          <w:rFonts w:eastAsia="Aptos" w:cs="Arial"/>
          <w:noProof/>
          <w:sz w:val="22"/>
          <w:lang w:val="en-US"/>
        </w:rPr>
        <w:t>,</w:t>
      </w:r>
      <w:r w:rsidRPr="002A21F2">
        <w:rPr>
          <w:rFonts w:eastAsia="Aptos" w:cs="Arial"/>
          <w:i/>
          <w:noProof/>
          <w:sz w:val="22"/>
          <w:lang w:val="en-US"/>
        </w:rPr>
        <w:t xml:space="preserve"> 14</w:t>
      </w:r>
      <w:r w:rsidRPr="002A21F2">
        <w:rPr>
          <w:rFonts w:eastAsia="Aptos" w:cs="Arial"/>
          <w:noProof/>
          <w:sz w:val="22"/>
          <w:lang w:val="en-US"/>
        </w:rPr>
        <w:t xml:space="preserve">(4), 414-417. </w:t>
      </w:r>
      <w:hyperlink r:id="rId617" w:history="1">
        <w:r w:rsidR="006C2502" w:rsidRPr="002A21F2">
          <w:rPr>
            <w:rStyle w:val="Hyperlink"/>
            <w:rFonts w:eastAsia="Aptos" w:cs="Arial"/>
            <w:noProof/>
            <w:sz w:val="22"/>
            <w:lang w:val="en-US"/>
          </w:rPr>
          <w:t>https://doi.org/10.4300/JGME-D-22-00480.1</w:t>
        </w:r>
      </w:hyperlink>
      <w:r w:rsidR="006C2502">
        <w:rPr>
          <w:rFonts w:eastAsia="Aptos" w:cs="Arial"/>
          <w:noProof/>
          <w:sz w:val="22"/>
          <w:lang w:val="en-US"/>
        </w:rPr>
        <w:t xml:space="preserve"> </w:t>
      </w:r>
      <w:r w:rsidRPr="002A21F2">
        <w:rPr>
          <w:rFonts w:eastAsia="Aptos" w:cs="Arial"/>
          <w:noProof/>
          <w:sz w:val="22"/>
          <w:lang w:val="en-US"/>
        </w:rPr>
        <w:t xml:space="preserve"> </w:t>
      </w:r>
    </w:p>
    <w:p w14:paraId="1BDAC17A" w14:textId="77777777" w:rsidR="002A21F2" w:rsidRPr="002A21F2" w:rsidRDefault="002A21F2" w:rsidP="002A21F2">
      <w:pPr>
        <w:spacing w:before="0" w:after="0"/>
        <w:ind w:left="720" w:hanging="720"/>
        <w:rPr>
          <w:rFonts w:eastAsia="Aptos" w:cs="Arial"/>
          <w:noProof/>
          <w:sz w:val="22"/>
          <w:lang w:val="en-US"/>
        </w:rPr>
      </w:pPr>
      <w:r w:rsidRPr="002A21F2">
        <w:rPr>
          <w:rFonts w:eastAsia="Aptos" w:cs="Arial"/>
          <w:noProof/>
          <w:sz w:val="22"/>
          <w:lang w:val="en-US"/>
        </w:rPr>
        <w:tab/>
      </w:r>
    </w:p>
    <w:p w14:paraId="323D37E4" w14:textId="77777777" w:rsidR="002A21F2" w:rsidRPr="002A21F2" w:rsidRDefault="002A21F2" w:rsidP="002A21F2">
      <w:pPr>
        <w:spacing w:before="0" w:after="160"/>
        <w:ind w:left="720" w:hanging="720"/>
        <w:rPr>
          <w:rFonts w:eastAsia="Aptos" w:cs="Arial"/>
          <w:noProof/>
          <w:sz w:val="22"/>
          <w:lang w:val="en-US"/>
        </w:rPr>
      </w:pPr>
      <w:r w:rsidRPr="002A21F2">
        <w:rPr>
          <w:rFonts w:eastAsia="Aptos" w:cs="Arial"/>
          <w:noProof/>
          <w:sz w:val="22"/>
          <w:lang w:val="en-US"/>
        </w:rPr>
        <w:t xml:space="preserve">Sukkar, H. (2017). Working with families to develop parent-professional partnerships: Implications for professional preparation. In H. Sukkar, C.J. Dunst, &amp; J. Kirkby (Eds.), </w:t>
      </w:r>
      <w:r w:rsidRPr="002A21F2">
        <w:rPr>
          <w:rFonts w:eastAsia="Aptos" w:cs="Arial"/>
          <w:i/>
          <w:noProof/>
          <w:sz w:val="22"/>
          <w:lang w:val="en-US"/>
        </w:rPr>
        <w:t>Early Childhood Intervention: Working with Families of Young Children with Special Needs</w:t>
      </w:r>
      <w:r w:rsidRPr="002A21F2">
        <w:rPr>
          <w:rFonts w:eastAsia="Aptos" w:cs="Arial"/>
          <w:noProof/>
          <w:sz w:val="22"/>
          <w:lang w:val="en-US"/>
        </w:rPr>
        <w:t xml:space="preserve"> (pp. 126-142). London and New York: Routledge. </w:t>
      </w:r>
    </w:p>
    <w:p w14:paraId="7196061C" w14:textId="77777777" w:rsidR="002A21F2" w:rsidRPr="002A21F2" w:rsidRDefault="002A21F2" w:rsidP="002A21F2">
      <w:pPr>
        <w:spacing w:before="0" w:after="0"/>
        <w:ind w:left="720" w:hanging="720"/>
        <w:rPr>
          <w:rFonts w:eastAsia="Aptos" w:cs="Arial"/>
          <w:noProof/>
          <w:sz w:val="22"/>
          <w:lang w:val="en-US"/>
        </w:rPr>
      </w:pPr>
      <w:r w:rsidRPr="002A21F2">
        <w:rPr>
          <w:rFonts w:eastAsia="Aptos" w:cs="Arial"/>
          <w:noProof/>
          <w:sz w:val="22"/>
          <w:lang w:val="en-US"/>
        </w:rPr>
        <w:tab/>
      </w:r>
    </w:p>
    <w:p w14:paraId="237549AC" w14:textId="77777777" w:rsidR="002A21F2" w:rsidRDefault="002A21F2" w:rsidP="002A21F2">
      <w:pPr>
        <w:spacing w:before="0" w:after="160"/>
        <w:ind w:left="720" w:hanging="720"/>
        <w:rPr>
          <w:rFonts w:eastAsia="Aptos" w:cs="Arial"/>
          <w:noProof/>
          <w:sz w:val="22"/>
          <w:lang w:val="en-US"/>
        </w:rPr>
      </w:pPr>
      <w:r w:rsidRPr="002A21F2">
        <w:rPr>
          <w:rFonts w:eastAsia="Aptos" w:cs="Arial"/>
          <w:noProof/>
          <w:sz w:val="22"/>
          <w:lang w:val="en-US"/>
        </w:rPr>
        <w:t xml:space="preserve">Sukkar, H., Kirkby, J., &amp; Dunst, C. J. (2017). Family systems and family-centred practices in early childhood intervention. In H. Sukkar, D. C.J., &amp; J. Kirkby (Eds.), </w:t>
      </w:r>
      <w:r w:rsidRPr="002A21F2">
        <w:rPr>
          <w:rFonts w:eastAsia="Aptos" w:cs="Arial"/>
          <w:i/>
          <w:noProof/>
          <w:sz w:val="22"/>
          <w:lang w:val="en-US"/>
        </w:rPr>
        <w:t>Early Childhood Intervention: Working with Families of Young Children with Special Needs</w:t>
      </w:r>
      <w:r w:rsidRPr="002A21F2">
        <w:rPr>
          <w:rFonts w:eastAsia="Aptos" w:cs="Arial"/>
          <w:noProof/>
          <w:sz w:val="22"/>
          <w:lang w:val="en-US"/>
        </w:rPr>
        <w:t xml:space="preserve">. London and New York: Routledge. </w:t>
      </w:r>
    </w:p>
    <w:p w14:paraId="4636DF86" w14:textId="77777777" w:rsidR="00D52DB7" w:rsidRPr="002A21F2" w:rsidRDefault="00D52DB7" w:rsidP="002A21F2">
      <w:pPr>
        <w:spacing w:before="0" w:after="160"/>
        <w:ind w:left="720" w:hanging="720"/>
        <w:rPr>
          <w:rFonts w:eastAsia="Aptos" w:cs="Arial"/>
          <w:noProof/>
          <w:sz w:val="22"/>
          <w:lang w:val="en-US"/>
        </w:rPr>
      </w:pPr>
    </w:p>
    <w:p w14:paraId="2FC4E40C" w14:textId="0E354994" w:rsidR="0051425F" w:rsidRPr="0051425F" w:rsidRDefault="0051425F" w:rsidP="0051425F">
      <w:pPr>
        <w:spacing w:before="0" w:after="160"/>
        <w:ind w:left="720" w:hanging="720"/>
        <w:rPr>
          <w:rFonts w:eastAsia="Aptos" w:cs="Arial"/>
          <w:noProof/>
          <w:sz w:val="22"/>
          <w:lang w:val="en-US"/>
        </w:rPr>
      </w:pPr>
      <w:r w:rsidRPr="0051425F">
        <w:rPr>
          <w:rFonts w:eastAsia="Aptos" w:cs="Arial"/>
          <w:noProof/>
          <w:sz w:val="22"/>
          <w:lang w:val="en-US"/>
        </w:rPr>
        <w:t xml:space="preserve">Summers, J. A., Brotherson, M. J., Erwin, E. J., Maude, S. P., Palmer, S. B., Haines, S. J., Stroup-Rentier, V., Wu, H.-Y., Farstad Peck, N., &amp; Zheng, Y. Z. (2014). Family reflections on the foundations of self-determination in early childhood. </w:t>
      </w:r>
      <w:r w:rsidRPr="0051425F">
        <w:rPr>
          <w:rFonts w:eastAsia="Aptos" w:cs="Arial"/>
          <w:i/>
          <w:noProof/>
          <w:sz w:val="22"/>
          <w:lang w:val="en-US"/>
        </w:rPr>
        <w:t>Inclusion</w:t>
      </w:r>
      <w:r w:rsidRPr="0051425F">
        <w:rPr>
          <w:rFonts w:eastAsia="Aptos" w:cs="Arial"/>
          <w:noProof/>
          <w:sz w:val="22"/>
          <w:lang w:val="en-US"/>
        </w:rPr>
        <w:t>,</w:t>
      </w:r>
      <w:r w:rsidRPr="0051425F">
        <w:rPr>
          <w:rFonts w:eastAsia="Aptos" w:cs="Arial"/>
          <w:i/>
          <w:noProof/>
          <w:sz w:val="22"/>
          <w:lang w:val="en-US"/>
        </w:rPr>
        <w:t xml:space="preserve"> 2</w:t>
      </w:r>
      <w:r w:rsidRPr="0051425F">
        <w:rPr>
          <w:rFonts w:eastAsia="Aptos" w:cs="Arial"/>
          <w:noProof/>
          <w:sz w:val="22"/>
          <w:lang w:val="en-US"/>
        </w:rPr>
        <w:t xml:space="preserve">(3), 175-194. </w:t>
      </w:r>
      <w:hyperlink r:id="rId618" w:history="1">
        <w:r w:rsidR="006C2502" w:rsidRPr="0051425F">
          <w:rPr>
            <w:rStyle w:val="Hyperlink"/>
            <w:rFonts w:eastAsia="Aptos" w:cs="Arial"/>
            <w:noProof/>
            <w:sz w:val="22"/>
            <w:lang w:val="en-US"/>
          </w:rPr>
          <w:t>https://doi.org/10.1352/2326-6988-2.03.175</w:t>
        </w:r>
      </w:hyperlink>
      <w:r w:rsidR="006C2502">
        <w:rPr>
          <w:rFonts w:eastAsia="Aptos" w:cs="Arial"/>
          <w:noProof/>
          <w:sz w:val="22"/>
          <w:lang w:val="en-US"/>
        </w:rPr>
        <w:t xml:space="preserve"> </w:t>
      </w:r>
      <w:r w:rsidRPr="0051425F">
        <w:rPr>
          <w:rFonts w:eastAsia="Aptos" w:cs="Arial"/>
          <w:noProof/>
          <w:sz w:val="22"/>
          <w:lang w:val="en-US"/>
        </w:rPr>
        <w:t xml:space="preserve"> </w:t>
      </w:r>
    </w:p>
    <w:p w14:paraId="2F6D7D7F" w14:textId="77777777" w:rsidR="0051425F" w:rsidRPr="0051425F" w:rsidRDefault="0051425F" w:rsidP="0051425F">
      <w:pPr>
        <w:spacing w:before="0" w:after="0"/>
        <w:ind w:left="720" w:hanging="720"/>
        <w:rPr>
          <w:rFonts w:eastAsia="Aptos" w:cs="Arial"/>
          <w:noProof/>
          <w:sz w:val="22"/>
          <w:lang w:val="en-US"/>
        </w:rPr>
      </w:pPr>
      <w:r w:rsidRPr="0051425F">
        <w:rPr>
          <w:rFonts w:eastAsia="Aptos" w:cs="Arial"/>
          <w:noProof/>
          <w:sz w:val="22"/>
          <w:lang w:val="en-US"/>
        </w:rPr>
        <w:tab/>
      </w:r>
    </w:p>
    <w:p w14:paraId="16744283" w14:textId="7D817258" w:rsidR="0051425F" w:rsidRPr="0051425F" w:rsidRDefault="0051425F" w:rsidP="0051425F">
      <w:pPr>
        <w:spacing w:before="0" w:after="160"/>
        <w:ind w:left="720" w:hanging="720"/>
        <w:rPr>
          <w:rFonts w:eastAsia="Aptos" w:cs="Arial"/>
          <w:noProof/>
          <w:sz w:val="22"/>
          <w:lang w:val="en-US"/>
        </w:rPr>
      </w:pPr>
      <w:r w:rsidRPr="0051425F">
        <w:rPr>
          <w:rFonts w:eastAsia="Aptos" w:cs="Arial"/>
          <w:noProof/>
          <w:sz w:val="22"/>
          <w:lang w:val="en-US"/>
        </w:rPr>
        <w:t xml:space="preserve">Summers, J. A., Hoffman, L., Marquis, J., Turnbull, A., &amp; Poston, D. (2005). Relationship between parent satisfaction regarding partnerships with professionals and age of child. </w:t>
      </w:r>
      <w:r w:rsidRPr="0051425F">
        <w:rPr>
          <w:rFonts w:eastAsia="Aptos" w:cs="Arial"/>
          <w:i/>
          <w:noProof/>
          <w:sz w:val="22"/>
          <w:lang w:val="en-US"/>
        </w:rPr>
        <w:t>Topics in Early Childhood Special Education</w:t>
      </w:r>
      <w:r w:rsidRPr="0051425F">
        <w:rPr>
          <w:rFonts w:eastAsia="Aptos" w:cs="Arial"/>
          <w:noProof/>
          <w:sz w:val="22"/>
          <w:lang w:val="en-US"/>
        </w:rPr>
        <w:t>,</w:t>
      </w:r>
      <w:r w:rsidRPr="0051425F">
        <w:rPr>
          <w:rFonts w:eastAsia="Aptos" w:cs="Arial"/>
          <w:i/>
          <w:noProof/>
          <w:sz w:val="22"/>
          <w:lang w:val="en-US"/>
        </w:rPr>
        <w:t xml:space="preserve"> 25</w:t>
      </w:r>
      <w:r w:rsidRPr="0051425F">
        <w:rPr>
          <w:rFonts w:eastAsia="Aptos" w:cs="Arial"/>
          <w:noProof/>
          <w:sz w:val="22"/>
          <w:lang w:val="en-US"/>
        </w:rPr>
        <w:t xml:space="preserve">(1), 48-58. </w:t>
      </w:r>
      <w:hyperlink r:id="rId619" w:history="1">
        <w:r w:rsidR="006C2502" w:rsidRPr="0051425F">
          <w:rPr>
            <w:rStyle w:val="Hyperlink"/>
            <w:rFonts w:eastAsia="Aptos" w:cs="Arial"/>
            <w:noProof/>
            <w:sz w:val="22"/>
            <w:lang w:val="en-US"/>
          </w:rPr>
          <w:t>https://doi.org/10.1177/02711214050250010501</w:t>
        </w:r>
      </w:hyperlink>
      <w:r w:rsidR="006C2502">
        <w:rPr>
          <w:rFonts w:eastAsia="Aptos" w:cs="Arial"/>
          <w:noProof/>
          <w:sz w:val="22"/>
          <w:lang w:val="en-US"/>
        </w:rPr>
        <w:t xml:space="preserve"> </w:t>
      </w:r>
      <w:r w:rsidRPr="0051425F">
        <w:rPr>
          <w:rFonts w:eastAsia="Aptos" w:cs="Arial"/>
          <w:noProof/>
          <w:sz w:val="22"/>
          <w:lang w:val="en-US"/>
        </w:rPr>
        <w:t xml:space="preserve"> </w:t>
      </w:r>
    </w:p>
    <w:p w14:paraId="0528591C" w14:textId="77777777" w:rsidR="0051425F" w:rsidRPr="0051425F" w:rsidRDefault="0051425F" w:rsidP="0051425F">
      <w:pPr>
        <w:spacing w:before="0" w:after="0"/>
        <w:ind w:left="720" w:hanging="720"/>
        <w:rPr>
          <w:rFonts w:eastAsia="Aptos" w:cs="Arial"/>
          <w:noProof/>
          <w:sz w:val="22"/>
          <w:lang w:val="en-US"/>
        </w:rPr>
      </w:pPr>
      <w:r w:rsidRPr="0051425F">
        <w:rPr>
          <w:rFonts w:eastAsia="Aptos" w:cs="Arial"/>
          <w:noProof/>
          <w:sz w:val="22"/>
          <w:lang w:val="en-US"/>
        </w:rPr>
        <w:tab/>
      </w:r>
    </w:p>
    <w:p w14:paraId="77EF3F84" w14:textId="653006C4" w:rsidR="0051425F" w:rsidRPr="0051425F" w:rsidRDefault="0051425F" w:rsidP="0051425F">
      <w:pPr>
        <w:spacing w:before="0" w:after="160"/>
        <w:ind w:left="720" w:hanging="720"/>
        <w:rPr>
          <w:rFonts w:eastAsia="Aptos" w:cs="Arial"/>
          <w:noProof/>
          <w:sz w:val="22"/>
          <w:lang w:val="en-US"/>
        </w:rPr>
      </w:pPr>
      <w:r w:rsidRPr="0051425F">
        <w:rPr>
          <w:rFonts w:eastAsia="Aptos" w:cs="Arial"/>
          <w:noProof/>
          <w:sz w:val="22"/>
          <w:lang w:val="en-US"/>
        </w:rPr>
        <w:t xml:space="preserve">Swafford, M. D., Wingate, K. O., Zagumny, L., &amp; Richey, D. (2015). Families living in poverty: Perceptions of family-centered practices. </w:t>
      </w:r>
      <w:r w:rsidRPr="0051425F">
        <w:rPr>
          <w:rFonts w:eastAsia="Aptos" w:cs="Arial"/>
          <w:i/>
          <w:noProof/>
          <w:sz w:val="22"/>
          <w:lang w:val="en-US"/>
        </w:rPr>
        <w:t>Journal of Early Intervention</w:t>
      </w:r>
      <w:r w:rsidRPr="0051425F">
        <w:rPr>
          <w:rFonts w:eastAsia="Aptos" w:cs="Arial"/>
          <w:noProof/>
          <w:sz w:val="22"/>
          <w:lang w:val="en-US"/>
        </w:rPr>
        <w:t>,</w:t>
      </w:r>
      <w:r w:rsidRPr="0051425F">
        <w:rPr>
          <w:rFonts w:eastAsia="Aptos" w:cs="Arial"/>
          <w:i/>
          <w:noProof/>
          <w:sz w:val="22"/>
          <w:lang w:val="en-US"/>
        </w:rPr>
        <w:t xml:space="preserve"> 37</w:t>
      </w:r>
      <w:r w:rsidRPr="0051425F">
        <w:rPr>
          <w:rFonts w:eastAsia="Aptos" w:cs="Arial"/>
          <w:noProof/>
          <w:sz w:val="22"/>
          <w:lang w:val="en-US"/>
        </w:rPr>
        <w:t xml:space="preserve">(2), 138-154. </w:t>
      </w:r>
      <w:hyperlink r:id="rId620" w:history="1">
        <w:r w:rsidR="006C2502" w:rsidRPr="0051425F">
          <w:rPr>
            <w:rStyle w:val="Hyperlink"/>
            <w:rFonts w:eastAsia="Aptos" w:cs="Arial"/>
            <w:noProof/>
            <w:sz w:val="22"/>
            <w:lang w:val="en-US"/>
          </w:rPr>
          <w:t>https://doi.org/10.1177/1053815115602880</w:t>
        </w:r>
      </w:hyperlink>
      <w:r w:rsidR="006C2502">
        <w:rPr>
          <w:rFonts w:eastAsia="Aptos" w:cs="Arial"/>
          <w:noProof/>
          <w:sz w:val="22"/>
          <w:lang w:val="en-US"/>
        </w:rPr>
        <w:t xml:space="preserve"> </w:t>
      </w:r>
      <w:r w:rsidRPr="0051425F">
        <w:rPr>
          <w:rFonts w:eastAsia="Aptos" w:cs="Arial"/>
          <w:noProof/>
          <w:sz w:val="22"/>
          <w:lang w:val="en-US"/>
        </w:rPr>
        <w:t xml:space="preserve"> </w:t>
      </w:r>
    </w:p>
    <w:p w14:paraId="30649B92" w14:textId="77777777" w:rsidR="0051425F" w:rsidRPr="0051425F" w:rsidRDefault="0051425F" w:rsidP="0051425F">
      <w:pPr>
        <w:spacing w:before="0" w:after="0"/>
        <w:ind w:left="720" w:hanging="720"/>
        <w:rPr>
          <w:rFonts w:eastAsia="Aptos" w:cs="Arial"/>
          <w:noProof/>
          <w:sz w:val="22"/>
          <w:lang w:val="en-US"/>
        </w:rPr>
      </w:pPr>
      <w:r w:rsidRPr="0051425F">
        <w:rPr>
          <w:rFonts w:eastAsia="Aptos" w:cs="Arial"/>
          <w:noProof/>
          <w:sz w:val="22"/>
          <w:lang w:val="en-US"/>
        </w:rPr>
        <w:tab/>
      </w:r>
    </w:p>
    <w:p w14:paraId="46EED011" w14:textId="4AAA873D" w:rsidR="00C53EDB" w:rsidRPr="00C53EDB" w:rsidRDefault="00C53EDB" w:rsidP="00C53EDB">
      <w:pPr>
        <w:spacing w:before="0" w:after="160"/>
        <w:ind w:left="720" w:hanging="720"/>
        <w:rPr>
          <w:rFonts w:eastAsia="Aptos" w:cs="Arial"/>
          <w:noProof/>
          <w:sz w:val="22"/>
          <w:lang w:val="en-US"/>
        </w:rPr>
      </w:pPr>
      <w:r w:rsidRPr="00C53EDB">
        <w:rPr>
          <w:rFonts w:eastAsia="Aptos" w:cs="Arial"/>
          <w:noProof/>
          <w:sz w:val="22"/>
          <w:lang w:val="en-US"/>
        </w:rPr>
        <w:t xml:space="preserve">Swalwell, J. M., &amp; McLean, L. A. (2021). Promoting children’s social-emotional learning through early education: Piloting the pyramid model in Victorian preschools. </w:t>
      </w:r>
      <w:r w:rsidRPr="00C53EDB">
        <w:rPr>
          <w:rFonts w:eastAsia="Aptos" w:cs="Arial"/>
          <w:i/>
          <w:noProof/>
          <w:sz w:val="22"/>
          <w:lang w:val="en-US"/>
        </w:rPr>
        <w:t>Australasian Journal of Special and Inclusive Education</w:t>
      </w:r>
      <w:r w:rsidRPr="00C53EDB">
        <w:rPr>
          <w:rFonts w:eastAsia="Aptos" w:cs="Arial"/>
          <w:noProof/>
          <w:sz w:val="22"/>
          <w:lang w:val="en-US"/>
        </w:rPr>
        <w:t>,</w:t>
      </w:r>
      <w:r w:rsidRPr="00C53EDB">
        <w:rPr>
          <w:rFonts w:eastAsia="Aptos" w:cs="Arial"/>
          <w:i/>
          <w:noProof/>
          <w:sz w:val="22"/>
          <w:lang w:val="en-US"/>
        </w:rPr>
        <w:t xml:space="preserve"> 45</w:t>
      </w:r>
      <w:r w:rsidRPr="00C53EDB">
        <w:rPr>
          <w:rFonts w:eastAsia="Aptos" w:cs="Arial"/>
          <w:noProof/>
          <w:sz w:val="22"/>
          <w:lang w:val="en-US"/>
        </w:rPr>
        <w:t xml:space="preserve">(2), 122-134. </w:t>
      </w:r>
      <w:hyperlink r:id="rId621" w:history="1">
        <w:r w:rsidR="006C2502" w:rsidRPr="00C53EDB">
          <w:rPr>
            <w:rStyle w:val="Hyperlink"/>
            <w:rFonts w:eastAsia="Aptos" w:cs="Arial"/>
            <w:noProof/>
            <w:sz w:val="22"/>
            <w:lang w:val="en-US"/>
          </w:rPr>
          <w:t>https://doi.org/10.1017/jsi.2021.15</w:t>
        </w:r>
      </w:hyperlink>
      <w:r w:rsidR="006C2502">
        <w:rPr>
          <w:rFonts w:eastAsia="Aptos" w:cs="Arial"/>
          <w:noProof/>
          <w:sz w:val="22"/>
          <w:lang w:val="en-US"/>
        </w:rPr>
        <w:t xml:space="preserve"> </w:t>
      </w:r>
      <w:r w:rsidRPr="00C53EDB">
        <w:rPr>
          <w:rFonts w:eastAsia="Aptos" w:cs="Arial"/>
          <w:noProof/>
          <w:sz w:val="22"/>
          <w:lang w:val="en-US"/>
        </w:rPr>
        <w:t xml:space="preserve"> </w:t>
      </w:r>
    </w:p>
    <w:p w14:paraId="3169A342" w14:textId="77777777" w:rsidR="00593D4D" w:rsidRPr="00593D4D" w:rsidRDefault="00593D4D" w:rsidP="00D52DB7">
      <w:pPr>
        <w:spacing w:before="0" w:after="0"/>
        <w:rPr>
          <w:rFonts w:eastAsia="Aptos" w:cs="Arial"/>
          <w:noProof/>
          <w:sz w:val="22"/>
          <w:lang w:val="en-US"/>
        </w:rPr>
      </w:pPr>
      <w:r w:rsidRPr="00593D4D">
        <w:rPr>
          <w:rFonts w:eastAsia="Aptos" w:cs="Arial"/>
          <w:noProof/>
          <w:sz w:val="22"/>
          <w:lang w:val="en-US"/>
        </w:rPr>
        <w:tab/>
      </w:r>
    </w:p>
    <w:p w14:paraId="3CA8F6FD" w14:textId="77777777" w:rsidR="00593D4D" w:rsidRPr="00593D4D" w:rsidRDefault="00593D4D" w:rsidP="00593D4D">
      <w:pPr>
        <w:spacing w:before="0" w:after="160"/>
        <w:ind w:left="720" w:hanging="720"/>
        <w:rPr>
          <w:rFonts w:eastAsia="Aptos" w:cs="Arial"/>
          <w:noProof/>
          <w:sz w:val="22"/>
          <w:lang w:val="en-US"/>
        </w:rPr>
      </w:pPr>
      <w:r w:rsidRPr="00593D4D">
        <w:rPr>
          <w:rFonts w:eastAsia="Aptos" w:cs="Arial"/>
          <w:noProof/>
          <w:sz w:val="22"/>
          <w:lang w:val="en-US"/>
        </w:rPr>
        <w:t xml:space="preserve">Syed, M. (2015). </w:t>
      </w:r>
      <w:r w:rsidRPr="00593D4D">
        <w:rPr>
          <w:rFonts w:eastAsia="Aptos" w:cs="Arial"/>
          <w:i/>
          <w:noProof/>
          <w:sz w:val="22"/>
          <w:lang w:val="en-US"/>
        </w:rPr>
        <w:t>Black box thinking: Why most people never learn from their mistakes - but some do</w:t>
      </w:r>
      <w:r w:rsidRPr="00593D4D">
        <w:rPr>
          <w:rFonts w:eastAsia="Aptos" w:cs="Arial"/>
          <w:noProof/>
          <w:sz w:val="22"/>
          <w:lang w:val="en-US"/>
        </w:rPr>
        <w:t xml:space="preserve">. New York: Penguin. </w:t>
      </w:r>
    </w:p>
    <w:p w14:paraId="391823D9" w14:textId="77777777" w:rsidR="00593D4D" w:rsidRPr="00593D4D" w:rsidRDefault="00593D4D" w:rsidP="00593D4D">
      <w:pPr>
        <w:spacing w:before="0" w:after="0"/>
        <w:ind w:left="720" w:hanging="720"/>
        <w:rPr>
          <w:rFonts w:eastAsia="Aptos" w:cs="Arial"/>
          <w:noProof/>
          <w:sz w:val="22"/>
          <w:lang w:val="en-US"/>
        </w:rPr>
      </w:pPr>
      <w:r w:rsidRPr="00593D4D">
        <w:rPr>
          <w:rFonts w:eastAsia="Aptos" w:cs="Arial"/>
          <w:noProof/>
          <w:sz w:val="22"/>
          <w:lang w:val="en-US"/>
        </w:rPr>
        <w:tab/>
      </w:r>
    </w:p>
    <w:p w14:paraId="6E2410CC" w14:textId="256044EA" w:rsidR="00593D4D" w:rsidRPr="00593D4D" w:rsidRDefault="00593D4D" w:rsidP="00593D4D">
      <w:pPr>
        <w:spacing w:before="0" w:after="160"/>
        <w:ind w:left="720" w:hanging="720"/>
        <w:rPr>
          <w:rFonts w:eastAsia="Aptos" w:cs="Arial"/>
          <w:noProof/>
          <w:sz w:val="22"/>
          <w:lang w:val="en-US"/>
        </w:rPr>
      </w:pPr>
      <w:r w:rsidRPr="00593D4D">
        <w:rPr>
          <w:rFonts w:eastAsia="Aptos" w:cs="Arial"/>
          <w:noProof/>
          <w:sz w:val="22"/>
          <w:lang w:val="it-IT"/>
        </w:rPr>
        <w:t xml:space="preserve">Te Tāhuhu o te Mātauranga. </w:t>
      </w:r>
      <w:r w:rsidRPr="00593D4D">
        <w:rPr>
          <w:rFonts w:eastAsia="Aptos" w:cs="Arial"/>
          <w:noProof/>
          <w:sz w:val="22"/>
          <w:lang w:val="en-US"/>
        </w:rPr>
        <w:t xml:space="preserve">(2011). </w:t>
      </w:r>
      <w:r w:rsidRPr="00593D4D">
        <w:rPr>
          <w:rFonts w:eastAsia="Aptos" w:cs="Arial"/>
          <w:i/>
          <w:noProof/>
          <w:sz w:val="22"/>
          <w:lang w:val="en-US"/>
        </w:rPr>
        <w:t>The Early Intervention Service</w:t>
      </w:r>
      <w:r w:rsidRPr="00593D4D">
        <w:rPr>
          <w:rFonts w:eastAsia="Aptos" w:cs="Arial"/>
          <w:noProof/>
          <w:sz w:val="22"/>
          <w:lang w:val="en-US"/>
        </w:rPr>
        <w:t xml:space="preserve">.  Retrieved 6 September, 2024 from </w:t>
      </w:r>
      <w:hyperlink r:id="rId622" w:history="1">
        <w:r w:rsidR="006C2502" w:rsidRPr="00593D4D">
          <w:rPr>
            <w:rStyle w:val="Hyperlink"/>
            <w:rFonts w:eastAsia="Aptos" w:cs="Arial"/>
            <w:noProof/>
            <w:sz w:val="22"/>
            <w:lang w:val="en-US"/>
          </w:rPr>
          <w:t>https://parents-live-storagestack-a8-assetstorages3bucket-1qupg4amje0q.s3.ap-southeast-2.amazonaws.com/public/Documents/Special-Education/Early-Intervention-Service.pdf</w:t>
        </w:r>
      </w:hyperlink>
      <w:r w:rsidR="006C2502">
        <w:rPr>
          <w:rFonts w:eastAsia="Aptos" w:cs="Arial"/>
          <w:noProof/>
          <w:sz w:val="22"/>
          <w:lang w:val="en-US"/>
        </w:rPr>
        <w:t xml:space="preserve"> </w:t>
      </w:r>
    </w:p>
    <w:p w14:paraId="78A5618F" w14:textId="77777777" w:rsidR="00593D4D" w:rsidRPr="00593D4D" w:rsidRDefault="00593D4D" w:rsidP="00593D4D">
      <w:pPr>
        <w:spacing w:before="0" w:after="0"/>
        <w:ind w:left="720" w:hanging="720"/>
        <w:rPr>
          <w:rFonts w:eastAsia="Aptos" w:cs="Arial"/>
          <w:noProof/>
          <w:sz w:val="22"/>
          <w:lang w:val="en-US"/>
        </w:rPr>
      </w:pPr>
      <w:r w:rsidRPr="00593D4D">
        <w:rPr>
          <w:rFonts w:eastAsia="Aptos" w:cs="Arial"/>
          <w:noProof/>
          <w:sz w:val="22"/>
          <w:lang w:val="en-US"/>
        </w:rPr>
        <w:tab/>
      </w:r>
    </w:p>
    <w:p w14:paraId="7B9CAA19" w14:textId="186687E9" w:rsidR="00593D4D" w:rsidRPr="00593D4D" w:rsidRDefault="00593D4D" w:rsidP="00593D4D">
      <w:pPr>
        <w:spacing w:before="0" w:after="160"/>
        <w:ind w:left="720" w:hanging="720"/>
        <w:rPr>
          <w:rFonts w:eastAsia="Aptos" w:cs="Arial"/>
          <w:noProof/>
          <w:sz w:val="22"/>
          <w:lang w:val="en-US"/>
        </w:rPr>
      </w:pPr>
      <w:r w:rsidRPr="00593D4D">
        <w:rPr>
          <w:rFonts w:eastAsia="Aptos" w:cs="Arial"/>
          <w:noProof/>
          <w:sz w:val="22"/>
          <w:lang w:val="it-IT"/>
        </w:rPr>
        <w:t xml:space="preserve">Te Tāhuhu o te Mātauranga. </w:t>
      </w:r>
      <w:r w:rsidRPr="00593D4D">
        <w:rPr>
          <w:rFonts w:eastAsia="Aptos" w:cs="Arial"/>
          <w:noProof/>
          <w:sz w:val="22"/>
          <w:lang w:val="en-US"/>
        </w:rPr>
        <w:t xml:space="preserve">(2020). </w:t>
      </w:r>
      <w:r w:rsidRPr="00593D4D">
        <w:rPr>
          <w:rFonts w:eastAsia="Aptos" w:cs="Arial"/>
          <w:i/>
          <w:noProof/>
          <w:sz w:val="22"/>
          <w:lang w:val="en-US"/>
        </w:rPr>
        <w:t>He Pikorua</w:t>
      </w:r>
      <w:r w:rsidRPr="00593D4D">
        <w:rPr>
          <w:rFonts w:eastAsia="Aptos" w:cs="Arial"/>
          <w:noProof/>
          <w:sz w:val="22"/>
          <w:lang w:val="en-US"/>
        </w:rPr>
        <w:t xml:space="preserve">.  Retrieved 6 September, 2024 from </w:t>
      </w:r>
      <w:hyperlink r:id="rId623" w:history="1">
        <w:r w:rsidR="006C2502" w:rsidRPr="00593D4D">
          <w:rPr>
            <w:rStyle w:val="Hyperlink"/>
            <w:rFonts w:eastAsia="Aptos" w:cs="Arial"/>
            <w:noProof/>
            <w:sz w:val="22"/>
            <w:lang w:val="en-US"/>
          </w:rPr>
          <w:t>https://hepikorua.education.govt.nz/</w:t>
        </w:r>
      </w:hyperlink>
      <w:r w:rsidR="006C2502">
        <w:rPr>
          <w:rFonts w:eastAsia="Aptos" w:cs="Arial"/>
          <w:noProof/>
          <w:sz w:val="22"/>
          <w:lang w:val="en-US"/>
        </w:rPr>
        <w:t xml:space="preserve"> </w:t>
      </w:r>
      <w:r w:rsidRPr="00593D4D">
        <w:rPr>
          <w:rFonts w:eastAsia="Aptos" w:cs="Arial"/>
          <w:noProof/>
          <w:sz w:val="22"/>
          <w:lang w:val="en-US"/>
        </w:rPr>
        <w:t xml:space="preserve"> </w:t>
      </w:r>
    </w:p>
    <w:p w14:paraId="44368ABA" w14:textId="77777777" w:rsidR="00593D4D" w:rsidRPr="00593D4D" w:rsidRDefault="00593D4D" w:rsidP="00593D4D">
      <w:pPr>
        <w:spacing w:before="0" w:after="0"/>
        <w:ind w:left="720" w:hanging="720"/>
        <w:rPr>
          <w:rFonts w:eastAsia="Aptos" w:cs="Arial"/>
          <w:noProof/>
          <w:sz w:val="22"/>
          <w:lang w:val="en-US"/>
        </w:rPr>
      </w:pPr>
      <w:r w:rsidRPr="00593D4D">
        <w:rPr>
          <w:rFonts w:eastAsia="Aptos" w:cs="Arial"/>
          <w:noProof/>
          <w:sz w:val="22"/>
          <w:lang w:val="en-US"/>
        </w:rPr>
        <w:tab/>
      </w:r>
    </w:p>
    <w:p w14:paraId="7B74CEF8" w14:textId="682AB43D" w:rsidR="00593D4D" w:rsidRPr="00593D4D" w:rsidRDefault="00593D4D" w:rsidP="00593D4D">
      <w:pPr>
        <w:spacing w:before="0" w:after="160"/>
        <w:ind w:left="720" w:hanging="720"/>
        <w:rPr>
          <w:rFonts w:eastAsia="Aptos" w:cs="Arial"/>
          <w:noProof/>
          <w:sz w:val="22"/>
          <w:lang w:val="en-US"/>
        </w:rPr>
      </w:pPr>
      <w:r w:rsidRPr="00593D4D">
        <w:rPr>
          <w:rFonts w:eastAsia="Aptos" w:cs="Arial"/>
          <w:noProof/>
          <w:sz w:val="22"/>
          <w:lang w:val="it-IT"/>
        </w:rPr>
        <w:t xml:space="preserve">Te Tāhuhu o te Mātauranga. </w:t>
      </w:r>
      <w:r w:rsidRPr="00593D4D">
        <w:rPr>
          <w:rFonts w:eastAsia="Aptos" w:cs="Arial"/>
          <w:noProof/>
          <w:sz w:val="22"/>
          <w:lang w:val="en-US"/>
        </w:rPr>
        <w:t xml:space="preserve">(2021). </w:t>
      </w:r>
      <w:r w:rsidRPr="00593D4D">
        <w:rPr>
          <w:rFonts w:eastAsia="Aptos" w:cs="Arial"/>
          <w:i/>
          <w:noProof/>
          <w:sz w:val="22"/>
          <w:lang w:val="en-US"/>
        </w:rPr>
        <w:t>Statement of Intent: 2021-2026</w:t>
      </w:r>
      <w:r w:rsidRPr="00593D4D">
        <w:rPr>
          <w:rFonts w:eastAsia="Aptos" w:cs="Arial"/>
          <w:noProof/>
          <w:sz w:val="22"/>
          <w:lang w:val="en-US"/>
        </w:rPr>
        <w:t xml:space="preserve">. Wellington, NZ: New Zealand Government. Retrieved 6 September, 2024 from </w:t>
      </w:r>
      <w:hyperlink r:id="rId624" w:history="1">
        <w:r w:rsidR="006C2502" w:rsidRPr="00593D4D">
          <w:rPr>
            <w:rStyle w:val="Hyperlink"/>
            <w:rFonts w:eastAsia="Aptos" w:cs="Arial"/>
            <w:noProof/>
            <w:sz w:val="22"/>
            <w:lang w:val="en-US"/>
          </w:rPr>
          <w:t>https://assets.education.govt.nz/public/Documents/Ministry/Publications/Statements-of-intent/SPG-0775-Statement-of-Intent-2021-2026_AW-Web-1.pdf</w:t>
        </w:r>
      </w:hyperlink>
      <w:r w:rsidR="006C2502">
        <w:rPr>
          <w:rFonts w:eastAsia="Aptos" w:cs="Arial"/>
          <w:noProof/>
          <w:sz w:val="22"/>
          <w:lang w:val="en-US"/>
        </w:rPr>
        <w:t xml:space="preserve"> </w:t>
      </w:r>
    </w:p>
    <w:p w14:paraId="4B34F249" w14:textId="77777777" w:rsidR="00593D4D" w:rsidRPr="00593D4D" w:rsidRDefault="00593D4D" w:rsidP="00593D4D">
      <w:pPr>
        <w:spacing w:before="0" w:after="0"/>
        <w:ind w:left="720" w:hanging="720"/>
        <w:rPr>
          <w:rFonts w:eastAsia="Aptos" w:cs="Arial"/>
          <w:noProof/>
          <w:sz w:val="22"/>
          <w:lang w:val="en-US"/>
        </w:rPr>
      </w:pPr>
      <w:r w:rsidRPr="00593D4D">
        <w:rPr>
          <w:rFonts w:eastAsia="Aptos" w:cs="Arial"/>
          <w:noProof/>
          <w:sz w:val="22"/>
          <w:lang w:val="en-US"/>
        </w:rPr>
        <w:tab/>
      </w:r>
    </w:p>
    <w:p w14:paraId="493FAD77" w14:textId="62EBF528" w:rsidR="00593D4D" w:rsidRPr="00593D4D" w:rsidRDefault="00593D4D" w:rsidP="00593D4D">
      <w:pPr>
        <w:spacing w:before="0" w:after="160"/>
        <w:ind w:left="720" w:hanging="720"/>
        <w:rPr>
          <w:rFonts w:eastAsia="Aptos" w:cs="Arial"/>
          <w:noProof/>
          <w:sz w:val="22"/>
          <w:lang w:val="en-US"/>
        </w:rPr>
      </w:pPr>
      <w:r w:rsidRPr="00593D4D">
        <w:rPr>
          <w:rFonts w:eastAsia="Aptos" w:cs="Arial"/>
          <w:noProof/>
          <w:sz w:val="22"/>
          <w:lang w:val="it-IT"/>
        </w:rPr>
        <w:t xml:space="preserve">Te Tāhuhu o te Mātauranga. </w:t>
      </w:r>
      <w:r w:rsidRPr="00593D4D">
        <w:rPr>
          <w:rFonts w:eastAsia="Aptos" w:cs="Arial"/>
          <w:noProof/>
          <w:sz w:val="22"/>
          <w:lang w:val="en-US"/>
        </w:rPr>
        <w:t xml:space="preserve">(n.d.). </w:t>
      </w:r>
      <w:r w:rsidRPr="00593D4D">
        <w:rPr>
          <w:rFonts w:eastAsia="Aptos" w:cs="Arial"/>
          <w:i/>
          <w:noProof/>
          <w:sz w:val="22"/>
          <w:lang w:val="en-US"/>
        </w:rPr>
        <w:t>Learning Support Delivery Model: Working together</w:t>
      </w:r>
      <w:r w:rsidRPr="00593D4D">
        <w:rPr>
          <w:rFonts w:eastAsia="Aptos" w:cs="Arial"/>
          <w:noProof/>
          <w:sz w:val="22"/>
          <w:lang w:val="en-US"/>
        </w:rPr>
        <w:t xml:space="preserve">. Ministry of Education. Retrieved 6 September, 2024 from </w:t>
      </w:r>
      <w:hyperlink r:id="rId625" w:history="1">
        <w:r w:rsidR="006C2502" w:rsidRPr="00593D4D">
          <w:rPr>
            <w:rStyle w:val="Hyperlink"/>
            <w:rFonts w:eastAsia="Aptos" w:cs="Arial"/>
            <w:noProof/>
            <w:sz w:val="22"/>
            <w:lang w:val="en-US"/>
          </w:rPr>
          <w:t>https://inclusive.tki.org.nz/guides/collaborative-planning-for-learning/understanding-the-learning-support-delivery-model/</w:t>
        </w:r>
      </w:hyperlink>
      <w:r w:rsidR="006C2502">
        <w:rPr>
          <w:rFonts w:eastAsia="Aptos" w:cs="Arial"/>
          <w:noProof/>
          <w:sz w:val="22"/>
          <w:lang w:val="en-US"/>
        </w:rPr>
        <w:t xml:space="preserve"> </w:t>
      </w:r>
    </w:p>
    <w:p w14:paraId="3EE4E22C" w14:textId="4178159E" w:rsidR="009248B3" w:rsidRDefault="009248B3" w:rsidP="009248B3">
      <w:pPr>
        <w:spacing w:before="0" w:after="160"/>
        <w:ind w:left="720" w:hanging="720"/>
        <w:rPr>
          <w:rFonts w:eastAsia="Aptos" w:cs="Arial"/>
          <w:noProof/>
          <w:sz w:val="22"/>
          <w:lang w:val="en-US"/>
        </w:rPr>
      </w:pPr>
      <w:r w:rsidRPr="009248B3">
        <w:rPr>
          <w:rFonts w:eastAsia="Aptos" w:cs="Arial"/>
          <w:noProof/>
          <w:sz w:val="22"/>
          <w:lang w:val="en-US"/>
        </w:rPr>
        <w:t xml:space="preserve">Teicher, M. H., &amp; Samson, J. A. (2016). Annual research review: Enduring neurobiological effects of childhood abuse and neglect. </w:t>
      </w:r>
      <w:r w:rsidRPr="009248B3">
        <w:rPr>
          <w:rFonts w:eastAsia="Aptos" w:cs="Arial"/>
          <w:i/>
          <w:noProof/>
          <w:sz w:val="22"/>
          <w:lang w:val="en-US"/>
        </w:rPr>
        <w:t>Journal of Child Psychology and Psychiatry</w:t>
      </w:r>
      <w:r w:rsidRPr="009248B3">
        <w:rPr>
          <w:rFonts w:eastAsia="Aptos" w:cs="Arial"/>
          <w:noProof/>
          <w:sz w:val="22"/>
          <w:lang w:val="en-US"/>
        </w:rPr>
        <w:t>,</w:t>
      </w:r>
      <w:r w:rsidRPr="009248B3">
        <w:rPr>
          <w:rFonts w:eastAsia="Aptos" w:cs="Arial"/>
          <w:i/>
          <w:noProof/>
          <w:sz w:val="22"/>
          <w:lang w:val="en-US"/>
        </w:rPr>
        <w:t xml:space="preserve"> 57</w:t>
      </w:r>
      <w:r w:rsidRPr="009248B3">
        <w:rPr>
          <w:rFonts w:eastAsia="Aptos" w:cs="Arial"/>
          <w:noProof/>
          <w:sz w:val="22"/>
          <w:lang w:val="en-US"/>
        </w:rPr>
        <w:t xml:space="preserve">(3), 241-266. </w:t>
      </w:r>
      <w:hyperlink r:id="rId626" w:history="1">
        <w:r w:rsidR="006C2502" w:rsidRPr="009248B3">
          <w:rPr>
            <w:rStyle w:val="Hyperlink"/>
            <w:rFonts w:eastAsia="Aptos" w:cs="Arial"/>
            <w:noProof/>
            <w:sz w:val="22"/>
            <w:lang w:val="en-US"/>
          </w:rPr>
          <w:t>https://doi.org/10.1111/jcpp.12507</w:t>
        </w:r>
      </w:hyperlink>
      <w:r w:rsidR="006C2502">
        <w:rPr>
          <w:rFonts w:eastAsia="Aptos" w:cs="Arial"/>
          <w:noProof/>
          <w:sz w:val="22"/>
          <w:lang w:val="en-US"/>
        </w:rPr>
        <w:t xml:space="preserve"> </w:t>
      </w:r>
      <w:r w:rsidRPr="009248B3">
        <w:rPr>
          <w:rFonts w:eastAsia="Aptos" w:cs="Arial"/>
          <w:noProof/>
          <w:sz w:val="22"/>
          <w:lang w:val="en-US"/>
        </w:rPr>
        <w:t xml:space="preserve"> </w:t>
      </w:r>
    </w:p>
    <w:p w14:paraId="7A240B27" w14:textId="77777777" w:rsidR="00DF0079" w:rsidRPr="009248B3" w:rsidRDefault="00DF0079" w:rsidP="009248B3">
      <w:pPr>
        <w:spacing w:before="0" w:after="160"/>
        <w:ind w:left="720" w:hanging="720"/>
        <w:rPr>
          <w:rFonts w:eastAsia="Aptos" w:cs="Arial"/>
          <w:noProof/>
          <w:sz w:val="22"/>
          <w:lang w:val="en-US"/>
        </w:rPr>
      </w:pPr>
    </w:p>
    <w:p w14:paraId="71F52B01" w14:textId="51F1D588" w:rsidR="002E2B72" w:rsidRDefault="002E2B72" w:rsidP="002E2B72">
      <w:pPr>
        <w:spacing w:before="0" w:after="160"/>
        <w:ind w:left="720" w:hanging="720"/>
        <w:rPr>
          <w:rFonts w:eastAsia="Aptos" w:cs="Arial"/>
          <w:noProof/>
          <w:sz w:val="22"/>
          <w:lang w:val="en-US"/>
        </w:rPr>
      </w:pPr>
      <w:r w:rsidRPr="002E2B72">
        <w:rPr>
          <w:rFonts w:eastAsia="Aptos" w:cs="Arial"/>
          <w:noProof/>
          <w:sz w:val="22"/>
          <w:lang w:val="en-US"/>
        </w:rPr>
        <w:t xml:space="preserve">Thackrah, R. D., &amp; Thompson, S. C. (2013). Refining the concept of cultural competence: Building on decades of progress. </w:t>
      </w:r>
      <w:r w:rsidRPr="002E2B72">
        <w:rPr>
          <w:rFonts w:eastAsia="Aptos" w:cs="Arial"/>
          <w:i/>
          <w:noProof/>
          <w:sz w:val="22"/>
          <w:lang w:val="en-US"/>
        </w:rPr>
        <w:t>Medical Journal of Australia</w:t>
      </w:r>
      <w:r w:rsidRPr="002E2B72">
        <w:rPr>
          <w:rFonts w:eastAsia="Aptos" w:cs="Arial"/>
          <w:noProof/>
          <w:sz w:val="22"/>
          <w:lang w:val="en-US"/>
        </w:rPr>
        <w:t>,</w:t>
      </w:r>
      <w:r w:rsidRPr="002E2B72">
        <w:rPr>
          <w:rFonts w:eastAsia="Aptos" w:cs="Arial"/>
          <w:i/>
          <w:noProof/>
          <w:sz w:val="22"/>
          <w:lang w:val="en-US"/>
        </w:rPr>
        <w:t xml:space="preserve"> 199</w:t>
      </w:r>
      <w:r w:rsidRPr="002E2B72">
        <w:rPr>
          <w:rFonts w:eastAsia="Aptos" w:cs="Arial"/>
          <w:noProof/>
          <w:sz w:val="22"/>
          <w:lang w:val="en-US"/>
        </w:rPr>
        <w:t xml:space="preserve">(1), 35-38. </w:t>
      </w:r>
      <w:hyperlink r:id="rId627" w:history="1">
        <w:r w:rsidR="00DF0079" w:rsidRPr="00326476">
          <w:rPr>
            <w:rStyle w:val="Hyperlink"/>
            <w:rFonts w:eastAsia="Aptos" w:cs="Arial"/>
            <w:noProof/>
            <w:sz w:val="22"/>
            <w:lang w:val="en-US"/>
          </w:rPr>
          <w:t>https://doi.org/10.5694/mja13.10499</w:t>
        </w:r>
      </w:hyperlink>
      <w:r w:rsidRPr="002E2B72">
        <w:rPr>
          <w:rFonts w:eastAsia="Aptos" w:cs="Arial"/>
          <w:noProof/>
          <w:sz w:val="22"/>
          <w:lang w:val="en-US"/>
        </w:rPr>
        <w:t xml:space="preserve"> </w:t>
      </w:r>
    </w:p>
    <w:p w14:paraId="5D11877F" w14:textId="77777777" w:rsidR="00DF0079" w:rsidRPr="002E2B72" w:rsidRDefault="00DF0079" w:rsidP="002E2B72">
      <w:pPr>
        <w:spacing w:before="0" w:after="160"/>
        <w:ind w:left="720" w:hanging="720"/>
        <w:rPr>
          <w:rFonts w:eastAsia="Aptos" w:cs="Arial"/>
          <w:noProof/>
          <w:sz w:val="22"/>
          <w:lang w:val="en-US"/>
        </w:rPr>
      </w:pPr>
    </w:p>
    <w:p w14:paraId="0624147C" w14:textId="6D76F43E" w:rsidR="00235BF5" w:rsidRPr="00235BF5" w:rsidRDefault="00235BF5" w:rsidP="00235BF5">
      <w:pPr>
        <w:spacing w:before="0" w:after="160"/>
        <w:ind w:left="720" w:hanging="720"/>
        <w:rPr>
          <w:rFonts w:eastAsia="Aptos" w:cs="Arial"/>
          <w:noProof/>
          <w:sz w:val="22"/>
          <w:lang w:val="en-US"/>
        </w:rPr>
      </w:pPr>
      <w:r w:rsidRPr="00235BF5">
        <w:rPr>
          <w:rFonts w:eastAsia="Aptos" w:cs="Arial"/>
          <w:noProof/>
          <w:sz w:val="22"/>
          <w:lang w:val="en-US"/>
        </w:rPr>
        <w:t xml:space="preserve">The Healing Foundation. (2021). </w:t>
      </w:r>
      <w:r w:rsidRPr="00235BF5">
        <w:rPr>
          <w:rFonts w:eastAsia="Aptos" w:cs="Arial"/>
          <w:i/>
          <w:noProof/>
          <w:sz w:val="22"/>
          <w:lang w:val="en-US"/>
        </w:rPr>
        <w:t>Making Healing Happen: It’s Time to Act</w:t>
      </w:r>
      <w:r w:rsidRPr="00235BF5">
        <w:rPr>
          <w:rFonts w:eastAsia="Aptos" w:cs="Arial"/>
          <w:noProof/>
          <w:sz w:val="22"/>
          <w:lang w:val="en-US"/>
        </w:rPr>
        <w:t xml:space="preserve">. Canberra, ACT: The Healing Foundation. Retrieved 6 September, 2024 from </w:t>
      </w:r>
      <w:hyperlink r:id="rId628" w:history="1">
        <w:r w:rsidR="006C2502" w:rsidRPr="00235BF5">
          <w:rPr>
            <w:rStyle w:val="Hyperlink"/>
            <w:rFonts w:eastAsia="Aptos" w:cs="Arial"/>
            <w:noProof/>
            <w:sz w:val="22"/>
            <w:lang w:val="en-US"/>
          </w:rPr>
          <w:t>https://cdn.healingfoundation.org.au/app/uploads/2021/05/18121806/Make-Healing-Happen-Report-FINAL-May-2021.pdf</w:t>
        </w:r>
      </w:hyperlink>
      <w:r w:rsidR="006C2502">
        <w:rPr>
          <w:rFonts w:eastAsia="Aptos" w:cs="Arial"/>
          <w:noProof/>
          <w:sz w:val="22"/>
          <w:lang w:val="en-US"/>
        </w:rPr>
        <w:t xml:space="preserve"> </w:t>
      </w:r>
    </w:p>
    <w:p w14:paraId="31327C6A" w14:textId="77777777" w:rsidR="00235BF5" w:rsidRPr="00235BF5" w:rsidRDefault="00235BF5" w:rsidP="00235BF5">
      <w:pPr>
        <w:spacing w:before="0" w:after="0"/>
        <w:ind w:left="720" w:hanging="720"/>
        <w:rPr>
          <w:rFonts w:eastAsia="Aptos" w:cs="Arial"/>
          <w:noProof/>
          <w:sz w:val="22"/>
          <w:lang w:val="en-US"/>
        </w:rPr>
      </w:pPr>
      <w:r w:rsidRPr="00235BF5">
        <w:rPr>
          <w:rFonts w:eastAsia="Aptos" w:cs="Arial"/>
          <w:noProof/>
          <w:sz w:val="22"/>
          <w:lang w:val="en-US"/>
        </w:rPr>
        <w:tab/>
      </w:r>
    </w:p>
    <w:p w14:paraId="78DBBE27" w14:textId="22BEFFE7" w:rsidR="00235BF5" w:rsidRPr="00235BF5" w:rsidRDefault="00235BF5" w:rsidP="00235BF5">
      <w:pPr>
        <w:spacing w:before="0" w:after="160"/>
        <w:ind w:left="720" w:hanging="720"/>
        <w:rPr>
          <w:rFonts w:eastAsia="Aptos" w:cs="Arial"/>
          <w:noProof/>
          <w:sz w:val="22"/>
          <w:lang w:val="en-US"/>
        </w:rPr>
      </w:pPr>
      <w:r w:rsidRPr="00235BF5">
        <w:rPr>
          <w:rFonts w:eastAsia="Aptos" w:cs="Arial"/>
          <w:noProof/>
          <w:sz w:val="22"/>
          <w:lang w:val="en-US"/>
        </w:rPr>
        <w:t xml:space="preserve">Thom, G., &amp; Prabhakar, M. (2011). </w:t>
      </w:r>
      <w:r w:rsidRPr="00235BF5">
        <w:rPr>
          <w:rFonts w:eastAsia="Aptos" w:cs="Arial"/>
          <w:i/>
          <w:noProof/>
          <w:sz w:val="22"/>
          <w:lang w:val="en-US"/>
        </w:rPr>
        <w:t>Individual Budgets for Families with Disabled Children: Final evaluation report - recommendations and implications</w:t>
      </w:r>
      <w:r w:rsidRPr="00235BF5">
        <w:rPr>
          <w:rFonts w:eastAsia="Aptos" w:cs="Arial"/>
          <w:noProof/>
          <w:sz w:val="22"/>
          <w:lang w:val="en-US"/>
        </w:rPr>
        <w:t xml:space="preserve">. London, UK: Department for Education. Retrieved 6 September, 2024 from </w:t>
      </w:r>
      <w:hyperlink r:id="rId629" w:history="1">
        <w:r w:rsidR="006C2502" w:rsidRPr="00235BF5">
          <w:rPr>
            <w:rStyle w:val="Hyperlink"/>
            <w:rFonts w:eastAsia="Aptos" w:cs="Arial"/>
            <w:noProof/>
            <w:sz w:val="22"/>
            <w:lang w:val="en-US"/>
          </w:rPr>
          <w:t>https://www.gov.uk/government/publications/individual-budgets-for-families-with-disabled-children</w:t>
        </w:r>
      </w:hyperlink>
      <w:r w:rsidR="006C2502">
        <w:rPr>
          <w:rFonts w:eastAsia="Aptos" w:cs="Arial"/>
          <w:noProof/>
          <w:sz w:val="22"/>
          <w:lang w:val="en-US"/>
        </w:rPr>
        <w:t xml:space="preserve"> </w:t>
      </w:r>
    </w:p>
    <w:p w14:paraId="211AE198" w14:textId="77777777" w:rsidR="00235BF5" w:rsidRPr="00235BF5" w:rsidRDefault="00235BF5" w:rsidP="00235BF5">
      <w:pPr>
        <w:spacing w:before="0" w:after="0"/>
        <w:ind w:left="720" w:hanging="720"/>
        <w:rPr>
          <w:rFonts w:eastAsia="Aptos" w:cs="Arial"/>
          <w:noProof/>
          <w:sz w:val="22"/>
          <w:lang w:val="en-US"/>
        </w:rPr>
      </w:pPr>
      <w:r w:rsidRPr="00235BF5">
        <w:rPr>
          <w:rFonts w:eastAsia="Aptos" w:cs="Arial"/>
          <w:noProof/>
          <w:sz w:val="22"/>
          <w:lang w:val="en-US"/>
        </w:rPr>
        <w:tab/>
      </w:r>
    </w:p>
    <w:p w14:paraId="0481DA63" w14:textId="1F5C7BB1" w:rsidR="005608C6" w:rsidRPr="005608C6" w:rsidRDefault="005608C6" w:rsidP="005608C6">
      <w:pPr>
        <w:spacing w:before="0" w:after="160"/>
        <w:ind w:left="720" w:hanging="720"/>
        <w:rPr>
          <w:rFonts w:eastAsia="Aptos" w:cs="Arial"/>
          <w:noProof/>
          <w:sz w:val="22"/>
          <w:lang w:val="en-US"/>
        </w:rPr>
      </w:pPr>
      <w:r w:rsidRPr="005608C6">
        <w:rPr>
          <w:rFonts w:eastAsia="Aptos" w:cs="Arial"/>
          <w:noProof/>
          <w:sz w:val="22"/>
          <w:lang w:val="en-US"/>
        </w:rPr>
        <w:t xml:space="preserve">Thomas, K., Noroña, C. R., &amp; St John, M. S. (2019). Cross-sector allies together in the struggle for social justice: Diversity-informed tenets for work with infants, children, and families. </w:t>
      </w:r>
      <w:r w:rsidRPr="005608C6">
        <w:rPr>
          <w:rFonts w:eastAsia="Aptos" w:cs="Arial"/>
          <w:i/>
          <w:noProof/>
          <w:sz w:val="22"/>
          <w:lang w:val="en-US"/>
        </w:rPr>
        <w:t>Zero to Three Journal</w:t>
      </w:r>
      <w:r w:rsidRPr="005608C6">
        <w:rPr>
          <w:rFonts w:eastAsia="Aptos" w:cs="Arial"/>
          <w:noProof/>
          <w:sz w:val="22"/>
          <w:lang w:val="en-US"/>
        </w:rPr>
        <w:t>,</w:t>
      </w:r>
      <w:r w:rsidRPr="005608C6">
        <w:rPr>
          <w:rFonts w:eastAsia="Aptos" w:cs="Arial"/>
          <w:i/>
          <w:noProof/>
          <w:sz w:val="22"/>
          <w:lang w:val="en-US"/>
        </w:rPr>
        <w:t xml:space="preserve"> 39</w:t>
      </w:r>
      <w:r w:rsidRPr="005608C6">
        <w:rPr>
          <w:rFonts w:eastAsia="Aptos" w:cs="Arial"/>
          <w:noProof/>
          <w:sz w:val="22"/>
          <w:lang w:val="en-US"/>
        </w:rPr>
        <w:t xml:space="preserve">(3), 44-54. </w:t>
      </w:r>
      <w:hyperlink r:id="rId630" w:history="1">
        <w:r w:rsidRPr="005608C6">
          <w:rPr>
            <w:rStyle w:val="Hyperlink"/>
            <w:rFonts w:eastAsia="Aptos" w:cs="Arial"/>
            <w:noProof/>
            <w:sz w:val="22"/>
            <w:lang w:val="en-US"/>
          </w:rPr>
          <w:t>https://drive.google.com/file/d/1WX-lcLBT3mcenAdRDHrhI3-15IhbNWwd/view</w:t>
        </w:r>
      </w:hyperlink>
      <w:r>
        <w:rPr>
          <w:rFonts w:eastAsia="Aptos" w:cs="Arial"/>
          <w:noProof/>
          <w:sz w:val="22"/>
          <w:lang w:val="en-US"/>
        </w:rPr>
        <w:t xml:space="preserve"> </w:t>
      </w:r>
      <w:r w:rsidRPr="005608C6">
        <w:rPr>
          <w:rFonts w:eastAsia="Aptos" w:cs="Arial"/>
          <w:noProof/>
          <w:sz w:val="22"/>
          <w:lang w:val="en-US"/>
        </w:rPr>
        <w:t xml:space="preserve"> </w:t>
      </w:r>
    </w:p>
    <w:p w14:paraId="69C5993D" w14:textId="77777777" w:rsidR="00235BF5" w:rsidRPr="00075790" w:rsidRDefault="00235BF5" w:rsidP="00235BF5">
      <w:pPr>
        <w:pStyle w:val="EndNoteBibliography"/>
        <w:spacing w:after="0"/>
        <w:ind w:left="720" w:hanging="720"/>
      </w:pPr>
    </w:p>
    <w:p w14:paraId="1B20B0F3" w14:textId="0071E578" w:rsidR="001D16EF" w:rsidRPr="001D16EF" w:rsidRDefault="001D16EF" w:rsidP="001D16EF">
      <w:pPr>
        <w:spacing w:before="0" w:after="160"/>
        <w:ind w:left="720" w:hanging="720"/>
        <w:rPr>
          <w:rFonts w:eastAsia="Aptos" w:cs="Arial"/>
          <w:noProof/>
          <w:sz w:val="22"/>
          <w:lang w:val="en-US"/>
        </w:rPr>
      </w:pPr>
      <w:r w:rsidRPr="001D16EF">
        <w:rPr>
          <w:rFonts w:eastAsia="Aptos" w:cs="Arial"/>
          <w:noProof/>
          <w:sz w:val="22"/>
          <w:lang w:val="en-US"/>
        </w:rPr>
        <w:t xml:space="preserve">Thompson-Hodgetts, S., Ortega, M. B., Anthony, C., McComish, H., &amp; Sharp, E. (2024). “It makes me a better person”: The unique experiences of parenting multiple children who experience neurodevelopmental disability. </w:t>
      </w:r>
      <w:r w:rsidRPr="001D16EF">
        <w:rPr>
          <w:rFonts w:eastAsia="Aptos" w:cs="Arial"/>
          <w:i/>
          <w:noProof/>
          <w:sz w:val="22"/>
          <w:lang w:val="en-US"/>
        </w:rPr>
        <w:t>Research in developmental disabilities</w:t>
      </w:r>
      <w:r w:rsidRPr="001D16EF">
        <w:rPr>
          <w:rFonts w:eastAsia="Aptos" w:cs="Arial"/>
          <w:noProof/>
          <w:sz w:val="22"/>
          <w:lang w:val="en-US"/>
        </w:rPr>
        <w:t>,</w:t>
      </w:r>
      <w:r w:rsidRPr="001D16EF">
        <w:rPr>
          <w:rFonts w:eastAsia="Aptos" w:cs="Arial"/>
          <w:i/>
          <w:noProof/>
          <w:sz w:val="22"/>
          <w:lang w:val="en-US"/>
        </w:rPr>
        <w:t xml:space="preserve"> 147</w:t>
      </w:r>
      <w:r w:rsidRPr="001D16EF">
        <w:rPr>
          <w:rFonts w:eastAsia="Aptos" w:cs="Arial"/>
          <w:noProof/>
          <w:sz w:val="22"/>
          <w:lang w:val="en-US"/>
        </w:rPr>
        <w:t xml:space="preserve">, 104697. </w:t>
      </w:r>
      <w:hyperlink r:id="rId631" w:history="1">
        <w:r w:rsidR="006C2502" w:rsidRPr="001D16EF">
          <w:rPr>
            <w:rStyle w:val="Hyperlink"/>
            <w:rFonts w:eastAsia="Aptos" w:cs="Arial"/>
            <w:noProof/>
            <w:sz w:val="22"/>
            <w:lang w:val="en-US"/>
          </w:rPr>
          <w:t>https://doi.org/10.1016/j.ridd.2024.104697</w:t>
        </w:r>
      </w:hyperlink>
      <w:r w:rsidR="006C2502">
        <w:rPr>
          <w:rFonts w:eastAsia="Aptos" w:cs="Arial"/>
          <w:noProof/>
          <w:sz w:val="22"/>
          <w:lang w:val="en-US"/>
        </w:rPr>
        <w:t xml:space="preserve"> </w:t>
      </w:r>
      <w:r w:rsidRPr="001D16EF">
        <w:rPr>
          <w:rFonts w:eastAsia="Aptos" w:cs="Arial"/>
          <w:noProof/>
          <w:sz w:val="22"/>
          <w:lang w:val="en-US"/>
        </w:rPr>
        <w:t xml:space="preserve"> </w:t>
      </w:r>
    </w:p>
    <w:p w14:paraId="50312B6D" w14:textId="77777777" w:rsidR="001D16EF" w:rsidRPr="001D16EF" w:rsidRDefault="001D16EF" w:rsidP="001D16EF">
      <w:pPr>
        <w:spacing w:before="0" w:after="0"/>
        <w:ind w:left="720" w:hanging="720"/>
        <w:rPr>
          <w:rFonts w:eastAsia="Aptos" w:cs="Arial"/>
          <w:noProof/>
          <w:sz w:val="22"/>
          <w:lang w:val="en-US"/>
        </w:rPr>
      </w:pPr>
      <w:r w:rsidRPr="001D16EF">
        <w:rPr>
          <w:rFonts w:eastAsia="Aptos" w:cs="Arial"/>
          <w:noProof/>
          <w:sz w:val="22"/>
          <w:lang w:val="en-US"/>
        </w:rPr>
        <w:tab/>
      </w:r>
    </w:p>
    <w:p w14:paraId="095BC393" w14:textId="0B876158" w:rsidR="001D16EF" w:rsidRPr="001D16EF" w:rsidRDefault="001D16EF" w:rsidP="001D16EF">
      <w:pPr>
        <w:spacing w:before="0" w:after="160"/>
        <w:ind w:left="720" w:hanging="720"/>
        <w:rPr>
          <w:rFonts w:eastAsia="Aptos" w:cs="Arial"/>
          <w:noProof/>
          <w:sz w:val="22"/>
          <w:lang w:val="en-US"/>
        </w:rPr>
      </w:pPr>
      <w:r w:rsidRPr="001D16EF">
        <w:rPr>
          <w:rFonts w:eastAsia="Aptos" w:cs="Arial"/>
          <w:noProof/>
          <w:sz w:val="22"/>
          <w:lang w:val="en-US"/>
        </w:rPr>
        <w:t xml:space="preserve">Thompson, J. R., Schalock, R. L., Agosta, J., Teninty, L., &amp; Fortune, J. (2014). How the supports paradigm is transforming the developmental disabilities service system. </w:t>
      </w:r>
      <w:r w:rsidRPr="001D16EF">
        <w:rPr>
          <w:rFonts w:eastAsia="Aptos" w:cs="Arial"/>
          <w:i/>
          <w:noProof/>
          <w:sz w:val="22"/>
          <w:lang w:val="en-US"/>
        </w:rPr>
        <w:t>Inclusion</w:t>
      </w:r>
      <w:r w:rsidRPr="001D16EF">
        <w:rPr>
          <w:rFonts w:eastAsia="Aptos" w:cs="Arial"/>
          <w:noProof/>
          <w:sz w:val="22"/>
          <w:lang w:val="en-US"/>
        </w:rPr>
        <w:t>,</w:t>
      </w:r>
      <w:r w:rsidRPr="001D16EF">
        <w:rPr>
          <w:rFonts w:eastAsia="Aptos" w:cs="Arial"/>
          <w:i/>
          <w:noProof/>
          <w:sz w:val="22"/>
          <w:lang w:val="en-US"/>
        </w:rPr>
        <w:t xml:space="preserve"> 2</w:t>
      </w:r>
      <w:r w:rsidRPr="001D16EF">
        <w:rPr>
          <w:rFonts w:eastAsia="Aptos" w:cs="Arial"/>
          <w:noProof/>
          <w:sz w:val="22"/>
          <w:lang w:val="en-US"/>
        </w:rPr>
        <w:t xml:space="preserve">(2), 86-99. </w:t>
      </w:r>
      <w:hyperlink r:id="rId632" w:history="1">
        <w:r w:rsidR="006C2502" w:rsidRPr="001D16EF">
          <w:rPr>
            <w:rStyle w:val="Hyperlink"/>
            <w:rFonts w:eastAsia="Aptos" w:cs="Arial"/>
            <w:noProof/>
            <w:sz w:val="22"/>
            <w:lang w:val="en-US"/>
          </w:rPr>
          <w:t>https://doi.org/10.1352/2326-6988-2.2.86</w:t>
        </w:r>
      </w:hyperlink>
      <w:r w:rsidR="006C2502">
        <w:rPr>
          <w:rFonts w:eastAsia="Aptos" w:cs="Arial"/>
          <w:noProof/>
          <w:sz w:val="22"/>
          <w:lang w:val="en-US"/>
        </w:rPr>
        <w:t xml:space="preserve"> </w:t>
      </w:r>
      <w:r w:rsidRPr="001D16EF">
        <w:rPr>
          <w:rFonts w:eastAsia="Aptos" w:cs="Arial"/>
          <w:noProof/>
          <w:sz w:val="22"/>
          <w:lang w:val="en-US"/>
        </w:rPr>
        <w:t xml:space="preserve"> </w:t>
      </w:r>
    </w:p>
    <w:p w14:paraId="206AA31D" w14:textId="77777777" w:rsidR="001D16EF" w:rsidRPr="001D16EF" w:rsidRDefault="001D16EF" w:rsidP="001D16EF">
      <w:pPr>
        <w:spacing w:before="0" w:after="0"/>
        <w:ind w:left="720" w:hanging="720"/>
        <w:rPr>
          <w:rFonts w:eastAsia="Aptos" w:cs="Arial"/>
          <w:noProof/>
          <w:sz w:val="22"/>
          <w:lang w:val="en-US"/>
        </w:rPr>
      </w:pPr>
      <w:r w:rsidRPr="001D16EF">
        <w:rPr>
          <w:rFonts w:eastAsia="Aptos" w:cs="Arial"/>
          <w:noProof/>
          <w:sz w:val="22"/>
          <w:lang w:val="en-US"/>
        </w:rPr>
        <w:tab/>
      </w:r>
    </w:p>
    <w:p w14:paraId="360058AB" w14:textId="3FDBA94A" w:rsidR="001D16EF" w:rsidRPr="001D16EF" w:rsidRDefault="001D16EF" w:rsidP="001D16EF">
      <w:pPr>
        <w:spacing w:before="0" w:after="160"/>
        <w:ind w:left="720" w:hanging="720"/>
        <w:rPr>
          <w:rFonts w:eastAsia="Aptos" w:cs="Arial"/>
          <w:noProof/>
          <w:sz w:val="22"/>
          <w:lang w:val="en-US"/>
        </w:rPr>
      </w:pPr>
      <w:r w:rsidRPr="001D16EF">
        <w:rPr>
          <w:rFonts w:eastAsia="Aptos" w:cs="Arial"/>
          <w:noProof/>
          <w:sz w:val="22"/>
          <w:lang w:val="en-US"/>
        </w:rPr>
        <w:t xml:space="preserve">Thompson, J. R., Wehmeyer, M. L., Hughes, C., Shogren, K. A., Seo, H., Little, T. D., Schalock, R. L., Realon, R., Copeland, S. R., Patton, J. R., Polloway, E. A., Sheldon, D., &amp; Tasse, M. J. (2016). </w:t>
      </w:r>
      <w:r w:rsidRPr="001D16EF">
        <w:rPr>
          <w:rFonts w:eastAsia="Aptos" w:cs="Arial"/>
          <w:i/>
          <w:noProof/>
          <w:sz w:val="22"/>
          <w:lang w:val="en-US"/>
        </w:rPr>
        <w:t>Supports Intensity Scale-Children’s Version (SIS-C). Interview and profile form</w:t>
      </w:r>
      <w:r w:rsidRPr="001D16EF">
        <w:rPr>
          <w:rFonts w:eastAsia="Aptos" w:cs="Arial"/>
          <w:noProof/>
          <w:sz w:val="22"/>
          <w:lang w:val="en-US"/>
        </w:rPr>
        <w:t xml:space="preserve">. American Association on Intellectual and Developmental Disabilities. Retrieved 6 September, 2024 from </w:t>
      </w:r>
      <w:hyperlink r:id="rId633" w:history="1">
        <w:r w:rsidR="006C2502" w:rsidRPr="001D16EF">
          <w:rPr>
            <w:rStyle w:val="Hyperlink"/>
            <w:rFonts w:eastAsia="Aptos" w:cs="Arial"/>
            <w:noProof/>
            <w:sz w:val="22"/>
            <w:lang w:val="en-US"/>
          </w:rPr>
          <w:t>https://www.aaidd.org/sis/sis-c</w:t>
        </w:r>
      </w:hyperlink>
      <w:r w:rsidR="006C2502">
        <w:rPr>
          <w:rFonts w:eastAsia="Aptos" w:cs="Arial"/>
          <w:noProof/>
          <w:sz w:val="22"/>
          <w:lang w:val="en-US"/>
        </w:rPr>
        <w:t xml:space="preserve"> </w:t>
      </w:r>
    </w:p>
    <w:p w14:paraId="46565663" w14:textId="77777777" w:rsidR="001D16EF" w:rsidRPr="001D16EF" w:rsidRDefault="001D16EF" w:rsidP="001D16EF">
      <w:pPr>
        <w:spacing w:before="0" w:after="0"/>
        <w:ind w:left="720" w:hanging="720"/>
        <w:rPr>
          <w:rFonts w:eastAsia="Aptos" w:cs="Arial"/>
          <w:noProof/>
          <w:sz w:val="22"/>
          <w:lang w:val="en-US"/>
        </w:rPr>
      </w:pPr>
      <w:r w:rsidRPr="001D16EF">
        <w:rPr>
          <w:rFonts w:eastAsia="Aptos" w:cs="Arial"/>
          <w:noProof/>
          <w:sz w:val="22"/>
          <w:lang w:val="en-US"/>
        </w:rPr>
        <w:tab/>
      </w:r>
    </w:p>
    <w:p w14:paraId="793CEBA1" w14:textId="77777777" w:rsidR="001D16EF" w:rsidRPr="001D16EF" w:rsidRDefault="001D16EF" w:rsidP="001D16EF">
      <w:pPr>
        <w:spacing w:before="0" w:after="160"/>
        <w:ind w:left="720" w:hanging="720"/>
        <w:rPr>
          <w:rFonts w:eastAsia="Aptos" w:cs="Arial"/>
          <w:noProof/>
          <w:sz w:val="22"/>
          <w:lang w:val="en-US"/>
        </w:rPr>
      </w:pPr>
      <w:r w:rsidRPr="001D16EF">
        <w:rPr>
          <w:rFonts w:eastAsia="Aptos" w:cs="Arial"/>
          <w:noProof/>
          <w:sz w:val="22"/>
          <w:lang w:val="en-US"/>
        </w:rPr>
        <w:t xml:space="preserve">Thompson, J. R., Wehmeyer, M. L., Shogren, K. A., &amp; Seo, H. (2017). The supports paradigm and intellectual and developmental disabilities. In K. A. Shogren, M. L. Wehmeyer, &amp; N. N. Singh (Eds.), </w:t>
      </w:r>
      <w:r w:rsidRPr="001D16EF">
        <w:rPr>
          <w:rFonts w:eastAsia="Aptos" w:cs="Arial"/>
          <w:i/>
          <w:noProof/>
          <w:sz w:val="22"/>
          <w:lang w:val="en-US"/>
        </w:rPr>
        <w:t>Handbook of positive psychology in intellectual and developmental disabilities</w:t>
      </w:r>
      <w:r w:rsidRPr="001D16EF">
        <w:rPr>
          <w:rFonts w:eastAsia="Aptos" w:cs="Arial"/>
          <w:noProof/>
          <w:sz w:val="22"/>
          <w:lang w:val="en-US"/>
        </w:rPr>
        <w:t xml:space="preserve"> (pp. 13-20). Springer. </w:t>
      </w:r>
    </w:p>
    <w:p w14:paraId="31286D42" w14:textId="77777777" w:rsidR="001D16EF" w:rsidRPr="001D16EF" w:rsidRDefault="001D16EF" w:rsidP="001D16EF">
      <w:pPr>
        <w:spacing w:before="0" w:after="0"/>
        <w:ind w:left="720" w:hanging="720"/>
        <w:rPr>
          <w:rFonts w:eastAsia="Aptos" w:cs="Arial"/>
          <w:noProof/>
          <w:sz w:val="22"/>
          <w:lang w:val="en-US"/>
        </w:rPr>
      </w:pPr>
      <w:r w:rsidRPr="001D16EF">
        <w:rPr>
          <w:rFonts w:eastAsia="Aptos" w:cs="Arial"/>
          <w:noProof/>
          <w:sz w:val="22"/>
          <w:lang w:val="en-US"/>
        </w:rPr>
        <w:tab/>
      </w:r>
    </w:p>
    <w:p w14:paraId="76F45ADC" w14:textId="0E139E33" w:rsidR="001D16EF" w:rsidRDefault="001D16EF" w:rsidP="001D16EF">
      <w:pPr>
        <w:spacing w:before="0" w:after="160"/>
        <w:ind w:left="720" w:hanging="720"/>
        <w:rPr>
          <w:rFonts w:eastAsia="Aptos" w:cs="Arial"/>
          <w:noProof/>
          <w:sz w:val="22"/>
          <w:lang w:val="en-US"/>
        </w:rPr>
      </w:pPr>
      <w:r w:rsidRPr="001D16EF">
        <w:rPr>
          <w:rFonts w:eastAsia="Aptos" w:cs="Arial"/>
          <w:noProof/>
          <w:sz w:val="22"/>
          <w:lang w:val="en-US"/>
        </w:rPr>
        <w:t xml:space="preserve">Tomasello, N. M., Manning, A. R., &amp; Dulmus, C. N. (2010). Family-centered early intervention for infants and toddlers with disabilities. </w:t>
      </w:r>
      <w:r w:rsidRPr="001D16EF">
        <w:rPr>
          <w:rFonts w:eastAsia="Aptos" w:cs="Arial"/>
          <w:i/>
          <w:noProof/>
          <w:sz w:val="22"/>
          <w:lang w:val="en-US"/>
        </w:rPr>
        <w:t>Journal of Family Social Work</w:t>
      </w:r>
      <w:r w:rsidRPr="001D16EF">
        <w:rPr>
          <w:rFonts w:eastAsia="Aptos" w:cs="Arial"/>
          <w:noProof/>
          <w:sz w:val="22"/>
          <w:lang w:val="en-US"/>
        </w:rPr>
        <w:t>,</w:t>
      </w:r>
      <w:r w:rsidRPr="001D16EF">
        <w:rPr>
          <w:rFonts w:eastAsia="Aptos" w:cs="Arial"/>
          <w:i/>
          <w:noProof/>
          <w:sz w:val="22"/>
          <w:lang w:val="en-US"/>
        </w:rPr>
        <w:t xml:space="preserve"> 13</w:t>
      </w:r>
      <w:r w:rsidRPr="001D16EF">
        <w:rPr>
          <w:rFonts w:eastAsia="Aptos" w:cs="Arial"/>
          <w:noProof/>
          <w:sz w:val="22"/>
          <w:lang w:val="en-US"/>
        </w:rPr>
        <w:t xml:space="preserve">(2), 163-172. </w:t>
      </w:r>
      <w:hyperlink r:id="rId634" w:history="1">
        <w:r w:rsidR="005608C6" w:rsidRPr="001D16EF">
          <w:rPr>
            <w:rStyle w:val="Hyperlink"/>
            <w:rFonts w:eastAsia="Aptos" w:cs="Arial"/>
            <w:noProof/>
            <w:sz w:val="22"/>
            <w:lang w:val="en-US"/>
          </w:rPr>
          <w:t>https://doi.org/10.1080/10522150903503010</w:t>
        </w:r>
      </w:hyperlink>
    </w:p>
    <w:p w14:paraId="45B70510" w14:textId="77777777" w:rsidR="005608C6" w:rsidRPr="001D16EF" w:rsidRDefault="005608C6" w:rsidP="001D16EF">
      <w:pPr>
        <w:spacing w:before="0" w:after="160"/>
        <w:ind w:left="720" w:hanging="720"/>
        <w:rPr>
          <w:rFonts w:eastAsia="Aptos" w:cs="Arial"/>
          <w:noProof/>
          <w:sz w:val="22"/>
          <w:lang w:val="en-US"/>
        </w:rPr>
      </w:pPr>
    </w:p>
    <w:p w14:paraId="4C97043A" w14:textId="0CEB8EE3" w:rsidR="005F4EE5" w:rsidRPr="005F4EE5" w:rsidRDefault="005F4EE5" w:rsidP="005F4EE5">
      <w:pPr>
        <w:spacing w:before="0" w:after="160"/>
        <w:ind w:left="720" w:hanging="720"/>
        <w:rPr>
          <w:rFonts w:eastAsia="Aptos" w:cs="Arial"/>
          <w:noProof/>
          <w:sz w:val="22"/>
          <w:lang w:val="en-US"/>
        </w:rPr>
      </w:pPr>
      <w:r w:rsidRPr="005F4EE5">
        <w:rPr>
          <w:rFonts w:eastAsia="Aptos" w:cs="Arial"/>
          <w:noProof/>
          <w:sz w:val="22"/>
          <w:lang w:val="en-US"/>
        </w:rPr>
        <w:t xml:space="preserve">Tomeny, K. R., McWilliam, R., &amp; Tomeny, T. S. (2019). Caregiver-implemented intervention for young children with autism spectrum disorder: A systematic review of coaching components. </w:t>
      </w:r>
      <w:r w:rsidRPr="005F4EE5">
        <w:rPr>
          <w:rFonts w:eastAsia="Aptos" w:cs="Arial"/>
          <w:i/>
          <w:noProof/>
          <w:sz w:val="22"/>
          <w:lang w:val="en-US"/>
        </w:rPr>
        <w:t>Review Journal of Autism and Developmental Disorders</w:t>
      </w:r>
      <w:r w:rsidRPr="005F4EE5">
        <w:rPr>
          <w:rFonts w:eastAsia="Aptos" w:cs="Arial"/>
          <w:noProof/>
          <w:sz w:val="22"/>
          <w:lang w:val="en-US"/>
        </w:rPr>
        <w:t>,</w:t>
      </w:r>
      <w:r w:rsidRPr="005F4EE5">
        <w:rPr>
          <w:rFonts w:eastAsia="Aptos" w:cs="Arial"/>
          <w:i/>
          <w:noProof/>
          <w:sz w:val="22"/>
          <w:lang w:val="en-US"/>
        </w:rPr>
        <w:t xml:space="preserve"> 7</w:t>
      </w:r>
      <w:r w:rsidRPr="005F4EE5">
        <w:rPr>
          <w:rFonts w:eastAsia="Aptos" w:cs="Arial"/>
          <w:noProof/>
          <w:sz w:val="22"/>
          <w:lang w:val="en-US"/>
        </w:rPr>
        <w:t xml:space="preserve">(2), 168-181. </w:t>
      </w:r>
      <w:hyperlink r:id="rId635" w:history="1">
        <w:r w:rsidR="006C2502" w:rsidRPr="005F4EE5">
          <w:rPr>
            <w:rStyle w:val="Hyperlink"/>
            <w:rFonts w:eastAsia="Aptos" w:cs="Arial"/>
            <w:noProof/>
            <w:sz w:val="22"/>
            <w:lang w:val="en-US"/>
          </w:rPr>
          <w:t>https://doi.org/10.1007/s40489-019-00186-7</w:t>
        </w:r>
      </w:hyperlink>
      <w:r w:rsidR="006C2502">
        <w:rPr>
          <w:rFonts w:eastAsia="Aptos" w:cs="Arial"/>
          <w:noProof/>
          <w:sz w:val="22"/>
          <w:lang w:val="en-US"/>
        </w:rPr>
        <w:t xml:space="preserve"> </w:t>
      </w:r>
      <w:r w:rsidRPr="005F4EE5">
        <w:rPr>
          <w:rFonts w:eastAsia="Aptos" w:cs="Arial"/>
          <w:noProof/>
          <w:sz w:val="22"/>
          <w:lang w:val="en-US"/>
        </w:rPr>
        <w:t xml:space="preserve"> </w:t>
      </w:r>
    </w:p>
    <w:p w14:paraId="588A099F" w14:textId="77777777" w:rsidR="005F4EE5" w:rsidRPr="005F4EE5" w:rsidRDefault="005F4EE5" w:rsidP="005F4EE5">
      <w:pPr>
        <w:spacing w:before="0" w:after="0"/>
        <w:ind w:left="720" w:hanging="720"/>
        <w:rPr>
          <w:rFonts w:eastAsia="Aptos" w:cs="Arial"/>
          <w:noProof/>
          <w:sz w:val="22"/>
          <w:lang w:val="en-US"/>
        </w:rPr>
      </w:pPr>
      <w:r w:rsidRPr="005F4EE5">
        <w:rPr>
          <w:rFonts w:eastAsia="Aptos" w:cs="Arial"/>
          <w:noProof/>
          <w:sz w:val="22"/>
          <w:lang w:val="en-US"/>
        </w:rPr>
        <w:tab/>
      </w:r>
    </w:p>
    <w:p w14:paraId="42A00FD3" w14:textId="77777777" w:rsidR="005F4EE5" w:rsidRPr="005F4EE5" w:rsidRDefault="005F4EE5" w:rsidP="005F4EE5">
      <w:pPr>
        <w:spacing w:before="0" w:after="160"/>
        <w:ind w:left="720" w:hanging="720"/>
        <w:rPr>
          <w:rFonts w:eastAsia="Aptos" w:cs="Arial"/>
          <w:noProof/>
          <w:sz w:val="22"/>
          <w:lang w:val="en-US"/>
        </w:rPr>
      </w:pPr>
      <w:r w:rsidRPr="005F4EE5">
        <w:rPr>
          <w:rFonts w:eastAsia="Aptos" w:cs="Arial"/>
          <w:noProof/>
          <w:sz w:val="22"/>
          <w:lang w:val="en-US"/>
        </w:rPr>
        <w:t xml:space="preserve">Trask, B. (2009). </w:t>
      </w:r>
      <w:r w:rsidRPr="005F4EE5">
        <w:rPr>
          <w:rFonts w:eastAsia="Aptos" w:cs="Arial"/>
          <w:i/>
          <w:noProof/>
          <w:sz w:val="22"/>
          <w:lang w:val="en-US"/>
        </w:rPr>
        <w:t>Globalization and families: Accelerated systemic social change</w:t>
      </w:r>
      <w:r w:rsidRPr="005F4EE5">
        <w:rPr>
          <w:rFonts w:eastAsia="Aptos" w:cs="Arial"/>
          <w:noProof/>
          <w:sz w:val="22"/>
          <w:lang w:val="en-US"/>
        </w:rPr>
        <w:t xml:space="preserve">. New York: Springer Science &amp; Business Media. </w:t>
      </w:r>
    </w:p>
    <w:p w14:paraId="118BDD2F" w14:textId="77777777" w:rsidR="005F4EE5" w:rsidRPr="005F4EE5" w:rsidRDefault="005F4EE5" w:rsidP="005F4EE5">
      <w:pPr>
        <w:spacing w:before="0" w:after="0"/>
        <w:ind w:left="720" w:hanging="720"/>
        <w:rPr>
          <w:rFonts w:eastAsia="Aptos" w:cs="Arial"/>
          <w:noProof/>
          <w:sz w:val="22"/>
          <w:lang w:val="en-US"/>
        </w:rPr>
      </w:pPr>
      <w:r w:rsidRPr="005F4EE5">
        <w:rPr>
          <w:rFonts w:eastAsia="Aptos" w:cs="Arial"/>
          <w:noProof/>
          <w:sz w:val="22"/>
          <w:lang w:val="en-US"/>
        </w:rPr>
        <w:tab/>
      </w:r>
    </w:p>
    <w:p w14:paraId="3DB10B26" w14:textId="242B8F8F" w:rsidR="005F4EE5" w:rsidRPr="005F4EE5" w:rsidRDefault="005F4EE5" w:rsidP="005F4EE5">
      <w:pPr>
        <w:spacing w:before="0" w:after="160"/>
        <w:ind w:left="720" w:hanging="720"/>
        <w:rPr>
          <w:rFonts w:eastAsia="Aptos" w:cs="Arial"/>
          <w:noProof/>
          <w:sz w:val="22"/>
          <w:lang w:val="en-US"/>
        </w:rPr>
      </w:pPr>
      <w:r w:rsidRPr="005F4EE5">
        <w:rPr>
          <w:rFonts w:eastAsia="Aptos" w:cs="Arial"/>
          <w:noProof/>
          <w:sz w:val="22"/>
          <w:lang w:val="it-IT"/>
        </w:rPr>
        <w:t xml:space="preserve">Tricco, A. C., Antony, J., Zarin, W., Strifler, L., Ghassemi, M., Ivory, J., Perrier, L., Hutton, B., Moher, D., &amp; Straus, S. E. (2015). </w:t>
      </w:r>
      <w:r w:rsidRPr="005F4EE5">
        <w:rPr>
          <w:rFonts w:eastAsia="Aptos" w:cs="Arial"/>
          <w:noProof/>
          <w:sz w:val="22"/>
          <w:lang w:val="en-US"/>
        </w:rPr>
        <w:t xml:space="preserve">A scoping review of rapid review methods. </w:t>
      </w:r>
      <w:r w:rsidRPr="005F4EE5">
        <w:rPr>
          <w:rFonts w:eastAsia="Aptos" w:cs="Arial"/>
          <w:i/>
          <w:noProof/>
          <w:sz w:val="22"/>
          <w:lang w:val="en-US"/>
        </w:rPr>
        <w:t>BMC Medicine</w:t>
      </w:r>
      <w:r w:rsidRPr="005F4EE5">
        <w:rPr>
          <w:rFonts w:eastAsia="Aptos" w:cs="Arial"/>
          <w:noProof/>
          <w:sz w:val="22"/>
          <w:lang w:val="en-US"/>
        </w:rPr>
        <w:t>,</w:t>
      </w:r>
      <w:r w:rsidRPr="005F4EE5">
        <w:rPr>
          <w:rFonts w:eastAsia="Aptos" w:cs="Arial"/>
          <w:i/>
          <w:noProof/>
          <w:sz w:val="22"/>
          <w:lang w:val="en-US"/>
        </w:rPr>
        <w:t xml:space="preserve"> 13</w:t>
      </w:r>
      <w:r w:rsidRPr="005F4EE5">
        <w:rPr>
          <w:rFonts w:eastAsia="Aptos" w:cs="Arial"/>
          <w:noProof/>
          <w:sz w:val="22"/>
          <w:lang w:val="en-US"/>
        </w:rPr>
        <w:t xml:space="preserve">(1), 224. </w:t>
      </w:r>
      <w:hyperlink r:id="rId636" w:history="1">
        <w:r w:rsidR="006C2502" w:rsidRPr="005F4EE5">
          <w:rPr>
            <w:rStyle w:val="Hyperlink"/>
            <w:rFonts w:eastAsia="Aptos" w:cs="Arial"/>
            <w:noProof/>
            <w:sz w:val="22"/>
            <w:lang w:val="en-US"/>
          </w:rPr>
          <w:t>https://doi.org/10.1186/s12916-015-0465-6</w:t>
        </w:r>
      </w:hyperlink>
      <w:r w:rsidR="006C2502">
        <w:rPr>
          <w:rFonts w:eastAsia="Aptos" w:cs="Arial"/>
          <w:noProof/>
          <w:sz w:val="22"/>
          <w:lang w:val="en-US"/>
        </w:rPr>
        <w:t xml:space="preserve"> </w:t>
      </w:r>
      <w:r w:rsidRPr="005F4EE5">
        <w:rPr>
          <w:rFonts w:eastAsia="Aptos" w:cs="Arial"/>
          <w:noProof/>
          <w:sz w:val="22"/>
          <w:lang w:val="en-US"/>
        </w:rPr>
        <w:t xml:space="preserve"> </w:t>
      </w:r>
    </w:p>
    <w:p w14:paraId="4C0577B0" w14:textId="77777777" w:rsidR="005F4EE5" w:rsidRPr="005F4EE5" w:rsidRDefault="005F4EE5" w:rsidP="005F4EE5">
      <w:pPr>
        <w:spacing w:before="0" w:after="0"/>
        <w:ind w:left="720" w:hanging="720"/>
        <w:rPr>
          <w:rFonts w:eastAsia="Aptos" w:cs="Arial"/>
          <w:noProof/>
          <w:sz w:val="22"/>
          <w:lang w:val="en-US"/>
        </w:rPr>
      </w:pPr>
      <w:r w:rsidRPr="005F4EE5">
        <w:rPr>
          <w:rFonts w:eastAsia="Aptos" w:cs="Arial"/>
          <w:noProof/>
          <w:sz w:val="22"/>
          <w:lang w:val="en-US"/>
        </w:rPr>
        <w:tab/>
      </w:r>
    </w:p>
    <w:p w14:paraId="08CD6E56" w14:textId="09C7EFDC" w:rsidR="005F4EE5" w:rsidRDefault="005F4EE5" w:rsidP="005F4EE5">
      <w:pPr>
        <w:spacing w:before="0" w:after="160"/>
        <w:ind w:left="720" w:hanging="720"/>
        <w:rPr>
          <w:rFonts w:eastAsia="Aptos" w:cs="Arial"/>
          <w:noProof/>
          <w:sz w:val="22"/>
          <w:lang w:val="en-US"/>
        </w:rPr>
      </w:pPr>
      <w:r w:rsidRPr="005F4EE5">
        <w:rPr>
          <w:rFonts w:eastAsia="Aptos" w:cs="Arial"/>
          <w:noProof/>
          <w:sz w:val="22"/>
          <w:lang w:val="en-US"/>
        </w:rPr>
        <w:t xml:space="preserve">Tricco, A. C., Lillie, E., Zarin, W., O'Brien, K. K., Colquhoun, H., Levac, D., Moher, D., Peters, M. D. J., Horsley, T., Weeks, L., Hempel, S., Akl, E. A., Chang, C., McGowan, J., Stewart, L., Hartling, L., Aldcroft, A., Wilson, M. G., Garritty, C., . . . Straus, S. E. (2018). PRISMA Extension for Scoping Reviews (PRISMA-ScR): Checklist and Explanation. </w:t>
      </w:r>
      <w:r w:rsidRPr="005F4EE5">
        <w:rPr>
          <w:rFonts w:eastAsia="Aptos" w:cs="Arial"/>
          <w:i/>
          <w:noProof/>
          <w:sz w:val="22"/>
          <w:lang w:val="en-US"/>
        </w:rPr>
        <w:t>Annals of Internal Medicine</w:t>
      </w:r>
      <w:r w:rsidRPr="005F4EE5">
        <w:rPr>
          <w:rFonts w:eastAsia="Aptos" w:cs="Arial"/>
          <w:noProof/>
          <w:sz w:val="22"/>
          <w:lang w:val="en-US"/>
        </w:rPr>
        <w:t>,</w:t>
      </w:r>
      <w:r w:rsidRPr="005F4EE5">
        <w:rPr>
          <w:rFonts w:eastAsia="Aptos" w:cs="Arial"/>
          <w:i/>
          <w:noProof/>
          <w:sz w:val="22"/>
          <w:lang w:val="en-US"/>
        </w:rPr>
        <w:t xml:space="preserve"> 169</w:t>
      </w:r>
      <w:r w:rsidRPr="005F4EE5">
        <w:rPr>
          <w:rFonts w:eastAsia="Aptos" w:cs="Arial"/>
          <w:noProof/>
          <w:sz w:val="22"/>
          <w:lang w:val="en-US"/>
        </w:rPr>
        <w:t xml:space="preserve">(7), 467-473. </w:t>
      </w:r>
      <w:hyperlink r:id="rId637" w:history="1">
        <w:r w:rsidR="005608C6" w:rsidRPr="005F4EE5">
          <w:rPr>
            <w:rStyle w:val="Hyperlink"/>
            <w:rFonts w:eastAsia="Aptos" w:cs="Arial"/>
            <w:noProof/>
            <w:sz w:val="22"/>
            <w:lang w:val="en-US"/>
          </w:rPr>
          <w:t>https://doi.org/10.7326/m18-0850</w:t>
        </w:r>
      </w:hyperlink>
      <w:r w:rsidRPr="005F4EE5">
        <w:rPr>
          <w:rFonts w:eastAsia="Aptos" w:cs="Arial"/>
          <w:noProof/>
          <w:sz w:val="22"/>
          <w:lang w:val="en-US"/>
        </w:rPr>
        <w:t xml:space="preserve"> </w:t>
      </w:r>
    </w:p>
    <w:p w14:paraId="4F84DB98" w14:textId="77777777" w:rsidR="005608C6" w:rsidRPr="005F4EE5" w:rsidRDefault="005608C6" w:rsidP="005F4EE5">
      <w:pPr>
        <w:spacing w:before="0" w:after="160"/>
        <w:ind w:left="720" w:hanging="720"/>
        <w:rPr>
          <w:rFonts w:eastAsia="Aptos" w:cs="Arial"/>
          <w:noProof/>
          <w:sz w:val="22"/>
          <w:lang w:val="en-US"/>
        </w:rPr>
      </w:pPr>
    </w:p>
    <w:p w14:paraId="1A4834DE" w14:textId="4F930E28" w:rsidR="00F75C86" w:rsidRPr="00F75C86" w:rsidRDefault="00F75C86" w:rsidP="00F75C86">
      <w:pPr>
        <w:spacing w:before="0" w:after="160"/>
        <w:ind w:left="720" w:hanging="720"/>
        <w:rPr>
          <w:rFonts w:eastAsia="Aptos" w:cs="Arial"/>
          <w:noProof/>
          <w:sz w:val="22"/>
          <w:lang w:val="en-US"/>
        </w:rPr>
      </w:pPr>
      <w:r w:rsidRPr="005608C6">
        <w:rPr>
          <w:rFonts w:eastAsia="Aptos" w:cs="Arial"/>
          <w:noProof/>
          <w:sz w:val="22"/>
          <w:lang w:val="it-IT"/>
        </w:rPr>
        <w:t xml:space="preserve">Trivette, C. M., &amp; Corr, C. P. (2018). </w:t>
      </w:r>
      <w:r w:rsidRPr="00F75C86">
        <w:rPr>
          <w:rFonts w:eastAsia="Aptos" w:cs="Arial"/>
          <w:noProof/>
          <w:sz w:val="22"/>
          <w:lang w:val="en-US"/>
        </w:rPr>
        <w:t xml:space="preserve">When life gets in the way: The complexities of supporting families who have a child with autism and live in poverty. In M. Siller &amp; L. Morgan (Eds.), </w:t>
      </w:r>
      <w:r w:rsidRPr="00F75C86">
        <w:rPr>
          <w:rFonts w:eastAsia="Aptos" w:cs="Arial"/>
          <w:i/>
          <w:noProof/>
          <w:sz w:val="22"/>
          <w:lang w:val="en-US"/>
        </w:rPr>
        <w:t>Handbook of parent-implemented interventions for very young children with autism</w:t>
      </w:r>
      <w:r w:rsidRPr="00F75C86">
        <w:rPr>
          <w:rFonts w:eastAsia="Aptos" w:cs="Arial"/>
          <w:noProof/>
          <w:sz w:val="22"/>
          <w:lang w:val="en-US"/>
        </w:rPr>
        <w:t xml:space="preserve"> (pp. 107-120). . Springer International. </w:t>
      </w:r>
      <w:hyperlink r:id="rId638" w:history="1">
        <w:r w:rsidR="006C2502" w:rsidRPr="00F75C86">
          <w:rPr>
            <w:rStyle w:val="Hyperlink"/>
            <w:rFonts w:eastAsia="Aptos" w:cs="Arial"/>
            <w:noProof/>
            <w:sz w:val="22"/>
            <w:lang w:val="en-US"/>
          </w:rPr>
          <w:t>https://doi.org/10.1007/978-3-319-90994-3_7</w:t>
        </w:r>
      </w:hyperlink>
      <w:r w:rsidR="006C2502">
        <w:rPr>
          <w:rFonts w:eastAsia="Aptos" w:cs="Arial"/>
          <w:noProof/>
          <w:sz w:val="22"/>
          <w:lang w:val="en-US"/>
        </w:rPr>
        <w:t xml:space="preserve"> </w:t>
      </w:r>
      <w:r w:rsidRPr="00F75C86">
        <w:rPr>
          <w:rFonts w:eastAsia="Aptos" w:cs="Arial"/>
          <w:noProof/>
          <w:sz w:val="22"/>
          <w:lang w:val="en-US"/>
        </w:rPr>
        <w:t xml:space="preserve"> </w:t>
      </w:r>
    </w:p>
    <w:p w14:paraId="5F20E437" w14:textId="77777777" w:rsidR="00F75C86" w:rsidRPr="00F75C86" w:rsidRDefault="00F75C86" w:rsidP="00F75C86">
      <w:pPr>
        <w:spacing w:before="0" w:after="0"/>
        <w:ind w:left="720" w:hanging="720"/>
        <w:rPr>
          <w:rFonts w:eastAsia="Aptos" w:cs="Arial"/>
          <w:noProof/>
          <w:sz w:val="22"/>
          <w:lang w:val="en-US"/>
        </w:rPr>
      </w:pPr>
      <w:r w:rsidRPr="00F75C86">
        <w:rPr>
          <w:rFonts w:eastAsia="Aptos" w:cs="Arial"/>
          <w:noProof/>
          <w:sz w:val="22"/>
          <w:lang w:val="en-US"/>
        </w:rPr>
        <w:tab/>
      </w:r>
    </w:p>
    <w:p w14:paraId="0BDFFB55" w14:textId="6D2828F8" w:rsidR="00F75C86" w:rsidRPr="00F75C86" w:rsidRDefault="00F75C86" w:rsidP="00F75C86">
      <w:pPr>
        <w:spacing w:before="0" w:after="160"/>
        <w:ind w:left="720" w:hanging="720"/>
        <w:rPr>
          <w:rFonts w:eastAsia="Aptos" w:cs="Arial"/>
          <w:noProof/>
          <w:sz w:val="22"/>
          <w:lang w:val="en-US"/>
        </w:rPr>
      </w:pPr>
      <w:r w:rsidRPr="00F75C86">
        <w:rPr>
          <w:rFonts w:eastAsia="Aptos" w:cs="Arial"/>
          <w:noProof/>
          <w:sz w:val="22"/>
          <w:lang w:val="it-IT"/>
        </w:rPr>
        <w:t xml:space="preserve">Trivette, C. M., &amp; Dunst, C. J. (2014). </w:t>
      </w:r>
      <w:r w:rsidRPr="00F75C86">
        <w:rPr>
          <w:rFonts w:eastAsia="Aptos" w:cs="Arial"/>
          <w:noProof/>
          <w:sz w:val="22"/>
          <w:lang w:val="en-US"/>
        </w:rPr>
        <w:t xml:space="preserve">Community-based parent support programs. In R. E. Tremblay, B. M., &amp; R. D. Peters (Eds.), </w:t>
      </w:r>
      <w:r w:rsidRPr="00F75C86">
        <w:rPr>
          <w:rFonts w:eastAsia="Aptos" w:cs="Arial"/>
          <w:i/>
          <w:noProof/>
          <w:sz w:val="22"/>
          <w:lang w:val="en-US"/>
        </w:rPr>
        <w:t>Encyclopedia on Early Childhood Development</w:t>
      </w:r>
      <w:r w:rsidRPr="00F75C86">
        <w:rPr>
          <w:rFonts w:eastAsia="Aptos" w:cs="Arial"/>
          <w:noProof/>
          <w:sz w:val="22"/>
          <w:lang w:val="en-US"/>
        </w:rPr>
        <w:t xml:space="preserve"> (3rd ed.). Centre of Excellence for Early Childhood Development. </w:t>
      </w:r>
      <w:hyperlink r:id="rId639" w:history="1">
        <w:r w:rsidR="006C2502" w:rsidRPr="00F75C86">
          <w:rPr>
            <w:rStyle w:val="Hyperlink"/>
            <w:rFonts w:eastAsia="Aptos" w:cs="Arial"/>
            <w:noProof/>
            <w:sz w:val="22"/>
            <w:lang w:val="en-US"/>
          </w:rPr>
          <w:t>https://www.child-encyclopedia.com/parenting-skills/according-experts/community-based-parent-support-programs</w:t>
        </w:r>
      </w:hyperlink>
      <w:r w:rsidR="006C2502">
        <w:rPr>
          <w:rFonts w:eastAsia="Aptos" w:cs="Arial"/>
          <w:noProof/>
          <w:sz w:val="22"/>
          <w:lang w:val="en-US"/>
        </w:rPr>
        <w:t xml:space="preserve"> </w:t>
      </w:r>
      <w:r w:rsidRPr="00F75C86">
        <w:rPr>
          <w:rFonts w:eastAsia="Aptos" w:cs="Arial"/>
          <w:noProof/>
          <w:sz w:val="22"/>
          <w:lang w:val="en-US"/>
        </w:rPr>
        <w:t xml:space="preserve"> </w:t>
      </w:r>
    </w:p>
    <w:p w14:paraId="2AB9AE31" w14:textId="77777777" w:rsidR="00F75C86" w:rsidRPr="00F75C86" w:rsidRDefault="00F75C86" w:rsidP="00F75C86">
      <w:pPr>
        <w:spacing w:before="0" w:after="0"/>
        <w:ind w:left="720" w:hanging="720"/>
        <w:rPr>
          <w:rFonts w:eastAsia="Aptos" w:cs="Arial"/>
          <w:noProof/>
          <w:sz w:val="22"/>
          <w:lang w:val="en-US"/>
        </w:rPr>
      </w:pPr>
      <w:r w:rsidRPr="00F75C86">
        <w:rPr>
          <w:rFonts w:eastAsia="Aptos" w:cs="Arial"/>
          <w:noProof/>
          <w:sz w:val="22"/>
          <w:lang w:val="en-US"/>
        </w:rPr>
        <w:tab/>
      </w:r>
    </w:p>
    <w:p w14:paraId="305C5E20" w14:textId="6E871243" w:rsidR="00F75C86" w:rsidRPr="00F75C86" w:rsidRDefault="00F75C86" w:rsidP="00F75C86">
      <w:pPr>
        <w:spacing w:before="0" w:after="160"/>
        <w:ind w:left="720" w:hanging="720"/>
        <w:rPr>
          <w:rFonts w:eastAsia="Aptos" w:cs="Arial"/>
          <w:noProof/>
          <w:sz w:val="22"/>
          <w:lang w:val="en-US"/>
        </w:rPr>
      </w:pPr>
      <w:r w:rsidRPr="00F75C86">
        <w:rPr>
          <w:rFonts w:eastAsia="Aptos" w:cs="Arial"/>
          <w:noProof/>
          <w:sz w:val="22"/>
          <w:lang w:val="en-US"/>
        </w:rPr>
        <w:t xml:space="preserve">Trivette, C. M., Dunst, C. J., &amp; Hamby, D. W. (2010). Influences of family-systems intervention practices on parent-child interactions and child development. </w:t>
      </w:r>
      <w:r w:rsidRPr="00F75C86">
        <w:rPr>
          <w:rFonts w:eastAsia="Aptos" w:cs="Arial"/>
          <w:i/>
          <w:noProof/>
          <w:sz w:val="22"/>
          <w:lang w:val="en-US"/>
        </w:rPr>
        <w:t>Topics in Early Childhood Special Education</w:t>
      </w:r>
      <w:r w:rsidRPr="00F75C86">
        <w:rPr>
          <w:rFonts w:eastAsia="Aptos" w:cs="Arial"/>
          <w:noProof/>
          <w:sz w:val="22"/>
          <w:lang w:val="en-US"/>
        </w:rPr>
        <w:t>,</w:t>
      </w:r>
      <w:r w:rsidRPr="00F75C86">
        <w:rPr>
          <w:rFonts w:eastAsia="Aptos" w:cs="Arial"/>
          <w:i/>
          <w:noProof/>
          <w:sz w:val="22"/>
          <w:lang w:val="en-US"/>
        </w:rPr>
        <w:t xml:space="preserve"> 30</w:t>
      </w:r>
      <w:r w:rsidRPr="00F75C86">
        <w:rPr>
          <w:rFonts w:eastAsia="Aptos" w:cs="Arial"/>
          <w:noProof/>
          <w:sz w:val="22"/>
          <w:lang w:val="en-US"/>
        </w:rPr>
        <w:t xml:space="preserve">(1), 3-19. </w:t>
      </w:r>
      <w:hyperlink r:id="rId640" w:history="1">
        <w:r w:rsidR="006C2502" w:rsidRPr="00F75C86">
          <w:rPr>
            <w:rStyle w:val="Hyperlink"/>
            <w:rFonts w:eastAsia="Aptos" w:cs="Arial"/>
            <w:noProof/>
            <w:sz w:val="22"/>
            <w:lang w:val="en-US"/>
          </w:rPr>
          <w:t>https://doi.org/10.1177/0271121410364250</w:t>
        </w:r>
      </w:hyperlink>
      <w:r w:rsidR="006C2502">
        <w:rPr>
          <w:rFonts w:eastAsia="Aptos" w:cs="Arial"/>
          <w:noProof/>
          <w:sz w:val="22"/>
          <w:lang w:val="en-US"/>
        </w:rPr>
        <w:t xml:space="preserve"> </w:t>
      </w:r>
      <w:r w:rsidRPr="00F75C86">
        <w:rPr>
          <w:rFonts w:eastAsia="Aptos" w:cs="Arial"/>
          <w:noProof/>
          <w:sz w:val="22"/>
          <w:lang w:val="en-US"/>
        </w:rPr>
        <w:t xml:space="preserve"> </w:t>
      </w:r>
    </w:p>
    <w:p w14:paraId="6293C0AC" w14:textId="77777777" w:rsidR="00F75C86" w:rsidRPr="00F75C86" w:rsidRDefault="00F75C86" w:rsidP="00F75C86">
      <w:pPr>
        <w:spacing w:before="0" w:after="0"/>
        <w:ind w:left="720" w:hanging="720"/>
        <w:rPr>
          <w:rFonts w:eastAsia="Aptos" w:cs="Arial"/>
          <w:noProof/>
          <w:sz w:val="22"/>
          <w:lang w:val="en-US"/>
        </w:rPr>
      </w:pPr>
      <w:r w:rsidRPr="00F75C86">
        <w:rPr>
          <w:rFonts w:eastAsia="Aptos" w:cs="Arial"/>
          <w:noProof/>
          <w:sz w:val="22"/>
          <w:lang w:val="en-US"/>
        </w:rPr>
        <w:tab/>
      </w:r>
    </w:p>
    <w:p w14:paraId="59537886" w14:textId="3424E2CF" w:rsidR="00F75C86" w:rsidRPr="00F75C86" w:rsidRDefault="00F75C86" w:rsidP="00F75C86">
      <w:pPr>
        <w:spacing w:before="0" w:after="160"/>
        <w:ind w:left="720" w:hanging="720"/>
        <w:rPr>
          <w:rFonts w:eastAsia="Aptos" w:cs="Arial"/>
          <w:noProof/>
          <w:sz w:val="22"/>
          <w:lang w:val="en-US"/>
        </w:rPr>
      </w:pPr>
      <w:r w:rsidRPr="00F75C86">
        <w:rPr>
          <w:rFonts w:eastAsia="Aptos" w:cs="Arial"/>
          <w:noProof/>
          <w:sz w:val="22"/>
          <w:lang w:val="en-US"/>
        </w:rPr>
        <w:t xml:space="preserve">Trivette, C. M., Dunst, C. J., Simkus, A., &amp; Hamby, D. W. (2013). </w:t>
      </w:r>
      <w:r w:rsidRPr="00F75C86">
        <w:rPr>
          <w:rFonts w:eastAsia="Aptos" w:cs="Arial"/>
          <w:i/>
          <w:noProof/>
          <w:sz w:val="22"/>
          <w:lang w:val="en-US"/>
        </w:rPr>
        <w:t>Methods for increasing child participation in everyday learning opportunities</w:t>
      </w:r>
      <w:r w:rsidRPr="00F75C86">
        <w:rPr>
          <w:rFonts w:eastAsia="Aptos" w:cs="Arial"/>
          <w:noProof/>
          <w:sz w:val="22"/>
          <w:lang w:val="en-US"/>
        </w:rPr>
        <w:t xml:space="preserve">. Asheville, NC: Orelena Hawks Puckett Institute. Retrieved 6 September, 2024 from </w:t>
      </w:r>
      <w:hyperlink r:id="rId641" w:history="1">
        <w:r w:rsidR="006C2502" w:rsidRPr="00F75C86">
          <w:rPr>
            <w:rStyle w:val="Hyperlink"/>
            <w:rFonts w:eastAsia="Aptos" w:cs="Arial"/>
            <w:noProof/>
            <w:sz w:val="22"/>
            <w:lang w:val="en-US"/>
          </w:rPr>
          <w:t>http://www.cecll.org/download/ECLLReport_7_LearnOps.pdf</w:t>
        </w:r>
      </w:hyperlink>
      <w:r w:rsidR="006C2502">
        <w:rPr>
          <w:rFonts w:eastAsia="Aptos" w:cs="Arial"/>
          <w:noProof/>
          <w:sz w:val="22"/>
          <w:lang w:val="en-US"/>
        </w:rPr>
        <w:t xml:space="preserve"> </w:t>
      </w:r>
    </w:p>
    <w:p w14:paraId="564F7852" w14:textId="77777777" w:rsidR="005C2AC6" w:rsidRPr="005C2AC6" w:rsidRDefault="005C2AC6" w:rsidP="005C2AC6">
      <w:pPr>
        <w:spacing w:before="0" w:after="160"/>
        <w:ind w:left="720" w:hanging="720"/>
        <w:rPr>
          <w:rFonts w:eastAsia="Aptos" w:cs="Arial"/>
          <w:noProof/>
          <w:sz w:val="22"/>
          <w:lang w:val="en-US"/>
        </w:rPr>
      </w:pPr>
      <w:r w:rsidRPr="005C2AC6">
        <w:rPr>
          <w:rFonts w:eastAsia="Aptos" w:cs="Arial"/>
          <w:noProof/>
          <w:sz w:val="22"/>
          <w:lang w:val="en-US"/>
        </w:rPr>
        <w:t xml:space="preserve">Trute, B. (2013). Basic family-centred practice concepts and principles. In B. Trute &amp; D. Hiebert-Murphy (Eds.), </w:t>
      </w:r>
      <w:r w:rsidRPr="005C2AC6">
        <w:rPr>
          <w:rFonts w:eastAsia="Aptos" w:cs="Arial"/>
          <w:i/>
          <w:noProof/>
          <w:sz w:val="22"/>
          <w:lang w:val="en-US"/>
        </w:rPr>
        <w:t>Partnering with parents: Family-centred practice in children’s services</w:t>
      </w:r>
      <w:r w:rsidRPr="005C2AC6">
        <w:rPr>
          <w:rFonts w:eastAsia="Aptos" w:cs="Arial"/>
          <w:noProof/>
          <w:sz w:val="22"/>
          <w:lang w:val="en-US"/>
        </w:rPr>
        <w:t xml:space="preserve"> (pp. 19-44).  Toronto, Canada: University of Toronto Press. </w:t>
      </w:r>
    </w:p>
    <w:p w14:paraId="41C7D82D" w14:textId="77777777" w:rsidR="005C2AC6" w:rsidRPr="005C2AC6" w:rsidRDefault="005C2AC6" w:rsidP="005C2AC6">
      <w:pPr>
        <w:spacing w:before="0" w:after="0"/>
        <w:ind w:left="720" w:hanging="720"/>
        <w:rPr>
          <w:rFonts w:eastAsia="Aptos" w:cs="Arial"/>
          <w:noProof/>
          <w:sz w:val="22"/>
          <w:lang w:val="en-US"/>
        </w:rPr>
      </w:pPr>
      <w:r w:rsidRPr="005C2AC6">
        <w:rPr>
          <w:rFonts w:eastAsia="Aptos" w:cs="Arial"/>
          <w:noProof/>
          <w:sz w:val="22"/>
          <w:lang w:val="en-US"/>
        </w:rPr>
        <w:tab/>
      </w:r>
    </w:p>
    <w:p w14:paraId="2ABD0FE3" w14:textId="77777777" w:rsidR="005C2AC6" w:rsidRPr="005C2AC6" w:rsidRDefault="005C2AC6" w:rsidP="005C2AC6">
      <w:pPr>
        <w:spacing w:before="0" w:after="160"/>
        <w:ind w:left="720" w:hanging="720"/>
        <w:rPr>
          <w:rFonts w:eastAsia="Aptos" w:cs="Arial"/>
          <w:noProof/>
          <w:sz w:val="22"/>
          <w:lang w:val="en-US"/>
        </w:rPr>
      </w:pPr>
      <w:r w:rsidRPr="005C2AC6">
        <w:rPr>
          <w:rFonts w:eastAsia="Aptos" w:cs="Arial"/>
          <w:noProof/>
          <w:sz w:val="22"/>
          <w:lang w:val="en-US"/>
        </w:rPr>
        <w:t xml:space="preserve">Trute, B., &amp; Hiebert-Murphy, D. (2013). </w:t>
      </w:r>
      <w:r w:rsidRPr="005C2AC6">
        <w:rPr>
          <w:rFonts w:eastAsia="Aptos" w:cs="Arial"/>
          <w:i/>
          <w:noProof/>
          <w:sz w:val="22"/>
          <w:lang w:val="en-US"/>
        </w:rPr>
        <w:t>Partnering with parents: Family-centred practice in children's services</w:t>
      </w:r>
      <w:r w:rsidRPr="005C2AC6">
        <w:rPr>
          <w:rFonts w:eastAsia="Aptos" w:cs="Arial"/>
          <w:noProof/>
          <w:sz w:val="22"/>
          <w:lang w:val="en-US"/>
        </w:rPr>
        <w:t xml:space="preserve">. Toronto, Canada: University of Toronto Press. </w:t>
      </w:r>
    </w:p>
    <w:p w14:paraId="321753A1" w14:textId="77777777" w:rsidR="005C2AC6" w:rsidRPr="005C2AC6" w:rsidRDefault="005C2AC6" w:rsidP="005C2AC6">
      <w:pPr>
        <w:spacing w:before="0" w:after="0"/>
        <w:ind w:left="720" w:hanging="720"/>
        <w:rPr>
          <w:rFonts w:eastAsia="Aptos" w:cs="Arial"/>
          <w:noProof/>
          <w:sz w:val="22"/>
          <w:lang w:val="en-US"/>
        </w:rPr>
      </w:pPr>
      <w:r w:rsidRPr="005C2AC6">
        <w:rPr>
          <w:rFonts w:eastAsia="Aptos" w:cs="Arial"/>
          <w:noProof/>
          <w:sz w:val="22"/>
          <w:lang w:val="en-US"/>
        </w:rPr>
        <w:tab/>
      </w:r>
    </w:p>
    <w:p w14:paraId="43F00B00" w14:textId="77777777" w:rsidR="005C2AC6" w:rsidRPr="005C2AC6" w:rsidRDefault="005C2AC6" w:rsidP="005C2AC6">
      <w:pPr>
        <w:spacing w:before="0" w:after="160"/>
        <w:ind w:left="720" w:hanging="720"/>
        <w:rPr>
          <w:rFonts w:eastAsia="Aptos" w:cs="Arial"/>
          <w:noProof/>
          <w:sz w:val="22"/>
          <w:lang w:val="en-US"/>
        </w:rPr>
      </w:pPr>
      <w:r w:rsidRPr="005C2AC6">
        <w:rPr>
          <w:rFonts w:eastAsia="Aptos" w:cs="Arial"/>
          <w:noProof/>
          <w:sz w:val="22"/>
          <w:lang w:val="en-US"/>
        </w:rPr>
        <w:t xml:space="preserve">Turner, G. (2023). </w:t>
      </w:r>
      <w:r w:rsidRPr="005C2AC6">
        <w:rPr>
          <w:rFonts w:eastAsia="Aptos" w:cs="Arial"/>
          <w:i/>
          <w:noProof/>
          <w:sz w:val="22"/>
          <w:lang w:val="en-US"/>
        </w:rPr>
        <w:t>The shrinking nation: How we got here and what can be done about it</w:t>
      </w:r>
      <w:r w:rsidRPr="005C2AC6">
        <w:rPr>
          <w:rFonts w:eastAsia="Aptos" w:cs="Arial"/>
          <w:noProof/>
          <w:sz w:val="22"/>
          <w:lang w:val="en-US"/>
        </w:rPr>
        <w:t xml:space="preserve">. St Lucia, QLD: University of Queensland Press. </w:t>
      </w:r>
    </w:p>
    <w:p w14:paraId="7EC3A07A" w14:textId="40715B6D" w:rsidR="00541322" w:rsidRPr="00541322" w:rsidRDefault="00541322" w:rsidP="00541322">
      <w:pPr>
        <w:spacing w:before="0" w:after="160"/>
        <w:ind w:left="720" w:hanging="720"/>
        <w:rPr>
          <w:rFonts w:eastAsia="Aptos" w:cs="Arial"/>
          <w:noProof/>
          <w:sz w:val="22"/>
          <w:lang w:val="en-US"/>
        </w:rPr>
      </w:pPr>
      <w:r w:rsidRPr="00541322">
        <w:rPr>
          <w:rFonts w:eastAsia="Aptos" w:cs="Arial"/>
          <w:noProof/>
          <w:sz w:val="22"/>
          <w:lang w:val="en-US"/>
        </w:rPr>
        <w:t xml:space="preserve">U.S. Department of Health and Human Services, &amp; U.S. Department of Education. (2023, November). </w:t>
      </w:r>
      <w:r w:rsidRPr="00541322">
        <w:rPr>
          <w:rFonts w:eastAsia="Aptos" w:cs="Arial"/>
          <w:i/>
          <w:noProof/>
          <w:sz w:val="22"/>
          <w:lang w:val="en-US"/>
        </w:rPr>
        <w:t>Policy Statement: Inclusion of Children with Disabilities in Early Childhood Programs</w:t>
      </w:r>
      <w:r w:rsidRPr="00541322">
        <w:rPr>
          <w:rFonts w:eastAsia="Aptos" w:cs="Arial"/>
          <w:noProof/>
          <w:sz w:val="22"/>
          <w:lang w:val="en-US"/>
        </w:rPr>
        <w:t xml:space="preserve">. Washing, DC: U.S. Departments of Education and Health and Human Services. Retrieved 6 September, 2024 from </w:t>
      </w:r>
      <w:hyperlink r:id="rId642" w:history="1">
        <w:r w:rsidR="006C2502" w:rsidRPr="00541322">
          <w:rPr>
            <w:rStyle w:val="Hyperlink"/>
            <w:rFonts w:eastAsia="Aptos" w:cs="Arial"/>
            <w:noProof/>
            <w:sz w:val="22"/>
            <w:lang w:val="en-US"/>
          </w:rPr>
          <w:t>https://www.acf.hhs.gov/ecd/policy-guidance/policy-statement-inclusion-children-disability-early-childhood-programs</w:t>
        </w:r>
      </w:hyperlink>
      <w:r w:rsidR="006C2502">
        <w:rPr>
          <w:rFonts w:eastAsia="Aptos" w:cs="Arial"/>
          <w:noProof/>
          <w:sz w:val="22"/>
          <w:lang w:val="en-US"/>
        </w:rPr>
        <w:t xml:space="preserve"> </w:t>
      </w:r>
    </w:p>
    <w:p w14:paraId="31F0648D" w14:textId="77777777" w:rsidR="00541322" w:rsidRPr="00541322" w:rsidRDefault="00541322" w:rsidP="00541322">
      <w:pPr>
        <w:spacing w:before="0" w:after="0"/>
        <w:ind w:left="720" w:hanging="720"/>
        <w:rPr>
          <w:rFonts w:eastAsia="Aptos" w:cs="Arial"/>
          <w:noProof/>
          <w:sz w:val="22"/>
          <w:lang w:val="en-US"/>
        </w:rPr>
      </w:pPr>
      <w:r w:rsidRPr="00541322">
        <w:rPr>
          <w:rFonts w:eastAsia="Aptos" w:cs="Arial"/>
          <w:noProof/>
          <w:sz w:val="22"/>
          <w:lang w:val="en-US"/>
        </w:rPr>
        <w:tab/>
      </w:r>
    </w:p>
    <w:p w14:paraId="6E4E555A" w14:textId="7A416157" w:rsidR="00541322" w:rsidRPr="00541322" w:rsidRDefault="00541322" w:rsidP="00541322">
      <w:pPr>
        <w:spacing w:before="0" w:after="160"/>
        <w:ind w:left="720" w:hanging="720"/>
        <w:rPr>
          <w:rFonts w:eastAsia="Aptos" w:cs="Arial"/>
          <w:noProof/>
          <w:sz w:val="22"/>
          <w:lang w:val="en-US"/>
        </w:rPr>
      </w:pPr>
      <w:r w:rsidRPr="00541322">
        <w:rPr>
          <w:rFonts w:eastAsia="Aptos" w:cs="Arial"/>
          <w:noProof/>
          <w:sz w:val="22"/>
          <w:lang w:val="en-US"/>
        </w:rPr>
        <w:t xml:space="preserve">Ulferts, H. (2020). </w:t>
      </w:r>
      <w:r w:rsidRPr="00541322">
        <w:rPr>
          <w:rFonts w:eastAsia="Aptos" w:cs="Arial"/>
          <w:i/>
          <w:noProof/>
          <w:sz w:val="22"/>
          <w:lang w:val="en-US"/>
        </w:rPr>
        <w:t>Why parenting matters for children in the 21st century: An evidence-based framework for understanding parenting and its impact on child development</w:t>
      </w:r>
      <w:r w:rsidRPr="00541322">
        <w:rPr>
          <w:rFonts w:eastAsia="Aptos" w:cs="Arial"/>
          <w:noProof/>
          <w:sz w:val="22"/>
          <w:lang w:val="en-US"/>
        </w:rPr>
        <w:t xml:space="preserve">. Paris, France: OECD Publishing. Retrieved 6 September, 2024 from </w:t>
      </w:r>
      <w:hyperlink r:id="rId643" w:history="1">
        <w:r w:rsidR="006C2502" w:rsidRPr="00541322">
          <w:rPr>
            <w:rStyle w:val="Hyperlink"/>
            <w:rFonts w:eastAsia="Aptos" w:cs="Arial"/>
            <w:noProof/>
            <w:sz w:val="22"/>
            <w:lang w:val="en-US"/>
          </w:rPr>
          <w:t>http://www.oecd.org/officialdocuments/publicdisplaydocumentpdf/?cote=EDU/WKP(2020)10&amp;docLanguage=En</w:t>
        </w:r>
      </w:hyperlink>
      <w:r w:rsidR="006C2502">
        <w:rPr>
          <w:rFonts w:eastAsia="Aptos" w:cs="Arial"/>
          <w:noProof/>
          <w:sz w:val="22"/>
          <w:lang w:val="en-US"/>
        </w:rPr>
        <w:t xml:space="preserve"> </w:t>
      </w:r>
    </w:p>
    <w:p w14:paraId="4E2D5F9F" w14:textId="77777777" w:rsidR="00541322" w:rsidRPr="00541322" w:rsidRDefault="00541322" w:rsidP="00541322">
      <w:pPr>
        <w:spacing w:before="0" w:after="0"/>
        <w:ind w:left="720" w:hanging="720"/>
        <w:rPr>
          <w:rFonts w:eastAsia="Aptos" w:cs="Arial"/>
          <w:noProof/>
          <w:sz w:val="22"/>
          <w:lang w:val="en-US"/>
        </w:rPr>
      </w:pPr>
      <w:r w:rsidRPr="00541322">
        <w:rPr>
          <w:rFonts w:eastAsia="Aptos" w:cs="Arial"/>
          <w:noProof/>
          <w:sz w:val="22"/>
          <w:lang w:val="en-US"/>
        </w:rPr>
        <w:tab/>
      </w:r>
    </w:p>
    <w:p w14:paraId="3DBA2F67" w14:textId="36E30BB2" w:rsidR="00541322" w:rsidRPr="00541322" w:rsidRDefault="00541322" w:rsidP="00541322">
      <w:pPr>
        <w:spacing w:before="0" w:after="160"/>
        <w:ind w:left="720" w:hanging="720"/>
        <w:rPr>
          <w:rFonts w:eastAsia="Aptos" w:cs="Arial"/>
          <w:noProof/>
          <w:sz w:val="22"/>
          <w:lang w:val="en-US"/>
        </w:rPr>
      </w:pPr>
      <w:r w:rsidRPr="00541322">
        <w:rPr>
          <w:rFonts w:eastAsia="Aptos" w:cs="Arial"/>
          <w:noProof/>
          <w:sz w:val="22"/>
          <w:lang w:val="en-US"/>
        </w:rPr>
        <w:t xml:space="preserve">Underwood, K., &amp; Frankel, E. B. (2012). The Developmental Systems Approach to Early Intervention in Canada. </w:t>
      </w:r>
      <w:r w:rsidRPr="00541322">
        <w:rPr>
          <w:rFonts w:eastAsia="Aptos" w:cs="Arial"/>
          <w:i/>
          <w:noProof/>
          <w:sz w:val="22"/>
          <w:lang w:val="en-US"/>
        </w:rPr>
        <w:t>Infants &amp; Young Children</w:t>
      </w:r>
      <w:r w:rsidRPr="00541322">
        <w:rPr>
          <w:rFonts w:eastAsia="Aptos" w:cs="Arial"/>
          <w:noProof/>
          <w:sz w:val="22"/>
          <w:lang w:val="en-US"/>
        </w:rPr>
        <w:t>,</w:t>
      </w:r>
      <w:r w:rsidRPr="00541322">
        <w:rPr>
          <w:rFonts w:eastAsia="Aptos" w:cs="Arial"/>
          <w:i/>
          <w:noProof/>
          <w:sz w:val="22"/>
          <w:lang w:val="en-US"/>
        </w:rPr>
        <w:t xml:space="preserve"> 25</w:t>
      </w:r>
      <w:r w:rsidRPr="00541322">
        <w:rPr>
          <w:rFonts w:eastAsia="Aptos" w:cs="Arial"/>
          <w:noProof/>
          <w:sz w:val="22"/>
          <w:lang w:val="en-US"/>
        </w:rPr>
        <w:t xml:space="preserve">(4). </w:t>
      </w:r>
      <w:hyperlink r:id="rId644" w:history="1">
        <w:r w:rsidR="006C2502" w:rsidRPr="00541322">
          <w:rPr>
            <w:rStyle w:val="Hyperlink"/>
            <w:rFonts w:eastAsia="Aptos" w:cs="Arial"/>
            <w:noProof/>
            <w:sz w:val="22"/>
            <w:lang w:val="en-US"/>
          </w:rPr>
          <w:t>https://journals.lww.com/iycjournal/fulltext/2012/10000/the_developmental_systems_approach_to_early.3.aspx</w:t>
        </w:r>
      </w:hyperlink>
      <w:r w:rsidR="006C2502">
        <w:rPr>
          <w:rFonts w:eastAsia="Aptos" w:cs="Arial"/>
          <w:noProof/>
          <w:sz w:val="22"/>
          <w:lang w:val="en-US"/>
        </w:rPr>
        <w:t xml:space="preserve"> </w:t>
      </w:r>
      <w:r w:rsidRPr="00541322">
        <w:rPr>
          <w:rFonts w:eastAsia="Aptos" w:cs="Arial"/>
          <w:noProof/>
          <w:sz w:val="22"/>
          <w:lang w:val="en-US"/>
        </w:rPr>
        <w:t xml:space="preserve"> </w:t>
      </w:r>
    </w:p>
    <w:p w14:paraId="2AB957B0" w14:textId="77777777" w:rsidR="00541322" w:rsidRPr="00541322" w:rsidRDefault="00541322" w:rsidP="00541322">
      <w:pPr>
        <w:spacing w:before="0" w:after="0"/>
        <w:ind w:left="720" w:hanging="720"/>
        <w:rPr>
          <w:rFonts w:eastAsia="Aptos" w:cs="Arial"/>
          <w:noProof/>
          <w:sz w:val="22"/>
          <w:lang w:val="en-US"/>
        </w:rPr>
      </w:pPr>
      <w:r w:rsidRPr="00541322">
        <w:rPr>
          <w:rFonts w:eastAsia="Aptos" w:cs="Arial"/>
          <w:noProof/>
          <w:sz w:val="22"/>
          <w:lang w:val="en-US"/>
        </w:rPr>
        <w:tab/>
      </w:r>
    </w:p>
    <w:p w14:paraId="2365C98A" w14:textId="4A5A02DE" w:rsidR="00541322" w:rsidRPr="00541322" w:rsidRDefault="00541322" w:rsidP="00541322">
      <w:pPr>
        <w:spacing w:before="0" w:after="160"/>
        <w:ind w:left="720" w:hanging="720"/>
        <w:rPr>
          <w:rFonts w:eastAsia="Aptos" w:cs="Arial"/>
          <w:noProof/>
          <w:sz w:val="22"/>
          <w:lang w:val="en-US"/>
        </w:rPr>
      </w:pPr>
      <w:r w:rsidRPr="00541322">
        <w:rPr>
          <w:rFonts w:eastAsia="Aptos" w:cs="Arial"/>
          <w:noProof/>
          <w:sz w:val="22"/>
          <w:lang w:val="en-US"/>
        </w:rPr>
        <w:t xml:space="preserve">UNESCO. (2021). </w:t>
      </w:r>
      <w:r w:rsidRPr="00541322">
        <w:rPr>
          <w:rFonts w:eastAsia="Aptos" w:cs="Arial"/>
          <w:i/>
          <w:noProof/>
          <w:sz w:val="22"/>
          <w:lang w:val="en-US"/>
        </w:rPr>
        <w:t>Right from the start: build inclusive societies through inclusive early childhood education</w:t>
      </w:r>
      <w:r w:rsidRPr="00541322">
        <w:rPr>
          <w:rFonts w:eastAsia="Aptos" w:cs="Arial"/>
          <w:noProof/>
          <w:sz w:val="22"/>
          <w:lang w:val="en-US"/>
        </w:rPr>
        <w:t xml:space="preserve">. Paris, France: UNESCO. Retrieved 6 September, 2024 from </w:t>
      </w:r>
      <w:hyperlink r:id="rId645" w:history="1">
        <w:r w:rsidR="00973D8C" w:rsidRPr="00541322">
          <w:rPr>
            <w:rStyle w:val="Hyperlink"/>
            <w:rFonts w:eastAsia="Aptos" w:cs="Arial"/>
            <w:noProof/>
            <w:sz w:val="22"/>
            <w:lang w:val="en-US"/>
          </w:rPr>
          <w:t>https://unesdoc.unesco.org/ark:/48223/pf0000378078</w:t>
        </w:r>
      </w:hyperlink>
      <w:r w:rsidR="00973D8C">
        <w:rPr>
          <w:rFonts w:eastAsia="Aptos" w:cs="Arial"/>
          <w:noProof/>
          <w:sz w:val="22"/>
          <w:lang w:val="en-US"/>
        </w:rPr>
        <w:t xml:space="preserve"> </w:t>
      </w:r>
    </w:p>
    <w:p w14:paraId="6158896E" w14:textId="41D8E363" w:rsidR="0030178D" w:rsidRPr="00075790" w:rsidRDefault="0030178D" w:rsidP="0030178D">
      <w:pPr>
        <w:pStyle w:val="EndNoteBibliography"/>
        <w:spacing w:after="0"/>
        <w:ind w:left="720" w:hanging="720"/>
      </w:pPr>
    </w:p>
    <w:p w14:paraId="349019CD" w14:textId="7B1C92B5" w:rsidR="004F497E" w:rsidRPr="004F497E" w:rsidRDefault="004F497E" w:rsidP="004F497E">
      <w:pPr>
        <w:spacing w:before="0" w:after="160"/>
        <w:ind w:left="720" w:hanging="720"/>
        <w:rPr>
          <w:rFonts w:eastAsia="Aptos" w:cs="Arial"/>
          <w:noProof/>
          <w:sz w:val="22"/>
          <w:lang w:val="en-US"/>
        </w:rPr>
      </w:pPr>
      <w:r w:rsidRPr="004F497E">
        <w:rPr>
          <w:rFonts w:eastAsia="Aptos" w:cs="Arial"/>
          <w:noProof/>
          <w:sz w:val="22"/>
          <w:lang w:val="en-US"/>
        </w:rPr>
        <w:t xml:space="preserve">Ungar, M. (2013). The impact of youth-adult relationships on resilience. </w:t>
      </w:r>
      <w:r w:rsidRPr="004F497E">
        <w:rPr>
          <w:rFonts w:eastAsia="Aptos" w:cs="Arial"/>
          <w:i/>
          <w:noProof/>
          <w:sz w:val="22"/>
          <w:lang w:val="en-US"/>
        </w:rPr>
        <w:t>International Journal of Child, Youth and Family Studies</w:t>
      </w:r>
      <w:r w:rsidRPr="004F497E">
        <w:rPr>
          <w:rFonts w:eastAsia="Aptos" w:cs="Arial"/>
          <w:noProof/>
          <w:sz w:val="22"/>
          <w:lang w:val="en-US"/>
        </w:rPr>
        <w:t>,</w:t>
      </w:r>
      <w:r w:rsidRPr="004F497E">
        <w:rPr>
          <w:rFonts w:eastAsia="Aptos" w:cs="Arial"/>
          <w:i/>
          <w:noProof/>
          <w:sz w:val="22"/>
          <w:lang w:val="en-US"/>
        </w:rPr>
        <w:t xml:space="preserve"> 4</w:t>
      </w:r>
      <w:r w:rsidRPr="004F497E">
        <w:rPr>
          <w:rFonts w:eastAsia="Aptos" w:cs="Arial"/>
          <w:noProof/>
          <w:sz w:val="22"/>
          <w:lang w:val="en-US"/>
        </w:rPr>
        <w:t xml:space="preserve">(3), 328-336. </w:t>
      </w:r>
      <w:hyperlink r:id="rId646" w:history="1">
        <w:r w:rsidR="00973D8C" w:rsidRPr="004F497E">
          <w:rPr>
            <w:rStyle w:val="Hyperlink"/>
            <w:rFonts w:eastAsia="Aptos" w:cs="Arial"/>
            <w:noProof/>
            <w:sz w:val="22"/>
            <w:lang w:val="en-US"/>
          </w:rPr>
          <w:t>https://doi.org/10.18357/ijcyfs43201312431</w:t>
        </w:r>
      </w:hyperlink>
      <w:r w:rsidR="00973D8C">
        <w:rPr>
          <w:rFonts w:eastAsia="Aptos" w:cs="Arial"/>
          <w:noProof/>
          <w:sz w:val="22"/>
          <w:lang w:val="en-US"/>
        </w:rPr>
        <w:t xml:space="preserve"> </w:t>
      </w:r>
      <w:r w:rsidRPr="004F497E">
        <w:rPr>
          <w:rFonts w:eastAsia="Aptos" w:cs="Arial"/>
          <w:noProof/>
          <w:sz w:val="22"/>
          <w:lang w:val="en-US"/>
        </w:rPr>
        <w:t xml:space="preserve"> </w:t>
      </w:r>
    </w:p>
    <w:p w14:paraId="173AA956" w14:textId="77777777" w:rsidR="004F497E" w:rsidRPr="004F497E" w:rsidRDefault="004F497E" w:rsidP="004F497E">
      <w:pPr>
        <w:spacing w:before="0" w:after="0"/>
        <w:ind w:left="720" w:hanging="720"/>
        <w:rPr>
          <w:rFonts w:eastAsia="Aptos" w:cs="Arial"/>
          <w:noProof/>
          <w:sz w:val="22"/>
          <w:lang w:val="en-US"/>
        </w:rPr>
      </w:pPr>
      <w:r w:rsidRPr="004F497E">
        <w:rPr>
          <w:rFonts w:eastAsia="Aptos" w:cs="Arial"/>
          <w:noProof/>
          <w:sz w:val="22"/>
          <w:lang w:val="en-US"/>
        </w:rPr>
        <w:tab/>
      </w:r>
    </w:p>
    <w:p w14:paraId="407F163E" w14:textId="6991E390" w:rsidR="004F497E" w:rsidRPr="004F497E" w:rsidRDefault="004F497E" w:rsidP="004F497E">
      <w:pPr>
        <w:spacing w:before="0" w:after="160"/>
        <w:ind w:left="720" w:hanging="720"/>
        <w:rPr>
          <w:rFonts w:eastAsia="Aptos" w:cs="Arial"/>
          <w:noProof/>
          <w:sz w:val="22"/>
          <w:lang w:val="en-US"/>
        </w:rPr>
      </w:pPr>
      <w:r w:rsidRPr="004F497E">
        <w:rPr>
          <w:rFonts w:eastAsia="Aptos" w:cs="Arial"/>
          <w:noProof/>
          <w:sz w:val="22"/>
          <w:lang w:val="en-US"/>
        </w:rPr>
        <w:t xml:space="preserve">Ungar, M., Ghazinour, M., &amp; Richter, J. (2013). Annual research review: What is resilience within the social ecology of human development? </w:t>
      </w:r>
      <w:r w:rsidRPr="004F497E">
        <w:rPr>
          <w:rFonts w:eastAsia="Aptos" w:cs="Arial"/>
          <w:i/>
          <w:noProof/>
          <w:sz w:val="22"/>
          <w:lang w:val="en-US"/>
        </w:rPr>
        <w:t>Journal of Child Psychology and Psychiatry</w:t>
      </w:r>
      <w:r w:rsidRPr="004F497E">
        <w:rPr>
          <w:rFonts w:eastAsia="Aptos" w:cs="Arial"/>
          <w:noProof/>
          <w:sz w:val="22"/>
          <w:lang w:val="en-US"/>
        </w:rPr>
        <w:t>,</w:t>
      </w:r>
      <w:r w:rsidRPr="004F497E">
        <w:rPr>
          <w:rFonts w:eastAsia="Aptos" w:cs="Arial"/>
          <w:i/>
          <w:noProof/>
          <w:sz w:val="22"/>
          <w:lang w:val="en-US"/>
        </w:rPr>
        <w:t xml:space="preserve"> 54</w:t>
      </w:r>
      <w:r w:rsidRPr="004F497E">
        <w:rPr>
          <w:rFonts w:eastAsia="Aptos" w:cs="Arial"/>
          <w:noProof/>
          <w:sz w:val="22"/>
          <w:lang w:val="en-US"/>
        </w:rPr>
        <w:t xml:space="preserve">(4), 348-366. </w:t>
      </w:r>
      <w:hyperlink r:id="rId647" w:history="1">
        <w:r w:rsidR="00973D8C" w:rsidRPr="004F497E">
          <w:rPr>
            <w:rStyle w:val="Hyperlink"/>
            <w:rFonts w:eastAsia="Aptos" w:cs="Arial"/>
            <w:noProof/>
            <w:sz w:val="22"/>
            <w:lang w:val="en-US"/>
          </w:rPr>
          <w:t>https://doi.org/10.1111/jcpp.12025</w:t>
        </w:r>
      </w:hyperlink>
      <w:r w:rsidR="00973D8C">
        <w:rPr>
          <w:rFonts w:eastAsia="Aptos" w:cs="Arial"/>
          <w:noProof/>
          <w:sz w:val="22"/>
          <w:lang w:val="en-US"/>
        </w:rPr>
        <w:t xml:space="preserve"> </w:t>
      </w:r>
      <w:r w:rsidRPr="004F497E">
        <w:rPr>
          <w:rFonts w:eastAsia="Aptos" w:cs="Arial"/>
          <w:noProof/>
          <w:sz w:val="22"/>
          <w:lang w:val="en-US"/>
        </w:rPr>
        <w:t xml:space="preserve"> </w:t>
      </w:r>
    </w:p>
    <w:p w14:paraId="668525BB" w14:textId="77777777" w:rsidR="004F497E" w:rsidRPr="004F497E" w:rsidRDefault="004F497E" w:rsidP="004F497E">
      <w:pPr>
        <w:spacing w:before="0" w:after="0"/>
        <w:ind w:left="720" w:hanging="720"/>
        <w:rPr>
          <w:rFonts w:eastAsia="Aptos" w:cs="Arial"/>
          <w:noProof/>
          <w:sz w:val="22"/>
          <w:lang w:val="en-US"/>
        </w:rPr>
      </w:pPr>
      <w:r w:rsidRPr="004F497E">
        <w:rPr>
          <w:rFonts w:eastAsia="Aptos" w:cs="Arial"/>
          <w:noProof/>
          <w:sz w:val="22"/>
          <w:lang w:val="en-US"/>
        </w:rPr>
        <w:tab/>
      </w:r>
    </w:p>
    <w:p w14:paraId="1D0575A4" w14:textId="6A597731" w:rsidR="004F497E" w:rsidRPr="004F497E" w:rsidRDefault="004F497E" w:rsidP="004F497E">
      <w:pPr>
        <w:spacing w:before="0" w:after="160"/>
        <w:ind w:left="720" w:hanging="720"/>
        <w:rPr>
          <w:rFonts w:eastAsia="Aptos" w:cs="Arial"/>
          <w:noProof/>
          <w:sz w:val="22"/>
          <w:lang w:val="en-US"/>
        </w:rPr>
      </w:pPr>
      <w:r w:rsidRPr="004F497E">
        <w:rPr>
          <w:rFonts w:eastAsia="Aptos" w:cs="Arial"/>
          <w:noProof/>
          <w:sz w:val="22"/>
          <w:lang w:val="en-US"/>
        </w:rPr>
        <w:t xml:space="preserve">UNICEF, &amp; Partners. (2023). </w:t>
      </w:r>
      <w:r w:rsidRPr="004F497E">
        <w:rPr>
          <w:rFonts w:eastAsia="Aptos" w:cs="Arial"/>
          <w:i/>
          <w:noProof/>
          <w:sz w:val="22"/>
          <w:lang w:val="en-US"/>
        </w:rPr>
        <w:t>Early childhood intervention services in Europe: Key concepts and selected models</w:t>
      </w:r>
      <w:r w:rsidRPr="004F497E">
        <w:rPr>
          <w:rFonts w:eastAsia="Aptos" w:cs="Arial"/>
          <w:noProof/>
          <w:sz w:val="22"/>
          <w:lang w:val="en-US"/>
        </w:rPr>
        <w:t xml:space="preserve">. UNICEF. Retrieved 6 September, 2024 from </w:t>
      </w:r>
      <w:hyperlink r:id="rId648" w:history="1">
        <w:r w:rsidR="00973D8C" w:rsidRPr="004F497E">
          <w:rPr>
            <w:rStyle w:val="Hyperlink"/>
            <w:rFonts w:eastAsia="Aptos" w:cs="Arial"/>
            <w:noProof/>
            <w:sz w:val="22"/>
            <w:lang w:val="en-US"/>
          </w:rPr>
          <w:t>https://www.unicef.org/ukraine/media/36326/file/Unicef_Ealy%20childhood_ENG_.pdf</w:t>
        </w:r>
      </w:hyperlink>
      <w:r w:rsidR="00973D8C">
        <w:rPr>
          <w:rFonts w:eastAsia="Aptos" w:cs="Arial"/>
          <w:noProof/>
          <w:sz w:val="22"/>
          <w:lang w:val="en-US"/>
        </w:rPr>
        <w:t xml:space="preserve"> </w:t>
      </w:r>
    </w:p>
    <w:p w14:paraId="757ECDF8" w14:textId="77777777" w:rsidR="004F497E" w:rsidRPr="004F497E" w:rsidRDefault="004F497E" w:rsidP="004F497E">
      <w:pPr>
        <w:spacing w:before="0" w:after="0"/>
        <w:ind w:left="720" w:hanging="720"/>
        <w:rPr>
          <w:rFonts w:eastAsia="Aptos" w:cs="Arial"/>
          <w:noProof/>
          <w:sz w:val="22"/>
          <w:lang w:val="en-US"/>
        </w:rPr>
      </w:pPr>
      <w:r w:rsidRPr="004F497E">
        <w:rPr>
          <w:rFonts w:eastAsia="Aptos" w:cs="Arial"/>
          <w:noProof/>
          <w:sz w:val="22"/>
          <w:lang w:val="en-US"/>
        </w:rPr>
        <w:tab/>
      </w:r>
    </w:p>
    <w:p w14:paraId="1CB0A88B" w14:textId="2855D280" w:rsidR="004F497E" w:rsidRPr="004F497E" w:rsidRDefault="004F497E" w:rsidP="004F497E">
      <w:pPr>
        <w:spacing w:before="0" w:after="160"/>
        <w:ind w:left="720" w:hanging="720"/>
        <w:rPr>
          <w:rFonts w:eastAsia="Aptos" w:cs="Arial"/>
          <w:noProof/>
          <w:sz w:val="22"/>
          <w:lang w:val="en-US"/>
        </w:rPr>
      </w:pPr>
      <w:r w:rsidRPr="004F497E">
        <w:rPr>
          <w:rFonts w:eastAsia="Aptos" w:cs="Arial"/>
          <w:noProof/>
          <w:sz w:val="22"/>
          <w:lang w:val="en-US"/>
        </w:rPr>
        <w:t xml:space="preserve">United Nations. (1990). </w:t>
      </w:r>
      <w:r w:rsidRPr="004F497E">
        <w:rPr>
          <w:rFonts w:eastAsia="Aptos" w:cs="Arial"/>
          <w:i/>
          <w:noProof/>
          <w:sz w:val="22"/>
          <w:lang w:val="en-US"/>
        </w:rPr>
        <w:t>United nations convention on the rights of the child</w:t>
      </w:r>
      <w:r w:rsidRPr="004F497E">
        <w:rPr>
          <w:rFonts w:eastAsia="Aptos" w:cs="Arial"/>
          <w:noProof/>
          <w:sz w:val="22"/>
          <w:lang w:val="en-US"/>
        </w:rPr>
        <w:t xml:space="preserve">. Geneva, Switzerland: United Nations. Retrieved 6 September, 2024 from </w:t>
      </w:r>
      <w:hyperlink r:id="rId649" w:history="1">
        <w:r w:rsidR="00973D8C" w:rsidRPr="004F497E">
          <w:rPr>
            <w:rStyle w:val="Hyperlink"/>
            <w:rFonts w:eastAsia="Aptos" w:cs="Arial"/>
            <w:noProof/>
            <w:sz w:val="22"/>
            <w:lang w:val="en-US"/>
          </w:rPr>
          <w:t>https://www.ohchr.org/en/instruments-mechanisms/instruments/convention-rights-child</w:t>
        </w:r>
      </w:hyperlink>
      <w:r w:rsidR="00973D8C">
        <w:rPr>
          <w:rFonts w:eastAsia="Aptos" w:cs="Arial"/>
          <w:noProof/>
          <w:sz w:val="22"/>
          <w:lang w:val="en-US"/>
        </w:rPr>
        <w:t xml:space="preserve"> </w:t>
      </w:r>
    </w:p>
    <w:p w14:paraId="403EA34E" w14:textId="77777777" w:rsidR="004F497E" w:rsidRPr="004F497E" w:rsidRDefault="004F497E" w:rsidP="004F497E">
      <w:pPr>
        <w:spacing w:before="0" w:after="0"/>
        <w:ind w:left="720" w:hanging="720"/>
        <w:rPr>
          <w:rFonts w:eastAsia="Aptos" w:cs="Arial"/>
          <w:noProof/>
          <w:sz w:val="22"/>
          <w:lang w:val="en-US"/>
        </w:rPr>
      </w:pPr>
      <w:r w:rsidRPr="004F497E">
        <w:rPr>
          <w:rFonts w:eastAsia="Aptos" w:cs="Arial"/>
          <w:noProof/>
          <w:sz w:val="22"/>
          <w:lang w:val="en-US"/>
        </w:rPr>
        <w:tab/>
      </w:r>
    </w:p>
    <w:p w14:paraId="3E0BB3C3" w14:textId="48271ECB" w:rsidR="004F497E" w:rsidRPr="004F497E" w:rsidRDefault="004F497E" w:rsidP="004F497E">
      <w:pPr>
        <w:spacing w:before="0" w:after="160"/>
        <w:ind w:left="720" w:hanging="720"/>
        <w:rPr>
          <w:rFonts w:eastAsia="Aptos" w:cs="Arial"/>
          <w:noProof/>
          <w:sz w:val="22"/>
          <w:lang w:val="en-US"/>
        </w:rPr>
      </w:pPr>
      <w:r w:rsidRPr="004F497E">
        <w:rPr>
          <w:rFonts w:eastAsia="Aptos" w:cs="Arial"/>
          <w:noProof/>
          <w:sz w:val="22"/>
          <w:lang w:val="en-US"/>
        </w:rPr>
        <w:t xml:space="preserve">United Nations. (2015). </w:t>
      </w:r>
      <w:r w:rsidRPr="004F497E">
        <w:rPr>
          <w:rFonts w:eastAsia="Aptos" w:cs="Arial"/>
          <w:i/>
          <w:noProof/>
          <w:sz w:val="22"/>
          <w:lang w:val="en-US"/>
        </w:rPr>
        <w:t>Transforming our world: The 2030 agenda for sustainable development</w:t>
      </w:r>
      <w:r w:rsidRPr="004F497E">
        <w:rPr>
          <w:rFonts w:eastAsia="Aptos" w:cs="Arial"/>
          <w:noProof/>
          <w:sz w:val="22"/>
          <w:lang w:val="en-US"/>
        </w:rPr>
        <w:t xml:space="preserve">. New York: United Nations, Department of Economic and Social Affairs. Retrieved 6 September, 2024 from </w:t>
      </w:r>
      <w:hyperlink r:id="rId650" w:history="1">
        <w:r w:rsidR="00973D8C" w:rsidRPr="004F497E">
          <w:rPr>
            <w:rStyle w:val="Hyperlink"/>
            <w:rFonts w:eastAsia="Aptos" w:cs="Arial"/>
            <w:noProof/>
            <w:sz w:val="22"/>
            <w:lang w:val="en-US"/>
          </w:rPr>
          <w:t>http://www.un.org/ga/search/view_doc.asp?symbol=A/69/L.85&amp;Lang=E</w:t>
        </w:r>
      </w:hyperlink>
      <w:r w:rsidR="00973D8C">
        <w:rPr>
          <w:rFonts w:eastAsia="Aptos" w:cs="Arial"/>
          <w:noProof/>
          <w:sz w:val="22"/>
          <w:lang w:val="en-US"/>
        </w:rPr>
        <w:t xml:space="preserve"> </w:t>
      </w:r>
    </w:p>
    <w:p w14:paraId="61FC242B" w14:textId="77777777" w:rsidR="004F497E" w:rsidRPr="004F497E" w:rsidRDefault="004F497E" w:rsidP="004F497E">
      <w:pPr>
        <w:spacing w:before="0" w:after="0"/>
        <w:ind w:left="720" w:hanging="720"/>
        <w:rPr>
          <w:rFonts w:eastAsia="Aptos" w:cs="Arial"/>
          <w:noProof/>
          <w:sz w:val="22"/>
          <w:lang w:val="en-US"/>
        </w:rPr>
      </w:pPr>
      <w:r w:rsidRPr="004F497E">
        <w:rPr>
          <w:rFonts w:eastAsia="Aptos" w:cs="Arial"/>
          <w:noProof/>
          <w:sz w:val="22"/>
          <w:lang w:val="en-US"/>
        </w:rPr>
        <w:tab/>
      </w:r>
    </w:p>
    <w:p w14:paraId="210467C8" w14:textId="5E9D2DD2" w:rsidR="004F497E" w:rsidRPr="004F497E" w:rsidRDefault="004F497E" w:rsidP="004F497E">
      <w:pPr>
        <w:spacing w:before="0" w:after="160"/>
        <w:ind w:left="720" w:hanging="720"/>
        <w:rPr>
          <w:rFonts w:eastAsia="Aptos" w:cs="Arial"/>
          <w:noProof/>
          <w:sz w:val="22"/>
          <w:lang w:val="en-US"/>
        </w:rPr>
      </w:pPr>
      <w:r w:rsidRPr="004F497E">
        <w:rPr>
          <w:rFonts w:eastAsia="Aptos" w:cs="Arial"/>
          <w:noProof/>
          <w:sz w:val="22"/>
          <w:lang w:val="en-US"/>
        </w:rPr>
        <w:t xml:space="preserve">United Nations. (2019, 22 January). </w:t>
      </w:r>
      <w:r w:rsidRPr="004F497E">
        <w:rPr>
          <w:rFonts w:eastAsia="Aptos" w:cs="Arial"/>
          <w:i/>
          <w:noProof/>
          <w:sz w:val="22"/>
          <w:lang w:val="en-US"/>
        </w:rPr>
        <w:t>Empowering children with disabilities for the enjoyment of their human rights, including through inclusive education: Report of the United Nations High Commissioner for Human Rights</w:t>
      </w:r>
      <w:r w:rsidRPr="004F497E">
        <w:rPr>
          <w:rFonts w:eastAsia="Aptos" w:cs="Arial"/>
          <w:noProof/>
          <w:sz w:val="22"/>
          <w:lang w:val="en-US"/>
        </w:rPr>
        <w:t xml:space="preserve">. New York: UN: United Nations. Retrieved 6 September, 2024 from </w:t>
      </w:r>
      <w:hyperlink r:id="rId651" w:history="1">
        <w:r w:rsidR="00973D8C" w:rsidRPr="004F497E">
          <w:rPr>
            <w:rStyle w:val="Hyperlink"/>
            <w:rFonts w:eastAsia="Aptos" w:cs="Arial"/>
            <w:noProof/>
            <w:sz w:val="22"/>
            <w:lang w:val="en-US"/>
          </w:rPr>
          <w:t>https://documents.un.org/doc/undoc/gen/g19/013/64/pdf/g1901364.pdf</w:t>
        </w:r>
      </w:hyperlink>
      <w:r w:rsidR="00973D8C">
        <w:rPr>
          <w:rFonts w:eastAsia="Aptos" w:cs="Arial"/>
          <w:noProof/>
          <w:sz w:val="22"/>
          <w:lang w:val="en-US"/>
        </w:rPr>
        <w:t xml:space="preserve"> </w:t>
      </w:r>
    </w:p>
    <w:p w14:paraId="407DD7E6" w14:textId="1A6E1E3B" w:rsidR="005C50E3" w:rsidRPr="005C50E3" w:rsidRDefault="005C50E3" w:rsidP="005C50E3">
      <w:pPr>
        <w:spacing w:before="0" w:after="160"/>
        <w:ind w:left="720" w:hanging="720"/>
        <w:rPr>
          <w:rFonts w:eastAsia="Aptos" w:cs="Arial"/>
          <w:noProof/>
          <w:sz w:val="22"/>
          <w:lang w:val="en-US"/>
        </w:rPr>
      </w:pPr>
      <w:r w:rsidRPr="005C50E3">
        <w:rPr>
          <w:rFonts w:eastAsia="Aptos" w:cs="Arial"/>
          <w:noProof/>
          <w:sz w:val="22"/>
          <w:lang w:val="en-US"/>
        </w:rPr>
        <w:t xml:space="preserve">United Nations General Assembly. (2007, 24 January). </w:t>
      </w:r>
      <w:r w:rsidRPr="005C50E3">
        <w:rPr>
          <w:rFonts w:eastAsia="Aptos" w:cs="Arial"/>
          <w:i/>
          <w:noProof/>
          <w:sz w:val="22"/>
          <w:lang w:val="en-US"/>
        </w:rPr>
        <w:t>Convention on the rights of persons with disabilities: Resolution adopted by the general assembly</w:t>
      </w:r>
      <w:r w:rsidRPr="005C50E3">
        <w:rPr>
          <w:rFonts w:eastAsia="Aptos" w:cs="Arial"/>
          <w:noProof/>
          <w:sz w:val="22"/>
          <w:lang w:val="en-US"/>
        </w:rPr>
        <w:t xml:space="preserve">. United Nations. Retrieved 6 September, 2024 from </w:t>
      </w:r>
      <w:hyperlink r:id="rId652" w:history="1">
        <w:r w:rsidR="00973D8C" w:rsidRPr="005C50E3">
          <w:rPr>
            <w:rStyle w:val="Hyperlink"/>
            <w:rFonts w:eastAsia="Aptos" w:cs="Arial"/>
            <w:noProof/>
            <w:sz w:val="22"/>
            <w:lang w:val="en-US"/>
          </w:rPr>
          <w:t>https://www.refworld.org/legal/resolution/unga/2007/en/49751</w:t>
        </w:r>
      </w:hyperlink>
      <w:r w:rsidR="00973D8C">
        <w:rPr>
          <w:rFonts w:eastAsia="Aptos" w:cs="Arial"/>
          <w:noProof/>
          <w:sz w:val="22"/>
          <w:lang w:val="en-US"/>
        </w:rPr>
        <w:t xml:space="preserve"> </w:t>
      </w:r>
    </w:p>
    <w:p w14:paraId="36D06C2B" w14:textId="77777777" w:rsidR="005C50E3" w:rsidRPr="005C50E3" w:rsidRDefault="005C50E3" w:rsidP="005C50E3">
      <w:pPr>
        <w:spacing w:before="0" w:after="0"/>
        <w:ind w:left="720" w:hanging="720"/>
        <w:rPr>
          <w:rFonts w:eastAsia="Aptos" w:cs="Arial"/>
          <w:noProof/>
          <w:sz w:val="22"/>
          <w:lang w:val="en-US"/>
        </w:rPr>
      </w:pPr>
      <w:r w:rsidRPr="005C50E3">
        <w:rPr>
          <w:rFonts w:eastAsia="Aptos" w:cs="Arial"/>
          <w:noProof/>
          <w:sz w:val="22"/>
          <w:lang w:val="en-US"/>
        </w:rPr>
        <w:tab/>
      </w:r>
    </w:p>
    <w:p w14:paraId="74D290C0" w14:textId="29DC0863" w:rsidR="005C50E3" w:rsidRPr="005C50E3" w:rsidRDefault="005C50E3" w:rsidP="005C50E3">
      <w:pPr>
        <w:spacing w:before="0" w:after="160"/>
        <w:ind w:left="720" w:hanging="720"/>
        <w:rPr>
          <w:rFonts w:eastAsia="Aptos" w:cs="Arial"/>
          <w:noProof/>
          <w:sz w:val="22"/>
          <w:lang w:val="en-US"/>
        </w:rPr>
      </w:pPr>
      <w:r w:rsidRPr="005C50E3">
        <w:rPr>
          <w:rFonts w:eastAsia="Aptos" w:cs="Arial"/>
          <w:noProof/>
          <w:sz w:val="22"/>
          <w:lang w:val="en-US"/>
        </w:rPr>
        <w:t xml:space="preserve">Ure, A., Rose, V., Bernie, C., &amp; Williams, K. (2018). Autism: One or many spectrums? </w:t>
      </w:r>
      <w:r w:rsidRPr="005C50E3">
        <w:rPr>
          <w:rFonts w:eastAsia="Aptos" w:cs="Arial"/>
          <w:i/>
          <w:noProof/>
          <w:sz w:val="22"/>
          <w:lang w:val="en-US"/>
        </w:rPr>
        <w:t>Journal of Paediatrics and Child Health</w:t>
      </w:r>
      <w:r w:rsidRPr="005C50E3">
        <w:rPr>
          <w:rFonts w:eastAsia="Aptos" w:cs="Arial"/>
          <w:noProof/>
          <w:sz w:val="22"/>
          <w:lang w:val="en-US"/>
        </w:rPr>
        <w:t>,</w:t>
      </w:r>
      <w:r w:rsidRPr="005C50E3">
        <w:rPr>
          <w:rFonts w:eastAsia="Aptos" w:cs="Arial"/>
          <w:i/>
          <w:noProof/>
          <w:sz w:val="22"/>
          <w:lang w:val="en-US"/>
        </w:rPr>
        <w:t xml:space="preserve"> 54</w:t>
      </w:r>
      <w:r w:rsidRPr="005C50E3">
        <w:rPr>
          <w:rFonts w:eastAsia="Aptos" w:cs="Arial"/>
          <w:noProof/>
          <w:sz w:val="22"/>
          <w:lang w:val="en-US"/>
        </w:rPr>
        <w:t xml:space="preserve">(10), 1068-1072. </w:t>
      </w:r>
      <w:hyperlink r:id="rId653" w:history="1">
        <w:r w:rsidR="00973D8C" w:rsidRPr="005C50E3">
          <w:rPr>
            <w:rStyle w:val="Hyperlink"/>
            <w:rFonts w:eastAsia="Aptos" w:cs="Arial"/>
            <w:noProof/>
            <w:sz w:val="22"/>
            <w:lang w:val="en-US"/>
          </w:rPr>
          <w:t>https://doi.org/10.1111/jpc.14176</w:t>
        </w:r>
      </w:hyperlink>
      <w:r w:rsidR="00973D8C">
        <w:rPr>
          <w:rFonts w:eastAsia="Aptos" w:cs="Arial"/>
          <w:noProof/>
          <w:sz w:val="22"/>
          <w:lang w:val="en-US"/>
        </w:rPr>
        <w:t xml:space="preserve"> </w:t>
      </w:r>
      <w:r w:rsidRPr="005C50E3">
        <w:rPr>
          <w:rFonts w:eastAsia="Aptos" w:cs="Arial"/>
          <w:noProof/>
          <w:sz w:val="22"/>
          <w:lang w:val="en-US"/>
        </w:rPr>
        <w:t xml:space="preserve"> </w:t>
      </w:r>
    </w:p>
    <w:p w14:paraId="4D07FB81" w14:textId="77777777" w:rsidR="005C50E3" w:rsidRPr="005C50E3" w:rsidRDefault="005C50E3" w:rsidP="005C50E3">
      <w:pPr>
        <w:spacing w:before="0" w:after="0"/>
        <w:ind w:left="720" w:hanging="720"/>
        <w:rPr>
          <w:rFonts w:eastAsia="Aptos" w:cs="Arial"/>
          <w:noProof/>
          <w:sz w:val="22"/>
          <w:lang w:val="en-US"/>
        </w:rPr>
      </w:pPr>
      <w:r w:rsidRPr="005C50E3">
        <w:rPr>
          <w:rFonts w:eastAsia="Aptos" w:cs="Arial"/>
          <w:noProof/>
          <w:sz w:val="22"/>
          <w:lang w:val="en-US"/>
        </w:rPr>
        <w:tab/>
      </w:r>
    </w:p>
    <w:p w14:paraId="4648511D" w14:textId="12D7F8E8" w:rsidR="005C50E3" w:rsidRPr="005C50E3" w:rsidRDefault="005C50E3" w:rsidP="005C50E3">
      <w:pPr>
        <w:spacing w:before="0" w:after="160"/>
        <w:ind w:left="720" w:hanging="720"/>
        <w:rPr>
          <w:rFonts w:eastAsia="Aptos" w:cs="Arial"/>
          <w:noProof/>
          <w:sz w:val="22"/>
          <w:lang w:val="en-US"/>
        </w:rPr>
      </w:pPr>
      <w:r w:rsidRPr="005C50E3">
        <w:rPr>
          <w:rFonts w:eastAsia="Aptos" w:cs="Arial"/>
          <w:noProof/>
          <w:sz w:val="22"/>
          <w:lang w:val="en-US"/>
        </w:rPr>
        <w:t xml:space="preserve">Valentine, K. (2010). A consideration of medicalisation: Choice, engagement and other responsibilities of parents of children with autism spectrum disorder. </w:t>
      </w:r>
      <w:r w:rsidRPr="005C50E3">
        <w:rPr>
          <w:rFonts w:eastAsia="Aptos" w:cs="Arial"/>
          <w:i/>
          <w:noProof/>
          <w:sz w:val="22"/>
          <w:lang w:val="en-US"/>
        </w:rPr>
        <w:t>Social Science &amp; Medicine</w:t>
      </w:r>
      <w:r w:rsidRPr="005C50E3">
        <w:rPr>
          <w:rFonts w:eastAsia="Aptos" w:cs="Arial"/>
          <w:noProof/>
          <w:sz w:val="22"/>
          <w:lang w:val="en-US"/>
        </w:rPr>
        <w:t>,</w:t>
      </w:r>
      <w:r w:rsidRPr="005C50E3">
        <w:rPr>
          <w:rFonts w:eastAsia="Aptos" w:cs="Arial"/>
          <w:i/>
          <w:noProof/>
          <w:sz w:val="22"/>
          <w:lang w:val="en-US"/>
        </w:rPr>
        <w:t xml:space="preserve"> 71</w:t>
      </w:r>
      <w:r w:rsidRPr="005C50E3">
        <w:rPr>
          <w:rFonts w:eastAsia="Aptos" w:cs="Arial"/>
          <w:noProof/>
          <w:sz w:val="22"/>
          <w:lang w:val="en-US"/>
        </w:rPr>
        <w:t xml:space="preserve">(5), 950-957. </w:t>
      </w:r>
      <w:hyperlink r:id="rId654" w:history="1">
        <w:r w:rsidR="00973D8C" w:rsidRPr="005C50E3">
          <w:rPr>
            <w:rStyle w:val="Hyperlink"/>
            <w:rFonts w:eastAsia="Aptos" w:cs="Arial"/>
            <w:noProof/>
            <w:sz w:val="22"/>
            <w:lang w:val="en-US"/>
          </w:rPr>
          <w:t>https://doi.org/10.1016/j.socscimed.2010.06.010</w:t>
        </w:r>
      </w:hyperlink>
      <w:r w:rsidR="00973D8C">
        <w:rPr>
          <w:rFonts w:eastAsia="Aptos" w:cs="Arial"/>
          <w:noProof/>
          <w:sz w:val="22"/>
          <w:lang w:val="en-US"/>
        </w:rPr>
        <w:t xml:space="preserve"> </w:t>
      </w:r>
      <w:r w:rsidRPr="005C50E3">
        <w:rPr>
          <w:rFonts w:eastAsia="Aptos" w:cs="Arial"/>
          <w:noProof/>
          <w:sz w:val="22"/>
          <w:lang w:val="en-US"/>
        </w:rPr>
        <w:t xml:space="preserve"> </w:t>
      </w:r>
    </w:p>
    <w:p w14:paraId="5F5CA9CA" w14:textId="77777777" w:rsidR="005C50E3" w:rsidRPr="005C50E3" w:rsidRDefault="005C50E3" w:rsidP="005C50E3">
      <w:pPr>
        <w:spacing w:before="0" w:after="0"/>
        <w:ind w:left="720" w:hanging="720"/>
        <w:rPr>
          <w:rFonts w:eastAsia="Aptos" w:cs="Arial"/>
          <w:noProof/>
          <w:sz w:val="22"/>
          <w:lang w:val="en-US"/>
        </w:rPr>
      </w:pPr>
      <w:r w:rsidRPr="005C50E3">
        <w:rPr>
          <w:rFonts w:eastAsia="Aptos" w:cs="Arial"/>
          <w:noProof/>
          <w:sz w:val="22"/>
          <w:lang w:val="en-US"/>
        </w:rPr>
        <w:tab/>
      </w:r>
    </w:p>
    <w:p w14:paraId="00EA8593" w14:textId="6C98540E" w:rsidR="005C50E3" w:rsidRDefault="005C50E3" w:rsidP="005C50E3">
      <w:pPr>
        <w:spacing w:before="0" w:after="160"/>
        <w:ind w:left="720" w:hanging="720"/>
        <w:rPr>
          <w:rFonts w:eastAsia="Aptos" w:cs="Arial"/>
          <w:noProof/>
          <w:sz w:val="22"/>
          <w:lang w:val="en-US"/>
        </w:rPr>
      </w:pPr>
      <w:r w:rsidRPr="005C50E3">
        <w:rPr>
          <w:rFonts w:eastAsia="Aptos" w:cs="Arial"/>
          <w:noProof/>
          <w:sz w:val="22"/>
          <w:lang w:val="en-US"/>
        </w:rPr>
        <w:t xml:space="preserve">Van Der Voort, A., Juffer, F., &amp; J. Bakermans-Kranenburg, M. (2014). Sensitive parenting is the foundation for secure attachment relationships and positive social-emotional development of children. </w:t>
      </w:r>
      <w:r w:rsidRPr="005C50E3">
        <w:rPr>
          <w:rFonts w:eastAsia="Aptos" w:cs="Arial"/>
          <w:i/>
          <w:noProof/>
          <w:sz w:val="22"/>
          <w:lang w:val="en-US"/>
        </w:rPr>
        <w:t>Journal of Children's Services</w:t>
      </w:r>
      <w:r w:rsidRPr="005C50E3">
        <w:rPr>
          <w:rFonts w:eastAsia="Aptos" w:cs="Arial"/>
          <w:noProof/>
          <w:sz w:val="22"/>
          <w:lang w:val="en-US"/>
        </w:rPr>
        <w:t>,</w:t>
      </w:r>
      <w:r w:rsidRPr="005C50E3">
        <w:rPr>
          <w:rFonts w:eastAsia="Aptos" w:cs="Arial"/>
          <w:i/>
          <w:noProof/>
          <w:sz w:val="22"/>
          <w:lang w:val="en-US"/>
        </w:rPr>
        <w:t xml:space="preserve"> 9</w:t>
      </w:r>
      <w:r w:rsidRPr="005C50E3">
        <w:rPr>
          <w:rFonts w:eastAsia="Aptos" w:cs="Arial"/>
          <w:noProof/>
          <w:sz w:val="22"/>
          <w:lang w:val="en-US"/>
        </w:rPr>
        <w:t xml:space="preserve">(2), 165-176. </w:t>
      </w:r>
      <w:hyperlink r:id="rId655" w:history="1">
        <w:r w:rsidR="00DF0079" w:rsidRPr="00326476">
          <w:rPr>
            <w:rStyle w:val="Hyperlink"/>
            <w:rFonts w:eastAsia="Aptos" w:cs="Arial"/>
            <w:noProof/>
            <w:sz w:val="22"/>
            <w:lang w:val="en-US"/>
          </w:rPr>
          <w:t>https://doi.org/10.1108/JCS-12-2013-0038</w:t>
        </w:r>
      </w:hyperlink>
      <w:r w:rsidRPr="005C50E3">
        <w:rPr>
          <w:rFonts w:eastAsia="Aptos" w:cs="Arial"/>
          <w:noProof/>
          <w:sz w:val="22"/>
          <w:lang w:val="en-US"/>
        </w:rPr>
        <w:t xml:space="preserve"> </w:t>
      </w:r>
    </w:p>
    <w:p w14:paraId="176A54B1" w14:textId="77777777" w:rsidR="00DF0079" w:rsidRPr="005C50E3" w:rsidRDefault="00DF0079" w:rsidP="005C50E3">
      <w:pPr>
        <w:spacing w:before="0" w:after="160"/>
        <w:ind w:left="720" w:hanging="720"/>
        <w:rPr>
          <w:rFonts w:eastAsia="Aptos" w:cs="Arial"/>
          <w:noProof/>
          <w:sz w:val="22"/>
          <w:lang w:val="en-US"/>
        </w:rPr>
      </w:pPr>
    </w:p>
    <w:p w14:paraId="1D63CCD7" w14:textId="2B16E1EF" w:rsidR="00AA2090" w:rsidRPr="00AA2090" w:rsidRDefault="00AA2090" w:rsidP="00AA2090">
      <w:pPr>
        <w:spacing w:before="0" w:after="160"/>
        <w:ind w:left="720" w:hanging="720"/>
        <w:rPr>
          <w:rFonts w:eastAsia="Aptos" w:cs="Arial"/>
          <w:noProof/>
          <w:sz w:val="22"/>
          <w:lang w:val="en-US"/>
        </w:rPr>
      </w:pPr>
      <w:r w:rsidRPr="00AA2090">
        <w:rPr>
          <w:rFonts w:eastAsia="Aptos" w:cs="Arial"/>
          <w:noProof/>
          <w:sz w:val="22"/>
          <w:lang w:val="en-US"/>
        </w:rPr>
        <w:t xml:space="preserve">Van Ijzendoorn, M. H., Schuengel, C., &amp; Bakermans–Kranenburg, M. J. (1999). Disorganized attachment in early childhood: Meta-analysis of precursors, concomitants, and sequelae. </w:t>
      </w:r>
      <w:r w:rsidRPr="00AA2090">
        <w:rPr>
          <w:rFonts w:eastAsia="Aptos" w:cs="Arial"/>
          <w:i/>
          <w:noProof/>
          <w:sz w:val="22"/>
          <w:lang w:val="en-US"/>
        </w:rPr>
        <w:t>Development and psychopathology</w:t>
      </w:r>
      <w:r w:rsidRPr="00AA2090">
        <w:rPr>
          <w:rFonts w:eastAsia="Aptos" w:cs="Arial"/>
          <w:noProof/>
          <w:sz w:val="22"/>
          <w:lang w:val="en-US"/>
        </w:rPr>
        <w:t>,</w:t>
      </w:r>
      <w:r w:rsidRPr="00AA2090">
        <w:rPr>
          <w:rFonts w:eastAsia="Aptos" w:cs="Arial"/>
          <w:i/>
          <w:noProof/>
          <w:sz w:val="22"/>
          <w:lang w:val="en-US"/>
        </w:rPr>
        <w:t xml:space="preserve"> 11</w:t>
      </w:r>
      <w:r w:rsidRPr="00AA2090">
        <w:rPr>
          <w:rFonts w:eastAsia="Aptos" w:cs="Arial"/>
          <w:noProof/>
          <w:sz w:val="22"/>
          <w:lang w:val="en-US"/>
        </w:rPr>
        <w:t xml:space="preserve">(2), 225-250. </w:t>
      </w:r>
      <w:hyperlink r:id="rId656" w:history="1">
        <w:r w:rsidR="006C2502" w:rsidRPr="00AA2090">
          <w:rPr>
            <w:rStyle w:val="Hyperlink"/>
            <w:rFonts w:eastAsia="Aptos" w:cs="Arial"/>
            <w:noProof/>
            <w:sz w:val="22"/>
            <w:lang w:val="en-US"/>
          </w:rPr>
          <w:t>https://doi.org/10.1017/S0954579499002035</w:t>
        </w:r>
      </w:hyperlink>
      <w:r w:rsidR="006C2502">
        <w:rPr>
          <w:rFonts w:eastAsia="Aptos" w:cs="Arial"/>
          <w:noProof/>
          <w:sz w:val="22"/>
          <w:lang w:val="en-US"/>
        </w:rPr>
        <w:t xml:space="preserve"> </w:t>
      </w:r>
      <w:r w:rsidRPr="00AA2090">
        <w:rPr>
          <w:rFonts w:eastAsia="Aptos" w:cs="Arial"/>
          <w:noProof/>
          <w:sz w:val="22"/>
          <w:lang w:val="en-US"/>
        </w:rPr>
        <w:t xml:space="preserve"> </w:t>
      </w:r>
      <w:r w:rsidR="006C2502">
        <w:rPr>
          <w:rFonts w:eastAsia="Aptos" w:cs="Arial"/>
          <w:noProof/>
          <w:sz w:val="22"/>
          <w:lang w:val="en-US"/>
        </w:rPr>
        <w:t xml:space="preserve"> </w:t>
      </w:r>
    </w:p>
    <w:p w14:paraId="18B625B5" w14:textId="77777777" w:rsidR="00AA2090" w:rsidRPr="00AA2090" w:rsidRDefault="00AA2090" w:rsidP="00AA2090">
      <w:pPr>
        <w:spacing w:before="0" w:after="0"/>
        <w:ind w:left="720" w:hanging="720"/>
        <w:rPr>
          <w:rFonts w:eastAsia="Aptos" w:cs="Arial"/>
          <w:noProof/>
          <w:sz w:val="22"/>
          <w:lang w:val="en-US"/>
        </w:rPr>
      </w:pPr>
      <w:r w:rsidRPr="00AA2090">
        <w:rPr>
          <w:rFonts w:eastAsia="Aptos" w:cs="Arial"/>
          <w:noProof/>
          <w:sz w:val="22"/>
          <w:lang w:val="en-US"/>
        </w:rPr>
        <w:tab/>
      </w:r>
    </w:p>
    <w:p w14:paraId="1ED13CD0" w14:textId="0E941C4F" w:rsidR="00AA2090" w:rsidRPr="00AA2090" w:rsidRDefault="00AA2090" w:rsidP="00AA2090">
      <w:pPr>
        <w:spacing w:before="0" w:after="160"/>
        <w:ind w:left="720" w:hanging="720"/>
        <w:rPr>
          <w:rFonts w:eastAsia="Aptos" w:cs="Arial"/>
          <w:noProof/>
          <w:sz w:val="22"/>
          <w:lang w:val="en-US"/>
        </w:rPr>
      </w:pPr>
      <w:r w:rsidRPr="00AA2090">
        <w:rPr>
          <w:rFonts w:eastAsia="Aptos" w:cs="Arial"/>
          <w:noProof/>
          <w:sz w:val="22"/>
          <w:lang w:val="en-US"/>
        </w:rPr>
        <w:t xml:space="preserve">Vargas-Baron, E., Small, J., Wertlieb, D., Hix-Small, H., Gómez Botero, R., Diehl, K., Vergara, P., &amp; Lynch, P. (2019). </w:t>
      </w:r>
      <w:r w:rsidRPr="00AA2090">
        <w:rPr>
          <w:rFonts w:eastAsia="Aptos" w:cs="Arial"/>
          <w:i/>
          <w:noProof/>
          <w:sz w:val="22"/>
          <w:lang w:val="en-US"/>
        </w:rPr>
        <w:t>Global survey of inclusive early childhood development and early childhood intervention programs</w:t>
      </w:r>
      <w:r w:rsidRPr="00AA2090">
        <w:rPr>
          <w:rFonts w:eastAsia="Aptos" w:cs="Arial"/>
          <w:noProof/>
          <w:sz w:val="22"/>
          <w:lang w:val="en-US"/>
        </w:rPr>
        <w:t xml:space="preserve">. Washington, DC: RISE Institute. Retrieved 6 September, 2024 from </w:t>
      </w:r>
      <w:hyperlink r:id="rId657" w:history="1">
        <w:r w:rsidR="006C2502" w:rsidRPr="00AA2090">
          <w:rPr>
            <w:rStyle w:val="Hyperlink"/>
            <w:rFonts w:eastAsia="Aptos" w:cs="Arial"/>
            <w:noProof/>
            <w:sz w:val="22"/>
            <w:lang w:val="en-US"/>
          </w:rPr>
          <w:t>http://www.gpcwd.org/uploads/2/6/0/9/26097656/global_survey_of_iecd_and_eci_programs_-_2019.pdf</w:t>
        </w:r>
      </w:hyperlink>
      <w:r w:rsidR="006C2502">
        <w:rPr>
          <w:rFonts w:eastAsia="Aptos" w:cs="Arial"/>
          <w:noProof/>
          <w:sz w:val="22"/>
          <w:lang w:val="en-US"/>
        </w:rPr>
        <w:t xml:space="preserve"> </w:t>
      </w:r>
    </w:p>
    <w:p w14:paraId="5C16C9E8" w14:textId="77777777" w:rsidR="00AA2090" w:rsidRPr="00AA2090" w:rsidRDefault="00AA2090" w:rsidP="00AA2090">
      <w:pPr>
        <w:spacing w:before="0" w:after="0"/>
        <w:ind w:left="720" w:hanging="720"/>
        <w:rPr>
          <w:rFonts w:eastAsia="Aptos" w:cs="Arial"/>
          <w:noProof/>
          <w:sz w:val="22"/>
          <w:lang w:val="en-US"/>
        </w:rPr>
      </w:pPr>
      <w:r w:rsidRPr="00AA2090">
        <w:rPr>
          <w:rFonts w:eastAsia="Aptos" w:cs="Arial"/>
          <w:noProof/>
          <w:sz w:val="22"/>
          <w:lang w:val="en-US"/>
        </w:rPr>
        <w:tab/>
      </w:r>
    </w:p>
    <w:p w14:paraId="714CBB05" w14:textId="79FF9DFE" w:rsidR="00AA2090" w:rsidRPr="00AA2090" w:rsidRDefault="00AA2090" w:rsidP="00AA2090">
      <w:pPr>
        <w:spacing w:before="0" w:after="160"/>
        <w:ind w:left="720" w:hanging="720"/>
        <w:rPr>
          <w:rFonts w:eastAsia="Aptos" w:cs="Arial"/>
          <w:noProof/>
          <w:sz w:val="22"/>
          <w:lang w:val="en-US"/>
        </w:rPr>
      </w:pPr>
      <w:r w:rsidRPr="00AA2090">
        <w:rPr>
          <w:rFonts w:eastAsia="Aptos" w:cs="Arial"/>
          <w:noProof/>
          <w:sz w:val="22"/>
          <w:lang w:val="en-US"/>
        </w:rPr>
        <w:t xml:space="preserve">Vargus-Adams, J. N., &amp; Majnemer, A. (2014). International Classification of Functioning, disability and health (ICF) as a framework for change: Revolutionizing rehabilitation. </w:t>
      </w:r>
      <w:r w:rsidRPr="00AA2090">
        <w:rPr>
          <w:rFonts w:eastAsia="Aptos" w:cs="Arial"/>
          <w:i/>
          <w:noProof/>
          <w:sz w:val="22"/>
          <w:lang w:val="en-US"/>
        </w:rPr>
        <w:t>Journal of child neurology</w:t>
      </w:r>
      <w:r w:rsidRPr="00AA2090">
        <w:rPr>
          <w:rFonts w:eastAsia="Aptos" w:cs="Arial"/>
          <w:noProof/>
          <w:sz w:val="22"/>
          <w:lang w:val="en-US"/>
        </w:rPr>
        <w:t>,</w:t>
      </w:r>
      <w:r w:rsidRPr="00AA2090">
        <w:rPr>
          <w:rFonts w:eastAsia="Aptos" w:cs="Arial"/>
          <w:i/>
          <w:noProof/>
          <w:sz w:val="22"/>
          <w:lang w:val="en-US"/>
        </w:rPr>
        <w:t xml:space="preserve"> 29</w:t>
      </w:r>
      <w:r w:rsidRPr="00AA2090">
        <w:rPr>
          <w:rFonts w:eastAsia="Aptos" w:cs="Arial"/>
          <w:noProof/>
          <w:sz w:val="22"/>
          <w:lang w:val="en-US"/>
        </w:rPr>
        <w:t xml:space="preserve">(8), 1030-1035. </w:t>
      </w:r>
      <w:hyperlink r:id="rId658" w:history="1">
        <w:r w:rsidR="006C2502" w:rsidRPr="00AA2090">
          <w:rPr>
            <w:rStyle w:val="Hyperlink"/>
            <w:rFonts w:eastAsia="Aptos" w:cs="Arial"/>
            <w:noProof/>
            <w:sz w:val="22"/>
            <w:lang w:val="en-US"/>
          </w:rPr>
          <w:t>https://doi.org/10.1177/0883073814533595</w:t>
        </w:r>
      </w:hyperlink>
      <w:r w:rsidR="006C2502">
        <w:rPr>
          <w:rFonts w:eastAsia="Aptos" w:cs="Arial"/>
          <w:noProof/>
          <w:sz w:val="22"/>
          <w:lang w:val="en-US"/>
        </w:rPr>
        <w:t xml:space="preserve"> </w:t>
      </w:r>
      <w:r w:rsidRPr="00AA2090">
        <w:rPr>
          <w:rFonts w:eastAsia="Aptos" w:cs="Arial"/>
          <w:noProof/>
          <w:sz w:val="22"/>
          <w:lang w:val="en-US"/>
        </w:rPr>
        <w:t xml:space="preserve"> </w:t>
      </w:r>
    </w:p>
    <w:p w14:paraId="27AFA4AE" w14:textId="77777777" w:rsidR="00AA2090" w:rsidRPr="00AA2090" w:rsidRDefault="00AA2090" w:rsidP="00AA2090">
      <w:pPr>
        <w:spacing w:before="0" w:after="0"/>
        <w:ind w:left="720" w:hanging="720"/>
        <w:rPr>
          <w:rFonts w:eastAsia="Aptos" w:cs="Arial"/>
          <w:noProof/>
          <w:sz w:val="22"/>
          <w:lang w:val="en-US"/>
        </w:rPr>
      </w:pPr>
      <w:r w:rsidRPr="00AA2090">
        <w:rPr>
          <w:rFonts w:eastAsia="Aptos" w:cs="Arial"/>
          <w:noProof/>
          <w:sz w:val="22"/>
          <w:lang w:val="en-US"/>
        </w:rPr>
        <w:tab/>
      </w:r>
    </w:p>
    <w:p w14:paraId="184D766A" w14:textId="30D56BF4" w:rsidR="00AA2090" w:rsidRDefault="00AA2090" w:rsidP="00AA2090">
      <w:pPr>
        <w:spacing w:before="0" w:after="160"/>
        <w:ind w:left="720" w:hanging="720"/>
        <w:rPr>
          <w:rFonts w:eastAsia="Aptos" w:cs="Arial"/>
          <w:noProof/>
          <w:sz w:val="22"/>
          <w:lang w:val="en-US"/>
        </w:rPr>
      </w:pPr>
      <w:r w:rsidRPr="00AA2090">
        <w:rPr>
          <w:rFonts w:eastAsia="Aptos" w:cs="Arial"/>
          <w:noProof/>
          <w:sz w:val="22"/>
          <w:lang w:val="en-US"/>
        </w:rPr>
        <w:t xml:space="preserve">Veritas Health Innovation. </w:t>
      </w:r>
      <w:r w:rsidRPr="00AA2090">
        <w:rPr>
          <w:rFonts w:eastAsia="Aptos" w:cs="Arial"/>
          <w:i/>
          <w:noProof/>
          <w:sz w:val="22"/>
          <w:lang w:val="en-US"/>
        </w:rPr>
        <w:t>Covidence systematic review software</w:t>
      </w:r>
      <w:r w:rsidRPr="00AA2090">
        <w:rPr>
          <w:rFonts w:eastAsia="Aptos" w:cs="Arial"/>
          <w:noProof/>
          <w:sz w:val="22"/>
          <w:lang w:val="en-US"/>
        </w:rPr>
        <w:t xml:space="preserve">. Melbourne, Australia: Veritas Health Innovation. Retrieved 6 September, 2024 from </w:t>
      </w:r>
      <w:hyperlink r:id="rId659" w:history="1">
        <w:r w:rsidR="00DF0079" w:rsidRPr="00326476">
          <w:rPr>
            <w:rStyle w:val="Hyperlink"/>
            <w:rFonts w:eastAsia="Aptos" w:cs="Arial"/>
            <w:noProof/>
            <w:sz w:val="22"/>
            <w:lang w:val="en-US"/>
          </w:rPr>
          <w:t>www.covidence.org</w:t>
        </w:r>
      </w:hyperlink>
    </w:p>
    <w:p w14:paraId="26D5B3EF" w14:textId="77777777" w:rsidR="00DF0079" w:rsidRPr="00AA2090" w:rsidRDefault="00DF0079" w:rsidP="00AA2090">
      <w:pPr>
        <w:spacing w:before="0" w:after="160"/>
        <w:ind w:left="720" w:hanging="720"/>
        <w:rPr>
          <w:rFonts w:eastAsia="Aptos" w:cs="Arial"/>
          <w:noProof/>
          <w:sz w:val="22"/>
          <w:lang w:val="en-US"/>
        </w:rPr>
      </w:pPr>
    </w:p>
    <w:p w14:paraId="00B5B751" w14:textId="7707B255" w:rsidR="009322D2" w:rsidRPr="009322D2" w:rsidRDefault="009322D2" w:rsidP="009322D2">
      <w:pPr>
        <w:spacing w:before="0" w:after="160"/>
        <w:ind w:left="720" w:hanging="720"/>
        <w:rPr>
          <w:rFonts w:eastAsia="Aptos" w:cs="Arial"/>
          <w:noProof/>
          <w:sz w:val="22"/>
          <w:lang w:val="en-US"/>
        </w:rPr>
      </w:pPr>
      <w:r w:rsidRPr="009322D2">
        <w:rPr>
          <w:rFonts w:eastAsia="Aptos" w:cs="Arial"/>
          <w:noProof/>
          <w:sz w:val="22"/>
          <w:lang w:val="en-US"/>
        </w:rPr>
        <w:t xml:space="preserve">Victorian Aboriginal Child Care Agency. (2023). </w:t>
      </w:r>
      <w:r w:rsidRPr="009322D2">
        <w:rPr>
          <w:rFonts w:eastAsia="Aptos" w:cs="Arial"/>
          <w:i/>
          <w:noProof/>
          <w:sz w:val="22"/>
          <w:lang w:val="en-US"/>
        </w:rPr>
        <w:t>The Early Years Strategy</w:t>
      </w:r>
      <w:r w:rsidRPr="009322D2">
        <w:rPr>
          <w:rFonts w:eastAsia="Aptos" w:cs="Arial"/>
          <w:noProof/>
          <w:sz w:val="22"/>
          <w:lang w:val="en-US"/>
        </w:rPr>
        <w:t xml:space="preserve">. Northcote, VIC: Victorian Aboriginal Child Care Agency. Retrieved 6 September, 2024 from </w:t>
      </w:r>
      <w:hyperlink r:id="rId660" w:history="1">
        <w:r w:rsidR="006C2502" w:rsidRPr="009322D2">
          <w:rPr>
            <w:rStyle w:val="Hyperlink"/>
            <w:rFonts w:eastAsia="Aptos" w:cs="Arial"/>
            <w:noProof/>
            <w:sz w:val="22"/>
            <w:lang w:val="en-US"/>
          </w:rPr>
          <w:t>https://www.vacca.org/content/Document/VACCA_Submission_DSS%20Early%20Years%20Strategy_Apr30_23.pdf</w:t>
        </w:r>
      </w:hyperlink>
      <w:r w:rsidR="006C2502">
        <w:rPr>
          <w:rFonts w:eastAsia="Aptos" w:cs="Arial"/>
          <w:noProof/>
          <w:sz w:val="22"/>
          <w:lang w:val="en-US"/>
        </w:rPr>
        <w:t xml:space="preserve"> </w:t>
      </w:r>
    </w:p>
    <w:p w14:paraId="564652E0" w14:textId="77777777" w:rsidR="009322D2" w:rsidRPr="009322D2" w:rsidRDefault="009322D2" w:rsidP="009322D2">
      <w:pPr>
        <w:spacing w:before="0" w:after="0"/>
        <w:ind w:left="720" w:hanging="720"/>
        <w:rPr>
          <w:rFonts w:eastAsia="Aptos" w:cs="Arial"/>
          <w:noProof/>
          <w:sz w:val="22"/>
          <w:lang w:val="en-US"/>
        </w:rPr>
      </w:pPr>
      <w:r w:rsidRPr="009322D2">
        <w:rPr>
          <w:rFonts w:eastAsia="Aptos" w:cs="Arial"/>
          <w:noProof/>
          <w:sz w:val="22"/>
          <w:lang w:val="en-US"/>
        </w:rPr>
        <w:tab/>
      </w:r>
    </w:p>
    <w:p w14:paraId="62E63AE8" w14:textId="664E7902" w:rsidR="009322D2" w:rsidRPr="009322D2" w:rsidRDefault="009322D2" w:rsidP="009322D2">
      <w:pPr>
        <w:spacing w:before="0" w:after="160"/>
        <w:ind w:left="720" w:hanging="720"/>
        <w:rPr>
          <w:rFonts w:eastAsia="Aptos" w:cs="Arial"/>
          <w:noProof/>
          <w:sz w:val="22"/>
          <w:lang w:val="en-US"/>
        </w:rPr>
      </w:pPr>
      <w:r w:rsidRPr="009322D2">
        <w:rPr>
          <w:rFonts w:eastAsia="Aptos" w:cs="Arial"/>
          <w:noProof/>
          <w:sz w:val="22"/>
          <w:lang w:val="en-US"/>
        </w:rPr>
        <w:t xml:space="preserve">Viding, E., &amp; McCrory, E. (2022). </w:t>
      </w:r>
      <w:r w:rsidRPr="009322D2">
        <w:rPr>
          <w:rFonts w:eastAsia="Aptos" w:cs="Arial"/>
          <w:i/>
          <w:noProof/>
          <w:sz w:val="22"/>
          <w:lang w:val="en-US"/>
        </w:rPr>
        <w:t>Individuals as active co-creators of their environments: implications for prevention of inequalities:  IFS Deaton Review of Inequalities</w:t>
      </w:r>
      <w:r w:rsidRPr="009322D2">
        <w:rPr>
          <w:rFonts w:eastAsia="Aptos" w:cs="Arial"/>
          <w:noProof/>
          <w:sz w:val="22"/>
          <w:lang w:val="en-US"/>
        </w:rPr>
        <w:t xml:space="preserve">. London, UK: Institute of Fiscal Studies. Retrieved 6 September, 2024 from </w:t>
      </w:r>
      <w:hyperlink r:id="rId661" w:history="1">
        <w:r w:rsidR="006C2502" w:rsidRPr="009322D2">
          <w:rPr>
            <w:rStyle w:val="Hyperlink"/>
            <w:rFonts w:eastAsia="Aptos" w:cs="Arial"/>
            <w:noProof/>
            <w:sz w:val="22"/>
            <w:lang w:val="en-US"/>
          </w:rPr>
          <w:t>https://ifs.org.uk/inequality/individuals-as-active-co-creators-of-their-environments-implications-for-prevention-of-inequalities</w:t>
        </w:r>
      </w:hyperlink>
      <w:r w:rsidR="006C2502">
        <w:rPr>
          <w:rFonts w:eastAsia="Aptos" w:cs="Arial"/>
          <w:noProof/>
          <w:sz w:val="22"/>
          <w:lang w:val="en-US"/>
        </w:rPr>
        <w:t xml:space="preserve"> </w:t>
      </w:r>
    </w:p>
    <w:p w14:paraId="356ED24A" w14:textId="77777777" w:rsidR="009322D2" w:rsidRPr="009322D2" w:rsidRDefault="009322D2" w:rsidP="009322D2">
      <w:pPr>
        <w:spacing w:before="0" w:after="0"/>
        <w:ind w:left="720" w:hanging="720"/>
        <w:rPr>
          <w:rFonts w:eastAsia="Aptos" w:cs="Arial"/>
          <w:noProof/>
          <w:sz w:val="22"/>
          <w:lang w:val="en-US"/>
        </w:rPr>
      </w:pPr>
      <w:r w:rsidRPr="009322D2">
        <w:rPr>
          <w:rFonts w:eastAsia="Aptos" w:cs="Arial"/>
          <w:noProof/>
          <w:sz w:val="22"/>
          <w:lang w:val="en-US"/>
        </w:rPr>
        <w:tab/>
      </w:r>
    </w:p>
    <w:p w14:paraId="77862BF5" w14:textId="1E0A961C" w:rsidR="009322D2" w:rsidRPr="009322D2" w:rsidRDefault="009322D2" w:rsidP="009322D2">
      <w:pPr>
        <w:spacing w:before="0" w:after="160"/>
        <w:ind w:left="720" w:hanging="720"/>
        <w:rPr>
          <w:rFonts w:eastAsia="Aptos" w:cs="Arial"/>
          <w:noProof/>
          <w:sz w:val="22"/>
          <w:lang w:val="en-US"/>
        </w:rPr>
      </w:pPr>
      <w:r w:rsidRPr="009322D2">
        <w:rPr>
          <w:rFonts w:eastAsia="Aptos" w:cs="Arial"/>
          <w:noProof/>
          <w:sz w:val="22"/>
          <w:lang w:val="en-US"/>
        </w:rPr>
        <w:t xml:space="preserve">Vinson, T., Rawsthorne, M., &amp; Cooper, B. A. (2007). </w:t>
      </w:r>
      <w:r w:rsidRPr="009322D2">
        <w:rPr>
          <w:rFonts w:eastAsia="Aptos" w:cs="Arial"/>
          <w:i/>
          <w:noProof/>
          <w:sz w:val="22"/>
          <w:lang w:val="en-US"/>
        </w:rPr>
        <w:t>Dropping off the edge: The distribution of disadvantage in Australia</w:t>
      </w:r>
      <w:r w:rsidRPr="009322D2">
        <w:rPr>
          <w:rFonts w:eastAsia="Aptos" w:cs="Arial"/>
          <w:noProof/>
          <w:sz w:val="22"/>
          <w:lang w:val="en-US"/>
        </w:rPr>
        <w:t xml:space="preserve">. Richmond, VIC: Jesuit Social Services and Catholic Social Services Australia. Retrieved 6 September, 2024 from </w:t>
      </w:r>
      <w:hyperlink r:id="rId662" w:history="1">
        <w:r w:rsidR="006C2502" w:rsidRPr="009322D2">
          <w:rPr>
            <w:rStyle w:val="Hyperlink"/>
            <w:rFonts w:eastAsia="Aptos" w:cs="Arial"/>
            <w:noProof/>
            <w:sz w:val="22"/>
            <w:lang w:val="en-US"/>
          </w:rPr>
          <w:t>http://www.australiandisadvantage.org.au/</w:t>
        </w:r>
      </w:hyperlink>
      <w:r w:rsidR="006C2502">
        <w:rPr>
          <w:rFonts w:eastAsia="Aptos" w:cs="Arial"/>
          <w:noProof/>
          <w:sz w:val="22"/>
          <w:lang w:val="en-US"/>
        </w:rPr>
        <w:t xml:space="preserve"> </w:t>
      </w:r>
    </w:p>
    <w:p w14:paraId="7151565A" w14:textId="77777777" w:rsidR="009322D2" w:rsidRPr="009322D2" w:rsidRDefault="009322D2" w:rsidP="009322D2">
      <w:pPr>
        <w:spacing w:before="0" w:after="0"/>
        <w:ind w:left="720" w:hanging="720"/>
        <w:rPr>
          <w:rFonts w:eastAsia="Aptos" w:cs="Arial"/>
          <w:noProof/>
          <w:sz w:val="22"/>
          <w:lang w:val="en-US"/>
        </w:rPr>
      </w:pPr>
      <w:r w:rsidRPr="009322D2">
        <w:rPr>
          <w:rFonts w:eastAsia="Aptos" w:cs="Arial"/>
          <w:noProof/>
          <w:sz w:val="22"/>
          <w:lang w:val="en-US"/>
        </w:rPr>
        <w:tab/>
      </w:r>
    </w:p>
    <w:p w14:paraId="586AC0BE" w14:textId="77777777" w:rsidR="009322D2" w:rsidRPr="009322D2" w:rsidRDefault="009322D2" w:rsidP="009322D2">
      <w:pPr>
        <w:spacing w:before="0" w:after="160"/>
        <w:ind w:left="720" w:hanging="720"/>
        <w:rPr>
          <w:rFonts w:eastAsia="Aptos" w:cs="Arial"/>
          <w:noProof/>
          <w:sz w:val="22"/>
          <w:lang w:val="en-US"/>
        </w:rPr>
      </w:pPr>
      <w:r w:rsidRPr="006C2502">
        <w:rPr>
          <w:rFonts w:eastAsia="Aptos" w:cs="Arial"/>
          <w:noProof/>
          <w:sz w:val="22"/>
          <w:lang w:val="it-IT"/>
        </w:rPr>
        <w:t xml:space="preserve">Vismara, L. A., &amp; Rogers, S. J. (2018). </w:t>
      </w:r>
      <w:r w:rsidRPr="009322D2">
        <w:rPr>
          <w:rFonts w:eastAsia="Aptos" w:cs="Arial"/>
          <w:noProof/>
          <w:sz w:val="22"/>
          <w:lang w:val="en-US"/>
        </w:rPr>
        <w:t xml:space="preserve">Coaching parents of young children with autism. In M. Siller &amp; L. L. Morgan (Eds.), </w:t>
      </w:r>
      <w:r w:rsidRPr="009322D2">
        <w:rPr>
          <w:rFonts w:eastAsia="Aptos" w:cs="Arial"/>
          <w:i/>
          <w:noProof/>
          <w:sz w:val="22"/>
          <w:lang w:val="en-US"/>
        </w:rPr>
        <w:t>Handbook of parent-implemented interventions for very young children with autism</w:t>
      </w:r>
      <w:r w:rsidRPr="009322D2">
        <w:rPr>
          <w:rFonts w:eastAsia="Aptos" w:cs="Arial"/>
          <w:noProof/>
          <w:sz w:val="22"/>
          <w:lang w:val="en-US"/>
        </w:rPr>
        <w:t xml:space="preserve"> (pp. 191-208). Springer International. </w:t>
      </w:r>
    </w:p>
    <w:p w14:paraId="12711138" w14:textId="77777777" w:rsidR="009322D2" w:rsidRPr="009322D2" w:rsidRDefault="009322D2" w:rsidP="009322D2">
      <w:pPr>
        <w:spacing w:before="0" w:after="0"/>
        <w:ind w:left="720" w:hanging="720"/>
        <w:rPr>
          <w:rFonts w:eastAsia="Aptos" w:cs="Arial"/>
          <w:noProof/>
          <w:sz w:val="22"/>
          <w:lang w:val="en-US"/>
        </w:rPr>
      </w:pPr>
      <w:r w:rsidRPr="009322D2">
        <w:rPr>
          <w:rFonts w:eastAsia="Aptos" w:cs="Arial"/>
          <w:noProof/>
          <w:sz w:val="22"/>
          <w:lang w:val="en-US"/>
        </w:rPr>
        <w:tab/>
      </w:r>
    </w:p>
    <w:p w14:paraId="16AE3CCE" w14:textId="6B9A68B3" w:rsidR="009322D2" w:rsidRPr="009322D2" w:rsidRDefault="009322D2" w:rsidP="009322D2">
      <w:pPr>
        <w:spacing w:before="0" w:after="160"/>
        <w:ind w:left="720" w:hanging="720"/>
        <w:rPr>
          <w:rFonts w:eastAsia="Aptos" w:cs="Arial"/>
          <w:noProof/>
          <w:sz w:val="22"/>
          <w:lang w:val="en-US"/>
        </w:rPr>
      </w:pPr>
      <w:r w:rsidRPr="009322D2">
        <w:rPr>
          <w:rFonts w:eastAsia="Aptos" w:cs="Arial"/>
          <w:noProof/>
          <w:sz w:val="22"/>
          <w:lang w:val="en-US"/>
        </w:rPr>
        <w:t xml:space="preserve">Walker, N. (2014). </w:t>
      </w:r>
      <w:r w:rsidRPr="009322D2">
        <w:rPr>
          <w:rFonts w:eastAsia="Aptos" w:cs="Arial"/>
          <w:i/>
          <w:noProof/>
          <w:sz w:val="22"/>
          <w:lang w:val="en-US"/>
        </w:rPr>
        <w:t>Neurodiversity: Some basic terms &amp; definitions</w:t>
      </w:r>
      <w:r w:rsidRPr="009322D2">
        <w:rPr>
          <w:rFonts w:eastAsia="Aptos" w:cs="Arial"/>
          <w:noProof/>
          <w:sz w:val="22"/>
          <w:lang w:val="en-US"/>
        </w:rPr>
        <w:t xml:space="preserve">. Autistic UK. Retrieved 6 September, 2024 from </w:t>
      </w:r>
      <w:hyperlink r:id="rId663" w:history="1">
        <w:r w:rsidR="006C2502" w:rsidRPr="009322D2">
          <w:rPr>
            <w:rStyle w:val="Hyperlink"/>
            <w:rFonts w:eastAsia="Aptos" w:cs="Arial"/>
            <w:noProof/>
            <w:sz w:val="22"/>
            <w:lang w:val="en-US"/>
          </w:rPr>
          <w:t>https://static1.squarespace.com/static/618309342c2ee8376ef9f36e/t/6387e9ca81597b3880147ba0/1669851598123/NickWalker_NEURODIVERSITY-SOME-BASIC-TERMS-AND-DEFINITIONS.pdf</w:t>
        </w:r>
      </w:hyperlink>
      <w:r w:rsidR="006C2502">
        <w:rPr>
          <w:rFonts w:eastAsia="Aptos" w:cs="Arial"/>
          <w:noProof/>
          <w:sz w:val="22"/>
          <w:lang w:val="en-US"/>
        </w:rPr>
        <w:t xml:space="preserve"> </w:t>
      </w:r>
    </w:p>
    <w:p w14:paraId="724D1A3D" w14:textId="2CB15218" w:rsidR="00A14905" w:rsidRPr="00A14905" w:rsidRDefault="00A14905" w:rsidP="00A14905">
      <w:pPr>
        <w:spacing w:before="0" w:after="160"/>
        <w:ind w:left="720" w:hanging="720"/>
        <w:rPr>
          <w:rFonts w:eastAsia="Aptos" w:cs="Arial"/>
          <w:noProof/>
          <w:sz w:val="22"/>
          <w:lang w:val="en-US"/>
        </w:rPr>
      </w:pPr>
      <w:r w:rsidRPr="00A14905">
        <w:rPr>
          <w:rFonts w:eastAsia="Aptos" w:cs="Arial"/>
          <w:noProof/>
          <w:sz w:val="22"/>
          <w:lang w:val="en-US"/>
        </w:rPr>
        <w:t xml:space="preserve">Wall, L., Higgins, D. J., &amp; Hunter, C. (2016). </w:t>
      </w:r>
      <w:r w:rsidRPr="00A14905">
        <w:rPr>
          <w:rFonts w:eastAsia="Aptos" w:cs="Arial"/>
          <w:i/>
          <w:noProof/>
          <w:sz w:val="22"/>
          <w:lang w:val="en-US"/>
        </w:rPr>
        <w:t>Trauma-informed care in child/family welfare services</w:t>
      </w:r>
      <w:r w:rsidRPr="00A14905">
        <w:rPr>
          <w:rFonts w:eastAsia="Aptos" w:cs="Arial"/>
          <w:noProof/>
          <w:sz w:val="22"/>
          <w:lang w:val="en-US"/>
        </w:rPr>
        <w:t xml:space="preserve">. Melbourne, VIC: Australian Institute of Family Studies. Retrieved 6 September, 2024 from </w:t>
      </w:r>
      <w:hyperlink r:id="rId664" w:history="1">
        <w:r w:rsidR="00035495" w:rsidRPr="00326476">
          <w:rPr>
            <w:rStyle w:val="Hyperlink"/>
            <w:rFonts w:eastAsia="Aptos" w:cs="Arial"/>
            <w:noProof/>
            <w:sz w:val="22"/>
            <w:lang w:val="en-US"/>
          </w:rPr>
          <w:t>https://aifs.gov.au/cfca/publications/trauma-informed-care-child-family-welfare-services</w:t>
        </w:r>
      </w:hyperlink>
      <w:r w:rsidR="00035495">
        <w:rPr>
          <w:rFonts w:eastAsia="Aptos" w:cs="Arial"/>
          <w:noProof/>
          <w:sz w:val="22"/>
          <w:lang w:val="en-US"/>
        </w:rPr>
        <w:t xml:space="preserve"> </w:t>
      </w:r>
    </w:p>
    <w:p w14:paraId="12F48894" w14:textId="77777777" w:rsidR="00A14905" w:rsidRPr="00A14905" w:rsidRDefault="00A14905" w:rsidP="00A14905">
      <w:pPr>
        <w:spacing w:before="0" w:after="0"/>
        <w:ind w:left="720" w:hanging="720"/>
        <w:rPr>
          <w:rFonts w:eastAsia="Aptos" w:cs="Arial"/>
          <w:noProof/>
          <w:sz w:val="22"/>
          <w:lang w:val="en-US"/>
        </w:rPr>
      </w:pPr>
      <w:r w:rsidRPr="00A14905">
        <w:rPr>
          <w:rFonts w:eastAsia="Aptos" w:cs="Arial"/>
          <w:noProof/>
          <w:sz w:val="22"/>
          <w:lang w:val="en-US"/>
        </w:rPr>
        <w:tab/>
      </w:r>
    </w:p>
    <w:p w14:paraId="4A285754" w14:textId="77777777" w:rsidR="00A14905" w:rsidRPr="00A14905" w:rsidRDefault="00A14905" w:rsidP="00A14905">
      <w:pPr>
        <w:spacing w:before="0" w:after="160"/>
        <w:ind w:left="720" w:hanging="720"/>
        <w:rPr>
          <w:rFonts w:eastAsia="Aptos" w:cs="Arial"/>
          <w:noProof/>
          <w:sz w:val="22"/>
          <w:lang w:val="en-US"/>
        </w:rPr>
      </w:pPr>
      <w:r w:rsidRPr="00A14905">
        <w:rPr>
          <w:rFonts w:eastAsia="Aptos" w:cs="Arial"/>
          <w:noProof/>
          <w:sz w:val="22"/>
          <w:lang w:val="en-US"/>
        </w:rPr>
        <w:t xml:space="preserve">Walsh, F. (2012). </w:t>
      </w:r>
      <w:r w:rsidRPr="00A14905">
        <w:rPr>
          <w:rFonts w:eastAsia="Aptos" w:cs="Arial"/>
          <w:i/>
          <w:noProof/>
          <w:sz w:val="22"/>
          <w:lang w:val="en-US"/>
        </w:rPr>
        <w:t>Normal family processes: Growing diversity and complexity</w:t>
      </w:r>
      <w:r w:rsidRPr="00A14905">
        <w:rPr>
          <w:rFonts w:eastAsia="Aptos" w:cs="Arial"/>
          <w:noProof/>
          <w:sz w:val="22"/>
          <w:lang w:val="en-US"/>
        </w:rPr>
        <w:t xml:space="preserve"> (4th ed.). New York: Guilford Press. </w:t>
      </w:r>
    </w:p>
    <w:p w14:paraId="08AB08E3" w14:textId="77777777" w:rsidR="00A14905" w:rsidRPr="00A14905" w:rsidRDefault="00A14905" w:rsidP="00A14905">
      <w:pPr>
        <w:spacing w:before="0" w:after="0"/>
        <w:ind w:left="720" w:hanging="720"/>
        <w:rPr>
          <w:rFonts w:eastAsia="Aptos" w:cs="Arial"/>
          <w:noProof/>
          <w:sz w:val="22"/>
          <w:lang w:val="en-US"/>
        </w:rPr>
      </w:pPr>
      <w:r w:rsidRPr="00A14905">
        <w:rPr>
          <w:rFonts w:eastAsia="Aptos" w:cs="Arial"/>
          <w:noProof/>
          <w:sz w:val="22"/>
          <w:lang w:val="en-US"/>
        </w:rPr>
        <w:tab/>
      </w:r>
    </w:p>
    <w:p w14:paraId="24809800" w14:textId="6DB1F79B" w:rsidR="00A14905" w:rsidRPr="00A14905" w:rsidRDefault="00A14905" w:rsidP="00A14905">
      <w:pPr>
        <w:spacing w:before="0" w:after="160"/>
        <w:ind w:left="720" w:hanging="720"/>
        <w:rPr>
          <w:rFonts w:eastAsia="Aptos" w:cs="Arial"/>
          <w:noProof/>
          <w:sz w:val="22"/>
          <w:lang w:val="en-US"/>
        </w:rPr>
      </w:pPr>
      <w:r w:rsidRPr="00A14905">
        <w:rPr>
          <w:rFonts w:eastAsia="Aptos" w:cs="Arial"/>
          <w:noProof/>
          <w:sz w:val="22"/>
          <w:lang w:val="en-US"/>
        </w:rPr>
        <w:t xml:space="preserve">Wang, Z., Loh, S. C., Tian, J., &amp; Chen, Q. J. (2021). A meta-analysis of the effect of the Early Start Denver Model in children with autism spectrum disorder. </w:t>
      </w:r>
      <w:r w:rsidRPr="00A14905">
        <w:rPr>
          <w:rFonts w:eastAsia="Aptos" w:cs="Arial"/>
          <w:i/>
          <w:noProof/>
          <w:sz w:val="22"/>
          <w:lang w:val="en-US"/>
        </w:rPr>
        <w:t>International Journal of Developmental Disabilities</w:t>
      </w:r>
      <w:r w:rsidRPr="00A14905">
        <w:rPr>
          <w:rFonts w:eastAsia="Aptos" w:cs="Arial"/>
          <w:noProof/>
          <w:sz w:val="22"/>
          <w:lang w:val="en-US"/>
        </w:rPr>
        <w:t>,</w:t>
      </w:r>
      <w:r w:rsidRPr="00A14905">
        <w:rPr>
          <w:rFonts w:eastAsia="Aptos" w:cs="Arial"/>
          <w:i/>
          <w:noProof/>
          <w:sz w:val="22"/>
          <w:lang w:val="en-US"/>
        </w:rPr>
        <w:t xml:space="preserve"> 68</w:t>
      </w:r>
      <w:r w:rsidRPr="00A14905">
        <w:rPr>
          <w:rFonts w:eastAsia="Aptos" w:cs="Arial"/>
          <w:noProof/>
          <w:sz w:val="22"/>
          <w:lang w:val="en-US"/>
        </w:rPr>
        <w:t xml:space="preserve">(5), 587-597. </w:t>
      </w:r>
      <w:hyperlink r:id="rId665" w:history="1">
        <w:r w:rsidR="006C2502" w:rsidRPr="00A14905">
          <w:rPr>
            <w:rStyle w:val="Hyperlink"/>
            <w:rFonts w:eastAsia="Aptos" w:cs="Arial"/>
            <w:noProof/>
            <w:sz w:val="22"/>
            <w:lang w:val="en-US"/>
          </w:rPr>
          <w:t>https://doi.org/10.1080/20473869.2020.1870419</w:t>
        </w:r>
      </w:hyperlink>
      <w:r w:rsidR="006C2502">
        <w:rPr>
          <w:rFonts w:eastAsia="Aptos" w:cs="Arial"/>
          <w:noProof/>
          <w:sz w:val="22"/>
          <w:lang w:val="en-US"/>
        </w:rPr>
        <w:t xml:space="preserve"> </w:t>
      </w:r>
      <w:r w:rsidRPr="00A14905">
        <w:rPr>
          <w:rFonts w:eastAsia="Aptos" w:cs="Arial"/>
          <w:noProof/>
          <w:sz w:val="22"/>
          <w:lang w:val="en-US"/>
        </w:rPr>
        <w:t xml:space="preserve"> </w:t>
      </w:r>
    </w:p>
    <w:p w14:paraId="7453FFEE" w14:textId="77777777" w:rsidR="00A14905" w:rsidRPr="00A14905" w:rsidRDefault="00A14905" w:rsidP="00A14905">
      <w:pPr>
        <w:spacing w:before="0" w:after="0"/>
        <w:ind w:left="720" w:hanging="720"/>
        <w:rPr>
          <w:rFonts w:eastAsia="Aptos" w:cs="Arial"/>
          <w:noProof/>
          <w:sz w:val="22"/>
          <w:lang w:val="en-US"/>
        </w:rPr>
      </w:pPr>
      <w:r w:rsidRPr="00A14905">
        <w:rPr>
          <w:rFonts w:eastAsia="Aptos" w:cs="Arial"/>
          <w:noProof/>
          <w:sz w:val="22"/>
          <w:lang w:val="en-US"/>
        </w:rPr>
        <w:tab/>
      </w:r>
    </w:p>
    <w:p w14:paraId="558E35AF" w14:textId="4BA1433C" w:rsidR="00A14905" w:rsidRPr="00A14905" w:rsidRDefault="00A14905" w:rsidP="00A14905">
      <w:pPr>
        <w:spacing w:before="0" w:after="160"/>
        <w:ind w:left="720" w:hanging="720"/>
        <w:rPr>
          <w:rFonts w:eastAsia="Aptos" w:cs="Arial"/>
          <w:noProof/>
          <w:sz w:val="22"/>
          <w:lang w:val="en-US"/>
        </w:rPr>
      </w:pPr>
      <w:r w:rsidRPr="00A14905">
        <w:rPr>
          <w:rFonts w:eastAsia="Aptos" w:cs="Arial"/>
          <w:noProof/>
          <w:sz w:val="22"/>
          <w:lang w:val="en-US"/>
        </w:rPr>
        <w:t xml:space="preserve">Wayland, S., &amp; Hindmarsh, G. (2017). </w:t>
      </w:r>
      <w:r w:rsidRPr="00A14905">
        <w:rPr>
          <w:rFonts w:eastAsia="Aptos" w:cs="Arial"/>
          <w:i/>
          <w:noProof/>
          <w:sz w:val="22"/>
          <w:lang w:val="en-US"/>
        </w:rPr>
        <w:t>Understanding safeguarding practices for children with disability when engaging with organisations</w:t>
      </w:r>
      <w:r w:rsidRPr="00A14905">
        <w:rPr>
          <w:rFonts w:eastAsia="Aptos" w:cs="Arial"/>
          <w:noProof/>
          <w:sz w:val="22"/>
          <w:lang w:val="en-US"/>
        </w:rPr>
        <w:t xml:space="preserve">. Melbourne, VIC: Australian Institute of Family Studies. Retrieved 6 September, 2024 from </w:t>
      </w:r>
      <w:hyperlink r:id="rId666" w:history="1">
        <w:r w:rsidR="006C2502" w:rsidRPr="00A14905">
          <w:rPr>
            <w:rStyle w:val="Hyperlink"/>
            <w:rFonts w:eastAsia="Aptos" w:cs="Arial"/>
            <w:noProof/>
            <w:sz w:val="22"/>
            <w:lang w:val="en-US"/>
          </w:rPr>
          <w:t>https://aifs.gov.au/cfca/publications/understanding-safeguarding-practices-children-disability-when-engaging</w:t>
        </w:r>
      </w:hyperlink>
      <w:r w:rsidR="006C2502">
        <w:rPr>
          <w:rFonts w:eastAsia="Aptos" w:cs="Arial"/>
          <w:noProof/>
          <w:sz w:val="22"/>
          <w:lang w:val="en-US"/>
        </w:rPr>
        <w:t xml:space="preserve"> </w:t>
      </w:r>
    </w:p>
    <w:p w14:paraId="41FFE879" w14:textId="77777777" w:rsidR="00837CC0" w:rsidRPr="00837CC0" w:rsidRDefault="00837CC0" w:rsidP="00837CC0">
      <w:pPr>
        <w:spacing w:before="0" w:after="160"/>
        <w:ind w:left="720" w:hanging="720"/>
        <w:rPr>
          <w:rFonts w:eastAsia="Aptos" w:cs="Arial"/>
          <w:noProof/>
          <w:sz w:val="22"/>
          <w:lang w:val="en-US"/>
        </w:rPr>
      </w:pPr>
      <w:r w:rsidRPr="00837CC0">
        <w:rPr>
          <w:rFonts w:eastAsia="Aptos" w:cs="Arial"/>
          <w:noProof/>
          <w:sz w:val="22"/>
          <w:lang w:val="en-US"/>
        </w:rPr>
        <w:t xml:space="preserve">Webster, A., &amp; Forster, J. (2012). </w:t>
      </w:r>
      <w:r w:rsidRPr="00837CC0">
        <w:rPr>
          <w:rFonts w:eastAsia="Aptos" w:cs="Arial"/>
          <w:i/>
          <w:noProof/>
          <w:sz w:val="22"/>
          <w:lang w:val="en-US"/>
        </w:rPr>
        <w:t>Participating and belonging: Inclusion in practice: Inclusion resources for early childhood educators and consultants</w:t>
      </w:r>
      <w:r w:rsidRPr="00837CC0">
        <w:rPr>
          <w:rFonts w:eastAsia="Aptos" w:cs="Arial"/>
          <w:noProof/>
          <w:sz w:val="22"/>
          <w:lang w:val="en-US"/>
        </w:rPr>
        <w:t xml:space="preserve">. Malvern, VIC: Noah’s Ark Inc. </w:t>
      </w:r>
    </w:p>
    <w:p w14:paraId="11864BD1" w14:textId="77777777" w:rsidR="00837CC0" w:rsidRPr="00837CC0" w:rsidRDefault="00837CC0" w:rsidP="00837CC0">
      <w:pPr>
        <w:spacing w:before="0" w:after="0"/>
        <w:ind w:left="720" w:hanging="720"/>
        <w:rPr>
          <w:rFonts w:eastAsia="Aptos" w:cs="Arial"/>
          <w:noProof/>
          <w:sz w:val="22"/>
          <w:lang w:val="en-US"/>
        </w:rPr>
      </w:pPr>
      <w:r w:rsidRPr="00837CC0">
        <w:rPr>
          <w:rFonts w:eastAsia="Aptos" w:cs="Arial"/>
          <w:noProof/>
          <w:sz w:val="22"/>
          <w:lang w:val="en-US"/>
        </w:rPr>
        <w:tab/>
      </w:r>
    </w:p>
    <w:p w14:paraId="68174CF1" w14:textId="2E9898C2" w:rsidR="00837CC0" w:rsidRPr="00837CC0" w:rsidRDefault="00837CC0" w:rsidP="00837CC0">
      <w:pPr>
        <w:spacing w:before="0" w:after="160"/>
        <w:ind w:left="720" w:hanging="720"/>
        <w:rPr>
          <w:rFonts w:eastAsia="Aptos" w:cs="Arial"/>
          <w:noProof/>
          <w:sz w:val="22"/>
          <w:lang w:val="en-US"/>
        </w:rPr>
      </w:pPr>
      <w:r w:rsidRPr="00837CC0">
        <w:rPr>
          <w:rFonts w:eastAsia="Aptos" w:cs="Arial"/>
          <w:noProof/>
          <w:sz w:val="22"/>
          <w:lang w:val="en-US"/>
        </w:rPr>
        <w:t xml:space="preserve">Webster, S. J. (2022). </w:t>
      </w:r>
      <w:r w:rsidRPr="00837CC0">
        <w:rPr>
          <w:rFonts w:eastAsia="Aptos" w:cs="Arial"/>
          <w:i/>
          <w:noProof/>
          <w:sz w:val="22"/>
          <w:lang w:val="en-US"/>
        </w:rPr>
        <w:t>Early childhood inclusion in Victoria, Australia: Investigating parent and professional perspectives of practice, professional learning, and program policy. Thesis.</w:t>
      </w:r>
      <w:r w:rsidRPr="00837CC0">
        <w:rPr>
          <w:rFonts w:eastAsia="Aptos" w:cs="Arial"/>
          <w:noProof/>
          <w:sz w:val="22"/>
          <w:lang w:val="en-US"/>
        </w:rPr>
        <w:t xml:space="preserve"> RMIT University. Retrieved 6 September, 2024 from </w:t>
      </w:r>
      <w:hyperlink r:id="rId667" w:history="1">
        <w:r w:rsidR="006C2502" w:rsidRPr="00837CC0">
          <w:rPr>
            <w:rStyle w:val="Hyperlink"/>
            <w:rFonts w:eastAsia="Aptos" w:cs="Arial"/>
            <w:noProof/>
            <w:sz w:val="22"/>
            <w:lang w:val="en-US"/>
          </w:rPr>
          <w:t>https://researchrepository.rmit.edu.au/esploro/outputs/doctoral/Early-childhood-inclusion-in-Victoria-Australia/9922193311401341</w:t>
        </w:r>
      </w:hyperlink>
      <w:r w:rsidR="006C2502">
        <w:rPr>
          <w:rFonts w:eastAsia="Aptos" w:cs="Arial"/>
          <w:noProof/>
          <w:sz w:val="22"/>
          <w:lang w:val="en-US"/>
        </w:rPr>
        <w:t xml:space="preserve"> </w:t>
      </w:r>
    </w:p>
    <w:p w14:paraId="60EFA658" w14:textId="77777777" w:rsidR="00837CC0" w:rsidRPr="00837CC0" w:rsidRDefault="00837CC0" w:rsidP="00837CC0">
      <w:pPr>
        <w:spacing w:before="0" w:after="0"/>
        <w:ind w:left="720" w:hanging="720"/>
        <w:rPr>
          <w:rFonts w:eastAsia="Aptos" w:cs="Arial"/>
          <w:noProof/>
          <w:sz w:val="22"/>
          <w:lang w:val="en-US"/>
        </w:rPr>
      </w:pPr>
      <w:r w:rsidRPr="00837CC0">
        <w:rPr>
          <w:rFonts w:eastAsia="Aptos" w:cs="Arial"/>
          <w:noProof/>
          <w:sz w:val="22"/>
          <w:lang w:val="en-US"/>
        </w:rPr>
        <w:tab/>
      </w:r>
    </w:p>
    <w:p w14:paraId="64CD7447" w14:textId="77777777" w:rsidR="00837CC0" w:rsidRPr="00837CC0" w:rsidRDefault="00837CC0" w:rsidP="00837CC0">
      <w:pPr>
        <w:spacing w:before="0" w:after="160"/>
        <w:ind w:left="720" w:hanging="720"/>
        <w:rPr>
          <w:rFonts w:eastAsia="Aptos" w:cs="Arial"/>
          <w:noProof/>
          <w:sz w:val="22"/>
          <w:lang w:val="en-US"/>
        </w:rPr>
      </w:pPr>
      <w:r w:rsidRPr="00837CC0">
        <w:rPr>
          <w:rFonts w:eastAsia="Aptos" w:cs="Arial"/>
          <w:noProof/>
          <w:sz w:val="22"/>
          <w:lang w:val="en-US"/>
        </w:rPr>
        <w:t xml:space="preserve">Wells, K. (2021). </w:t>
      </w:r>
      <w:r w:rsidRPr="00837CC0">
        <w:rPr>
          <w:rFonts w:eastAsia="Aptos" w:cs="Arial"/>
          <w:i/>
          <w:noProof/>
          <w:sz w:val="22"/>
          <w:lang w:val="en-US"/>
        </w:rPr>
        <w:t>Childhood in a global perspective</w:t>
      </w:r>
      <w:r w:rsidRPr="00837CC0">
        <w:rPr>
          <w:rFonts w:eastAsia="Aptos" w:cs="Arial"/>
          <w:noProof/>
          <w:sz w:val="22"/>
          <w:lang w:val="en-US"/>
        </w:rPr>
        <w:t xml:space="preserve"> (3rd ed.). Oxford, UK: Polity. </w:t>
      </w:r>
    </w:p>
    <w:p w14:paraId="38F2C0BA" w14:textId="77777777" w:rsidR="00837CC0" w:rsidRPr="00837CC0" w:rsidRDefault="00837CC0" w:rsidP="00837CC0">
      <w:pPr>
        <w:spacing w:before="0" w:after="0"/>
        <w:ind w:left="720" w:hanging="720"/>
        <w:rPr>
          <w:rFonts w:eastAsia="Aptos" w:cs="Arial"/>
          <w:noProof/>
          <w:sz w:val="22"/>
          <w:lang w:val="en-US"/>
        </w:rPr>
      </w:pPr>
      <w:r w:rsidRPr="00837CC0">
        <w:rPr>
          <w:rFonts w:eastAsia="Aptos" w:cs="Arial"/>
          <w:noProof/>
          <w:sz w:val="22"/>
          <w:lang w:val="en-US"/>
        </w:rPr>
        <w:tab/>
      </w:r>
    </w:p>
    <w:p w14:paraId="53D87FDA" w14:textId="4B9E3E61" w:rsidR="00837CC0" w:rsidRPr="00837CC0" w:rsidRDefault="00837CC0" w:rsidP="00837CC0">
      <w:pPr>
        <w:spacing w:before="0" w:after="160"/>
        <w:ind w:left="720" w:hanging="720"/>
        <w:rPr>
          <w:rFonts w:eastAsia="Aptos" w:cs="Arial"/>
          <w:noProof/>
          <w:sz w:val="22"/>
          <w:lang w:val="en-US"/>
        </w:rPr>
      </w:pPr>
      <w:r w:rsidRPr="00837CC0">
        <w:rPr>
          <w:rFonts w:eastAsia="Aptos" w:cs="Arial"/>
          <w:noProof/>
          <w:sz w:val="22"/>
          <w:lang w:val="en-US"/>
        </w:rPr>
        <w:t xml:space="preserve">What Works Centre for Wellbeing. (2018). </w:t>
      </w:r>
      <w:r w:rsidRPr="00837CC0">
        <w:rPr>
          <w:rFonts w:eastAsia="Aptos" w:cs="Arial"/>
          <w:i/>
          <w:noProof/>
          <w:sz w:val="22"/>
          <w:lang w:val="en-US"/>
        </w:rPr>
        <w:t>Joint decision-making: How does community involvement in decision-making impact on wellbeing?</w:t>
      </w:r>
      <w:r w:rsidRPr="00837CC0">
        <w:rPr>
          <w:rFonts w:eastAsia="Aptos" w:cs="Arial"/>
          <w:noProof/>
          <w:sz w:val="22"/>
          <w:lang w:val="en-US"/>
        </w:rPr>
        <w:t xml:space="preserve"> London, UK: What Works Centre for Wellbeing. Retrieved 6 September, 2024 from </w:t>
      </w:r>
      <w:hyperlink r:id="rId668" w:history="1">
        <w:r w:rsidR="006C2502" w:rsidRPr="00837CC0">
          <w:rPr>
            <w:rStyle w:val="Hyperlink"/>
            <w:rFonts w:eastAsia="Aptos" w:cs="Arial"/>
            <w:noProof/>
            <w:sz w:val="22"/>
            <w:lang w:val="en-US"/>
          </w:rPr>
          <w:t>https://whatworkswellbeing.org/resources/joint-decision-making/</w:t>
        </w:r>
      </w:hyperlink>
      <w:r w:rsidR="006C2502">
        <w:rPr>
          <w:rFonts w:eastAsia="Aptos" w:cs="Arial"/>
          <w:noProof/>
          <w:sz w:val="22"/>
          <w:lang w:val="en-US"/>
        </w:rPr>
        <w:t xml:space="preserve"> </w:t>
      </w:r>
    </w:p>
    <w:p w14:paraId="54137A77" w14:textId="66C2D735" w:rsidR="00E073F0" w:rsidRPr="00E073F0" w:rsidRDefault="00E073F0" w:rsidP="00E073F0">
      <w:pPr>
        <w:spacing w:before="0" w:after="160"/>
        <w:ind w:left="720" w:hanging="720"/>
        <w:rPr>
          <w:rFonts w:eastAsia="Aptos" w:cs="Arial"/>
          <w:noProof/>
          <w:sz w:val="22"/>
          <w:lang w:val="en-US"/>
        </w:rPr>
      </w:pPr>
      <w:r w:rsidRPr="00E073F0">
        <w:rPr>
          <w:rFonts w:eastAsia="Aptos" w:cs="Arial"/>
          <w:noProof/>
          <w:sz w:val="22"/>
          <w:lang w:val="en-US"/>
        </w:rPr>
        <w:t xml:space="preserve">Whipple, W., &amp; RRCP Early Childhood Service Delivery Priority Team. (2014). </w:t>
      </w:r>
      <w:r w:rsidRPr="00E073F0">
        <w:rPr>
          <w:rFonts w:eastAsia="Aptos" w:cs="Arial"/>
          <w:i/>
          <w:noProof/>
          <w:sz w:val="22"/>
          <w:lang w:val="en-US"/>
        </w:rPr>
        <w:t>Key Principles of Early Intervention and Effective Practices: A crosswalk with statements from discipline specific literature</w:t>
      </w:r>
      <w:r w:rsidRPr="00E073F0">
        <w:rPr>
          <w:rFonts w:eastAsia="Aptos" w:cs="Arial"/>
          <w:noProof/>
          <w:sz w:val="22"/>
          <w:lang w:val="en-US"/>
        </w:rPr>
        <w:t xml:space="preserve">. Logan, UT: Mountain Plains Regional Resource Program Centre. Retrieved 6 September, 2024 from </w:t>
      </w:r>
      <w:hyperlink r:id="rId669" w:history="1">
        <w:r w:rsidR="006C2502" w:rsidRPr="00E073F0">
          <w:rPr>
            <w:rStyle w:val="Hyperlink"/>
            <w:rFonts w:eastAsia="Aptos" w:cs="Arial"/>
            <w:noProof/>
            <w:sz w:val="22"/>
            <w:lang w:val="en-US"/>
          </w:rPr>
          <w:t>https://ectacenter.org/~pdfs/topics/eiservices/KeyPrinciplesMatrix_01_30_15.pdf</w:t>
        </w:r>
      </w:hyperlink>
      <w:r w:rsidR="006C2502">
        <w:rPr>
          <w:rFonts w:eastAsia="Aptos" w:cs="Arial"/>
          <w:noProof/>
          <w:sz w:val="22"/>
          <w:lang w:val="en-US"/>
        </w:rPr>
        <w:t xml:space="preserve"> </w:t>
      </w:r>
    </w:p>
    <w:p w14:paraId="0A4E057E" w14:textId="77777777" w:rsidR="00E073F0" w:rsidRPr="00E073F0" w:rsidRDefault="00E073F0" w:rsidP="00E073F0">
      <w:pPr>
        <w:spacing w:before="0" w:after="0"/>
        <w:ind w:left="720" w:hanging="720"/>
        <w:rPr>
          <w:rFonts w:eastAsia="Aptos" w:cs="Arial"/>
          <w:noProof/>
          <w:sz w:val="22"/>
          <w:lang w:val="en-US"/>
        </w:rPr>
      </w:pPr>
      <w:r w:rsidRPr="00E073F0">
        <w:rPr>
          <w:rFonts w:eastAsia="Aptos" w:cs="Arial"/>
          <w:noProof/>
          <w:sz w:val="22"/>
          <w:lang w:val="en-US"/>
        </w:rPr>
        <w:tab/>
      </w:r>
    </w:p>
    <w:p w14:paraId="6E357994" w14:textId="3D290D00" w:rsidR="00E073F0" w:rsidRPr="00E073F0" w:rsidRDefault="00E073F0" w:rsidP="00E073F0">
      <w:pPr>
        <w:spacing w:before="0" w:after="160"/>
        <w:ind w:left="720" w:hanging="720"/>
        <w:rPr>
          <w:rFonts w:eastAsia="Aptos" w:cs="Arial"/>
          <w:noProof/>
          <w:sz w:val="22"/>
          <w:lang w:val="en-US"/>
        </w:rPr>
      </w:pPr>
      <w:r w:rsidRPr="00E073F0">
        <w:rPr>
          <w:rFonts w:eastAsia="Aptos" w:cs="Arial"/>
          <w:noProof/>
          <w:sz w:val="22"/>
          <w:lang w:val="en-US"/>
        </w:rPr>
        <w:t xml:space="preserve">Whitehead, M., Orton, L., Pennington, A., Nayak, S., Ring, A., Petticrew, M., Sowden, A., &amp; Whit, M. (2014). </w:t>
      </w:r>
      <w:r w:rsidRPr="00E073F0">
        <w:rPr>
          <w:rFonts w:eastAsia="Aptos" w:cs="Arial"/>
          <w:i/>
          <w:noProof/>
          <w:sz w:val="22"/>
          <w:lang w:val="en-US"/>
        </w:rPr>
        <w:t>Is control in the living environment important for health and wellbeing, and what are the implications for public health interventions? Final report</w:t>
      </w:r>
      <w:r w:rsidRPr="00E073F0">
        <w:rPr>
          <w:rFonts w:eastAsia="Aptos" w:cs="Arial"/>
          <w:noProof/>
          <w:sz w:val="22"/>
          <w:lang w:val="en-US"/>
        </w:rPr>
        <w:t xml:space="preserve">. London, UK: Public Health Research Consortium. Retrieved 6 September, 2024 from </w:t>
      </w:r>
      <w:hyperlink r:id="rId670" w:history="1">
        <w:r w:rsidR="006C2502" w:rsidRPr="00E073F0">
          <w:rPr>
            <w:rStyle w:val="Hyperlink"/>
            <w:rFonts w:eastAsia="Aptos" w:cs="Arial"/>
            <w:noProof/>
            <w:sz w:val="22"/>
            <w:lang w:val="en-US"/>
          </w:rPr>
          <w:t>http://phrc.lshtm.ac.uk/papers/PHRC_004_Final_Report.pdf</w:t>
        </w:r>
      </w:hyperlink>
      <w:r w:rsidR="006C2502">
        <w:rPr>
          <w:rFonts w:eastAsia="Aptos" w:cs="Arial"/>
          <w:noProof/>
          <w:sz w:val="22"/>
          <w:lang w:val="en-US"/>
        </w:rPr>
        <w:t xml:space="preserve"> </w:t>
      </w:r>
    </w:p>
    <w:p w14:paraId="1486158F" w14:textId="77777777" w:rsidR="00E073F0" w:rsidRPr="00E073F0" w:rsidRDefault="00E073F0" w:rsidP="00E073F0">
      <w:pPr>
        <w:spacing w:before="0" w:after="0"/>
        <w:ind w:left="720" w:hanging="720"/>
        <w:rPr>
          <w:rFonts w:eastAsia="Aptos" w:cs="Arial"/>
          <w:noProof/>
          <w:sz w:val="22"/>
          <w:lang w:val="en-US"/>
        </w:rPr>
      </w:pPr>
      <w:r w:rsidRPr="00E073F0">
        <w:rPr>
          <w:rFonts w:eastAsia="Aptos" w:cs="Arial"/>
          <w:noProof/>
          <w:sz w:val="22"/>
          <w:lang w:val="en-US"/>
        </w:rPr>
        <w:tab/>
      </w:r>
    </w:p>
    <w:p w14:paraId="76F5CCE9" w14:textId="5C6C4022" w:rsidR="00E073F0" w:rsidRPr="00E073F0" w:rsidRDefault="00E073F0" w:rsidP="00E073F0">
      <w:pPr>
        <w:spacing w:before="0" w:after="160"/>
        <w:ind w:left="720" w:hanging="720"/>
        <w:rPr>
          <w:rFonts w:eastAsia="Aptos" w:cs="Arial"/>
          <w:noProof/>
          <w:sz w:val="22"/>
          <w:lang w:val="en-US"/>
        </w:rPr>
      </w:pPr>
      <w:r w:rsidRPr="00E073F0">
        <w:rPr>
          <w:rFonts w:eastAsia="Aptos" w:cs="Arial"/>
          <w:noProof/>
          <w:sz w:val="22"/>
          <w:lang w:val="en-US"/>
        </w:rPr>
        <w:t xml:space="preserve">Whitehouse, A. J. (2017). Elizabeth Usher Memorial Lecture: Rethinking the clinical pathway for autism spectrum disorder and challenging the status quo. </w:t>
      </w:r>
      <w:r w:rsidRPr="00E073F0">
        <w:rPr>
          <w:rFonts w:eastAsia="Aptos" w:cs="Arial"/>
          <w:i/>
          <w:noProof/>
          <w:sz w:val="22"/>
          <w:lang w:val="en-US"/>
        </w:rPr>
        <w:t>International journal of speech-language pathology</w:t>
      </w:r>
      <w:r w:rsidRPr="00E073F0">
        <w:rPr>
          <w:rFonts w:eastAsia="Aptos" w:cs="Arial"/>
          <w:noProof/>
          <w:sz w:val="22"/>
          <w:lang w:val="en-US"/>
        </w:rPr>
        <w:t>,</w:t>
      </w:r>
      <w:r w:rsidRPr="00E073F0">
        <w:rPr>
          <w:rFonts w:eastAsia="Aptos" w:cs="Arial"/>
          <w:i/>
          <w:noProof/>
          <w:sz w:val="22"/>
          <w:lang w:val="en-US"/>
        </w:rPr>
        <w:t xml:space="preserve"> 19</w:t>
      </w:r>
      <w:r w:rsidRPr="00E073F0">
        <w:rPr>
          <w:rFonts w:eastAsia="Aptos" w:cs="Arial"/>
          <w:noProof/>
          <w:sz w:val="22"/>
          <w:lang w:val="en-US"/>
        </w:rPr>
        <w:t xml:space="preserve">(3), 208-217. </w:t>
      </w:r>
      <w:hyperlink r:id="rId671" w:history="1">
        <w:r w:rsidR="006C2502" w:rsidRPr="00E073F0">
          <w:rPr>
            <w:rStyle w:val="Hyperlink"/>
            <w:rFonts w:eastAsia="Aptos" w:cs="Arial"/>
            <w:noProof/>
            <w:sz w:val="22"/>
            <w:lang w:val="en-US"/>
          </w:rPr>
          <w:t>https://doi.org/10.1080/17549507.2016.1276963</w:t>
        </w:r>
      </w:hyperlink>
      <w:r w:rsidR="006C2502">
        <w:rPr>
          <w:rFonts w:eastAsia="Aptos" w:cs="Arial"/>
          <w:noProof/>
          <w:sz w:val="22"/>
          <w:lang w:val="en-US"/>
        </w:rPr>
        <w:t xml:space="preserve"> </w:t>
      </w:r>
      <w:r w:rsidRPr="00E073F0">
        <w:rPr>
          <w:rFonts w:eastAsia="Aptos" w:cs="Arial"/>
          <w:noProof/>
          <w:sz w:val="22"/>
          <w:lang w:val="en-US"/>
        </w:rPr>
        <w:t xml:space="preserve"> </w:t>
      </w:r>
    </w:p>
    <w:p w14:paraId="4EC30F2A" w14:textId="77777777" w:rsidR="00E073F0" w:rsidRPr="00E073F0" w:rsidRDefault="00E073F0" w:rsidP="00E073F0">
      <w:pPr>
        <w:spacing w:before="0" w:after="0"/>
        <w:ind w:left="720" w:hanging="720"/>
        <w:rPr>
          <w:rFonts w:eastAsia="Aptos" w:cs="Arial"/>
          <w:noProof/>
          <w:sz w:val="22"/>
          <w:lang w:val="en-US"/>
        </w:rPr>
      </w:pPr>
      <w:r w:rsidRPr="00E073F0">
        <w:rPr>
          <w:rFonts w:eastAsia="Aptos" w:cs="Arial"/>
          <w:noProof/>
          <w:sz w:val="22"/>
          <w:lang w:val="en-US"/>
        </w:rPr>
        <w:tab/>
      </w:r>
    </w:p>
    <w:p w14:paraId="43C503DF" w14:textId="6DA59A9E" w:rsidR="00B47D79" w:rsidRDefault="00B47D79" w:rsidP="00B47D79">
      <w:pPr>
        <w:spacing w:before="0" w:after="160"/>
        <w:ind w:left="720" w:hanging="720"/>
        <w:rPr>
          <w:rFonts w:eastAsia="Aptos" w:cs="Arial"/>
          <w:noProof/>
          <w:sz w:val="22"/>
          <w:lang w:val="en-US"/>
        </w:rPr>
      </w:pPr>
      <w:r w:rsidRPr="00B47D79">
        <w:rPr>
          <w:rFonts w:eastAsia="Aptos" w:cs="Arial"/>
          <w:noProof/>
          <w:sz w:val="22"/>
          <w:lang w:val="en-US"/>
        </w:rPr>
        <w:t xml:space="preserve">Whitehouse, A. J. O., Varcin, K. J., Pillar, S., Billingham, W., Alvares, G. A., Barbaro, J., Bent, C. A., Blenkley, D., Boutrus, M., &amp; Chee, A. (2021). Effect of preemptive intervention on developmental outcomes among infants showing early signs of autism: A randomized clinical trial of outcomes to diagnosis. </w:t>
      </w:r>
      <w:r w:rsidRPr="00B47D79">
        <w:rPr>
          <w:rFonts w:eastAsia="Aptos" w:cs="Arial"/>
          <w:i/>
          <w:noProof/>
          <w:sz w:val="22"/>
          <w:lang w:val="en-US"/>
        </w:rPr>
        <w:t>JAMA pediatrics</w:t>
      </w:r>
      <w:r w:rsidRPr="00B47D79">
        <w:rPr>
          <w:rFonts w:eastAsia="Aptos" w:cs="Arial"/>
          <w:noProof/>
          <w:sz w:val="22"/>
          <w:lang w:val="en-US"/>
        </w:rPr>
        <w:t>,</w:t>
      </w:r>
      <w:r w:rsidRPr="00B47D79">
        <w:rPr>
          <w:rFonts w:eastAsia="Aptos" w:cs="Arial"/>
          <w:i/>
          <w:noProof/>
          <w:sz w:val="22"/>
          <w:lang w:val="en-US"/>
        </w:rPr>
        <w:t xml:space="preserve"> 175</w:t>
      </w:r>
      <w:r w:rsidRPr="00B47D79">
        <w:rPr>
          <w:rFonts w:eastAsia="Aptos" w:cs="Arial"/>
          <w:noProof/>
          <w:sz w:val="22"/>
          <w:lang w:val="en-US"/>
        </w:rPr>
        <w:t xml:space="preserve">(11), e213298-e213298. </w:t>
      </w:r>
      <w:hyperlink r:id="rId672" w:history="1">
        <w:r w:rsidRPr="00326476">
          <w:rPr>
            <w:rStyle w:val="Hyperlink"/>
            <w:rFonts w:eastAsia="Aptos" w:cs="Arial"/>
            <w:noProof/>
            <w:sz w:val="22"/>
            <w:lang w:val="en-US"/>
          </w:rPr>
          <w:t>https://doi.org/10.1001/jamapediatrics.2021.3298</w:t>
        </w:r>
      </w:hyperlink>
      <w:r w:rsidRPr="00B47D79">
        <w:rPr>
          <w:rFonts w:eastAsia="Aptos" w:cs="Arial"/>
          <w:noProof/>
          <w:sz w:val="22"/>
          <w:lang w:val="en-US"/>
        </w:rPr>
        <w:t xml:space="preserve"> </w:t>
      </w:r>
    </w:p>
    <w:p w14:paraId="31DF12A4" w14:textId="77777777" w:rsidR="00B47D79" w:rsidRPr="00B47D79" w:rsidRDefault="00B47D79" w:rsidP="00B47D79">
      <w:pPr>
        <w:spacing w:before="0" w:after="160"/>
        <w:ind w:left="720" w:hanging="720"/>
        <w:rPr>
          <w:rFonts w:eastAsia="Aptos" w:cs="Arial"/>
          <w:noProof/>
          <w:sz w:val="22"/>
          <w:lang w:val="en-US"/>
        </w:rPr>
      </w:pPr>
    </w:p>
    <w:p w14:paraId="4AB9F2FB" w14:textId="78CC9142" w:rsidR="00284CDA" w:rsidRPr="00284CDA" w:rsidRDefault="00284CDA" w:rsidP="00284CDA">
      <w:pPr>
        <w:spacing w:before="0" w:after="160"/>
        <w:ind w:left="720" w:hanging="720"/>
        <w:rPr>
          <w:rFonts w:eastAsia="Aptos" w:cs="Arial"/>
          <w:noProof/>
          <w:sz w:val="22"/>
          <w:lang w:val="en-US"/>
        </w:rPr>
      </w:pPr>
      <w:r w:rsidRPr="00284CDA">
        <w:rPr>
          <w:rFonts w:eastAsia="Aptos" w:cs="Arial"/>
          <w:noProof/>
          <w:sz w:val="22"/>
          <w:lang w:val="en-US"/>
        </w:rPr>
        <w:t xml:space="preserve">Williams, K., Woolfenden, S., Roberts, J., Rodger, S., Bartak, L., &amp; Prior, M. (2014). Autism in context 2: Assessment, intervention and services in A ustralia. </w:t>
      </w:r>
      <w:r w:rsidRPr="00284CDA">
        <w:rPr>
          <w:rFonts w:eastAsia="Aptos" w:cs="Arial"/>
          <w:i/>
          <w:noProof/>
          <w:sz w:val="22"/>
          <w:lang w:val="en-US"/>
        </w:rPr>
        <w:t>Journal of Paediatrics and Child Health</w:t>
      </w:r>
      <w:r w:rsidRPr="00284CDA">
        <w:rPr>
          <w:rFonts w:eastAsia="Aptos" w:cs="Arial"/>
          <w:noProof/>
          <w:sz w:val="22"/>
          <w:lang w:val="en-US"/>
        </w:rPr>
        <w:t>,</w:t>
      </w:r>
      <w:r w:rsidRPr="00284CDA">
        <w:rPr>
          <w:rFonts w:eastAsia="Aptos" w:cs="Arial"/>
          <w:i/>
          <w:noProof/>
          <w:sz w:val="22"/>
          <w:lang w:val="en-US"/>
        </w:rPr>
        <w:t xml:space="preserve"> 50</w:t>
      </w:r>
      <w:r w:rsidRPr="00284CDA">
        <w:rPr>
          <w:rFonts w:eastAsia="Aptos" w:cs="Arial"/>
          <w:noProof/>
          <w:sz w:val="22"/>
          <w:lang w:val="en-US"/>
        </w:rPr>
        <w:t xml:space="preserve">(5), 341-346. </w:t>
      </w:r>
      <w:hyperlink r:id="rId673" w:history="1">
        <w:r w:rsidR="006C2502" w:rsidRPr="00284CDA">
          <w:rPr>
            <w:rStyle w:val="Hyperlink"/>
            <w:rFonts w:eastAsia="Aptos" w:cs="Arial"/>
            <w:noProof/>
            <w:sz w:val="22"/>
            <w:lang w:val="en-US"/>
          </w:rPr>
          <w:t>https://doi.org/10.1111/jpc.12456</w:t>
        </w:r>
      </w:hyperlink>
      <w:r w:rsidR="006C2502">
        <w:rPr>
          <w:rFonts w:eastAsia="Aptos" w:cs="Arial"/>
          <w:noProof/>
          <w:sz w:val="22"/>
          <w:lang w:val="en-US"/>
        </w:rPr>
        <w:t xml:space="preserve"> </w:t>
      </w:r>
      <w:r w:rsidRPr="00284CDA">
        <w:rPr>
          <w:rFonts w:eastAsia="Aptos" w:cs="Arial"/>
          <w:noProof/>
          <w:sz w:val="22"/>
          <w:lang w:val="en-US"/>
        </w:rPr>
        <w:t xml:space="preserve"> </w:t>
      </w:r>
    </w:p>
    <w:p w14:paraId="5AAB5688" w14:textId="77777777" w:rsidR="00284CDA" w:rsidRPr="00284CDA" w:rsidRDefault="00284CDA" w:rsidP="00284CDA">
      <w:pPr>
        <w:spacing w:before="0" w:after="0"/>
        <w:ind w:left="720" w:hanging="720"/>
        <w:rPr>
          <w:rFonts w:eastAsia="Aptos" w:cs="Arial"/>
          <w:noProof/>
          <w:sz w:val="22"/>
          <w:lang w:val="en-US"/>
        </w:rPr>
      </w:pPr>
      <w:r w:rsidRPr="00284CDA">
        <w:rPr>
          <w:rFonts w:eastAsia="Aptos" w:cs="Arial"/>
          <w:noProof/>
          <w:sz w:val="22"/>
          <w:lang w:val="en-US"/>
        </w:rPr>
        <w:tab/>
      </w:r>
    </w:p>
    <w:p w14:paraId="7A2386F4" w14:textId="270EDB1E" w:rsidR="00284CDA" w:rsidRDefault="00284CDA" w:rsidP="00284CDA">
      <w:pPr>
        <w:spacing w:before="0" w:after="160"/>
        <w:ind w:left="720" w:hanging="720"/>
        <w:rPr>
          <w:rFonts w:eastAsia="Aptos" w:cs="Arial"/>
          <w:noProof/>
          <w:sz w:val="22"/>
          <w:lang w:val="en-US"/>
        </w:rPr>
      </w:pPr>
      <w:r w:rsidRPr="00284CDA">
        <w:rPr>
          <w:rFonts w:eastAsia="Aptos" w:cs="Arial"/>
          <w:noProof/>
          <w:sz w:val="22"/>
          <w:lang w:val="en-US"/>
        </w:rPr>
        <w:t xml:space="preserve">Woodrow, C., Somerville, M., Naidoo, L., &amp; Power, K. (2016). </w:t>
      </w:r>
      <w:r w:rsidRPr="00284CDA">
        <w:rPr>
          <w:rFonts w:eastAsia="Aptos" w:cs="Arial"/>
          <w:i/>
          <w:noProof/>
          <w:sz w:val="22"/>
          <w:lang w:val="en-US"/>
        </w:rPr>
        <w:t>Researching parent engagement: A qualitative field study</w:t>
      </w:r>
      <w:r w:rsidRPr="00284CDA">
        <w:rPr>
          <w:rFonts w:eastAsia="Aptos" w:cs="Arial"/>
          <w:noProof/>
          <w:sz w:val="22"/>
          <w:lang w:val="en-US"/>
        </w:rPr>
        <w:t xml:space="preserve">. Canberra: ACT: Australian Research Alliance for Children and Youth (ARACY). Retrieved 6 September, 2024 from </w:t>
      </w:r>
      <w:hyperlink r:id="rId674" w:history="1">
        <w:r w:rsidR="00B47D79" w:rsidRPr="00326476">
          <w:rPr>
            <w:rStyle w:val="Hyperlink"/>
            <w:rFonts w:eastAsia="Aptos" w:cs="Arial"/>
            <w:noProof/>
            <w:sz w:val="22"/>
            <w:lang w:val="en-US"/>
          </w:rPr>
          <w:t>https://www.aracy.org.au/publications-resources/command/download_file/id/296/filename/Researching-parent-engagement-A-qualitative-field-study-2016.pdf</w:t>
        </w:r>
      </w:hyperlink>
    </w:p>
    <w:p w14:paraId="2EDAD874" w14:textId="77777777" w:rsidR="00B47D79" w:rsidRPr="00284CDA" w:rsidRDefault="00B47D79" w:rsidP="00284CDA">
      <w:pPr>
        <w:spacing w:before="0" w:after="160"/>
        <w:ind w:left="720" w:hanging="720"/>
        <w:rPr>
          <w:rFonts w:eastAsia="Aptos" w:cs="Arial"/>
          <w:noProof/>
          <w:sz w:val="22"/>
          <w:lang w:val="en-US"/>
        </w:rPr>
      </w:pPr>
    </w:p>
    <w:p w14:paraId="3EF1CBE6" w14:textId="44A0D012" w:rsidR="00FF37C0" w:rsidRPr="00FF37C0" w:rsidRDefault="00FF37C0" w:rsidP="00FF37C0">
      <w:pPr>
        <w:spacing w:before="0" w:after="160"/>
        <w:ind w:left="720" w:hanging="720"/>
        <w:rPr>
          <w:rFonts w:eastAsia="Aptos" w:cs="Arial"/>
          <w:noProof/>
          <w:sz w:val="22"/>
          <w:lang w:val="en-US"/>
        </w:rPr>
      </w:pPr>
      <w:r w:rsidRPr="00FF37C0">
        <w:rPr>
          <w:rFonts w:eastAsia="Aptos" w:cs="Arial"/>
          <w:noProof/>
          <w:sz w:val="22"/>
          <w:lang w:val="en-US"/>
        </w:rPr>
        <w:t xml:space="preserve">Woolfenden, S., Galea, C., Badland, H., Sheedy, H. S., Williams, K., Kavanagh, A. M., Reddihough, D., Goldfeld, S., Lingam, R., &amp; Badawi, N. (2020). Use of health services by preschool-aged children who are developmentally vulnerable and socioeconomically disadvantaged: testing the inverse care law. </w:t>
      </w:r>
      <w:r w:rsidRPr="00FF37C0">
        <w:rPr>
          <w:rFonts w:eastAsia="Aptos" w:cs="Arial"/>
          <w:i/>
          <w:noProof/>
          <w:sz w:val="22"/>
          <w:lang w:val="en-US"/>
        </w:rPr>
        <w:t>Journal of Epidemiology and Community Health</w:t>
      </w:r>
      <w:r w:rsidRPr="00FF37C0">
        <w:rPr>
          <w:rFonts w:eastAsia="Aptos" w:cs="Arial"/>
          <w:noProof/>
          <w:sz w:val="22"/>
          <w:lang w:val="en-US"/>
        </w:rPr>
        <w:t>,</w:t>
      </w:r>
      <w:r w:rsidRPr="00FF37C0">
        <w:rPr>
          <w:rFonts w:eastAsia="Aptos" w:cs="Arial"/>
          <w:i/>
          <w:noProof/>
          <w:sz w:val="22"/>
          <w:lang w:val="en-US"/>
        </w:rPr>
        <w:t xml:space="preserve"> 74</w:t>
      </w:r>
      <w:r w:rsidRPr="00FF37C0">
        <w:rPr>
          <w:rFonts w:eastAsia="Aptos" w:cs="Arial"/>
          <w:noProof/>
          <w:sz w:val="22"/>
          <w:lang w:val="en-US"/>
        </w:rPr>
        <w:t xml:space="preserve">(6), 495-501. </w:t>
      </w:r>
      <w:hyperlink r:id="rId675" w:history="1">
        <w:r w:rsidR="006C2502" w:rsidRPr="00FF37C0">
          <w:rPr>
            <w:rStyle w:val="Hyperlink"/>
            <w:rFonts w:eastAsia="Aptos" w:cs="Arial"/>
            <w:noProof/>
            <w:sz w:val="22"/>
            <w:lang w:val="en-US"/>
          </w:rPr>
          <w:t>https://doi.org/10.1136/jech-2019-213384</w:t>
        </w:r>
      </w:hyperlink>
      <w:r w:rsidR="006C2502">
        <w:rPr>
          <w:rFonts w:eastAsia="Aptos" w:cs="Arial"/>
          <w:noProof/>
          <w:sz w:val="22"/>
          <w:lang w:val="en-US"/>
        </w:rPr>
        <w:t xml:space="preserve"> </w:t>
      </w:r>
      <w:r w:rsidRPr="00FF37C0">
        <w:rPr>
          <w:rFonts w:eastAsia="Aptos" w:cs="Arial"/>
          <w:noProof/>
          <w:sz w:val="22"/>
          <w:lang w:val="en-US"/>
        </w:rPr>
        <w:t xml:space="preserve"> </w:t>
      </w:r>
    </w:p>
    <w:p w14:paraId="5D280800" w14:textId="77777777" w:rsidR="00FF37C0" w:rsidRPr="00FF37C0" w:rsidRDefault="00FF37C0" w:rsidP="00FF37C0">
      <w:pPr>
        <w:spacing w:before="0" w:after="0"/>
        <w:ind w:left="720" w:hanging="720"/>
        <w:rPr>
          <w:rFonts w:eastAsia="Aptos" w:cs="Arial"/>
          <w:noProof/>
          <w:sz w:val="22"/>
          <w:lang w:val="en-US"/>
        </w:rPr>
      </w:pPr>
      <w:r w:rsidRPr="00FF37C0">
        <w:rPr>
          <w:rFonts w:eastAsia="Aptos" w:cs="Arial"/>
          <w:noProof/>
          <w:sz w:val="22"/>
          <w:lang w:val="en-US"/>
        </w:rPr>
        <w:tab/>
      </w:r>
    </w:p>
    <w:p w14:paraId="63C7D2D9" w14:textId="7E1CABBB" w:rsidR="00FF37C0" w:rsidRPr="00FF37C0" w:rsidRDefault="00FF37C0" w:rsidP="00FF37C0">
      <w:pPr>
        <w:spacing w:before="0" w:after="160"/>
        <w:ind w:left="720" w:hanging="720"/>
        <w:rPr>
          <w:rFonts w:eastAsia="Aptos" w:cs="Arial"/>
          <w:noProof/>
          <w:sz w:val="22"/>
          <w:lang w:val="en-US"/>
        </w:rPr>
      </w:pPr>
      <w:r w:rsidRPr="00FF37C0">
        <w:rPr>
          <w:rFonts w:eastAsia="Aptos" w:cs="Arial"/>
          <w:noProof/>
          <w:sz w:val="22"/>
          <w:lang w:val="en-US"/>
        </w:rPr>
        <w:t xml:space="preserve">Woolfenden, S., Goldfeld, S., Raman, S., Eapen, V., Kemp, L., &amp; Williams, K. (2013). Inequity in child health: The importance of early childhood development. </w:t>
      </w:r>
      <w:r w:rsidRPr="00FF37C0">
        <w:rPr>
          <w:rFonts w:eastAsia="Aptos" w:cs="Arial"/>
          <w:i/>
          <w:noProof/>
          <w:sz w:val="22"/>
          <w:lang w:val="en-US"/>
        </w:rPr>
        <w:t>Journal of Paediatrics &amp; Child Health</w:t>
      </w:r>
      <w:r w:rsidRPr="00FF37C0">
        <w:rPr>
          <w:rFonts w:eastAsia="Aptos" w:cs="Arial"/>
          <w:noProof/>
          <w:sz w:val="22"/>
          <w:lang w:val="en-US"/>
        </w:rPr>
        <w:t>,</w:t>
      </w:r>
      <w:r w:rsidRPr="00FF37C0">
        <w:rPr>
          <w:rFonts w:eastAsia="Aptos" w:cs="Arial"/>
          <w:i/>
          <w:noProof/>
          <w:sz w:val="22"/>
          <w:lang w:val="en-US"/>
        </w:rPr>
        <w:t xml:space="preserve"> 49</w:t>
      </w:r>
      <w:r w:rsidRPr="00FF37C0">
        <w:rPr>
          <w:rFonts w:eastAsia="Aptos" w:cs="Arial"/>
          <w:noProof/>
          <w:sz w:val="22"/>
          <w:lang w:val="en-US"/>
        </w:rPr>
        <w:t xml:space="preserve">(9), E365–E369. </w:t>
      </w:r>
      <w:hyperlink r:id="rId676" w:history="1">
        <w:r w:rsidR="006C2502" w:rsidRPr="00FF37C0">
          <w:rPr>
            <w:rStyle w:val="Hyperlink"/>
            <w:rFonts w:eastAsia="Aptos" w:cs="Arial"/>
            <w:noProof/>
            <w:sz w:val="22"/>
            <w:lang w:val="en-US"/>
          </w:rPr>
          <w:t>https://doi.org/10.1111/jpc.12171</w:t>
        </w:r>
      </w:hyperlink>
      <w:r w:rsidR="006C2502">
        <w:rPr>
          <w:rFonts w:eastAsia="Aptos" w:cs="Arial"/>
          <w:noProof/>
          <w:sz w:val="22"/>
          <w:lang w:val="en-US"/>
        </w:rPr>
        <w:t xml:space="preserve"> </w:t>
      </w:r>
      <w:r w:rsidRPr="00FF37C0">
        <w:rPr>
          <w:rFonts w:eastAsia="Aptos" w:cs="Arial"/>
          <w:noProof/>
          <w:sz w:val="22"/>
          <w:lang w:val="en-US"/>
        </w:rPr>
        <w:t xml:space="preserve"> </w:t>
      </w:r>
    </w:p>
    <w:p w14:paraId="03F0A96D" w14:textId="77777777" w:rsidR="00FF37C0" w:rsidRPr="00FF37C0" w:rsidRDefault="00FF37C0" w:rsidP="00FF37C0">
      <w:pPr>
        <w:spacing w:before="0" w:after="0"/>
        <w:ind w:left="720" w:hanging="720"/>
        <w:rPr>
          <w:rFonts w:eastAsia="Aptos" w:cs="Arial"/>
          <w:noProof/>
          <w:sz w:val="22"/>
          <w:lang w:val="en-US"/>
        </w:rPr>
      </w:pPr>
      <w:r w:rsidRPr="00FF37C0">
        <w:rPr>
          <w:rFonts w:eastAsia="Aptos" w:cs="Arial"/>
          <w:noProof/>
          <w:sz w:val="22"/>
          <w:lang w:val="en-US"/>
        </w:rPr>
        <w:tab/>
      </w:r>
    </w:p>
    <w:p w14:paraId="42A05EDD" w14:textId="476483E2" w:rsidR="00FF37C0" w:rsidRDefault="00FF37C0" w:rsidP="00FF37C0">
      <w:pPr>
        <w:spacing w:before="0" w:after="160"/>
        <w:ind w:left="720" w:hanging="720"/>
        <w:rPr>
          <w:rFonts w:eastAsia="Aptos" w:cs="Arial"/>
          <w:noProof/>
          <w:sz w:val="22"/>
          <w:lang w:val="en-US"/>
        </w:rPr>
      </w:pPr>
      <w:r w:rsidRPr="00FF37C0">
        <w:rPr>
          <w:rFonts w:eastAsia="Aptos" w:cs="Arial"/>
          <w:noProof/>
          <w:sz w:val="22"/>
          <w:lang w:val="en-US"/>
        </w:rPr>
        <w:t xml:space="preserve">Woolfenden, S., Posada, N., Krchnakova, R., Crawford, J., Gilbert, J., Jursik, B., Sarkozy, V., Perkins, D., &amp; Kemp, L. (2015). Equitable access to developmental surveillance and early intervention–understanding the barriers for children from culturally and linguistically diverse (CALD) backgrounds. </w:t>
      </w:r>
      <w:r w:rsidRPr="00FF37C0">
        <w:rPr>
          <w:rFonts w:eastAsia="Aptos" w:cs="Arial"/>
          <w:i/>
          <w:noProof/>
          <w:sz w:val="22"/>
          <w:lang w:val="en-US"/>
        </w:rPr>
        <w:t>Health Expectations</w:t>
      </w:r>
      <w:r w:rsidRPr="00FF37C0">
        <w:rPr>
          <w:rFonts w:eastAsia="Aptos" w:cs="Arial"/>
          <w:noProof/>
          <w:sz w:val="22"/>
          <w:lang w:val="en-US"/>
        </w:rPr>
        <w:t>,</w:t>
      </w:r>
      <w:r w:rsidRPr="00FF37C0">
        <w:rPr>
          <w:rFonts w:eastAsia="Aptos" w:cs="Arial"/>
          <w:i/>
          <w:noProof/>
          <w:sz w:val="22"/>
          <w:lang w:val="en-US"/>
        </w:rPr>
        <w:t xml:space="preserve"> 18</w:t>
      </w:r>
      <w:r w:rsidRPr="00FF37C0">
        <w:rPr>
          <w:rFonts w:eastAsia="Aptos" w:cs="Arial"/>
          <w:noProof/>
          <w:sz w:val="22"/>
          <w:lang w:val="en-US"/>
        </w:rPr>
        <w:t xml:space="preserve">(6), 3286-3301. </w:t>
      </w:r>
      <w:hyperlink r:id="rId677" w:history="1">
        <w:r w:rsidR="00B47D79" w:rsidRPr="00326476">
          <w:rPr>
            <w:rStyle w:val="Hyperlink"/>
            <w:rFonts w:eastAsia="Aptos" w:cs="Arial"/>
            <w:noProof/>
            <w:sz w:val="22"/>
            <w:lang w:val="en-US"/>
          </w:rPr>
          <w:t>https://doi.org/10.1111/hex.12318</w:t>
        </w:r>
      </w:hyperlink>
      <w:r w:rsidRPr="00FF37C0">
        <w:rPr>
          <w:rFonts w:eastAsia="Aptos" w:cs="Arial"/>
          <w:noProof/>
          <w:sz w:val="22"/>
          <w:lang w:val="en-US"/>
        </w:rPr>
        <w:t xml:space="preserve"> </w:t>
      </w:r>
    </w:p>
    <w:p w14:paraId="0B78CA32" w14:textId="77777777" w:rsidR="00B47D79" w:rsidRPr="00FF37C0" w:rsidRDefault="00B47D79" w:rsidP="00FF37C0">
      <w:pPr>
        <w:spacing w:before="0" w:after="160"/>
        <w:ind w:left="720" w:hanging="720"/>
        <w:rPr>
          <w:rFonts w:eastAsia="Aptos" w:cs="Arial"/>
          <w:noProof/>
          <w:sz w:val="22"/>
          <w:lang w:val="en-US"/>
        </w:rPr>
      </w:pPr>
    </w:p>
    <w:p w14:paraId="47094767" w14:textId="6E6BF22F" w:rsidR="008D2561" w:rsidRPr="008D2561" w:rsidRDefault="008D2561" w:rsidP="008D2561">
      <w:pPr>
        <w:spacing w:before="0" w:after="160"/>
        <w:ind w:left="720" w:hanging="720"/>
        <w:rPr>
          <w:rFonts w:eastAsia="Aptos" w:cs="Arial"/>
          <w:noProof/>
          <w:sz w:val="22"/>
          <w:lang w:val="en-US"/>
        </w:rPr>
      </w:pPr>
      <w:r w:rsidRPr="008D2561">
        <w:rPr>
          <w:rFonts w:eastAsia="Aptos" w:cs="Arial"/>
          <w:noProof/>
          <w:sz w:val="22"/>
          <w:lang w:val="en-US"/>
        </w:rPr>
        <w:t xml:space="preserve">Workgroup on Principles and Practices in Natural Environments. (2008a, 3 November). </w:t>
      </w:r>
      <w:r w:rsidRPr="008D2561">
        <w:rPr>
          <w:rFonts w:eastAsia="Aptos" w:cs="Arial"/>
          <w:i/>
          <w:noProof/>
          <w:sz w:val="22"/>
          <w:lang w:val="en-US"/>
        </w:rPr>
        <w:t>Agreed upon mission and key principles for providing early intervention services in natural environments</w:t>
      </w:r>
      <w:r w:rsidRPr="008D2561">
        <w:rPr>
          <w:rFonts w:eastAsia="Aptos" w:cs="Arial"/>
          <w:noProof/>
          <w:sz w:val="22"/>
          <w:lang w:val="en-US"/>
        </w:rPr>
        <w:t xml:space="preserve">. Chapel Hill, NC: National Early Childhood Technical Assistance Centre, Office of Special Education Programs, US Department of Education. Retrieved 6 September, 2024 from </w:t>
      </w:r>
      <w:hyperlink r:id="rId678" w:history="1">
        <w:r w:rsidR="006C2502" w:rsidRPr="008D2561">
          <w:rPr>
            <w:rStyle w:val="Hyperlink"/>
            <w:rFonts w:eastAsia="Aptos" w:cs="Arial"/>
            <w:noProof/>
            <w:sz w:val="22"/>
            <w:lang w:val="en-US"/>
          </w:rPr>
          <w:t>https://ectacenter.org/~pdfs/topics/families/Finalmissionandprinciples3_11_08.pdf</w:t>
        </w:r>
      </w:hyperlink>
      <w:r w:rsidR="006C2502">
        <w:rPr>
          <w:rFonts w:eastAsia="Aptos" w:cs="Arial"/>
          <w:noProof/>
          <w:sz w:val="22"/>
          <w:lang w:val="en-US"/>
        </w:rPr>
        <w:t xml:space="preserve"> </w:t>
      </w:r>
    </w:p>
    <w:p w14:paraId="4A051561" w14:textId="77777777" w:rsidR="008D2561" w:rsidRPr="008D2561" w:rsidRDefault="008D2561" w:rsidP="008D2561">
      <w:pPr>
        <w:spacing w:before="0" w:after="0"/>
        <w:ind w:left="720" w:hanging="720"/>
        <w:rPr>
          <w:rFonts w:eastAsia="Aptos" w:cs="Arial"/>
          <w:noProof/>
          <w:sz w:val="22"/>
          <w:lang w:val="en-US"/>
        </w:rPr>
      </w:pPr>
      <w:r w:rsidRPr="008D2561">
        <w:rPr>
          <w:rFonts w:eastAsia="Aptos" w:cs="Arial"/>
          <w:noProof/>
          <w:sz w:val="22"/>
          <w:lang w:val="en-US"/>
        </w:rPr>
        <w:tab/>
      </w:r>
    </w:p>
    <w:p w14:paraId="401217B5" w14:textId="5620A2AB" w:rsidR="008D2561" w:rsidRDefault="008D2561" w:rsidP="008D2561">
      <w:pPr>
        <w:spacing w:before="0" w:after="160"/>
        <w:ind w:left="720" w:hanging="720"/>
        <w:rPr>
          <w:rFonts w:eastAsia="Aptos" w:cs="Arial"/>
          <w:noProof/>
          <w:sz w:val="22"/>
          <w:lang w:val="en-US"/>
        </w:rPr>
      </w:pPr>
      <w:r w:rsidRPr="008D2561">
        <w:rPr>
          <w:rFonts w:eastAsia="Aptos" w:cs="Arial"/>
          <w:noProof/>
          <w:sz w:val="22"/>
          <w:lang w:val="en-US"/>
        </w:rPr>
        <w:t xml:space="preserve">Workgroup on Principles and Practices in Natural Environments. (2008b). </w:t>
      </w:r>
      <w:r w:rsidRPr="008D2561">
        <w:rPr>
          <w:rFonts w:eastAsia="Aptos" w:cs="Arial"/>
          <w:i/>
          <w:noProof/>
          <w:sz w:val="22"/>
          <w:lang w:val="en-US"/>
        </w:rPr>
        <w:t>Agreed upon practices for providing early intervention services in natural environments</w:t>
      </w:r>
      <w:r w:rsidRPr="008D2561">
        <w:rPr>
          <w:rFonts w:eastAsia="Aptos" w:cs="Arial"/>
          <w:noProof/>
          <w:sz w:val="22"/>
          <w:lang w:val="en-US"/>
        </w:rPr>
        <w:t xml:space="preserve">. Chapel Hill, NC: National Early Childhood Technical Assistance Centre, Office of Special Education Programs, US Department of Education. Retrieved 6 September, 2024 from </w:t>
      </w:r>
      <w:hyperlink r:id="rId679" w:history="1">
        <w:r w:rsidR="00AA4B19" w:rsidRPr="00326476">
          <w:rPr>
            <w:rStyle w:val="Hyperlink"/>
            <w:rFonts w:eastAsia="Aptos" w:cs="Arial"/>
            <w:noProof/>
            <w:sz w:val="22"/>
            <w:lang w:val="en-US"/>
          </w:rPr>
          <w:t>https://ectacenter.org/~pdfs/topics/families/agreeduponpractices_finaldraft2_01_08.pdf</w:t>
        </w:r>
      </w:hyperlink>
    </w:p>
    <w:p w14:paraId="14AFAF4C" w14:textId="77777777" w:rsidR="00AA4B19" w:rsidRPr="008D2561" w:rsidRDefault="00AA4B19" w:rsidP="008D2561">
      <w:pPr>
        <w:spacing w:before="0" w:after="160"/>
        <w:ind w:left="720" w:hanging="720"/>
        <w:rPr>
          <w:rFonts w:eastAsia="Aptos" w:cs="Arial"/>
          <w:noProof/>
          <w:sz w:val="22"/>
          <w:lang w:val="en-US"/>
        </w:rPr>
      </w:pPr>
    </w:p>
    <w:p w14:paraId="22D1E98B" w14:textId="0571B99D" w:rsidR="00500826" w:rsidRPr="00500826" w:rsidRDefault="00500826" w:rsidP="00500826">
      <w:pPr>
        <w:spacing w:before="0" w:after="160"/>
        <w:ind w:left="720" w:hanging="720"/>
        <w:rPr>
          <w:rFonts w:eastAsia="Aptos" w:cs="Arial"/>
          <w:noProof/>
          <w:sz w:val="22"/>
          <w:lang w:val="en-US"/>
        </w:rPr>
      </w:pPr>
      <w:r w:rsidRPr="00500826">
        <w:rPr>
          <w:rFonts w:eastAsia="Aptos" w:cs="Arial"/>
          <w:noProof/>
          <w:sz w:val="22"/>
          <w:lang w:val="en-US"/>
        </w:rPr>
        <w:t xml:space="preserve">World Health Organisation, UNICEF, &amp; World Bank Group. (2016, October). </w:t>
      </w:r>
      <w:r w:rsidRPr="00500826">
        <w:rPr>
          <w:rFonts w:eastAsia="Aptos" w:cs="Arial"/>
          <w:i/>
          <w:noProof/>
          <w:sz w:val="22"/>
          <w:lang w:val="en-US"/>
        </w:rPr>
        <w:t>Advancing early childhood development: from science to scale: An executive summary for The Lancet’s Series</w:t>
      </w:r>
      <w:r w:rsidRPr="00500826">
        <w:rPr>
          <w:rFonts w:eastAsia="Aptos" w:cs="Arial"/>
          <w:noProof/>
          <w:sz w:val="22"/>
          <w:lang w:val="en-US"/>
        </w:rPr>
        <w:t xml:space="preserve">. The Lancet. Retrieved 6 September, 2024 from </w:t>
      </w:r>
      <w:hyperlink r:id="rId680" w:history="1">
        <w:r w:rsidR="006C2502" w:rsidRPr="00500826">
          <w:rPr>
            <w:rStyle w:val="Hyperlink"/>
            <w:rFonts w:eastAsia="Aptos" w:cs="Arial"/>
            <w:noProof/>
            <w:sz w:val="22"/>
            <w:lang w:val="en-US"/>
          </w:rPr>
          <w:t>https://www.thelancet.com/pb-assets/Lancet/stories/series/ecd/Lancet_ECD_Executive_Summary-1507044811487.pdf</w:t>
        </w:r>
      </w:hyperlink>
      <w:r w:rsidR="006C2502">
        <w:rPr>
          <w:rFonts w:eastAsia="Aptos" w:cs="Arial"/>
          <w:noProof/>
          <w:sz w:val="22"/>
          <w:lang w:val="en-US"/>
        </w:rPr>
        <w:t xml:space="preserve"> </w:t>
      </w:r>
    </w:p>
    <w:p w14:paraId="69F94672" w14:textId="77777777" w:rsidR="00500826" w:rsidRPr="00500826" w:rsidRDefault="00500826" w:rsidP="00500826">
      <w:pPr>
        <w:spacing w:before="0" w:after="0"/>
        <w:ind w:left="720" w:hanging="720"/>
        <w:rPr>
          <w:rFonts w:eastAsia="Aptos" w:cs="Arial"/>
          <w:noProof/>
          <w:sz w:val="22"/>
          <w:lang w:val="en-US"/>
        </w:rPr>
      </w:pPr>
      <w:r w:rsidRPr="00500826">
        <w:rPr>
          <w:rFonts w:eastAsia="Aptos" w:cs="Arial"/>
          <w:noProof/>
          <w:sz w:val="22"/>
          <w:lang w:val="en-US"/>
        </w:rPr>
        <w:tab/>
      </w:r>
    </w:p>
    <w:p w14:paraId="1B107229" w14:textId="53E687DA" w:rsidR="00500826" w:rsidRPr="00500826" w:rsidRDefault="00500826" w:rsidP="00500826">
      <w:pPr>
        <w:spacing w:before="0" w:after="160"/>
        <w:ind w:left="720" w:hanging="720"/>
        <w:rPr>
          <w:rFonts w:eastAsia="Aptos" w:cs="Arial"/>
          <w:noProof/>
          <w:sz w:val="22"/>
          <w:lang w:val="en-US"/>
        </w:rPr>
      </w:pPr>
      <w:r w:rsidRPr="00500826">
        <w:rPr>
          <w:rFonts w:eastAsia="Aptos" w:cs="Arial"/>
          <w:noProof/>
          <w:sz w:val="22"/>
          <w:lang w:val="en-US"/>
        </w:rPr>
        <w:t xml:space="preserve">World Health Organization. (2001). </w:t>
      </w:r>
      <w:r w:rsidRPr="00500826">
        <w:rPr>
          <w:rFonts w:eastAsia="Aptos" w:cs="Arial"/>
          <w:i/>
          <w:noProof/>
          <w:sz w:val="22"/>
          <w:lang w:val="en-US"/>
        </w:rPr>
        <w:t>International Classification of Functioning, Disability, and Health: ICF.</w:t>
      </w:r>
      <w:r w:rsidRPr="00500826">
        <w:rPr>
          <w:rFonts w:eastAsia="Aptos" w:cs="Arial"/>
          <w:noProof/>
          <w:sz w:val="22"/>
          <w:lang w:val="en-US"/>
        </w:rPr>
        <w:t xml:space="preserve"> Geneva, Switzerland: World Health Organization. </w:t>
      </w:r>
      <w:hyperlink r:id="rId681" w:history="1">
        <w:r w:rsidR="006C2502" w:rsidRPr="00500826">
          <w:rPr>
            <w:rStyle w:val="Hyperlink"/>
            <w:rFonts w:eastAsia="Aptos" w:cs="Arial"/>
            <w:noProof/>
            <w:sz w:val="22"/>
            <w:lang w:val="en-US"/>
          </w:rPr>
          <w:t>https://apps.who.int/classifications/icfbrowser/</w:t>
        </w:r>
      </w:hyperlink>
      <w:r w:rsidR="006C2502">
        <w:rPr>
          <w:rFonts w:eastAsia="Aptos" w:cs="Arial"/>
          <w:noProof/>
          <w:sz w:val="22"/>
          <w:lang w:val="en-US"/>
        </w:rPr>
        <w:t xml:space="preserve"> </w:t>
      </w:r>
      <w:r w:rsidRPr="00500826">
        <w:rPr>
          <w:rFonts w:eastAsia="Aptos" w:cs="Arial"/>
          <w:noProof/>
          <w:sz w:val="22"/>
          <w:lang w:val="en-US"/>
        </w:rPr>
        <w:t xml:space="preserve"> </w:t>
      </w:r>
    </w:p>
    <w:p w14:paraId="60F85434" w14:textId="77777777" w:rsidR="00500826" w:rsidRPr="00500826" w:rsidRDefault="00500826" w:rsidP="00500826">
      <w:pPr>
        <w:spacing w:before="0" w:after="0"/>
        <w:ind w:left="720" w:hanging="720"/>
        <w:rPr>
          <w:rFonts w:eastAsia="Aptos" w:cs="Arial"/>
          <w:noProof/>
          <w:sz w:val="22"/>
          <w:lang w:val="en-US"/>
        </w:rPr>
      </w:pPr>
      <w:r w:rsidRPr="00500826">
        <w:rPr>
          <w:rFonts w:eastAsia="Aptos" w:cs="Arial"/>
          <w:noProof/>
          <w:sz w:val="22"/>
          <w:lang w:val="en-US"/>
        </w:rPr>
        <w:tab/>
      </w:r>
    </w:p>
    <w:p w14:paraId="31C32968" w14:textId="19CF3F53" w:rsidR="00500826" w:rsidRPr="00500826" w:rsidRDefault="00500826" w:rsidP="00500826">
      <w:pPr>
        <w:spacing w:before="0" w:after="160"/>
        <w:ind w:left="720" w:hanging="720"/>
        <w:rPr>
          <w:rFonts w:eastAsia="Aptos" w:cs="Arial"/>
          <w:noProof/>
          <w:sz w:val="22"/>
          <w:lang w:val="en-US"/>
        </w:rPr>
      </w:pPr>
      <w:r w:rsidRPr="00500826">
        <w:rPr>
          <w:rFonts w:eastAsia="Aptos" w:cs="Arial"/>
          <w:noProof/>
          <w:sz w:val="22"/>
          <w:lang w:val="en-US"/>
        </w:rPr>
        <w:t xml:space="preserve">World Health Organization. (2007). </w:t>
      </w:r>
      <w:r w:rsidRPr="00500826">
        <w:rPr>
          <w:rFonts w:eastAsia="Aptos" w:cs="Arial"/>
          <w:i/>
          <w:noProof/>
          <w:sz w:val="22"/>
          <w:lang w:val="en-US"/>
        </w:rPr>
        <w:t>International Classification of Functioning, Disability, and Health: Children &amp; Youth Version: ICF-CY.</w:t>
      </w:r>
      <w:r w:rsidRPr="00500826">
        <w:rPr>
          <w:rFonts w:eastAsia="Aptos" w:cs="Arial"/>
          <w:noProof/>
          <w:sz w:val="22"/>
          <w:lang w:val="en-US"/>
        </w:rPr>
        <w:t xml:space="preserve"> Geneva, Switzerland: World Health Organization. </w:t>
      </w:r>
      <w:hyperlink r:id="rId682" w:history="1">
        <w:r w:rsidR="006C2502" w:rsidRPr="00500826">
          <w:rPr>
            <w:rStyle w:val="Hyperlink"/>
            <w:rFonts w:eastAsia="Aptos" w:cs="Arial"/>
            <w:noProof/>
            <w:sz w:val="22"/>
            <w:lang w:val="en-US"/>
          </w:rPr>
          <w:t>http://www.who.int/classifications/icf/en/</w:t>
        </w:r>
      </w:hyperlink>
      <w:r w:rsidR="006C2502">
        <w:rPr>
          <w:rFonts w:eastAsia="Aptos" w:cs="Arial"/>
          <w:noProof/>
          <w:sz w:val="22"/>
          <w:lang w:val="en-US"/>
        </w:rPr>
        <w:t xml:space="preserve"> </w:t>
      </w:r>
      <w:r w:rsidRPr="00500826">
        <w:rPr>
          <w:rFonts w:eastAsia="Aptos" w:cs="Arial"/>
          <w:noProof/>
          <w:sz w:val="22"/>
          <w:lang w:val="en-US"/>
        </w:rPr>
        <w:t xml:space="preserve"> </w:t>
      </w:r>
    </w:p>
    <w:p w14:paraId="27183E71" w14:textId="77777777" w:rsidR="00500826" w:rsidRPr="00500826" w:rsidRDefault="00500826" w:rsidP="00500826">
      <w:pPr>
        <w:spacing w:before="0" w:after="0"/>
        <w:ind w:left="720" w:hanging="720"/>
        <w:rPr>
          <w:rFonts w:eastAsia="Aptos" w:cs="Arial"/>
          <w:noProof/>
          <w:sz w:val="22"/>
          <w:lang w:val="en-US"/>
        </w:rPr>
      </w:pPr>
      <w:r w:rsidRPr="00500826">
        <w:rPr>
          <w:rFonts w:eastAsia="Aptos" w:cs="Arial"/>
          <w:noProof/>
          <w:sz w:val="22"/>
          <w:lang w:val="en-US"/>
        </w:rPr>
        <w:tab/>
      </w:r>
    </w:p>
    <w:p w14:paraId="68204FB6" w14:textId="599CA615" w:rsidR="00500826" w:rsidRPr="00500826" w:rsidRDefault="00500826" w:rsidP="00500826">
      <w:pPr>
        <w:spacing w:before="0" w:after="160"/>
        <w:ind w:left="720" w:hanging="720"/>
        <w:rPr>
          <w:rFonts w:eastAsia="Aptos" w:cs="Arial"/>
          <w:noProof/>
          <w:sz w:val="22"/>
          <w:lang w:val="en-US"/>
        </w:rPr>
      </w:pPr>
      <w:r w:rsidRPr="00500826">
        <w:rPr>
          <w:rFonts w:eastAsia="Aptos" w:cs="Arial"/>
          <w:noProof/>
          <w:sz w:val="22"/>
          <w:lang w:val="en-US"/>
        </w:rPr>
        <w:t xml:space="preserve">World Health Organization. (2008). </w:t>
      </w:r>
      <w:r w:rsidRPr="00500826">
        <w:rPr>
          <w:rFonts w:eastAsia="Aptos" w:cs="Arial"/>
          <w:i/>
          <w:noProof/>
          <w:sz w:val="22"/>
          <w:lang w:val="en-US"/>
        </w:rPr>
        <w:t>Closing the gap in a generation: Health equity through action on the social determinants of health</w:t>
      </w:r>
      <w:r w:rsidRPr="00500826">
        <w:rPr>
          <w:rFonts w:eastAsia="Aptos" w:cs="Arial"/>
          <w:noProof/>
          <w:sz w:val="22"/>
          <w:lang w:val="en-US"/>
        </w:rPr>
        <w:t xml:space="preserve">. Geneva, Switzerland: WHO Press. Retrieved 6 September, 2024 from </w:t>
      </w:r>
      <w:hyperlink r:id="rId683" w:history="1">
        <w:r w:rsidR="006C2502" w:rsidRPr="00500826">
          <w:rPr>
            <w:rStyle w:val="Hyperlink"/>
            <w:rFonts w:eastAsia="Aptos" w:cs="Arial"/>
            <w:noProof/>
            <w:sz w:val="22"/>
            <w:lang w:val="en-US"/>
          </w:rPr>
          <w:t>https://iris.who.int/bitstream/handle/10665/69832/WHO_IER_CSDH_08.1_eng.pdf?sequence=1</w:t>
        </w:r>
      </w:hyperlink>
      <w:r w:rsidR="006C2502">
        <w:rPr>
          <w:rFonts w:eastAsia="Aptos" w:cs="Arial"/>
          <w:noProof/>
          <w:sz w:val="22"/>
          <w:lang w:val="en-US"/>
        </w:rPr>
        <w:t xml:space="preserve"> </w:t>
      </w:r>
    </w:p>
    <w:p w14:paraId="3A9EF114" w14:textId="77777777" w:rsidR="00500826" w:rsidRPr="00500826" w:rsidRDefault="00500826" w:rsidP="00500826">
      <w:pPr>
        <w:spacing w:before="0" w:after="0"/>
        <w:ind w:left="720" w:hanging="720"/>
        <w:rPr>
          <w:rFonts w:eastAsia="Aptos" w:cs="Arial"/>
          <w:noProof/>
          <w:sz w:val="22"/>
          <w:lang w:val="en-US"/>
        </w:rPr>
      </w:pPr>
      <w:r w:rsidRPr="00500826">
        <w:rPr>
          <w:rFonts w:eastAsia="Aptos" w:cs="Arial"/>
          <w:noProof/>
          <w:sz w:val="22"/>
          <w:lang w:val="en-US"/>
        </w:rPr>
        <w:tab/>
      </w:r>
    </w:p>
    <w:p w14:paraId="7E935EAF" w14:textId="4DF40FA4" w:rsidR="00500826" w:rsidRPr="00500826" w:rsidRDefault="00500826" w:rsidP="00500826">
      <w:pPr>
        <w:spacing w:before="0" w:after="160"/>
        <w:ind w:left="720" w:hanging="720"/>
        <w:rPr>
          <w:rFonts w:eastAsia="Aptos" w:cs="Arial"/>
          <w:noProof/>
          <w:sz w:val="22"/>
          <w:lang w:val="en-US"/>
        </w:rPr>
      </w:pPr>
      <w:r w:rsidRPr="00500826">
        <w:rPr>
          <w:rFonts w:eastAsia="Aptos" w:cs="Arial"/>
          <w:noProof/>
          <w:sz w:val="22"/>
          <w:lang w:val="en-US"/>
        </w:rPr>
        <w:t xml:space="preserve">World Health Organization. (2016, 15 April). </w:t>
      </w:r>
      <w:r w:rsidRPr="00500826">
        <w:rPr>
          <w:rFonts w:eastAsia="Aptos" w:cs="Arial"/>
          <w:i/>
          <w:noProof/>
          <w:sz w:val="22"/>
          <w:lang w:val="en-US"/>
        </w:rPr>
        <w:t>Framework on integrated, people-centred health services</w:t>
      </w:r>
      <w:r w:rsidRPr="00500826">
        <w:rPr>
          <w:rFonts w:eastAsia="Aptos" w:cs="Arial"/>
          <w:noProof/>
          <w:sz w:val="22"/>
          <w:lang w:val="en-US"/>
        </w:rPr>
        <w:t xml:space="preserve">. World Health Organization. Retrieved 6 September, 2024 from </w:t>
      </w:r>
      <w:hyperlink r:id="rId684" w:history="1">
        <w:r w:rsidR="006C2502" w:rsidRPr="00500826">
          <w:rPr>
            <w:rStyle w:val="Hyperlink"/>
            <w:rFonts w:eastAsia="Aptos" w:cs="Arial"/>
            <w:noProof/>
            <w:sz w:val="22"/>
            <w:lang w:val="en-US"/>
          </w:rPr>
          <w:t>https://apps.who.int/gb/ebwha/pdf_files/WHA69/A69_39-en.pdf?ua=1</w:t>
        </w:r>
      </w:hyperlink>
      <w:r w:rsidR="006C2502">
        <w:rPr>
          <w:rFonts w:eastAsia="Aptos" w:cs="Arial"/>
          <w:noProof/>
          <w:sz w:val="22"/>
          <w:lang w:val="en-US"/>
        </w:rPr>
        <w:t xml:space="preserve"> </w:t>
      </w:r>
    </w:p>
    <w:p w14:paraId="089D7C4F" w14:textId="3496AEA0" w:rsidR="009D2908" w:rsidRPr="009D2908" w:rsidRDefault="009D2908" w:rsidP="009D2908">
      <w:pPr>
        <w:spacing w:before="0" w:after="160"/>
        <w:ind w:left="720" w:hanging="720"/>
        <w:rPr>
          <w:rFonts w:eastAsia="Aptos" w:cs="Arial"/>
          <w:noProof/>
          <w:sz w:val="22"/>
          <w:lang w:val="en-US"/>
        </w:rPr>
      </w:pPr>
      <w:r w:rsidRPr="009D2908">
        <w:rPr>
          <w:rFonts w:eastAsia="Aptos" w:cs="Arial"/>
          <w:noProof/>
          <w:sz w:val="22"/>
          <w:lang w:val="en-US"/>
        </w:rPr>
        <w:t xml:space="preserve">World Health Organization, &amp; United Nations Children's Fund. (2023). </w:t>
      </w:r>
      <w:r w:rsidRPr="009D2908">
        <w:rPr>
          <w:rFonts w:eastAsia="Aptos" w:cs="Arial"/>
          <w:i/>
          <w:noProof/>
          <w:sz w:val="22"/>
          <w:lang w:val="en-US"/>
        </w:rPr>
        <w:t>Global report on children with developmental disabilities: from the margins to the mainstream</w:t>
      </w:r>
      <w:r w:rsidRPr="009D2908">
        <w:rPr>
          <w:rFonts w:eastAsia="Aptos" w:cs="Arial"/>
          <w:noProof/>
          <w:sz w:val="22"/>
          <w:lang w:val="en-US"/>
        </w:rPr>
        <w:t xml:space="preserve">. Geneva, Switzerland: World Health Organization and the United Nations Children’s Fund (UNICEF). Retrieved 6 September, 2024 from </w:t>
      </w:r>
      <w:hyperlink r:id="rId685" w:history="1">
        <w:r w:rsidR="006C2502" w:rsidRPr="009D2908">
          <w:rPr>
            <w:rStyle w:val="Hyperlink"/>
            <w:rFonts w:eastAsia="Aptos" w:cs="Arial"/>
            <w:noProof/>
            <w:sz w:val="22"/>
            <w:lang w:val="en-US"/>
          </w:rPr>
          <w:t>https://www.who.int/publications/i/item/9789240080539</w:t>
        </w:r>
      </w:hyperlink>
      <w:r w:rsidR="006C2502">
        <w:rPr>
          <w:rFonts w:eastAsia="Aptos" w:cs="Arial"/>
          <w:noProof/>
          <w:sz w:val="22"/>
          <w:lang w:val="en-US"/>
        </w:rPr>
        <w:t xml:space="preserve"> </w:t>
      </w:r>
    </w:p>
    <w:p w14:paraId="1CB69727" w14:textId="77777777" w:rsidR="009D2908" w:rsidRPr="009D2908" w:rsidRDefault="009D2908" w:rsidP="009D2908">
      <w:pPr>
        <w:spacing w:before="0" w:after="0"/>
        <w:ind w:left="720" w:hanging="720"/>
        <w:rPr>
          <w:rFonts w:eastAsia="Aptos" w:cs="Arial"/>
          <w:noProof/>
          <w:sz w:val="22"/>
          <w:lang w:val="en-US"/>
        </w:rPr>
      </w:pPr>
      <w:r w:rsidRPr="009D2908">
        <w:rPr>
          <w:rFonts w:eastAsia="Aptos" w:cs="Arial"/>
          <w:noProof/>
          <w:sz w:val="22"/>
          <w:lang w:val="en-US"/>
        </w:rPr>
        <w:tab/>
      </w:r>
    </w:p>
    <w:p w14:paraId="23D16C57" w14:textId="2E9BEF51" w:rsidR="009D2908" w:rsidRPr="009D2908" w:rsidRDefault="009D2908" w:rsidP="009D2908">
      <w:pPr>
        <w:spacing w:before="0" w:after="160"/>
        <w:ind w:left="720" w:hanging="720"/>
        <w:rPr>
          <w:rFonts w:eastAsia="Aptos" w:cs="Arial"/>
          <w:noProof/>
          <w:sz w:val="22"/>
          <w:lang w:val="en-US"/>
        </w:rPr>
      </w:pPr>
      <w:r w:rsidRPr="00066E21">
        <w:rPr>
          <w:rFonts w:eastAsia="Aptos" w:cs="Arial"/>
          <w:noProof/>
          <w:sz w:val="22"/>
          <w:lang w:val="en-US"/>
        </w:rPr>
        <w:t xml:space="preserve">World Health Organization, &amp; United Nations Children's Fund (‎UNICEF)‎. (2012). </w:t>
      </w:r>
      <w:r w:rsidRPr="00066E21">
        <w:rPr>
          <w:rFonts w:eastAsia="Aptos" w:cs="Arial"/>
          <w:i/>
          <w:noProof/>
          <w:sz w:val="22"/>
          <w:lang w:val="en-US"/>
        </w:rPr>
        <w:t>Early childhood development and disability: A discussion paper</w:t>
      </w:r>
      <w:r w:rsidRPr="00066E21">
        <w:rPr>
          <w:rFonts w:eastAsia="Aptos" w:cs="Arial"/>
          <w:noProof/>
          <w:sz w:val="22"/>
          <w:lang w:val="en-US"/>
        </w:rPr>
        <w:t xml:space="preserve">. World Health Organization. Retrieved 6 September, 2024 from </w:t>
      </w:r>
      <w:hyperlink r:id="rId686" w:history="1">
        <w:r w:rsidR="006C2502" w:rsidRPr="00326476">
          <w:rPr>
            <w:rStyle w:val="Hyperlink"/>
            <w:rFonts w:eastAsia="Aptos" w:cs="Arial"/>
            <w:noProof/>
            <w:sz w:val="22"/>
            <w:lang w:val="en-US"/>
          </w:rPr>
          <w:t>https://iris.who.int/handle/10665/75355</w:t>
        </w:r>
      </w:hyperlink>
      <w:r w:rsidR="006C2502">
        <w:rPr>
          <w:rFonts w:eastAsia="Aptos" w:cs="Arial"/>
          <w:noProof/>
          <w:sz w:val="22"/>
          <w:lang w:val="en-US"/>
        </w:rPr>
        <w:t xml:space="preserve"> </w:t>
      </w:r>
    </w:p>
    <w:p w14:paraId="34360FC9" w14:textId="77777777" w:rsidR="009D2908" w:rsidRPr="009D2908" w:rsidRDefault="009D2908" w:rsidP="009D2908">
      <w:pPr>
        <w:spacing w:before="0" w:after="0"/>
        <w:ind w:left="720" w:hanging="720"/>
        <w:rPr>
          <w:rFonts w:eastAsia="Aptos" w:cs="Arial"/>
          <w:noProof/>
          <w:sz w:val="22"/>
          <w:lang w:val="en-US"/>
        </w:rPr>
      </w:pPr>
      <w:r w:rsidRPr="009D2908">
        <w:rPr>
          <w:rFonts w:eastAsia="Aptos" w:cs="Arial"/>
          <w:noProof/>
          <w:sz w:val="22"/>
          <w:lang w:val="en-US"/>
        </w:rPr>
        <w:tab/>
      </w:r>
    </w:p>
    <w:p w14:paraId="1908651E" w14:textId="37C85ACF" w:rsidR="009D2908" w:rsidRPr="009D2908" w:rsidRDefault="009D2908" w:rsidP="009D2908">
      <w:pPr>
        <w:spacing w:before="0" w:after="160"/>
        <w:ind w:left="720" w:hanging="720"/>
        <w:rPr>
          <w:rFonts w:eastAsia="Aptos" w:cs="Arial"/>
          <w:noProof/>
          <w:sz w:val="22"/>
          <w:lang w:val="en-US"/>
        </w:rPr>
      </w:pPr>
      <w:r w:rsidRPr="009D2908">
        <w:rPr>
          <w:rFonts w:eastAsia="Aptos" w:cs="Arial"/>
          <w:noProof/>
          <w:sz w:val="22"/>
          <w:lang w:val="en-US"/>
        </w:rPr>
        <w:t xml:space="preserve">World Health Organization, United Nations Children’s Fund, &amp; World Bank Group. (2018). </w:t>
      </w:r>
      <w:r w:rsidRPr="009D2908">
        <w:rPr>
          <w:rFonts w:eastAsia="Aptos" w:cs="Arial"/>
          <w:i/>
          <w:noProof/>
          <w:sz w:val="22"/>
          <w:lang w:val="en-US"/>
        </w:rPr>
        <w:t>Nurturing care for early childhood development: a framework for helping children survive and thrive to transform health and human potential.</w:t>
      </w:r>
      <w:r w:rsidRPr="009D2908">
        <w:rPr>
          <w:rFonts w:eastAsia="Aptos" w:cs="Arial"/>
          <w:noProof/>
          <w:sz w:val="22"/>
          <w:lang w:val="en-US"/>
        </w:rPr>
        <w:t xml:space="preserve"> Geneva, Switzerland: World Health Organization. Retrieved 6 September, 2024 from </w:t>
      </w:r>
      <w:hyperlink r:id="rId687" w:history="1">
        <w:r w:rsidR="006C2502" w:rsidRPr="009D2908">
          <w:rPr>
            <w:rStyle w:val="Hyperlink"/>
            <w:rFonts w:eastAsia="Aptos" w:cs="Arial"/>
            <w:noProof/>
            <w:sz w:val="22"/>
            <w:lang w:val="en-US"/>
          </w:rPr>
          <w:t>https://iris.who.int/bitstream/handle/10665/272603/9789241514064-eng.pdf</w:t>
        </w:r>
      </w:hyperlink>
      <w:r w:rsidR="006C2502">
        <w:rPr>
          <w:rFonts w:eastAsia="Aptos" w:cs="Arial"/>
          <w:noProof/>
          <w:sz w:val="22"/>
          <w:lang w:val="en-US"/>
        </w:rPr>
        <w:t xml:space="preserve"> </w:t>
      </w:r>
    </w:p>
    <w:p w14:paraId="721BF43B" w14:textId="77777777" w:rsidR="009D2908" w:rsidRPr="009D2908" w:rsidRDefault="009D2908" w:rsidP="009D2908">
      <w:pPr>
        <w:spacing w:before="0" w:after="0"/>
        <w:ind w:left="720" w:hanging="720"/>
        <w:rPr>
          <w:rFonts w:eastAsia="Aptos" w:cs="Arial"/>
          <w:noProof/>
          <w:sz w:val="22"/>
          <w:lang w:val="en-US"/>
        </w:rPr>
      </w:pPr>
      <w:r w:rsidRPr="009D2908">
        <w:rPr>
          <w:rFonts w:eastAsia="Aptos" w:cs="Arial"/>
          <w:noProof/>
          <w:sz w:val="22"/>
          <w:lang w:val="en-US"/>
        </w:rPr>
        <w:tab/>
      </w:r>
    </w:p>
    <w:p w14:paraId="35756E73" w14:textId="07B17CBD" w:rsidR="009D2908" w:rsidRPr="009D2908" w:rsidRDefault="009D2908" w:rsidP="009D2908">
      <w:pPr>
        <w:spacing w:before="0" w:after="160"/>
        <w:ind w:left="720" w:hanging="720"/>
        <w:rPr>
          <w:rFonts w:eastAsia="Aptos" w:cs="Arial"/>
          <w:noProof/>
          <w:sz w:val="22"/>
          <w:lang w:val="en-US"/>
        </w:rPr>
      </w:pPr>
      <w:r w:rsidRPr="009D2908">
        <w:rPr>
          <w:rFonts w:eastAsia="Aptos" w:cs="Arial"/>
          <w:noProof/>
          <w:sz w:val="22"/>
          <w:lang w:val="en-US"/>
        </w:rPr>
        <w:t xml:space="preserve">Wright, A., Hiebert-Murphy, D., &amp; Trute, B. (2010). Professionals' perspectives on organizational factors that support or hinder the successful implementation of family-centered practice. </w:t>
      </w:r>
      <w:r w:rsidRPr="009D2908">
        <w:rPr>
          <w:rFonts w:eastAsia="Aptos" w:cs="Arial"/>
          <w:i/>
          <w:noProof/>
          <w:sz w:val="22"/>
          <w:lang w:val="en-US"/>
        </w:rPr>
        <w:t>Journal of Family Social Work</w:t>
      </w:r>
      <w:r w:rsidRPr="009D2908">
        <w:rPr>
          <w:rFonts w:eastAsia="Aptos" w:cs="Arial"/>
          <w:noProof/>
          <w:sz w:val="22"/>
          <w:lang w:val="en-US"/>
        </w:rPr>
        <w:t>,</w:t>
      </w:r>
      <w:r w:rsidRPr="009D2908">
        <w:rPr>
          <w:rFonts w:eastAsia="Aptos" w:cs="Arial"/>
          <w:i/>
          <w:noProof/>
          <w:sz w:val="22"/>
          <w:lang w:val="en-US"/>
        </w:rPr>
        <w:t xml:space="preserve"> 13</w:t>
      </w:r>
      <w:r w:rsidRPr="009D2908">
        <w:rPr>
          <w:rFonts w:eastAsia="Aptos" w:cs="Arial"/>
          <w:noProof/>
          <w:sz w:val="22"/>
          <w:lang w:val="en-US"/>
        </w:rPr>
        <w:t xml:space="preserve">(2), 114-130. </w:t>
      </w:r>
      <w:hyperlink r:id="rId688" w:history="1">
        <w:r w:rsidR="006C2502" w:rsidRPr="009D2908">
          <w:rPr>
            <w:rStyle w:val="Hyperlink"/>
            <w:rFonts w:eastAsia="Aptos" w:cs="Arial"/>
            <w:noProof/>
            <w:sz w:val="22"/>
            <w:lang w:val="en-US"/>
          </w:rPr>
          <w:t>https://doi.org/10.1080/10522150903503036</w:t>
        </w:r>
      </w:hyperlink>
      <w:r w:rsidR="006C2502">
        <w:rPr>
          <w:rFonts w:eastAsia="Aptos" w:cs="Arial"/>
          <w:noProof/>
          <w:sz w:val="22"/>
          <w:lang w:val="en-US"/>
        </w:rPr>
        <w:t xml:space="preserve"> </w:t>
      </w:r>
      <w:r w:rsidRPr="009D2908">
        <w:rPr>
          <w:rFonts w:eastAsia="Aptos" w:cs="Arial"/>
          <w:noProof/>
          <w:sz w:val="22"/>
          <w:lang w:val="en-US"/>
        </w:rPr>
        <w:t xml:space="preserve"> </w:t>
      </w:r>
    </w:p>
    <w:p w14:paraId="23B1AA36" w14:textId="77777777" w:rsidR="00A36D0B" w:rsidRPr="00A36D0B" w:rsidRDefault="00A36D0B" w:rsidP="00A36D0B">
      <w:pPr>
        <w:spacing w:before="0" w:after="160"/>
        <w:ind w:left="720" w:hanging="720"/>
        <w:rPr>
          <w:rFonts w:eastAsia="Aptos" w:cs="Arial"/>
          <w:noProof/>
          <w:sz w:val="22"/>
          <w:lang w:val="en-US"/>
        </w:rPr>
      </w:pPr>
      <w:r w:rsidRPr="00A36D0B">
        <w:rPr>
          <w:rFonts w:eastAsia="Aptos" w:cs="Arial"/>
          <w:noProof/>
          <w:sz w:val="22"/>
          <w:lang w:val="en-US"/>
        </w:rPr>
        <w:t xml:space="preserve">Wylie, P., Lawson, W., &amp; Beardon, L. (2015). </w:t>
      </w:r>
      <w:r w:rsidRPr="00A36D0B">
        <w:rPr>
          <w:rFonts w:eastAsia="Aptos" w:cs="Arial"/>
          <w:i/>
          <w:noProof/>
          <w:sz w:val="22"/>
          <w:lang w:val="en-US"/>
        </w:rPr>
        <w:t>The nine degrees of autism: A developmental model for the alignment and reconciliation of hidden neurological conditions</w:t>
      </w:r>
      <w:r w:rsidRPr="00A36D0B">
        <w:rPr>
          <w:rFonts w:eastAsia="Aptos" w:cs="Arial"/>
          <w:noProof/>
          <w:sz w:val="22"/>
          <w:lang w:val="en-US"/>
        </w:rPr>
        <w:t xml:space="preserve">. Abingdon, Oxford, UK: Routledge. </w:t>
      </w:r>
    </w:p>
    <w:p w14:paraId="71DB8EF7" w14:textId="77777777" w:rsidR="00A36D0B" w:rsidRPr="00A36D0B" w:rsidRDefault="00A36D0B" w:rsidP="00A36D0B">
      <w:pPr>
        <w:spacing w:before="0" w:after="0"/>
        <w:ind w:left="720" w:hanging="720"/>
        <w:rPr>
          <w:rFonts w:eastAsia="Aptos" w:cs="Arial"/>
          <w:noProof/>
          <w:sz w:val="22"/>
          <w:lang w:val="en-US"/>
        </w:rPr>
      </w:pPr>
      <w:r w:rsidRPr="00A36D0B">
        <w:rPr>
          <w:rFonts w:eastAsia="Aptos" w:cs="Arial"/>
          <w:noProof/>
          <w:sz w:val="22"/>
          <w:lang w:val="en-US"/>
        </w:rPr>
        <w:tab/>
      </w:r>
    </w:p>
    <w:p w14:paraId="0F088029" w14:textId="3DF63398" w:rsidR="00A36D0B" w:rsidRPr="00A36D0B" w:rsidRDefault="00A36D0B" w:rsidP="00A36D0B">
      <w:pPr>
        <w:spacing w:before="0" w:after="160"/>
        <w:ind w:left="720" w:hanging="720"/>
        <w:rPr>
          <w:rFonts w:eastAsia="Aptos" w:cs="Arial"/>
          <w:noProof/>
          <w:sz w:val="22"/>
          <w:lang w:val="en-US"/>
        </w:rPr>
      </w:pPr>
      <w:r w:rsidRPr="00A36D0B">
        <w:rPr>
          <w:rFonts w:eastAsia="Aptos" w:cs="Arial"/>
          <w:noProof/>
          <w:sz w:val="22"/>
          <w:lang w:val="en-US"/>
        </w:rPr>
        <w:t xml:space="preserve">Yamoah, J., &amp; Brown, L. (2023). Understanding the types of social support that can mitigate parental burnout in mothers of children with medical complexity. </w:t>
      </w:r>
      <w:r w:rsidRPr="00A36D0B">
        <w:rPr>
          <w:rFonts w:eastAsia="Aptos" w:cs="Arial"/>
          <w:i/>
          <w:noProof/>
          <w:sz w:val="22"/>
          <w:lang w:val="en-US"/>
        </w:rPr>
        <w:t>Child: care, health and development</w:t>
      </w:r>
      <w:r w:rsidRPr="00A36D0B">
        <w:rPr>
          <w:rFonts w:eastAsia="Aptos" w:cs="Arial"/>
          <w:noProof/>
          <w:sz w:val="22"/>
          <w:lang w:val="en-US"/>
        </w:rPr>
        <w:t>,</w:t>
      </w:r>
      <w:r w:rsidRPr="00A36D0B">
        <w:rPr>
          <w:rFonts w:eastAsia="Aptos" w:cs="Arial"/>
          <w:i/>
          <w:noProof/>
          <w:sz w:val="22"/>
          <w:lang w:val="en-US"/>
        </w:rPr>
        <w:t xml:space="preserve"> 49</w:t>
      </w:r>
      <w:r w:rsidRPr="00A36D0B">
        <w:rPr>
          <w:rFonts w:eastAsia="Aptos" w:cs="Arial"/>
          <w:noProof/>
          <w:sz w:val="22"/>
          <w:lang w:val="en-US"/>
        </w:rPr>
        <w:t xml:space="preserve">(4), 732-739. </w:t>
      </w:r>
      <w:hyperlink r:id="rId689" w:history="1">
        <w:r w:rsidR="006C2502" w:rsidRPr="00A36D0B">
          <w:rPr>
            <w:rStyle w:val="Hyperlink"/>
            <w:rFonts w:eastAsia="Aptos" w:cs="Arial"/>
            <w:noProof/>
            <w:sz w:val="22"/>
            <w:lang w:val="en-US"/>
          </w:rPr>
          <w:t>https://doi.org/10.1111/cch.13087</w:t>
        </w:r>
      </w:hyperlink>
      <w:r w:rsidR="006C2502">
        <w:rPr>
          <w:rFonts w:eastAsia="Aptos" w:cs="Arial"/>
          <w:noProof/>
          <w:sz w:val="22"/>
          <w:lang w:val="en-US"/>
        </w:rPr>
        <w:t xml:space="preserve"> </w:t>
      </w:r>
      <w:r w:rsidRPr="00A36D0B">
        <w:rPr>
          <w:rFonts w:eastAsia="Aptos" w:cs="Arial"/>
          <w:noProof/>
          <w:sz w:val="22"/>
          <w:lang w:val="en-US"/>
        </w:rPr>
        <w:t xml:space="preserve"> </w:t>
      </w:r>
    </w:p>
    <w:p w14:paraId="5429640F" w14:textId="77777777" w:rsidR="00A36D0B" w:rsidRPr="00A36D0B" w:rsidRDefault="00A36D0B" w:rsidP="00A36D0B">
      <w:pPr>
        <w:spacing w:before="0" w:after="0"/>
        <w:ind w:left="720" w:hanging="720"/>
        <w:rPr>
          <w:rFonts w:eastAsia="Aptos" w:cs="Arial"/>
          <w:noProof/>
          <w:sz w:val="22"/>
          <w:lang w:val="en-US"/>
        </w:rPr>
      </w:pPr>
      <w:r w:rsidRPr="00A36D0B">
        <w:rPr>
          <w:rFonts w:eastAsia="Aptos" w:cs="Arial"/>
          <w:noProof/>
          <w:sz w:val="22"/>
          <w:lang w:val="en-US"/>
        </w:rPr>
        <w:tab/>
      </w:r>
    </w:p>
    <w:p w14:paraId="52F07202" w14:textId="0E675A04" w:rsidR="00A36D0B" w:rsidRPr="00A36D0B" w:rsidRDefault="00A36D0B" w:rsidP="00A36D0B">
      <w:pPr>
        <w:spacing w:before="0" w:after="160"/>
        <w:ind w:left="720" w:hanging="720"/>
        <w:rPr>
          <w:rFonts w:eastAsia="Aptos" w:cs="Arial"/>
          <w:noProof/>
          <w:sz w:val="22"/>
          <w:lang w:val="en-US"/>
        </w:rPr>
      </w:pPr>
      <w:r w:rsidRPr="00A36D0B">
        <w:rPr>
          <w:rFonts w:eastAsia="Aptos" w:cs="Arial"/>
          <w:noProof/>
          <w:sz w:val="22"/>
          <w:lang w:val="en-US"/>
        </w:rPr>
        <w:t xml:space="preserve">Yoshikawa, H., Aber, J. L., &amp; Beardslee, W. R. (2012). The effects of poverty on the mental, emotional, and behavioral health of children and youth: Implications for prevention. </w:t>
      </w:r>
      <w:r w:rsidRPr="00A36D0B">
        <w:rPr>
          <w:rFonts w:eastAsia="Aptos" w:cs="Arial"/>
          <w:i/>
          <w:noProof/>
          <w:sz w:val="22"/>
          <w:lang w:val="en-US"/>
        </w:rPr>
        <w:t>American psychologist</w:t>
      </w:r>
      <w:r w:rsidRPr="00A36D0B">
        <w:rPr>
          <w:rFonts w:eastAsia="Aptos" w:cs="Arial"/>
          <w:noProof/>
          <w:sz w:val="22"/>
          <w:lang w:val="en-US"/>
        </w:rPr>
        <w:t>,</w:t>
      </w:r>
      <w:r w:rsidRPr="00A36D0B">
        <w:rPr>
          <w:rFonts w:eastAsia="Aptos" w:cs="Arial"/>
          <w:i/>
          <w:noProof/>
          <w:sz w:val="22"/>
          <w:lang w:val="en-US"/>
        </w:rPr>
        <w:t xml:space="preserve"> 67</w:t>
      </w:r>
      <w:r w:rsidRPr="00A36D0B">
        <w:rPr>
          <w:rFonts w:eastAsia="Aptos" w:cs="Arial"/>
          <w:noProof/>
          <w:sz w:val="22"/>
          <w:lang w:val="en-US"/>
        </w:rPr>
        <w:t xml:space="preserve">(4), 272-284. </w:t>
      </w:r>
      <w:hyperlink r:id="rId690" w:history="1">
        <w:r w:rsidR="006C2502" w:rsidRPr="00A36D0B">
          <w:rPr>
            <w:rStyle w:val="Hyperlink"/>
            <w:rFonts w:eastAsia="Aptos" w:cs="Arial"/>
            <w:noProof/>
            <w:sz w:val="22"/>
            <w:lang w:val="en-US"/>
          </w:rPr>
          <w:t>https://doi.org/10.1037/a0028015</w:t>
        </w:r>
      </w:hyperlink>
      <w:r w:rsidR="006C2502">
        <w:rPr>
          <w:rFonts w:eastAsia="Aptos" w:cs="Arial"/>
          <w:noProof/>
          <w:sz w:val="22"/>
          <w:lang w:val="en-US"/>
        </w:rPr>
        <w:t xml:space="preserve"> </w:t>
      </w:r>
      <w:r w:rsidRPr="00A36D0B">
        <w:rPr>
          <w:rFonts w:eastAsia="Aptos" w:cs="Arial"/>
          <w:noProof/>
          <w:sz w:val="22"/>
          <w:lang w:val="en-US"/>
        </w:rPr>
        <w:t xml:space="preserve"> </w:t>
      </w:r>
    </w:p>
    <w:p w14:paraId="63DBFD94" w14:textId="77777777" w:rsidR="004E316F" w:rsidRPr="004E316F" w:rsidRDefault="004E316F" w:rsidP="004E316F">
      <w:pPr>
        <w:spacing w:before="0" w:after="160"/>
        <w:ind w:left="720" w:hanging="720"/>
        <w:rPr>
          <w:rFonts w:eastAsia="Aptos" w:cs="Arial"/>
          <w:noProof/>
          <w:sz w:val="22"/>
          <w:lang w:val="en-US"/>
        </w:rPr>
      </w:pPr>
      <w:r w:rsidRPr="004E316F">
        <w:rPr>
          <w:rFonts w:eastAsia="Aptos" w:cs="Arial"/>
          <w:noProof/>
          <w:sz w:val="22"/>
          <w:lang w:val="en-US"/>
        </w:rPr>
        <w:t xml:space="preserve">Zablotsky, B., Black, L. I., &amp; Blumberg, S. J. (2017). Estimated prevalence of children with diagnosed developmental disabilities in the United States, 2014-2016. </w:t>
      </w:r>
    </w:p>
    <w:p w14:paraId="099C139A" w14:textId="77777777" w:rsidR="004E316F" w:rsidRPr="004E316F" w:rsidRDefault="004E316F" w:rsidP="004E316F">
      <w:pPr>
        <w:spacing w:before="0" w:after="0"/>
        <w:ind w:left="720" w:hanging="720"/>
        <w:rPr>
          <w:rFonts w:eastAsia="Aptos" w:cs="Arial"/>
          <w:noProof/>
          <w:sz w:val="22"/>
          <w:lang w:val="en-US"/>
        </w:rPr>
      </w:pPr>
      <w:r w:rsidRPr="004E316F">
        <w:rPr>
          <w:rFonts w:eastAsia="Aptos" w:cs="Arial"/>
          <w:noProof/>
          <w:sz w:val="22"/>
          <w:lang w:val="en-US"/>
        </w:rPr>
        <w:tab/>
      </w:r>
    </w:p>
    <w:p w14:paraId="43A89F96" w14:textId="77777777" w:rsidR="004E316F" w:rsidRPr="004E316F" w:rsidRDefault="004E316F" w:rsidP="004E316F">
      <w:pPr>
        <w:spacing w:before="0" w:after="160"/>
        <w:ind w:left="720" w:hanging="720"/>
        <w:rPr>
          <w:rFonts w:eastAsia="Aptos" w:cs="Arial"/>
          <w:noProof/>
          <w:sz w:val="22"/>
          <w:lang w:val="en-US"/>
        </w:rPr>
      </w:pPr>
      <w:r w:rsidRPr="004E316F">
        <w:rPr>
          <w:rFonts w:eastAsia="Aptos" w:cs="Arial"/>
          <w:noProof/>
          <w:sz w:val="22"/>
          <w:lang w:val="en-US"/>
        </w:rPr>
        <w:t xml:space="preserve">Zeanah, C., &amp; Zeanah, P. (2019). Infant mental health; The science of early experience. In C. H. Zeanah (Ed.), </w:t>
      </w:r>
      <w:r w:rsidRPr="004E316F">
        <w:rPr>
          <w:rFonts w:eastAsia="Aptos" w:cs="Arial"/>
          <w:i/>
          <w:noProof/>
          <w:sz w:val="22"/>
          <w:lang w:val="en-US"/>
        </w:rPr>
        <w:t>Handbook of infant mental health</w:t>
      </w:r>
      <w:r w:rsidRPr="004E316F">
        <w:rPr>
          <w:rFonts w:eastAsia="Aptos" w:cs="Arial"/>
          <w:noProof/>
          <w:sz w:val="22"/>
          <w:lang w:val="en-US"/>
        </w:rPr>
        <w:t xml:space="preserve"> (4th ed., pp. 5-24). New York: Guildford Press. </w:t>
      </w:r>
    </w:p>
    <w:p w14:paraId="36FF1083" w14:textId="77777777" w:rsidR="004E316F" w:rsidRPr="004E316F" w:rsidRDefault="004E316F" w:rsidP="004E316F">
      <w:pPr>
        <w:spacing w:before="0" w:after="0"/>
        <w:ind w:left="720" w:hanging="720"/>
        <w:rPr>
          <w:rFonts w:eastAsia="Aptos" w:cs="Arial"/>
          <w:noProof/>
          <w:sz w:val="22"/>
          <w:lang w:val="en-US"/>
        </w:rPr>
      </w:pPr>
      <w:r w:rsidRPr="004E316F">
        <w:rPr>
          <w:rFonts w:eastAsia="Aptos" w:cs="Arial"/>
          <w:noProof/>
          <w:sz w:val="22"/>
          <w:lang w:val="en-US"/>
        </w:rPr>
        <w:tab/>
      </w:r>
    </w:p>
    <w:p w14:paraId="72295551" w14:textId="71CAB0D8" w:rsidR="004E316F" w:rsidRPr="004E316F" w:rsidRDefault="004E316F" w:rsidP="004E316F">
      <w:pPr>
        <w:spacing w:before="0" w:after="160"/>
        <w:ind w:left="720" w:hanging="720"/>
        <w:rPr>
          <w:rFonts w:eastAsia="Aptos" w:cs="Arial"/>
          <w:noProof/>
          <w:sz w:val="22"/>
          <w:lang w:val="en-US"/>
        </w:rPr>
      </w:pPr>
      <w:r w:rsidRPr="004E316F">
        <w:rPr>
          <w:rFonts w:eastAsia="Aptos" w:cs="Arial"/>
          <w:noProof/>
          <w:sz w:val="22"/>
          <w:lang w:val="en-US"/>
        </w:rPr>
        <w:t xml:space="preserve">Zeanah, C. H., Berlin, L. J., &amp; Boris, N. W. (2011). Practitioner review: Clinical applications of attachment theory and research for infants and young children. </w:t>
      </w:r>
      <w:r w:rsidRPr="004E316F">
        <w:rPr>
          <w:rFonts w:eastAsia="Aptos" w:cs="Arial"/>
          <w:i/>
          <w:noProof/>
          <w:sz w:val="22"/>
          <w:lang w:val="en-US"/>
        </w:rPr>
        <w:t>Journal of Child Psychology and Psychiatry</w:t>
      </w:r>
      <w:r w:rsidRPr="004E316F">
        <w:rPr>
          <w:rFonts w:eastAsia="Aptos" w:cs="Arial"/>
          <w:noProof/>
          <w:sz w:val="22"/>
          <w:lang w:val="en-US"/>
        </w:rPr>
        <w:t>,</w:t>
      </w:r>
      <w:r w:rsidRPr="004E316F">
        <w:rPr>
          <w:rFonts w:eastAsia="Aptos" w:cs="Arial"/>
          <w:i/>
          <w:noProof/>
          <w:sz w:val="22"/>
          <w:lang w:val="en-US"/>
        </w:rPr>
        <w:t xml:space="preserve"> 52</w:t>
      </w:r>
      <w:r w:rsidRPr="004E316F">
        <w:rPr>
          <w:rFonts w:eastAsia="Aptos" w:cs="Arial"/>
          <w:noProof/>
          <w:sz w:val="22"/>
          <w:lang w:val="en-US"/>
        </w:rPr>
        <w:t xml:space="preserve">(8), 819-833. </w:t>
      </w:r>
      <w:hyperlink r:id="rId691" w:history="1">
        <w:r w:rsidR="006C2502" w:rsidRPr="004E316F">
          <w:rPr>
            <w:rStyle w:val="Hyperlink"/>
            <w:rFonts w:eastAsia="Aptos" w:cs="Arial"/>
            <w:noProof/>
            <w:sz w:val="22"/>
            <w:lang w:val="en-US"/>
          </w:rPr>
          <w:t>https://doi.org/10.1111/j.1469-7610.2011.02399.x</w:t>
        </w:r>
      </w:hyperlink>
      <w:r w:rsidR="006C2502">
        <w:rPr>
          <w:rFonts w:eastAsia="Aptos" w:cs="Arial"/>
          <w:noProof/>
          <w:sz w:val="22"/>
          <w:lang w:val="en-US"/>
        </w:rPr>
        <w:t xml:space="preserve"> </w:t>
      </w:r>
      <w:r w:rsidRPr="004E316F">
        <w:rPr>
          <w:rFonts w:eastAsia="Aptos" w:cs="Arial"/>
          <w:noProof/>
          <w:sz w:val="22"/>
          <w:lang w:val="en-US"/>
        </w:rPr>
        <w:t xml:space="preserve"> </w:t>
      </w:r>
      <w:r w:rsidR="006C2502">
        <w:rPr>
          <w:rFonts w:eastAsia="Aptos" w:cs="Arial"/>
          <w:noProof/>
          <w:sz w:val="22"/>
          <w:lang w:val="en-US"/>
        </w:rPr>
        <w:t xml:space="preserve"> </w:t>
      </w:r>
    </w:p>
    <w:p w14:paraId="36BAFB90" w14:textId="77777777" w:rsidR="004E316F" w:rsidRPr="004E316F" w:rsidRDefault="004E316F" w:rsidP="004E316F">
      <w:pPr>
        <w:spacing w:before="0" w:after="0"/>
        <w:ind w:left="720" w:hanging="720"/>
        <w:rPr>
          <w:rFonts w:eastAsia="Aptos" w:cs="Arial"/>
          <w:noProof/>
          <w:sz w:val="22"/>
          <w:lang w:val="en-US"/>
        </w:rPr>
      </w:pPr>
      <w:r w:rsidRPr="004E316F">
        <w:rPr>
          <w:rFonts w:eastAsia="Aptos" w:cs="Arial"/>
          <w:noProof/>
          <w:sz w:val="22"/>
          <w:lang w:val="en-US"/>
        </w:rPr>
        <w:tab/>
      </w:r>
    </w:p>
    <w:p w14:paraId="3E5195F5" w14:textId="317DA592" w:rsidR="004E316F" w:rsidRPr="004E316F" w:rsidRDefault="004E316F" w:rsidP="004E316F">
      <w:pPr>
        <w:spacing w:before="0" w:after="160"/>
        <w:ind w:left="720" w:hanging="720"/>
        <w:rPr>
          <w:rFonts w:eastAsia="Aptos" w:cs="Arial"/>
          <w:noProof/>
          <w:sz w:val="22"/>
          <w:lang w:val="en-US"/>
        </w:rPr>
      </w:pPr>
      <w:r w:rsidRPr="004E316F">
        <w:rPr>
          <w:rFonts w:eastAsia="Aptos" w:cs="Arial"/>
          <w:noProof/>
          <w:sz w:val="22"/>
          <w:lang w:val="en-US"/>
        </w:rPr>
        <w:t xml:space="preserve">Ziviani, J., Darlington, Y., Feeney, R., &amp; Head, B. (2011). From policy to practice: A program logic approach to describing the implementation of early intervention services for children with physical disability. </w:t>
      </w:r>
      <w:r w:rsidRPr="004E316F">
        <w:rPr>
          <w:rFonts w:eastAsia="Aptos" w:cs="Arial"/>
          <w:i/>
          <w:noProof/>
          <w:sz w:val="22"/>
          <w:lang w:val="en-US"/>
        </w:rPr>
        <w:t>Evaluation and Program Planning</w:t>
      </w:r>
      <w:r w:rsidRPr="004E316F">
        <w:rPr>
          <w:rFonts w:eastAsia="Aptos" w:cs="Arial"/>
          <w:noProof/>
          <w:sz w:val="22"/>
          <w:lang w:val="en-US"/>
        </w:rPr>
        <w:t>,</w:t>
      </w:r>
      <w:r w:rsidRPr="004E316F">
        <w:rPr>
          <w:rFonts w:eastAsia="Aptos" w:cs="Arial"/>
          <w:i/>
          <w:noProof/>
          <w:sz w:val="22"/>
          <w:lang w:val="en-US"/>
        </w:rPr>
        <w:t xml:space="preserve"> 34</w:t>
      </w:r>
      <w:r w:rsidRPr="004E316F">
        <w:rPr>
          <w:rFonts w:eastAsia="Aptos" w:cs="Arial"/>
          <w:noProof/>
          <w:sz w:val="22"/>
          <w:lang w:val="en-US"/>
        </w:rPr>
        <w:t xml:space="preserve">(1), 60-68. </w:t>
      </w:r>
      <w:hyperlink r:id="rId692" w:history="1">
        <w:r w:rsidR="006C2502" w:rsidRPr="004E316F">
          <w:rPr>
            <w:rStyle w:val="Hyperlink"/>
            <w:rFonts w:eastAsia="Aptos" w:cs="Arial"/>
            <w:noProof/>
            <w:sz w:val="22"/>
            <w:lang w:val="en-US"/>
          </w:rPr>
          <w:t>https://doi.org/10.1016/j.evalprogplan.2010.05.001</w:t>
        </w:r>
      </w:hyperlink>
      <w:r w:rsidR="006C2502">
        <w:rPr>
          <w:rFonts w:eastAsia="Aptos" w:cs="Arial"/>
          <w:noProof/>
          <w:sz w:val="22"/>
          <w:lang w:val="en-US"/>
        </w:rPr>
        <w:t xml:space="preserve"> </w:t>
      </w:r>
      <w:r w:rsidRPr="004E316F">
        <w:rPr>
          <w:rFonts w:eastAsia="Aptos" w:cs="Arial"/>
          <w:noProof/>
          <w:sz w:val="22"/>
          <w:lang w:val="en-US"/>
        </w:rPr>
        <w:t xml:space="preserve"> </w:t>
      </w:r>
    </w:p>
    <w:p w14:paraId="5AF2BF41" w14:textId="77777777" w:rsidR="004E316F" w:rsidRPr="004E316F" w:rsidRDefault="004E316F" w:rsidP="004E316F">
      <w:pPr>
        <w:spacing w:before="0" w:after="0"/>
        <w:ind w:left="720" w:hanging="720"/>
        <w:rPr>
          <w:rFonts w:eastAsia="Aptos" w:cs="Arial"/>
          <w:noProof/>
          <w:sz w:val="22"/>
          <w:lang w:val="en-US"/>
        </w:rPr>
      </w:pPr>
      <w:r w:rsidRPr="004E316F">
        <w:rPr>
          <w:rFonts w:eastAsia="Aptos" w:cs="Arial"/>
          <w:noProof/>
          <w:sz w:val="22"/>
          <w:lang w:val="en-US"/>
        </w:rPr>
        <w:tab/>
      </w:r>
    </w:p>
    <w:p w14:paraId="2DA005FE" w14:textId="4C82354F" w:rsidR="004E316F" w:rsidRPr="004E316F" w:rsidRDefault="004E316F" w:rsidP="004E316F">
      <w:pPr>
        <w:spacing w:before="0" w:after="160"/>
        <w:ind w:left="720" w:hanging="720"/>
        <w:rPr>
          <w:rFonts w:eastAsia="Aptos" w:cs="Arial"/>
          <w:noProof/>
          <w:sz w:val="22"/>
          <w:lang w:val="en-US"/>
        </w:rPr>
      </w:pPr>
      <w:r w:rsidRPr="004E316F">
        <w:rPr>
          <w:rFonts w:eastAsia="Aptos" w:cs="Arial"/>
          <w:noProof/>
          <w:sz w:val="22"/>
          <w:lang w:val="en-US"/>
        </w:rPr>
        <w:t xml:space="preserve">Ziviani, J., Feeney, R., &amp; Khan, A. (2011). Early intervention services for children with physical disability: Parents' perceptions of family-centeredness and service satisfaction. </w:t>
      </w:r>
      <w:r w:rsidRPr="004E316F">
        <w:rPr>
          <w:rFonts w:eastAsia="Aptos" w:cs="Arial"/>
          <w:i/>
          <w:noProof/>
          <w:sz w:val="22"/>
          <w:lang w:val="en-US"/>
        </w:rPr>
        <w:t>Infants &amp; Young Children</w:t>
      </w:r>
      <w:r w:rsidRPr="004E316F">
        <w:rPr>
          <w:rFonts w:eastAsia="Aptos" w:cs="Arial"/>
          <w:noProof/>
          <w:sz w:val="22"/>
          <w:lang w:val="en-US"/>
        </w:rPr>
        <w:t>,</w:t>
      </w:r>
      <w:r w:rsidRPr="004E316F">
        <w:rPr>
          <w:rFonts w:eastAsia="Aptos" w:cs="Arial"/>
          <w:i/>
          <w:noProof/>
          <w:sz w:val="22"/>
          <w:lang w:val="en-US"/>
        </w:rPr>
        <w:t xml:space="preserve"> 24</w:t>
      </w:r>
      <w:r w:rsidRPr="004E316F">
        <w:rPr>
          <w:rFonts w:eastAsia="Aptos" w:cs="Arial"/>
          <w:noProof/>
          <w:sz w:val="22"/>
          <w:lang w:val="en-US"/>
        </w:rPr>
        <w:t xml:space="preserve">(4), 364-382. </w:t>
      </w:r>
      <w:hyperlink r:id="rId693" w:history="1">
        <w:r w:rsidR="006C2502" w:rsidRPr="004E316F">
          <w:rPr>
            <w:rStyle w:val="Hyperlink"/>
            <w:rFonts w:eastAsia="Aptos" w:cs="Arial"/>
            <w:noProof/>
            <w:sz w:val="22"/>
            <w:lang w:val="en-US"/>
          </w:rPr>
          <w:t>https://doi.org/10.1097/IYC.0b013e31822a6b77</w:t>
        </w:r>
      </w:hyperlink>
      <w:r w:rsidR="006C2502">
        <w:rPr>
          <w:rFonts w:eastAsia="Aptos" w:cs="Arial"/>
          <w:noProof/>
          <w:sz w:val="22"/>
          <w:lang w:val="en-US"/>
        </w:rPr>
        <w:t xml:space="preserve"> </w:t>
      </w:r>
      <w:r w:rsidRPr="004E316F">
        <w:rPr>
          <w:rFonts w:eastAsia="Aptos" w:cs="Arial"/>
          <w:noProof/>
          <w:sz w:val="22"/>
          <w:lang w:val="en-US"/>
        </w:rPr>
        <w:t xml:space="preserve"> </w:t>
      </w:r>
    </w:p>
    <w:p w14:paraId="11E3D0F3" w14:textId="4D93F3B9" w:rsidR="002A2B69" w:rsidRDefault="002A2B69" w:rsidP="00543FC0">
      <w:pPr>
        <w:pStyle w:val="EndNoteBibliography"/>
        <w:ind w:left="720" w:hanging="720"/>
      </w:pPr>
      <w:r>
        <w:br w:type="page"/>
      </w:r>
    </w:p>
    <w:p w14:paraId="3FF9CC1C" w14:textId="205039E4" w:rsidR="0030178D" w:rsidRPr="00876FCF" w:rsidRDefault="00103E62" w:rsidP="00D2222F">
      <w:pPr>
        <w:rPr>
          <w:color w:val="0C2C74"/>
          <w:sz w:val="40"/>
          <w:szCs w:val="40"/>
        </w:rPr>
      </w:pPr>
      <w:bookmarkStart w:id="139" w:name="Referencelistpart2"/>
      <w:bookmarkEnd w:id="139"/>
      <w:r w:rsidRPr="00876FCF">
        <w:rPr>
          <w:color w:val="0C2C74"/>
          <w:sz w:val="40"/>
          <w:szCs w:val="40"/>
        </w:rPr>
        <w:t xml:space="preserve">Part Two: </w:t>
      </w:r>
      <w:r w:rsidR="00C90615" w:rsidRPr="00876FCF">
        <w:rPr>
          <w:color w:val="0C2C74"/>
          <w:sz w:val="40"/>
          <w:szCs w:val="40"/>
        </w:rPr>
        <w:t>References in paper 1c in the included studies list</w:t>
      </w:r>
    </w:p>
    <w:tbl>
      <w:tblPr>
        <w:tblStyle w:val="UniofMelTable3"/>
        <w:tblW w:w="5000" w:type="pct"/>
        <w:tblLook w:val="04A0" w:firstRow="1" w:lastRow="0" w:firstColumn="1" w:lastColumn="0" w:noHBand="0" w:noVBand="1"/>
      </w:tblPr>
      <w:tblGrid>
        <w:gridCol w:w="8138"/>
        <w:gridCol w:w="888"/>
      </w:tblGrid>
      <w:tr w:rsidR="00870E26" w:rsidRPr="00756F5E" w14:paraId="5F5A1024" w14:textId="77777777" w:rsidTr="00567CC0">
        <w:trPr>
          <w:cnfStyle w:val="100000000000" w:firstRow="1" w:lastRow="0" w:firstColumn="0" w:lastColumn="0" w:oddVBand="0" w:evenVBand="0" w:oddHBand="0" w:evenHBand="0" w:firstRowFirstColumn="0" w:firstRowLastColumn="0" w:lastRowFirstColumn="0" w:lastRowLastColumn="0"/>
          <w:trHeight w:val="340"/>
        </w:trPr>
        <w:tc>
          <w:tcPr>
            <w:tcW w:w="8138" w:type="dxa"/>
            <w:shd w:val="clear" w:color="auto" w:fill="082A75"/>
          </w:tcPr>
          <w:p w14:paraId="19925665" w14:textId="77777777" w:rsidR="00870E26" w:rsidRPr="00756F5E" w:rsidRDefault="00870E26" w:rsidP="000660C3">
            <w:pPr>
              <w:suppressAutoHyphens/>
              <w:spacing w:before="40" w:after="40" w:line="200" w:lineRule="atLeast"/>
              <w:rPr>
                <w:rFonts w:eastAsia="Times New Roman" w:cs="Arial"/>
                <w:b/>
                <w:color w:val="082A75"/>
                <w:sz w:val="22"/>
                <w:szCs w:val="22"/>
                <w:lang w:eastAsia="en-AU"/>
              </w:rPr>
            </w:pPr>
            <w:r w:rsidRPr="00756F5E">
              <w:rPr>
                <w:rFonts w:eastAsia="Times New Roman" w:cs="Arial"/>
                <w:b/>
                <w:color w:val="FFFFFF" w:themeColor="background1"/>
                <w:sz w:val="22"/>
                <w:szCs w:val="22"/>
                <w:lang w:eastAsia="en-AU"/>
              </w:rPr>
              <w:t>References selected from systematic review search</w:t>
            </w:r>
          </w:p>
        </w:tc>
        <w:tc>
          <w:tcPr>
            <w:tcW w:w="1218" w:type="dxa"/>
            <w:shd w:val="clear" w:color="auto" w:fill="082A75"/>
          </w:tcPr>
          <w:p w14:paraId="1E092195" w14:textId="77777777" w:rsidR="00870E26" w:rsidRPr="00756F5E" w:rsidRDefault="00870E26" w:rsidP="000660C3">
            <w:pPr>
              <w:suppressAutoHyphens/>
              <w:spacing w:before="40" w:after="40" w:line="200" w:lineRule="atLeast"/>
              <w:rPr>
                <w:rFonts w:eastAsia="Times New Roman" w:cs="Arial"/>
                <w:b/>
                <w:sz w:val="22"/>
                <w:szCs w:val="22"/>
                <w:lang w:eastAsia="en-AU"/>
              </w:rPr>
            </w:pPr>
            <w:r w:rsidRPr="00756F5E">
              <w:rPr>
                <w:rFonts w:eastAsia="Times New Roman" w:cs="Arial"/>
                <w:b/>
                <w:sz w:val="22"/>
                <w:szCs w:val="22"/>
                <w:lang w:eastAsia="en-AU"/>
              </w:rPr>
              <w:t xml:space="preserve">ID in tables </w:t>
            </w:r>
          </w:p>
        </w:tc>
      </w:tr>
      <w:tr w:rsidR="00870E26" w:rsidRPr="00756F5E" w14:paraId="1231A9DB" w14:textId="77777777" w:rsidTr="00567CC0">
        <w:trPr>
          <w:cnfStyle w:val="000000100000" w:firstRow="0" w:lastRow="0" w:firstColumn="0" w:lastColumn="0" w:oddVBand="0" w:evenVBand="0" w:oddHBand="1" w:evenHBand="0" w:firstRowFirstColumn="0" w:firstRowLastColumn="0" w:lastRowFirstColumn="0" w:lastRowLastColumn="0"/>
          <w:trHeight w:val="110"/>
        </w:trPr>
        <w:tc>
          <w:tcPr>
            <w:tcW w:w="8138" w:type="dxa"/>
            <w:shd w:val="clear" w:color="auto" w:fill="DAE2E6"/>
          </w:tcPr>
          <w:p w14:paraId="1D2A2C11" w14:textId="77777777" w:rsidR="00870E26" w:rsidRPr="00756F5E" w:rsidRDefault="00870E26" w:rsidP="000660C3">
            <w:pPr>
              <w:suppressAutoHyphens/>
              <w:spacing w:before="40" w:after="40" w:line="200" w:lineRule="atLeast"/>
              <w:rPr>
                <w:rFonts w:eastAsia="Times New Roman" w:cs="Arial"/>
                <w:b/>
                <w:bCs/>
                <w:sz w:val="22"/>
                <w:szCs w:val="22"/>
                <w:lang w:eastAsia="en-AU"/>
              </w:rPr>
            </w:pPr>
            <w:r w:rsidRPr="00756F5E">
              <w:rPr>
                <w:rFonts w:eastAsia="Times New Roman" w:cs="Arial"/>
                <w:b/>
                <w:bCs/>
                <w:sz w:val="22"/>
                <w:szCs w:val="22"/>
                <w:lang w:eastAsia="en-AU"/>
              </w:rPr>
              <w:t>Systematic Reviews, data extracted</w:t>
            </w:r>
          </w:p>
        </w:tc>
        <w:tc>
          <w:tcPr>
            <w:tcW w:w="1218" w:type="dxa"/>
            <w:shd w:val="clear" w:color="auto" w:fill="DAE2E6"/>
          </w:tcPr>
          <w:p w14:paraId="75E94CBB" w14:textId="77777777" w:rsidR="00870E26" w:rsidRPr="00756F5E" w:rsidRDefault="00870E26" w:rsidP="000660C3">
            <w:pPr>
              <w:suppressAutoHyphens/>
              <w:spacing w:before="40" w:after="40" w:line="200" w:lineRule="atLeast"/>
              <w:rPr>
                <w:rFonts w:eastAsia="Times New Roman" w:cs="Arial"/>
                <w:sz w:val="22"/>
                <w:szCs w:val="22"/>
                <w:lang w:eastAsia="en-AU"/>
              </w:rPr>
            </w:pPr>
          </w:p>
        </w:tc>
      </w:tr>
      <w:tr w:rsidR="009A42D2" w:rsidRPr="00756F5E" w14:paraId="604FAEC5"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64DFD12" w14:textId="546CBCAF" w:rsidR="009A42D2" w:rsidRPr="00756F5E" w:rsidRDefault="009A42D2" w:rsidP="009A42D2">
            <w:pPr>
              <w:pStyle w:val="EndNoteBibliography"/>
              <w:spacing w:after="0"/>
              <w:ind w:left="463" w:hanging="463"/>
              <w:rPr>
                <w:szCs w:val="22"/>
              </w:rPr>
            </w:pPr>
            <w:r w:rsidRPr="00EF25A0">
              <w:rPr>
                <w:rFonts w:eastAsia="Times New Roman"/>
                <w:szCs w:val="22"/>
                <w:lang w:eastAsia="en-AU"/>
              </w:rPr>
              <w:t xml:space="preserve">Alatar, W., Knott, F., &amp; Loucas, T. (2023). The effectiveness of telemedicine in coaching parents of autistic children using naturalistic developmental early interventions: A rapid review. </w:t>
            </w:r>
            <w:r w:rsidRPr="00A85DC8">
              <w:rPr>
                <w:rFonts w:eastAsia="Times New Roman"/>
                <w:i/>
                <w:iCs/>
                <w:szCs w:val="22"/>
                <w:lang w:eastAsia="en-AU"/>
              </w:rPr>
              <w:t>Review Journal of Autism and Developmental Disorders</w:t>
            </w:r>
            <w:r w:rsidRPr="00EF25A0">
              <w:rPr>
                <w:rFonts w:eastAsia="Times New Roman"/>
                <w:szCs w:val="22"/>
                <w:lang w:eastAsia="en-AU"/>
              </w:rPr>
              <w:t xml:space="preserve">. https://doi.org/10.1007/s40489-023-00393-3 </w:t>
            </w:r>
          </w:p>
        </w:tc>
        <w:tc>
          <w:tcPr>
            <w:tcW w:w="1218" w:type="dxa"/>
          </w:tcPr>
          <w:p w14:paraId="235E2694" w14:textId="77777777" w:rsidR="009A42D2" w:rsidRPr="00376175" w:rsidRDefault="009A42D2" w:rsidP="009A42D2">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Alatar et al. (2023)</w:t>
            </w:r>
          </w:p>
          <w:p w14:paraId="6DFAB229" w14:textId="77777777" w:rsidR="009A42D2" w:rsidRPr="00376175" w:rsidRDefault="009A42D2" w:rsidP="009A42D2">
            <w:pPr>
              <w:suppressAutoHyphens/>
              <w:spacing w:before="40" w:after="40" w:line="200" w:lineRule="atLeast"/>
              <w:rPr>
                <w:rFonts w:eastAsia="Times New Roman" w:cs="Arial"/>
                <w:sz w:val="22"/>
                <w:szCs w:val="22"/>
                <w:lang w:eastAsia="en-AU"/>
              </w:rPr>
            </w:pPr>
          </w:p>
          <w:p w14:paraId="3BAC6947" w14:textId="77777777" w:rsidR="009A42D2" w:rsidRPr="00756F5E" w:rsidRDefault="009A42D2" w:rsidP="009A42D2">
            <w:pPr>
              <w:suppressAutoHyphens/>
              <w:spacing w:before="40" w:after="40" w:line="200" w:lineRule="atLeast"/>
              <w:rPr>
                <w:rFonts w:eastAsia="Times New Roman" w:cs="Arial"/>
                <w:sz w:val="22"/>
                <w:szCs w:val="22"/>
                <w:lang w:eastAsia="en-AU"/>
              </w:rPr>
            </w:pPr>
          </w:p>
        </w:tc>
      </w:tr>
      <w:tr w:rsidR="009A42D2" w:rsidRPr="00756F5E" w14:paraId="52D26C9A" w14:textId="77777777" w:rsidTr="00567CC0">
        <w:trPr>
          <w:cnfStyle w:val="000000100000" w:firstRow="0" w:lastRow="0" w:firstColumn="0" w:lastColumn="0" w:oddVBand="0" w:evenVBand="0" w:oddHBand="1" w:evenHBand="0" w:firstRowFirstColumn="0" w:firstRowLastColumn="0" w:lastRowFirstColumn="0" w:lastRowLastColumn="0"/>
          <w:trHeight w:val="902"/>
        </w:trPr>
        <w:tc>
          <w:tcPr>
            <w:tcW w:w="8138" w:type="dxa"/>
          </w:tcPr>
          <w:p w14:paraId="6BF09D92" w14:textId="6BF6F68D" w:rsidR="009A42D2" w:rsidRPr="00756F5E" w:rsidRDefault="009A42D2" w:rsidP="009A42D2">
            <w:pPr>
              <w:suppressAutoHyphens/>
              <w:spacing w:before="40" w:after="40" w:line="200" w:lineRule="atLeast"/>
              <w:ind w:left="463" w:hanging="463"/>
              <w:rPr>
                <w:rFonts w:eastAsia="Times New Roman" w:cs="Arial"/>
                <w:sz w:val="22"/>
                <w:szCs w:val="22"/>
                <w:lang w:eastAsia="en-AU"/>
              </w:rPr>
            </w:pPr>
            <w:r w:rsidRPr="00537DFE">
              <w:rPr>
                <w:rFonts w:eastAsia="Times New Roman" w:cs="Arial"/>
                <w:sz w:val="22"/>
                <w:szCs w:val="22"/>
                <w:lang w:eastAsia="en-AU"/>
              </w:rPr>
              <w:t>Hampton, L. H., &amp; Rodriguez, E. M. (2022). Preemptive interventions for infants and toddlers with a high likelihood for autism: A systematic review and meta-analysis</w:t>
            </w:r>
            <w:r w:rsidRPr="00A85DC8">
              <w:rPr>
                <w:rFonts w:eastAsia="Times New Roman" w:cs="Arial"/>
                <w:i/>
                <w:iCs/>
                <w:sz w:val="22"/>
                <w:szCs w:val="22"/>
                <w:lang w:eastAsia="en-AU"/>
              </w:rPr>
              <w:t>. Autism</w:t>
            </w:r>
            <w:r w:rsidRPr="00537DFE">
              <w:rPr>
                <w:rFonts w:eastAsia="Times New Roman" w:cs="Arial"/>
                <w:sz w:val="22"/>
                <w:szCs w:val="22"/>
                <w:lang w:eastAsia="en-AU"/>
              </w:rPr>
              <w:t xml:space="preserve">, </w:t>
            </w:r>
            <w:r w:rsidRPr="00E32868">
              <w:rPr>
                <w:rFonts w:eastAsia="Times New Roman" w:cs="Arial"/>
                <w:i/>
                <w:iCs/>
                <w:sz w:val="22"/>
                <w:szCs w:val="22"/>
                <w:lang w:eastAsia="en-AU"/>
              </w:rPr>
              <w:t>26</w:t>
            </w:r>
            <w:r w:rsidRPr="00537DFE">
              <w:rPr>
                <w:rFonts w:eastAsia="Times New Roman" w:cs="Arial"/>
                <w:sz w:val="22"/>
                <w:szCs w:val="22"/>
                <w:lang w:eastAsia="en-AU"/>
              </w:rPr>
              <w:t xml:space="preserve">(6), 1364-1378. https://doi.org/10.1177/13623613211050433 </w:t>
            </w:r>
          </w:p>
        </w:tc>
        <w:tc>
          <w:tcPr>
            <w:tcW w:w="1218" w:type="dxa"/>
          </w:tcPr>
          <w:p w14:paraId="005E4A67" w14:textId="77777777" w:rsidR="009A42D2" w:rsidRPr="00376175" w:rsidRDefault="009A42D2" w:rsidP="009A42D2">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Hampton and Rodriguez (2022)</w:t>
            </w:r>
          </w:p>
          <w:p w14:paraId="289AB9B0" w14:textId="77777777" w:rsidR="009A42D2" w:rsidRPr="00756F5E" w:rsidRDefault="009A42D2" w:rsidP="009A42D2">
            <w:pPr>
              <w:suppressAutoHyphens/>
              <w:spacing w:before="40" w:after="40" w:line="200" w:lineRule="atLeast"/>
              <w:rPr>
                <w:rFonts w:eastAsia="Times New Roman" w:cs="Arial"/>
                <w:sz w:val="22"/>
                <w:szCs w:val="22"/>
                <w:lang w:eastAsia="en-AU"/>
              </w:rPr>
            </w:pPr>
          </w:p>
        </w:tc>
      </w:tr>
      <w:tr w:rsidR="009A42D2" w:rsidRPr="00756F5E" w14:paraId="1D34C79C"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shd w:val="clear" w:color="auto" w:fill="DAE2E6"/>
          </w:tcPr>
          <w:p w14:paraId="6D9D3DB6" w14:textId="77777777" w:rsidR="009A42D2" w:rsidRPr="00756F5E" w:rsidRDefault="009A42D2" w:rsidP="009A42D2">
            <w:pPr>
              <w:suppressAutoHyphens/>
              <w:spacing w:before="40" w:after="40" w:line="200" w:lineRule="atLeast"/>
              <w:rPr>
                <w:rFonts w:eastAsia="Times New Roman" w:cs="Arial"/>
                <w:b/>
                <w:bCs/>
                <w:sz w:val="22"/>
                <w:szCs w:val="22"/>
                <w:lang w:eastAsia="en-AU"/>
              </w:rPr>
            </w:pPr>
            <w:r w:rsidRPr="00756F5E">
              <w:rPr>
                <w:rFonts w:eastAsia="Times New Roman" w:cs="Arial"/>
                <w:b/>
                <w:bCs/>
                <w:sz w:val="22"/>
                <w:szCs w:val="22"/>
                <w:lang w:eastAsia="en-AU"/>
              </w:rPr>
              <w:t xml:space="preserve">RCTs, data extracted </w:t>
            </w:r>
          </w:p>
        </w:tc>
        <w:tc>
          <w:tcPr>
            <w:tcW w:w="1218" w:type="dxa"/>
            <w:shd w:val="clear" w:color="auto" w:fill="DAE2E6"/>
          </w:tcPr>
          <w:p w14:paraId="4455734A" w14:textId="77777777" w:rsidR="009A42D2" w:rsidRPr="00756F5E" w:rsidRDefault="009A42D2" w:rsidP="009A42D2">
            <w:pPr>
              <w:suppressAutoHyphens/>
              <w:spacing w:before="40" w:after="40" w:line="200" w:lineRule="atLeast"/>
              <w:rPr>
                <w:rFonts w:eastAsia="Times New Roman" w:cs="Arial"/>
                <w:sz w:val="22"/>
                <w:szCs w:val="22"/>
                <w:lang w:eastAsia="en-AU"/>
              </w:rPr>
            </w:pPr>
          </w:p>
        </w:tc>
      </w:tr>
      <w:tr w:rsidR="00987938" w:rsidRPr="00756F5E" w14:paraId="6C6AC533"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CDA6A77" w14:textId="389426A6" w:rsidR="00987938" w:rsidRPr="00756F5E" w:rsidRDefault="00987938" w:rsidP="00987938">
            <w:pPr>
              <w:suppressAutoHyphens/>
              <w:spacing w:before="40" w:after="40" w:line="200" w:lineRule="atLeast"/>
              <w:ind w:left="463" w:hanging="463"/>
              <w:rPr>
                <w:rFonts w:eastAsia="Times New Roman" w:cs="Arial"/>
                <w:sz w:val="22"/>
                <w:szCs w:val="22"/>
                <w:lang w:eastAsia="en-AU"/>
              </w:rPr>
            </w:pPr>
            <w:r w:rsidRPr="00967B04">
              <w:rPr>
                <w:rFonts w:eastAsia="Times New Roman" w:cs="Arial"/>
                <w:sz w:val="22"/>
                <w:szCs w:val="22"/>
                <w:lang w:eastAsia="en-AU"/>
              </w:rPr>
              <w:t xml:space="preserve">Bagner, D. M., Berkovits, M. D., Coxe, S., Frech, N., Garcia, D., Golik, A., Heflin, B. H., Heymann, P., Javadi, N., Sanchez, A. L., Wilson, M. K., &amp; Comer, J. S. (2023). Telehealth treatment of behavior problems in young children with developmental delay: A randomized clinical trial. </w:t>
            </w:r>
            <w:r w:rsidRPr="00E32868">
              <w:rPr>
                <w:rFonts w:eastAsia="Times New Roman" w:cs="Arial"/>
                <w:i/>
                <w:iCs/>
                <w:sz w:val="22"/>
                <w:szCs w:val="22"/>
                <w:lang w:eastAsia="en-AU"/>
              </w:rPr>
              <w:t>JAMA Pediatrics, 177(</w:t>
            </w:r>
            <w:r w:rsidRPr="00967B04">
              <w:rPr>
                <w:rFonts w:eastAsia="Times New Roman" w:cs="Arial"/>
                <w:sz w:val="22"/>
                <w:szCs w:val="22"/>
                <w:lang w:eastAsia="en-AU"/>
              </w:rPr>
              <w:t xml:space="preserve">3), 231-239. https://doi.org/10.1001/jamapediatrics.2022.5204 </w:t>
            </w:r>
          </w:p>
        </w:tc>
        <w:tc>
          <w:tcPr>
            <w:tcW w:w="1218" w:type="dxa"/>
          </w:tcPr>
          <w:p w14:paraId="323312F3" w14:textId="77777777" w:rsidR="00987938" w:rsidRPr="00756F5E" w:rsidRDefault="00987938" w:rsidP="00987938">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Bagner et al. (2023)</w:t>
            </w:r>
          </w:p>
        </w:tc>
      </w:tr>
      <w:tr w:rsidR="00987938" w:rsidRPr="00756F5E" w14:paraId="278E49EE"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71C15F5" w14:textId="3BD79F15" w:rsidR="00987938" w:rsidRPr="00756F5E" w:rsidRDefault="00987938" w:rsidP="00987938">
            <w:pPr>
              <w:suppressAutoHyphens/>
              <w:spacing w:before="40" w:after="40" w:line="200" w:lineRule="atLeast"/>
              <w:ind w:left="463" w:hanging="463"/>
              <w:rPr>
                <w:rFonts w:eastAsia="Times New Roman" w:cs="Arial"/>
                <w:sz w:val="22"/>
                <w:szCs w:val="22"/>
                <w:lang w:eastAsia="en-AU"/>
              </w:rPr>
            </w:pPr>
            <w:r w:rsidRPr="003F1AB4">
              <w:rPr>
                <w:rFonts w:eastAsia="Times New Roman" w:cs="Arial"/>
                <w:sz w:val="22"/>
                <w:szCs w:val="22"/>
                <w:lang w:eastAsia="en-AU"/>
              </w:rPr>
              <w:t xml:space="preserve">Barrett, A. C., Vernon, T. W., McGarry, E. S., Holden, A. N., Bradshaw, J., Ko, J. A., Horowitz, E. J., &amp; German, T. C. (2020). Social responsiveness and language use associated with an enhanced PRT approach for young children with ASD: Results from a pilot RCT of the PRISM model. </w:t>
            </w:r>
            <w:r w:rsidRPr="00E32868">
              <w:rPr>
                <w:rFonts w:eastAsia="Times New Roman" w:cs="Arial"/>
                <w:i/>
                <w:iCs/>
                <w:sz w:val="22"/>
                <w:szCs w:val="22"/>
                <w:lang w:eastAsia="en-AU"/>
              </w:rPr>
              <w:t>Research in Autism Spectrum Disorders, 71</w:t>
            </w:r>
            <w:r w:rsidRPr="003F1AB4">
              <w:rPr>
                <w:rFonts w:eastAsia="Times New Roman" w:cs="Arial"/>
                <w:sz w:val="22"/>
                <w:szCs w:val="22"/>
                <w:lang w:eastAsia="en-AU"/>
              </w:rPr>
              <w:t xml:space="preserve">, Article 101497. https://doi.org/10.1016/j.rasd.2019.101497 </w:t>
            </w:r>
          </w:p>
        </w:tc>
        <w:tc>
          <w:tcPr>
            <w:tcW w:w="1218" w:type="dxa"/>
          </w:tcPr>
          <w:p w14:paraId="6B834F83" w14:textId="77777777" w:rsidR="00987938" w:rsidRPr="00756F5E" w:rsidRDefault="00987938" w:rsidP="00987938">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Barrett et al. (2020)</w:t>
            </w:r>
          </w:p>
        </w:tc>
      </w:tr>
      <w:tr w:rsidR="00987938" w:rsidRPr="00756F5E" w14:paraId="574B0E2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8B6F42C" w14:textId="64507100" w:rsidR="00987938" w:rsidRPr="00756F5E" w:rsidRDefault="00987938" w:rsidP="00987938">
            <w:pPr>
              <w:suppressAutoHyphens/>
              <w:spacing w:before="40" w:after="40" w:line="200" w:lineRule="atLeast"/>
              <w:ind w:left="463" w:hanging="463"/>
              <w:rPr>
                <w:rFonts w:eastAsia="Times New Roman" w:cs="Arial"/>
                <w:sz w:val="22"/>
                <w:szCs w:val="22"/>
                <w:lang w:eastAsia="en-AU"/>
              </w:rPr>
            </w:pPr>
            <w:r w:rsidRPr="00292D3E">
              <w:rPr>
                <w:rFonts w:eastAsia="Times New Roman" w:cs="Arial"/>
                <w:sz w:val="22"/>
                <w:szCs w:val="22"/>
                <w:lang w:eastAsia="en-AU"/>
              </w:rPr>
              <w:t xml:space="preserve">Buzhardt, J., Greenwood, C. R., Walker, D., Jia, F., Schnitz, A. G., Higgins, S., Montagna, D., &amp; Muehe, C. (2018). Web-based support for data-based decision making: Effect of intervention implementation on infant-toddler communication. </w:t>
            </w:r>
            <w:r w:rsidRPr="00E32868">
              <w:rPr>
                <w:rFonts w:eastAsia="Times New Roman" w:cs="Arial"/>
                <w:i/>
                <w:iCs/>
                <w:sz w:val="22"/>
                <w:szCs w:val="22"/>
                <w:lang w:eastAsia="en-AU"/>
              </w:rPr>
              <w:t>Journal of Early Intervention, 40</w:t>
            </w:r>
            <w:r w:rsidRPr="00292D3E">
              <w:rPr>
                <w:rFonts w:eastAsia="Times New Roman" w:cs="Arial"/>
                <w:sz w:val="22"/>
                <w:szCs w:val="22"/>
                <w:lang w:eastAsia="en-AU"/>
              </w:rPr>
              <w:t xml:space="preserve">(3), 246-267. https://doi.org/10.1177/1053815118788059 </w:t>
            </w:r>
          </w:p>
        </w:tc>
        <w:tc>
          <w:tcPr>
            <w:tcW w:w="1218" w:type="dxa"/>
          </w:tcPr>
          <w:p w14:paraId="3DC2051D" w14:textId="77777777" w:rsidR="00987938" w:rsidRPr="00756F5E" w:rsidRDefault="00987938" w:rsidP="00987938">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Buzhardt et al. (2018)</w:t>
            </w:r>
          </w:p>
        </w:tc>
      </w:tr>
      <w:tr w:rsidR="00987938" w:rsidRPr="00756F5E" w14:paraId="485469C0"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756B38EC" w14:textId="58257540" w:rsidR="00987938" w:rsidRPr="00756F5E" w:rsidRDefault="00987938" w:rsidP="00987938">
            <w:pPr>
              <w:suppressAutoHyphens/>
              <w:spacing w:before="40" w:after="40" w:line="200" w:lineRule="atLeast"/>
              <w:ind w:left="463" w:hanging="463"/>
              <w:rPr>
                <w:rFonts w:eastAsia="Times New Roman" w:cs="Arial"/>
                <w:sz w:val="22"/>
                <w:szCs w:val="22"/>
                <w:lang w:eastAsia="en-AU"/>
              </w:rPr>
            </w:pPr>
            <w:r w:rsidRPr="00A85DC8">
              <w:rPr>
                <w:rFonts w:eastAsia="Times New Roman" w:cs="Arial"/>
                <w:sz w:val="22"/>
                <w:szCs w:val="22"/>
                <w:lang w:eastAsia="en-AU"/>
              </w:rPr>
              <w:t xml:space="preserve">Byford, S., Cary, M., Barrett, B., Aldred, C. R., Charman, T., Howlin, P., Hudry, K., Leadbitter, K., Le Couteur, A., McConachie, H., Pickles, A., Slonims, V., Temple, K. J., &amp; Green, J. (2015). Cost-effectiveness analysis of a communication-focused therapy for pre-school children with autism: Results from a randomised controlled trial. </w:t>
            </w:r>
            <w:r w:rsidRPr="00E32868">
              <w:rPr>
                <w:rFonts w:eastAsia="Times New Roman" w:cs="Arial"/>
                <w:i/>
                <w:iCs/>
                <w:sz w:val="22"/>
                <w:szCs w:val="22"/>
                <w:lang w:eastAsia="en-AU"/>
              </w:rPr>
              <w:t>BMC Psychiatry, 15</w:t>
            </w:r>
            <w:r w:rsidRPr="00A85DC8">
              <w:rPr>
                <w:rFonts w:eastAsia="Times New Roman" w:cs="Arial"/>
                <w:sz w:val="22"/>
                <w:szCs w:val="22"/>
                <w:lang w:eastAsia="en-AU"/>
              </w:rPr>
              <w:t xml:space="preserve">, 316. https://doi.org/10.1186/s12888-015-0700-x </w:t>
            </w:r>
          </w:p>
        </w:tc>
        <w:tc>
          <w:tcPr>
            <w:tcW w:w="1218" w:type="dxa"/>
          </w:tcPr>
          <w:p w14:paraId="2D73A381" w14:textId="77777777" w:rsidR="00987938" w:rsidRPr="00756F5E" w:rsidRDefault="00987938" w:rsidP="00987938">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Byford et al. (2015)</w:t>
            </w:r>
          </w:p>
        </w:tc>
      </w:tr>
      <w:tr w:rsidR="00987938" w:rsidRPr="00756F5E" w14:paraId="24BCC311"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969B514" w14:textId="2D370F23" w:rsidR="00987938" w:rsidRPr="00756F5E" w:rsidRDefault="00987938" w:rsidP="00987938">
            <w:pPr>
              <w:suppressAutoHyphens/>
              <w:spacing w:before="40" w:after="40" w:line="200" w:lineRule="atLeast"/>
              <w:ind w:left="463" w:hanging="463"/>
              <w:rPr>
                <w:rFonts w:eastAsia="Times New Roman" w:cs="Arial"/>
                <w:sz w:val="22"/>
                <w:szCs w:val="22"/>
                <w:lang w:eastAsia="en-AU"/>
              </w:rPr>
            </w:pPr>
            <w:r w:rsidRPr="00DD33C6">
              <w:rPr>
                <w:rFonts w:eastAsia="Times New Roman" w:cs="Arial"/>
                <w:sz w:val="22"/>
                <w:szCs w:val="22"/>
                <w:lang w:eastAsia="en-AU"/>
              </w:rPr>
              <w:t xml:space="preserve">Engelstad, A.-M., Holingue, C., &amp; Landa, R. J. (2020). Early achievements for education settings: An embedded teacher-implemented social communication intervention for preschoolers with autism spectrum disorder. </w:t>
            </w:r>
            <w:r w:rsidRPr="00DD33C6">
              <w:rPr>
                <w:rFonts w:eastAsia="Times New Roman" w:cs="Arial"/>
                <w:i/>
                <w:iCs/>
                <w:sz w:val="22"/>
                <w:szCs w:val="22"/>
                <w:lang w:eastAsia="en-AU"/>
              </w:rPr>
              <w:t>Perspectives of the ASHA Special Interest Groups, 5</w:t>
            </w:r>
            <w:r w:rsidRPr="00DD33C6">
              <w:rPr>
                <w:rFonts w:eastAsia="Times New Roman" w:cs="Arial"/>
                <w:sz w:val="22"/>
                <w:szCs w:val="22"/>
                <w:lang w:eastAsia="en-AU"/>
              </w:rPr>
              <w:t xml:space="preserve">(3), 582-601. https://doi.org/10.1044/2020_PERSP-19-00155 </w:t>
            </w:r>
          </w:p>
        </w:tc>
        <w:tc>
          <w:tcPr>
            <w:tcW w:w="1218" w:type="dxa"/>
          </w:tcPr>
          <w:p w14:paraId="1754A14D" w14:textId="77777777" w:rsidR="00987938" w:rsidRPr="00756F5E" w:rsidRDefault="00987938" w:rsidP="00987938">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Engelstad et al. (2020)</w:t>
            </w:r>
          </w:p>
        </w:tc>
      </w:tr>
      <w:tr w:rsidR="00987938" w:rsidRPr="00756F5E" w14:paraId="0B97BF2B"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78943093" w14:textId="28BBBB46" w:rsidR="00987938" w:rsidRPr="00756F5E" w:rsidRDefault="00987938" w:rsidP="00987938">
            <w:pPr>
              <w:suppressAutoHyphens/>
              <w:spacing w:before="40" w:after="40" w:line="200" w:lineRule="atLeast"/>
              <w:ind w:left="463" w:hanging="463"/>
              <w:rPr>
                <w:rFonts w:eastAsia="Times New Roman" w:cs="Arial"/>
                <w:sz w:val="22"/>
                <w:szCs w:val="22"/>
                <w:lang w:eastAsia="en-AU"/>
              </w:rPr>
            </w:pPr>
            <w:r w:rsidRPr="003A501D">
              <w:rPr>
                <w:rFonts w:eastAsia="Times New Roman" w:cs="Arial"/>
                <w:sz w:val="22"/>
                <w:szCs w:val="22"/>
                <w:lang w:eastAsia="en-AU"/>
              </w:rPr>
              <w:t xml:space="preserve">Estes, A., Vismara, L., Mercado, C., Fitzpatrick, A., Elder, L., Greenson, J., Lord, C., Munson, J., Winter, J., Young, G., Dawson, G., &amp; Rogers, S. (2014). The impact of parent-delivered intervention on parents of very young children with autism. </w:t>
            </w:r>
            <w:r w:rsidRPr="003A501D">
              <w:rPr>
                <w:rFonts w:eastAsia="Times New Roman" w:cs="Arial"/>
                <w:i/>
                <w:iCs/>
                <w:sz w:val="22"/>
                <w:szCs w:val="22"/>
                <w:lang w:eastAsia="en-AU"/>
              </w:rPr>
              <w:t>Journal of Autism &amp; Developmental Disorders, 44(</w:t>
            </w:r>
            <w:r w:rsidRPr="003A501D">
              <w:rPr>
                <w:rFonts w:eastAsia="Times New Roman" w:cs="Arial"/>
                <w:sz w:val="22"/>
                <w:szCs w:val="22"/>
                <w:lang w:eastAsia="en-AU"/>
              </w:rPr>
              <w:t xml:space="preserve">2), 353-365. https://doi.org/10.1007/s10803-013-1874-z </w:t>
            </w:r>
          </w:p>
        </w:tc>
        <w:tc>
          <w:tcPr>
            <w:tcW w:w="1218" w:type="dxa"/>
          </w:tcPr>
          <w:p w14:paraId="68186997" w14:textId="77777777" w:rsidR="00987938" w:rsidRPr="00756F5E" w:rsidRDefault="00987938" w:rsidP="00987938">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Estes et al. (2014)</w:t>
            </w:r>
          </w:p>
        </w:tc>
      </w:tr>
      <w:tr w:rsidR="00987938" w:rsidRPr="00756F5E" w14:paraId="65CFFF3D"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78D8B05" w14:textId="23E63931" w:rsidR="00987938" w:rsidRPr="00756F5E" w:rsidRDefault="00987938" w:rsidP="00987938">
            <w:pPr>
              <w:suppressAutoHyphens/>
              <w:spacing w:before="40" w:after="40" w:line="200" w:lineRule="atLeast"/>
              <w:ind w:left="463" w:hanging="463"/>
              <w:rPr>
                <w:rFonts w:eastAsia="Times New Roman" w:cs="Arial"/>
                <w:sz w:val="22"/>
                <w:szCs w:val="22"/>
                <w:lang w:eastAsia="en-AU"/>
              </w:rPr>
            </w:pPr>
            <w:r w:rsidRPr="00365DD9">
              <w:rPr>
                <w:rFonts w:eastAsia="Times New Roman" w:cs="Arial"/>
                <w:sz w:val="22"/>
                <w:szCs w:val="22"/>
                <w:lang w:eastAsia="en-AU"/>
              </w:rPr>
              <w:t xml:space="preserve">Feuerstein, J. L., &amp; Landa, R. J. (2020). Implementation of early achievements for childcare providers: A cluster-randomized controlled trial. </w:t>
            </w:r>
            <w:r w:rsidRPr="00365DD9">
              <w:rPr>
                <w:rFonts w:eastAsia="Times New Roman" w:cs="Arial"/>
                <w:i/>
                <w:iCs/>
                <w:sz w:val="22"/>
                <w:szCs w:val="22"/>
                <w:lang w:eastAsia="en-AU"/>
              </w:rPr>
              <w:t>Early Childhood Research Quarterly, 53</w:t>
            </w:r>
            <w:r w:rsidRPr="00365DD9">
              <w:rPr>
                <w:rFonts w:eastAsia="Times New Roman" w:cs="Arial"/>
                <w:sz w:val="22"/>
                <w:szCs w:val="22"/>
                <w:lang w:eastAsia="en-AU"/>
              </w:rPr>
              <w:t xml:space="preserve">, 520-533. https://doi.org/10.1016/j.ecresq.2020.06.006 </w:t>
            </w:r>
          </w:p>
        </w:tc>
        <w:tc>
          <w:tcPr>
            <w:tcW w:w="1218" w:type="dxa"/>
          </w:tcPr>
          <w:p w14:paraId="6C1B13B5" w14:textId="77777777" w:rsidR="00987938" w:rsidRPr="00756F5E" w:rsidRDefault="00987938" w:rsidP="00987938">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Feuerstein and Landa (2020)</w:t>
            </w:r>
          </w:p>
        </w:tc>
      </w:tr>
      <w:tr w:rsidR="004316C5" w:rsidRPr="00756F5E" w14:paraId="3CE78180"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777FA3FE" w14:textId="4DE5DE94" w:rsidR="004316C5" w:rsidRPr="00756F5E" w:rsidRDefault="004316C5" w:rsidP="004316C5">
            <w:pPr>
              <w:suppressAutoHyphens/>
              <w:spacing w:before="40" w:after="40" w:line="200" w:lineRule="atLeast"/>
              <w:ind w:left="463" w:hanging="463"/>
              <w:rPr>
                <w:rFonts w:eastAsia="Times New Roman" w:cs="Arial"/>
                <w:sz w:val="22"/>
                <w:szCs w:val="22"/>
                <w:lang w:eastAsia="en-AU"/>
              </w:rPr>
            </w:pPr>
            <w:r w:rsidRPr="00495CFA">
              <w:rPr>
                <w:rFonts w:eastAsia="Times New Roman" w:cs="Arial"/>
                <w:sz w:val="22"/>
                <w:szCs w:val="22"/>
                <w:lang w:eastAsia="en-AU"/>
              </w:rPr>
              <w:t xml:space="preserve">Fidler, D. J., Schworer, E. K., Needham, A., Prince, M. A., Patel, L., Will, E. A., &amp; Daunhauer, L. A. (2021). Feasibility of a syndrome-informed micro-intervention for infants with Down syndrome. </w:t>
            </w:r>
            <w:r w:rsidRPr="00495CFA">
              <w:rPr>
                <w:rFonts w:eastAsia="Times New Roman" w:cs="Arial"/>
                <w:i/>
                <w:iCs/>
                <w:sz w:val="22"/>
                <w:szCs w:val="22"/>
                <w:lang w:eastAsia="en-AU"/>
              </w:rPr>
              <w:t>Journal of Intellectual Disability Research, 65</w:t>
            </w:r>
            <w:r w:rsidRPr="00495CFA">
              <w:rPr>
                <w:rFonts w:eastAsia="Times New Roman" w:cs="Arial"/>
                <w:sz w:val="22"/>
                <w:szCs w:val="22"/>
                <w:lang w:eastAsia="en-AU"/>
              </w:rPr>
              <w:t xml:space="preserve">(4), 320-339. https://doi.org/10.1111/jir.12814 </w:t>
            </w:r>
          </w:p>
        </w:tc>
        <w:tc>
          <w:tcPr>
            <w:tcW w:w="1218" w:type="dxa"/>
          </w:tcPr>
          <w:p w14:paraId="76C3497F" w14:textId="0698AA29" w:rsidR="004316C5" w:rsidRPr="00756F5E" w:rsidRDefault="004316C5" w:rsidP="004316C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Fidler et al. (2021)</w:t>
            </w:r>
          </w:p>
        </w:tc>
      </w:tr>
      <w:tr w:rsidR="004316C5" w:rsidRPr="00756F5E" w14:paraId="6500E027"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85FE8CA" w14:textId="01D44E4E" w:rsidR="004316C5" w:rsidRPr="00756F5E" w:rsidRDefault="004316C5" w:rsidP="004316C5">
            <w:pPr>
              <w:suppressAutoHyphens/>
              <w:spacing w:before="40" w:after="40" w:line="200" w:lineRule="atLeast"/>
              <w:ind w:left="463" w:hanging="463"/>
              <w:rPr>
                <w:rFonts w:eastAsia="Times New Roman" w:cs="Arial"/>
                <w:sz w:val="22"/>
                <w:szCs w:val="22"/>
                <w:lang w:eastAsia="en-AU"/>
              </w:rPr>
            </w:pPr>
            <w:r w:rsidRPr="004D30A5">
              <w:rPr>
                <w:rFonts w:eastAsia="Times New Roman" w:cs="Arial"/>
                <w:sz w:val="22"/>
                <w:szCs w:val="22"/>
                <w:lang w:eastAsia="en-AU"/>
              </w:rPr>
              <w:t xml:space="preserve">Gulsrud, A. C., Shih, W., Paparella, T., &amp; Kasari, C. (2024). Comparative efficacy of an early intervention "parent and me" program for infants showing signs of autism: The baby JASPER model. </w:t>
            </w:r>
            <w:r w:rsidRPr="004D30A5">
              <w:rPr>
                <w:rFonts w:eastAsia="Times New Roman" w:cs="Arial"/>
                <w:i/>
                <w:iCs/>
                <w:sz w:val="22"/>
                <w:szCs w:val="22"/>
                <w:lang w:eastAsia="en-AU"/>
              </w:rPr>
              <w:t xml:space="preserve">Infant Behavior &amp; Development, 76, </w:t>
            </w:r>
            <w:r w:rsidRPr="004D30A5">
              <w:rPr>
                <w:rFonts w:eastAsia="Times New Roman" w:cs="Arial"/>
                <w:sz w:val="22"/>
                <w:szCs w:val="22"/>
                <w:lang w:eastAsia="en-AU"/>
              </w:rPr>
              <w:t xml:space="preserve">101952. https://doi.org/10.1016/j.infbeh.2024.101952 </w:t>
            </w:r>
          </w:p>
        </w:tc>
        <w:tc>
          <w:tcPr>
            <w:tcW w:w="1218" w:type="dxa"/>
          </w:tcPr>
          <w:p w14:paraId="32724654" w14:textId="48CCB46B" w:rsidR="004316C5" w:rsidRPr="00756F5E" w:rsidRDefault="004316C5" w:rsidP="004316C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Gulsrud et al. (2024)</w:t>
            </w:r>
          </w:p>
        </w:tc>
      </w:tr>
      <w:tr w:rsidR="004316C5" w:rsidRPr="00756F5E" w14:paraId="55113051"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DA417A0" w14:textId="2FC3465D" w:rsidR="004316C5" w:rsidRPr="00756F5E" w:rsidRDefault="004316C5" w:rsidP="004316C5">
            <w:pPr>
              <w:suppressAutoHyphens/>
              <w:spacing w:before="40" w:after="40" w:line="200" w:lineRule="atLeast"/>
              <w:ind w:left="463" w:hanging="463"/>
              <w:rPr>
                <w:rFonts w:eastAsia="Times New Roman" w:cs="Arial"/>
                <w:sz w:val="22"/>
                <w:szCs w:val="22"/>
                <w:lang w:eastAsia="en-AU"/>
              </w:rPr>
            </w:pPr>
            <w:r w:rsidRPr="006C0156">
              <w:rPr>
                <w:rFonts w:eastAsia="Times New Roman" w:cs="Arial"/>
                <w:sz w:val="22"/>
                <w:szCs w:val="22"/>
                <w:lang w:eastAsia="en-AU"/>
              </w:rPr>
              <w:t xml:space="preserve">Guthrie, W., Wetherby, A. M., Woods, J., Schatschneider, C., Holland, R. D., Morgan, L., &amp; Lord, C. E. (2023). The earlier the better: An RCT of treatment timing effects for toddlers on the autism spectrum. </w:t>
            </w:r>
            <w:r w:rsidRPr="006C0156">
              <w:rPr>
                <w:rFonts w:eastAsia="Times New Roman" w:cs="Arial"/>
                <w:i/>
                <w:iCs/>
                <w:sz w:val="22"/>
                <w:szCs w:val="22"/>
                <w:lang w:eastAsia="en-AU"/>
              </w:rPr>
              <w:t>Autism: The International Journal of Research &amp; Practice, 27(</w:t>
            </w:r>
            <w:r w:rsidRPr="006C0156">
              <w:rPr>
                <w:rFonts w:eastAsia="Times New Roman" w:cs="Arial"/>
                <w:sz w:val="22"/>
                <w:szCs w:val="22"/>
                <w:lang w:eastAsia="en-AU"/>
              </w:rPr>
              <w:t>8), 2295-2309. https://doi.org/10.1177/13623613231159153</w:t>
            </w:r>
          </w:p>
        </w:tc>
        <w:tc>
          <w:tcPr>
            <w:tcW w:w="1218" w:type="dxa"/>
          </w:tcPr>
          <w:p w14:paraId="4B2B3EB3" w14:textId="716F1B60" w:rsidR="004316C5" w:rsidRPr="00756F5E" w:rsidRDefault="004316C5" w:rsidP="004316C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Guthrie et al. (2023)</w:t>
            </w:r>
          </w:p>
        </w:tc>
      </w:tr>
      <w:tr w:rsidR="004316C5" w:rsidRPr="00756F5E" w14:paraId="5418030B"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F7784B8" w14:textId="6AEB581A" w:rsidR="004316C5" w:rsidRPr="00756F5E" w:rsidRDefault="004316C5" w:rsidP="004316C5">
            <w:pPr>
              <w:suppressAutoHyphens/>
              <w:spacing w:before="40" w:after="40" w:line="200" w:lineRule="atLeast"/>
              <w:ind w:left="463" w:hanging="463"/>
              <w:rPr>
                <w:rFonts w:eastAsia="Times New Roman" w:cs="Arial"/>
                <w:sz w:val="22"/>
                <w:szCs w:val="22"/>
                <w:lang w:eastAsia="en-AU"/>
              </w:rPr>
            </w:pPr>
            <w:r w:rsidRPr="00581CD3">
              <w:rPr>
                <w:rFonts w:eastAsia="Times New Roman" w:cs="Arial"/>
                <w:sz w:val="22"/>
                <w:szCs w:val="22"/>
                <w:lang w:eastAsia="en-AU"/>
              </w:rPr>
              <w:t xml:space="preserve">Harrop, C., Gulsrud, A., Shih, W., Hovsepyan, L., &amp; Kasari, C. (2017). The impact of caregiver-mediated JASPER on child restricted and repetitive behaviors and caregiver responses. </w:t>
            </w:r>
            <w:r w:rsidRPr="00581CD3">
              <w:rPr>
                <w:rFonts w:eastAsia="Times New Roman" w:cs="Arial"/>
                <w:i/>
                <w:iCs/>
                <w:sz w:val="22"/>
                <w:szCs w:val="22"/>
                <w:lang w:eastAsia="en-AU"/>
              </w:rPr>
              <w:t>Autism Research, 10</w:t>
            </w:r>
            <w:r w:rsidRPr="00581CD3">
              <w:rPr>
                <w:rFonts w:eastAsia="Times New Roman" w:cs="Arial"/>
                <w:sz w:val="22"/>
                <w:szCs w:val="22"/>
                <w:lang w:eastAsia="en-AU"/>
              </w:rPr>
              <w:t xml:space="preserve">(5), 983-992. https://doi.org/10.1002/aur.1732 </w:t>
            </w:r>
          </w:p>
        </w:tc>
        <w:tc>
          <w:tcPr>
            <w:tcW w:w="1218" w:type="dxa"/>
          </w:tcPr>
          <w:p w14:paraId="772B52E5" w14:textId="619FBCAD" w:rsidR="004316C5" w:rsidRPr="00756F5E" w:rsidRDefault="004316C5" w:rsidP="004316C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Harrop et al. (2017)</w:t>
            </w:r>
          </w:p>
        </w:tc>
      </w:tr>
      <w:tr w:rsidR="004316C5" w:rsidRPr="00756F5E" w14:paraId="7069DAAC"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8398D65" w14:textId="5E64D084" w:rsidR="004316C5" w:rsidRPr="00756F5E" w:rsidRDefault="004316C5" w:rsidP="004316C5">
            <w:pPr>
              <w:suppressAutoHyphens/>
              <w:spacing w:before="40" w:after="40" w:line="200" w:lineRule="atLeast"/>
              <w:ind w:left="463" w:hanging="463"/>
              <w:rPr>
                <w:rFonts w:eastAsia="Times New Roman" w:cs="Arial"/>
                <w:sz w:val="22"/>
                <w:szCs w:val="22"/>
                <w:lang w:eastAsia="en-AU"/>
              </w:rPr>
            </w:pPr>
            <w:r w:rsidRPr="00AF0A4F">
              <w:rPr>
                <w:rFonts w:eastAsia="Times New Roman" w:cs="Arial"/>
                <w:sz w:val="22"/>
                <w:szCs w:val="22"/>
                <w:lang w:eastAsia="en-AU"/>
              </w:rPr>
              <w:t xml:space="preserve">Hielkema, T., Boxum, A. G., Hamer, E. G., La Bastide-Van Gemert, S., Dirks, T., Reinders-Messelink, H. A., Maathuis, C. G. B., Verheijden, J., Geertzen, J. H. B., &amp; Hadders-Algra, M. (2020). LEARN2MOVE 0-2 years, a randomized early intervention trial for infants at very high risk of cerebral palsy: Family outcome and infant's functional outcome. </w:t>
            </w:r>
            <w:r w:rsidRPr="00AF0A4F">
              <w:rPr>
                <w:rFonts w:eastAsia="Times New Roman" w:cs="Arial"/>
                <w:i/>
                <w:iCs/>
                <w:sz w:val="22"/>
                <w:szCs w:val="22"/>
                <w:lang w:eastAsia="en-AU"/>
              </w:rPr>
              <w:t>Disability and Rehabilitation, 42</w:t>
            </w:r>
            <w:r w:rsidRPr="00AF0A4F">
              <w:rPr>
                <w:rFonts w:eastAsia="Times New Roman" w:cs="Arial"/>
                <w:sz w:val="22"/>
                <w:szCs w:val="22"/>
                <w:lang w:eastAsia="en-AU"/>
              </w:rPr>
              <w:t xml:space="preserve">(26), 3762-3770. https://doi.org/10.1080/09638288.2019.1610509 </w:t>
            </w:r>
          </w:p>
        </w:tc>
        <w:tc>
          <w:tcPr>
            <w:tcW w:w="1218" w:type="dxa"/>
          </w:tcPr>
          <w:p w14:paraId="12F231B6" w14:textId="5CA03311" w:rsidR="004316C5" w:rsidRPr="00756F5E" w:rsidRDefault="004316C5" w:rsidP="004316C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Hielkema et al. (2020)</w:t>
            </w:r>
          </w:p>
        </w:tc>
      </w:tr>
      <w:tr w:rsidR="004316C5" w:rsidRPr="00756F5E" w14:paraId="6E90D2E8"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7F6E43C" w14:textId="12972004" w:rsidR="004316C5" w:rsidRPr="00756F5E" w:rsidRDefault="004316C5" w:rsidP="004316C5">
            <w:pPr>
              <w:suppressAutoHyphens/>
              <w:spacing w:before="40" w:after="40" w:line="200" w:lineRule="atLeast"/>
              <w:ind w:left="463" w:hanging="463"/>
              <w:rPr>
                <w:rFonts w:eastAsia="Times New Roman" w:cs="Arial"/>
                <w:sz w:val="22"/>
                <w:szCs w:val="22"/>
                <w:lang w:eastAsia="en-AU"/>
              </w:rPr>
            </w:pPr>
            <w:r w:rsidRPr="005261C2">
              <w:rPr>
                <w:rFonts w:eastAsia="Times New Roman" w:cs="Arial"/>
                <w:sz w:val="22"/>
                <w:szCs w:val="22"/>
                <w:lang w:eastAsia="en-AU"/>
              </w:rPr>
              <w:t xml:space="preserve">Johnson, C. R., Barto, L., Worley, S., Rothstein, R., &amp; Alder, M. L. (2023). Telehealth parent training for sleep disturbances in young children with autism spectrum disorder: A randomized controlled trial. </w:t>
            </w:r>
            <w:r w:rsidRPr="005261C2">
              <w:rPr>
                <w:rFonts w:eastAsia="Times New Roman" w:cs="Arial"/>
                <w:i/>
                <w:iCs/>
                <w:sz w:val="22"/>
                <w:szCs w:val="22"/>
                <w:lang w:eastAsia="en-AU"/>
              </w:rPr>
              <w:t>Sleep Medicine, 111</w:t>
            </w:r>
            <w:r w:rsidRPr="005261C2">
              <w:rPr>
                <w:rFonts w:eastAsia="Times New Roman" w:cs="Arial"/>
                <w:sz w:val="22"/>
                <w:szCs w:val="22"/>
                <w:lang w:eastAsia="en-AU"/>
              </w:rPr>
              <w:t xml:space="preserve">, 208-219. https://doi.org/10.1016/j.sleep.2023.08.033 </w:t>
            </w:r>
          </w:p>
        </w:tc>
        <w:tc>
          <w:tcPr>
            <w:tcW w:w="1218" w:type="dxa"/>
          </w:tcPr>
          <w:p w14:paraId="459E8CEA" w14:textId="4AB3EFB3" w:rsidR="004316C5" w:rsidRPr="00756F5E" w:rsidRDefault="004316C5" w:rsidP="004316C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Johnson et al. (2023)</w:t>
            </w:r>
          </w:p>
        </w:tc>
      </w:tr>
      <w:tr w:rsidR="004316C5" w:rsidRPr="00756F5E" w14:paraId="3E36F65B"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4F80FAF" w14:textId="5B915F65" w:rsidR="004316C5" w:rsidRPr="00756F5E" w:rsidRDefault="004316C5" w:rsidP="004316C5">
            <w:pPr>
              <w:suppressAutoHyphens/>
              <w:spacing w:before="40" w:after="40" w:line="200" w:lineRule="atLeast"/>
              <w:ind w:left="463" w:hanging="463"/>
              <w:rPr>
                <w:rFonts w:eastAsia="Times New Roman" w:cs="Arial"/>
                <w:sz w:val="22"/>
                <w:szCs w:val="22"/>
                <w:lang w:eastAsia="en-AU"/>
              </w:rPr>
            </w:pPr>
            <w:r w:rsidRPr="00F33FEF">
              <w:rPr>
                <w:rFonts w:eastAsia="Times New Roman" w:cs="Arial"/>
                <w:sz w:val="22"/>
                <w:szCs w:val="22"/>
                <w:lang w:eastAsia="en-AU"/>
              </w:rPr>
              <w:t xml:space="preserve">Kasari, C., Gulsrud, A., Paparella, T., Hellemann, G., &amp; Berry, K. (2015). Randomized comparative efficacy study of parent-mediated interventions for toddlers with autism. </w:t>
            </w:r>
            <w:r w:rsidRPr="00F33FEF">
              <w:rPr>
                <w:rFonts w:eastAsia="Times New Roman" w:cs="Arial"/>
                <w:i/>
                <w:iCs/>
                <w:sz w:val="22"/>
                <w:szCs w:val="22"/>
                <w:lang w:eastAsia="en-AU"/>
              </w:rPr>
              <w:t>Journal of Consulting and Clinical Psychology, 83</w:t>
            </w:r>
            <w:r w:rsidRPr="00F33FEF">
              <w:rPr>
                <w:rFonts w:eastAsia="Times New Roman" w:cs="Arial"/>
                <w:sz w:val="22"/>
                <w:szCs w:val="22"/>
                <w:lang w:eastAsia="en-AU"/>
              </w:rPr>
              <w:t xml:space="preserve">(3), 554-563. https://doi.org/10.1037/a0039080 </w:t>
            </w:r>
          </w:p>
        </w:tc>
        <w:tc>
          <w:tcPr>
            <w:tcW w:w="1218" w:type="dxa"/>
          </w:tcPr>
          <w:p w14:paraId="7B7E7AB9" w14:textId="730594A8" w:rsidR="004316C5" w:rsidRPr="00756F5E" w:rsidRDefault="004316C5" w:rsidP="004316C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Kasari et al. (2015)</w:t>
            </w:r>
          </w:p>
        </w:tc>
      </w:tr>
      <w:tr w:rsidR="004316C5" w:rsidRPr="00756F5E" w14:paraId="42F173AC"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D95D128" w14:textId="00135271" w:rsidR="004316C5" w:rsidRPr="00756F5E" w:rsidRDefault="004316C5" w:rsidP="004316C5">
            <w:pPr>
              <w:suppressAutoHyphens/>
              <w:spacing w:before="40" w:after="40" w:line="200" w:lineRule="atLeast"/>
              <w:ind w:left="463" w:hanging="463"/>
              <w:rPr>
                <w:rFonts w:eastAsia="Times New Roman" w:cs="Arial"/>
                <w:sz w:val="22"/>
                <w:szCs w:val="22"/>
                <w:lang w:eastAsia="en-AU"/>
              </w:rPr>
            </w:pPr>
            <w:r w:rsidRPr="003D4552">
              <w:rPr>
                <w:rFonts w:eastAsia="Times New Roman" w:cs="Arial"/>
                <w:sz w:val="22"/>
                <w:szCs w:val="22"/>
                <w:lang w:eastAsia="en-AU"/>
              </w:rPr>
              <w:t xml:space="preserve">Klein, C. B., Swain, D. M., Vibert, B., Clark-Whitney, E., Lemelman, A. R., Giordano, J. A., Winter, J., &amp; Kim, S. H. (2021). Implementation of video feedback within a community based naturalistic developmental behavioral intervention program for toddlers with ASD: Pilot study. </w:t>
            </w:r>
            <w:r w:rsidRPr="003D4552">
              <w:rPr>
                <w:rFonts w:eastAsia="Times New Roman" w:cs="Arial"/>
                <w:i/>
                <w:iCs/>
                <w:sz w:val="22"/>
                <w:szCs w:val="22"/>
                <w:lang w:eastAsia="en-AU"/>
              </w:rPr>
              <w:t>Frontiers in Psychiatry, 12</w:t>
            </w:r>
            <w:r w:rsidRPr="003D4552">
              <w:rPr>
                <w:rFonts w:eastAsia="Times New Roman" w:cs="Arial"/>
                <w:sz w:val="22"/>
                <w:szCs w:val="22"/>
                <w:lang w:eastAsia="en-AU"/>
              </w:rPr>
              <w:t xml:space="preserve">, 763367. https://doi.org/10.3389/fpsyt.2021.763367 </w:t>
            </w:r>
          </w:p>
        </w:tc>
        <w:tc>
          <w:tcPr>
            <w:tcW w:w="1218" w:type="dxa"/>
          </w:tcPr>
          <w:p w14:paraId="5785CC0A" w14:textId="004E62F1" w:rsidR="004316C5" w:rsidRPr="00756F5E" w:rsidRDefault="004316C5" w:rsidP="004316C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Klein et al. (2021)</w:t>
            </w:r>
          </w:p>
        </w:tc>
      </w:tr>
      <w:tr w:rsidR="004316C5" w:rsidRPr="00756F5E" w14:paraId="783E8A18"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3EF77BC" w14:textId="3FA795D9" w:rsidR="004316C5" w:rsidRPr="00756F5E" w:rsidRDefault="004316C5" w:rsidP="004316C5">
            <w:pPr>
              <w:suppressAutoHyphens/>
              <w:spacing w:before="40" w:after="40" w:line="200" w:lineRule="atLeast"/>
              <w:ind w:left="463" w:hanging="463"/>
              <w:rPr>
                <w:rFonts w:eastAsia="Times New Roman" w:cs="Arial"/>
                <w:sz w:val="22"/>
                <w:szCs w:val="22"/>
                <w:lang w:eastAsia="en-AU"/>
              </w:rPr>
            </w:pPr>
            <w:r w:rsidRPr="00591453">
              <w:rPr>
                <w:rFonts w:eastAsia="Times New Roman" w:cs="Arial"/>
                <w:sz w:val="22"/>
                <w:szCs w:val="22"/>
                <w:lang w:eastAsia="en-AU"/>
              </w:rPr>
              <w:t xml:space="preserve">Landa, R. J., Pfeiffer, D., Holingue, C., &amp; Baker, E. (2024). Professional development increases child care providers' NDBI implementation and children's language outcomes. </w:t>
            </w:r>
            <w:r w:rsidRPr="00591453">
              <w:rPr>
                <w:rFonts w:eastAsia="Times New Roman" w:cs="Arial"/>
                <w:i/>
                <w:iCs/>
                <w:sz w:val="22"/>
                <w:szCs w:val="22"/>
                <w:lang w:eastAsia="en-AU"/>
              </w:rPr>
              <w:t>Journal of Early Intervention, 46</w:t>
            </w:r>
            <w:r w:rsidRPr="00591453">
              <w:rPr>
                <w:rFonts w:eastAsia="Times New Roman" w:cs="Arial"/>
                <w:sz w:val="22"/>
                <w:szCs w:val="22"/>
                <w:lang w:eastAsia="en-AU"/>
              </w:rPr>
              <w:t xml:space="preserve">(2), 276-298. https://doi.org/10.1177/10538151231217486 </w:t>
            </w:r>
          </w:p>
        </w:tc>
        <w:tc>
          <w:tcPr>
            <w:tcW w:w="1218" w:type="dxa"/>
          </w:tcPr>
          <w:p w14:paraId="54D13080" w14:textId="1B2C7A47" w:rsidR="004316C5" w:rsidRPr="00756F5E" w:rsidRDefault="004316C5" w:rsidP="004316C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Landa et al. (2024)</w:t>
            </w:r>
          </w:p>
        </w:tc>
      </w:tr>
      <w:tr w:rsidR="00941624" w:rsidRPr="00756F5E" w14:paraId="4EC7AD3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244B4A1" w14:textId="7F178B5B" w:rsidR="00941624" w:rsidRPr="00756F5E" w:rsidRDefault="00941624" w:rsidP="00941624">
            <w:pPr>
              <w:suppressAutoHyphens/>
              <w:spacing w:before="40" w:after="40" w:line="200" w:lineRule="atLeast"/>
              <w:ind w:left="463" w:hanging="463"/>
              <w:rPr>
                <w:rFonts w:eastAsia="Times New Roman" w:cs="Arial"/>
                <w:sz w:val="22"/>
                <w:szCs w:val="22"/>
                <w:lang w:eastAsia="en-AU"/>
              </w:rPr>
            </w:pPr>
            <w:r w:rsidRPr="000028D6">
              <w:rPr>
                <w:rFonts w:eastAsia="Times New Roman" w:cs="Arial"/>
                <w:sz w:val="22"/>
                <w:szCs w:val="22"/>
                <w:lang w:eastAsia="en-AU"/>
              </w:rPr>
              <w:t xml:space="preserve">Morgan, L., Hooker, J. L., Sparapani, N., Reinhardt, V. P., Schatschneider, C., &amp; Wetherby, A. M. (2018). Cluster randomized trial of the classroom SCERTS intervention for elementary students with autism spectrum disorder. </w:t>
            </w:r>
            <w:r w:rsidRPr="000028D6">
              <w:rPr>
                <w:rFonts w:eastAsia="Times New Roman" w:cs="Arial"/>
                <w:i/>
                <w:iCs/>
                <w:sz w:val="22"/>
                <w:szCs w:val="22"/>
                <w:lang w:eastAsia="en-AU"/>
              </w:rPr>
              <w:t>Journal of Consulting and Clinical Psychology, 86</w:t>
            </w:r>
            <w:r w:rsidRPr="000028D6">
              <w:rPr>
                <w:rFonts w:eastAsia="Times New Roman" w:cs="Arial"/>
                <w:sz w:val="22"/>
                <w:szCs w:val="22"/>
                <w:lang w:eastAsia="en-AU"/>
              </w:rPr>
              <w:t xml:space="preserve">(7), 631-644. https://doi.org/10.1037/ccp0000314 </w:t>
            </w:r>
          </w:p>
        </w:tc>
        <w:tc>
          <w:tcPr>
            <w:tcW w:w="1218" w:type="dxa"/>
          </w:tcPr>
          <w:p w14:paraId="70D24C58" w14:textId="454A2B8D" w:rsidR="00941624" w:rsidRPr="00756F5E" w:rsidRDefault="00941624" w:rsidP="0094162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Morgan et al. (2018)</w:t>
            </w:r>
          </w:p>
        </w:tc>
      </w:tr>
      <w:tr w:rsidR="00941624" w:rsidRPr="00756F5E" w14:paraId="7DBD34B7"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D4D5B11" w14:textId="70B7DE5A" w:rsidR="00941624" w:rsidRPr="00756F5E" w:rsidRDefault="00941624" w:rsidP="00941624">
            <w:pPr>
              <w:suppressAutoHyphens/>
              <w:spacing w:before="40" w:after="40" w:line="200" w:lineRule="atLeast"/>
              <w:ind w:left="463" w:hanging="463"/>
              <w:rPr>
                <w:rFonts w:eastAsia="Times New Roman" w:cs="Arial"/>
                <w:sz w:val="22"/>
                <w:szCs w:val="22"/>
                <w:lang w:eastAsia="en-AU"/>
              </w:rPr>
            </w:pPr>
            <w:r w:rsidRPr="00EE7156">
              <w:rPr>
                <w:rFonts w:eastAsia="Times New Roman" w:cs="Arial"/>
                <w:sz w:val="22"/>
                <w:szCs w:val="22"/>
                <w:lang w:eastAsia="en-AU"/>
              </w:rPr>
              <w:t xml:space="preserve">Ostrosky, M. M., Favazza, P. C., Yang, H.-W., Stalega, M. V., Aronson-Ensign, K., Cheung, W. C., Akemoğlu, Y., Block, M. E., &amp; Kwan, N. (2024). Investigating the impact of a motor program on preschoolers with disabilities: Findings from a randomized controlled trial. </w:t>
            </w:r>
            <w:r w:rsidRPr="00EE7156">
              <w:rPr>
                <w:rFonts w:eastAsia="Times New Roman" w:cs="Arial"/>
                <w:i/>
                <w:iCs/>
                <w:sz w:val="22"/>
                <w:szCs w:val="22"/>
                <w:lang w:eastAsia="en-AU"/>
              </w:rPr>
              <w:t>Infants &amp; Young Children: An Interdisciplinary Journal of Early Childhood Intervention, 37</w:t>
            </w:r>
            <w:r w:rsidRPr="00EE7156">
              <w:rPr>
                <w:rFonts w:eastAsia="Times New Roman" w:cs="Arial"/>
                <w:sz w:val="22"/>
                <w:szCs w:val="22"/>
                <w:lang w:eastAsia="en-AU"/>
              </w:rPr>
              <w:t xml:space="preserve">(1), 3-19. https://doi.org/10.1097/IYC.0000000000000254 </w:t>
            </w:r>
          </w:p>
        </w:tc>
        <w:tc>
          <w:tcPr>
            <w:tcW w:w="1218" w:type="dxa"/>
          </w:tcPr>
          <w:p w14:paraId="7BAB8293" w14:textId="58DA20CC" w:rsidR="00941624" w:rsidRPr="00756F5E" w:rsidRDefault="00941624" w:rsidP="0094162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Ostrosky et al. (2024)</w:t>
            </w:r>
          </w:p>
        </w:tc>
      </w:tr>
      <w:tr w:rsidR="00941624" w:rsidRPr="00756F5E" w14:paraId="33E50284"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E9C3F4C" w14:textId="1B333E4F" w:rsidR="00941624" w:rsidRPr="00756F5E" w:rsidRDefault="00941624" w:rsidP="00941624">
            <w:pPr>
              <w:suppressAutoHyphens/>
              <w:spacing w:before="40" w:after="40" w:line="200" w:lineRule="atLeast"/>
              <w:ind w:left="463" w:hanging="463"/>
              <w:rPr>
                <w:rFonts w:eastAsia="Times New Roman" w:cs="Arial"/>
                <w:sz w:val="22"/>
                <w:szCs w:val="22"/>
                <w:lang w:eastAsia="en-AU"/>
              </w:rPr>
            </w:pPr>
            <w:r w:rsidRPr="00EA72E0">
              <w:rPr>
                <w:rFonts w:eastAsia="Times New Roman" w:cs="Arial"/>
                <w:sz w:val="22"/>
                <w:szCs w:val="22"/>
                <w:lang w:eastAsia="en-AU"/>
              </w:rPr>
              <w:t xml:space="preserve">Panganiban, J. L., Shire, S. Y., Williams, J., &amp; Kasari, C. (2022). Supporting peer engagement for low-income preschool students with autism spectrum disorder during academic instruction: A pilot randomized trial. </w:t>
            </w:r>
            <w:r w:rsidRPr="00EA72E0">
              <w:rPr>
                <w:rFonts w:eastAsia="Times New Roman" w:cs="Arial"/>
                <w:i/>
                <w:iCs/>
                <w:sz w:val="22"/>
                <w:szCs w:val="22"/>
                <w:lang w:eastAsia="en-AU"/>
              </w:rPr>
              <w:t>Autism, 26</w:t>
            </w:r>
            <w:r w:rsidRPr="00EA72E0">
              <w:rPr>
                <w:rFonts w:eastAsia="Times New Roman" w:cs="Arial"/>
                <w:sz w:val="22"/>
                <w:szCs w:val="22"/>
                <w:lang w:eastAsia="en-AU"/>
              </w:rPr>
              <w:t xml:space="preserve">(8), 2175-2187. https://doi.org/10.1177/13623613221085339 </w:t>
            </w:r>
          </w:p>
        </w:tc>
        <w:tc>
          <w:tcPr>
            <w:tcW w:w="1218" w:type="dxa"/>
          </w:tcPr>
          <w:p w14:paraId="2B353954" w14:textId="17EA1858" w:rsidR="00941624" w:rsidRPr="00756F5E" w:rsidRDefault="00941624" w:rsidP="0094162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Panganiban et al. (2022)</w:t>
            </w:r>
          </w:p>
        </w:tc>
      </w:tr>
      <w:tr w:rsidR="00941624" w:rsidRPr="00756F5E" w14:paraId="6F396017"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739E41DD" w14:textId="02F7DA96" w:rsidR="00941624" w:rsidRPr="00756F5E" w:rsidRDefault="00941624" w:rsidP="00941624">
            <w:pPr>
              <w:suppressAutoHyphens/>
              <w:spacing w:before="40" w:after="40" w:line="200" w:lineRule="atLeast"/>
              <w:ind w:left="463" w:hanging="463"/>
              <w:rPr>
                <w:rFonts w:eastAsia="Times New Roman" w:cs="Arial"/>
                <w:sz w:val="22"/>
                <w:szCs w:val="22"/>
                <w:lang w:eastAsia="en-AU"/>
              </w:rPr>
            </w:pPr>
            <w:r w:rsidRPr="00782EAA">
              <w:rPr>
                <w:rFonts w:eastAsia="Times New Roman" w:cs="Arial"/>
                <w:sz w:val="22"/>
                <w:szCs w:val="22"/>
                <w:lang w:eastAsia="en-AU"/>
              </w:rPr>
              <w:t>Pickles, A., Le Couteur, A., Leadbitter, K., Salomone, E., Cole-Fletcher, R., Tobin, H., Gammer, I., Lowry, J., Vamvakas, G., Byford, S., Aldred, C., Slonims, V., McConachie, H., Howlin, P., Parr, J. R., Charman, T., &amp; Green, J. (2016). Parent-mediated social communication therapy for young children with autism (PACT): Long-term follow-up of a randomised controlled trial</w:t>
            </w:r>
            <w:r w:rsidRPr="00782EAA">
              <w:rPr>
                <w:rFonts w:eastAsia="Times New Roman" w:cs="Arial"/>
                <w:i/>
                <w:iCs/>
                <w:sz w:val="22"/>
                <w:szCs w:val="22"/>
                <w:lang w:eastAsia="en-AU"/>
              </w:rPr>
              <w:t>. Lancet, 388</w:t>
            </w:r>
            <w:r w:rsidRPr="00782EAA">
              <w:rPr>
                <w:rFonts w:eastAsia="Times New Roman" w:cs="Arial"/>
                <w:sz w:val="22"/>
                <w:szCs w:val="22"/>
                <w:lang w:eastAsia="en-AU"/>
              </w:rPr>
              <w:t xml:space="preserve">(10059), 2501-2509. https://doi.org/10.1016/s0140-6736(16)31229-6 </w:t>
            </w:r>
          </w:p>
        </w:tc>
        <w:tc>
          <w:tcPr>
            <w:tcW w:w="1218" w:type="dxa"/>
          </w:tcPr>
          <w:p w14:paraId="1951B92B" w14:textId="798951A7" w:rsidR="00941624" w:rsidRPr="00756F5E" w:rsidRDefault="00941624" w:rsidP="0094162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Pickles et al. (2016)</w:t>
            </w:r>
          </w:p>
        </w:tc>
      </w:tr>
      <w:tr w:rsidR="00941624" w:rsidRPr="00756F5E" w14:paraId="4723964F"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7283869" w14:textId="4FC07D03" w:rsidR="00941624" w:rsidRPr="00756F5E" w:rsidRDefault="00941624" w:rsidP="00941624">
            <w:pPr>
              <w:suppressAutoHyphens/>
              <w:spacing w:before="40" w:after="40" w:line="200" w:lineRule="atLeast"/>
              <w:ind w:left="463" w:hanging="463"/>
              <w:rPr>
                <w:rFonts w:eastAsia="Times New Roman" w:cs="Arial"/>
                <w:sz w:val="22"/>
                <w:szCs w:val="22"/>
                <w:lang w:eastAsia="en-AU"/>
              </w:rPr>
            </w:pPr>
            <w:r w:rsidRPr="00085568">
              <w:rPr>
                <w:rFonts w:eastAsia="Times New Roman" w:cs="Arial"/>
                <w:sz w:val="22"/>
                <w:szCs w:val="22"/>
                <w:lang w:eastAsia="en-AU"/>
              </w:rPr>
              <w:t xml:space="preserve">Roberts, M. Y., Sone, B. J., Jones, M., Grauzer, J., Sudec, L., Stern, Y. S., Kwok, E., Losh, M., &amp; Kaat, A. (2023). One size does not fit all for parent-mediated autism interventions: A randomized clinical trial. </w:t>
            </w:r>
            <w:r w:rsidRPr="00085568">
              <w:rPr>
                <w:rFonts w:eastAsia="Times New Roman" w:cs="Arial"/>
                <w:i/>
                <w:iCs/>
                <w:sz w:val="22"/>
                <w:szCs w:val="22"/>
                <w:lang w:eastAsia="en-AU"/>
              </w:rPr>
              <w:t>Autism: The International Journal of Research &amp; Practice, 27</w:t>
            </w:r>
            <w:r w:rsidRPr="00085568">
              <w:rPr>
                <w:rFonts w:eastAsia="Times New Roman" w:cs="Arial"/>
                <w:sz w:val="22"/>
                <w:szCs w:val="22"/>
                <w:lang w:eastAsia="en-AU"/>
              </w:rPr>
              <w:t xml:space="preserve">(2), 443-455. https://doi.org/10.1177/13623613221102736 </w:t>
            </w:r>
          </w:p>
        </w:tc>
        <w:tc>
          <w:tcPr>
            <w:tcW w:w="1218" w:type="dxa"/>
          </w:tcPr>
          <w:p w14:paraId="2D08D6C2" w14:textId="2688BD20" w:rsidR="00941624" w:rsidRPr="00756F5E" w:rsidRDefault="00941624" w:rsidP="0094162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Roberts et al. (2023)</w:t>
            </w:r>
          </w:p>
        </w:tc>
      </w:tr>
      <w:tr w:rsidR="00616437" w:rsidRPr="00756F5E" w14:paraId="531A310B"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B4A39A1" w14:textId="3CC2CCB7" w:rsidR="00616437" w:rsidRPr="00756F5E" w:rsidRDefault="00616437" w:rsidP="00616437">
            <w:pPr>
              <w:suppressAutoHyphens/>
              <w:spacing w:before="40" w:after="40" w:line="200" w:lineRule="atLeast"/>
              <w:ind w:left="463" w:hanging="463"/>
              <w:rPr>
                <w:rFonts w:eastAsia="Times New Roman" w:cs="Arial"/>
                <w:sz w:val="22"/>
                <w:szCs w:val="22"/>
                <w:lang w:eastAsia="en-AU"/>
              </w:rPr>
            </w:pPr>
            <w:r w:rsidRPr="00561335">
              <w:rPr>
                <w:rFonts w:eastAsia="Times New Roman" w:cs="Arial"/>
                <w:sz w:val="22"/>
                <w:szCs w:val="22"/>
                <w:lang w:eastAsia="en-AU"/>
              </w:rPr>
              <w:t xml:space="preserve">Rogers, S. J., Estes, A., Vismara, L., Munson, J., Zierhut, C., Greenson, J., Dawson, G., Rocha, M., Sugar, C., Senturk, D., Whelan, F., &amp; Talbott, M. (2019). Enhancing low-intensity coaching in parent implemented Early Start Denver Model intervention for early autism: A randomized comparison treatment trial. </w:t>
            </w:r>
            <w:r w:rsidRPr="00561335">
              <w:rPr>
                <w:rFonts w:eastAsia="Times New Roman" w:cs="Arial"/>
                <w:i/>
                <w:iCs/>
                <w:sz w:val="22"/>
                <w:szCs w:val="22"/>
                <w:lang w:eastAsia="en-AU"/>
              </w:rPr>
              <w:t>Journal of Autism and Developmental Disorders, 49</w:t>
            </w:r>
            <w:r w:rsidRPr="00561335">
              <w:rPr>
                <w:rFonts w:eastAsia="Times New Roman" w:cs="Arial"/>
                <w:sz w:val="22"/>
                <w:szCs w:val="22"/>
                <w:lang w:eastAsia="en-AU"/>
              </w:rPr>
              <w:t xml:space="preserve">(2), 632-646. https://doi.org/10.1007/s10803-018-3740-5 </w:t>
            </w:r>
          </w:p>
        </w:tc>
        <w:tc>
          <w:tcPr>
            <w:tcW w:w="1218" w:type="dxa"/>
          </w:tcPr>
          <w:p w14:paraId="2991A2AB" w14:textId="2BA4415C" w:rsidR="00616437" w:rsidRPr="00756F5E" w:rsidRDefault="00616437" w:rsidP="00616437">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Rogers, Estes, Vismara, et al. (2019)</w:t>
            </w:r>
            <w:r w:rsidRPr="00376175">
              <w:rPr>
                <w:rFonts w:eastAsia="Times New Roman" w:cs="Arial"/>
                <w:sz w:val="22"/>
                <w:szCs w:val="22"/>
                <w:lang w:eastAsia="en-AU"/>
              </w:rPr>
              <w:t xml:space="preserve"> a </w:t>
            </w:r>
          </w:p>
        </w:tc>
      </w:tr>
      <w:tr w:rsidR="00616437" w:rsidRPr="00756F5E" w14:paraId="422110E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ED8524E" w14:textId="381A2BB2" w:rsidR="00616437" w:rsidRPr="00756F5E" w:rsidRDefault="00616437" w:rsidP="00616437">
            <w:pPr>
              <w:suppressAutoHyphens/>
              <w:spacing w:before="40" w:after="40" w:line="200" w:lineRule="atLeast"/>
              <w:ind w:left="463" w:hanging="463"/>
              <w:rPr>
                <w:rFonts w:eastAsia="Times New Roman" w:cs="Arial"/>
                <w:sz w:val="22"/>
                <w:szCs w:val="22"/>
                <w:lang w:eastAsia="en-AU"/>
              </w:rPr>
            </w:pPr>
            <w:r w:rsidRPr="00460B84">
              <w:rPr>
                <w:rFonts w:eastAsia="Times New Roman" w:cs="Arial"/>
                <w:sz w:val="22"/>
                <w:szCs w:val="22"/>
                <w:lang w:eastAsia="en-AU"/>
              </w:rPr>
              <w:t xml:space="preserve">Rogers, S. J., Estes, A., Lord, C., Munson, J., Rocha, M., Winter, J., Greenson, J., Colombi, C., Dawson, G., Vismara, L. A., Sugar, C. A., Hellemann, G., Whelan, F., &amp; Talbott, M. (2019). A multisite randomized controlled two-phase trial of the Early Start Denver Model compared to treatment as usual. </w:t>
            </w:r>
            <w:r w:rsidRPr="00460B84">
              <w:rPr>
                <w:rFonts w:eastAsia="Times New Roman" w:cs="Arial"/>
                <w:i/>
                <w:iCs/>
                <w:sz w:val="22"/>
                <w:szCs w:val="22"/>
                <w:lang w:eastAsia="en-AU"/>
              </w:rPr>
              <w:t>Journal of the American Academy of Child &amp; Adolescent Psychiatry, 58</w:t>
            </w:r>
            <w:r w:rsidRPr="00460B84">
              <w:rPr>
                <w:rFonts w:eastAsia="Times New Roman" w:cs="Arial"/>
                <w:sz w:val="22"/>
                <w:szCs w:val="22"/>
                <w:lang w:eastAsia="en-AU"/>
              </w:rPr>
              <w:t xml:space="preserve">(9), 853-865. https://doi.org/10.1016/j.jaac.2019.01.004 </w:t>
            </w:r>
          </w:p>
        </w:tc>
        <w:tc>
          <w:tcPr>
            <w:tcW w:w="1218" w:type="dxa"/>
          </w:tcPr>
          <w:p w14:paraId="3BDA55F9" w14:textId="49FB13EA" w:rsidR="00616437" w:rsidRPr="00756F5E" w:rsidRDefault="00616437" w:rsidP="00616437">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Rogers, Estes, Lord, et al. (2019)</w:t>
            </w:r>
            <w:r w:rsidRPr="00376175">
              <w:rPr>
                <w:rFonts w:eastAsia="Times New Roman" w:cs="Arial"/>
                <w:sz w:val="22"/>
                <w:szCs w:val="22"/>
                <w:lang w:eastAsia="en-AU"/>
              </w:rPr>
              <w:t xml:space="preserve"> b</w:t>
            </w:r>
          </w:p>
        </w:tc>
      </w:tr>
      <w:tr w:rsidR="00616437" w:rsidRPr="00756F5E" w14:paraId="48A5534B"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992CA96" w14:textId="76BC6258" w:rsidR="00616437" w:rsidRPr="00756F5E" w:rsidRDefault="00616437" w:rsidP="00616437">
            <w:pPr>
              <w:suppressAutoHyphens/>
              <w:spacing w:before="40" w:after="40" w:line="200" w:lineRule="atLeast"/>
              <w:ind w:left="463" w:hanging="463"/>
              <w:rPr>
                <w:rFonts w:eastAsia="Times New Roman" w:cs="Arial"/>
                <w:sz w:val="22"/>
                <w:szCs w:val="22"/>
                <w:lang w:eastAsia="en-AU"/>
              </w:rPr>
            </w:pPr>
            <w:r w:rsidRPr="00FA1355">
              <w:rPr>
                <w:rFonts w:eastAsia="Times New Roman" w:cs="Arial"/>
                <w:sz w:val="22"/>
                <w:szCs w:val="22"/>
                <w:lang w:eastAsia="en-AU"/>
              </w:rPr>
              <w:t xml:space="preserve">Rogers, S. J., Yoder, P., Estes, A., Warren, Z., McEachin, J., Munson, J., Rocha, M., Greenson, J., Wallace, L., Gardner, E., Dawson, G., Sugar, C. A., Hellemann, G., &amp; Whelan, F. (2021). A multisite randomized controlled trial comparing the effects of intervention intensity and intervention style on outcomes for young children with autism. </w:t>
            </w:r>
            <w:r w:rsidRPr="00FA1355">
              <w:rPr>
                <w:rFonts w:eastAsia="Times New Roman" w:cs="Arial"/>
                <w:i/>
                <w:iCs/>
                <w:sz w:val="22"/>
                <w:szCs w:val="22"/>
                <w:lang w:eastAsia="en-AU"/>
              </w:rPr>
              <w:t>Journal of the American Academy of Child &amp; Adolescent Psychiatry, 60</w:t>
            </w:r>
            <w:r w:rsidRPr="00FA1355">
              <w:rPr>
                <w:rFonts w:eastAsia="Times New Roman" w:cs="Arial"/>
                <w:sz w:val="22"/>
                <w:szCs w:val="22"/>
                <w:lang w:eastAsia="en-AU"/>
              </w:rPr>
              <w:t xml:space="preserve">(6), 710-722. https://doi.org/10.1016/j.jaac.2020.06.013 </w:t>
            </w:r>
          </w:p>
        </w:tc>
        <w:tc>
          <w:tcPr>
            <w:tcW w:w="1218" w:type="dxa"/>
          </w:tcPr>
          <w:p w14:paraId="5F728D58" w14:textId="3415BAD0" w:rsidR="00616437" w:rsidRPr="00756F5E" w:rsidRDefault="00616437" w:rsidP="00616437">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Rogers et al. (2021)</w:t>
            </w:r>
          </w:p>
        </w:tc>
      </w:tr>
      <w:tr w:rsidR="00616437" w:rsidRPr="00756F5E" w14:paraId="77CB2E40"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979346C" w14:textId="4B4128AC" w:rsidR="00616437" w:rsidRPr="00756F5E" w:rsidRDefault="00616437" w:rsidP="00616437">
            <w:pPr>
              <w:suppressAutoHyphens/>
              <w:spacing w:before="40" w:after="40" w:line="200" w:lineRule="atLeast"/>
              <w:ind w:left="463" w:hanging="463"/>
              <w:rPr>
                <w:rFonts w:eastAsia="Times New Roman" w:cs="Arial"/>
                <w:sz w:val="22"/>
                <w:szCs w:val="22"/>
                <w:lang w:eastAsia="en-AU"/>
              </w:rPr>
            </w:pPr>
            <w:r w:rsidRPr="008235FA">
              <w:rPr>
                <w:rFonts w:eastAsia="Times New Roman" w:cs="Arial"/>
                <w:sz w:val="22"/>
                <w:szCs w:val="22"/>
                <w:lang w:eastAsia="en-AU"/>
              </w:rPr>
              <w:t xml:space="preserve">Rollins, P. R., &amp; De Froy, A. M. (2023). Reexamining pathways early autism intervention in children before and after the third birthday: A randomized control trial. </w:t>
            </w:r>
            <w:r w:rsidRPr="008235FA">
              <w:rPr>
                <w:rFonts w:eastAsia="Times New Roman" w:cs="Arial"/>
                <w:i/>
                <w:iCs/>
                <w:sz w:val="22"/>
                <w:szCs w:val="22"/>
                <w:lang w:eastAsia="en-AU"/>
              </w:rPr>
              <w:t>Journal of Autism &amp; Developmental Disorders, 53</w:t>
            </w:r>
            <w:r w:rsidRPr="008235FA">
              <w:rPr>
                <w:rFonts w:eastAsia="Times New Roman" w:cs="Arial"/>
                <w:sz w:val="22"/>
                <w:szCs w:val="22"/>
                <w:lang w:eastAsia="en-AU"/>
              </w:rPr>
              <w:t xml:space="preserve">(3), 1189-1201. https://doi.org/10.1007/s10803-022-05599-8 </w:t>
            </w:r>
          </w:p>
        </w:tc>
        <w:tc>
          <w:tcPr>
            <w:tcW w:w="1218" w:type="dxa"/>
          </w:tcPr>
          <w:p w14:paraId="09DCD45A" w14:textId="1DC23A62" w:rsidR="00616437" w:rsidRPr="00756F5E" w:rsidRDefault="00616437" w:rsidP="00616437">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Rollins and De Froy (2023)</w:t>
            </w:r>
          </w:p>
        </w:tc>
      </w:tr>
      <w:tr w:rsidR="00616437" w:rsidRPr="00756F5E" w14:paraId="79A1C04F"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8BA37DF" w14:textId="55B95E16" w:rsidR="00616437" w:rsidRPr="00756F5E" w:rsidRDefault="00616437" w:rsidP="00616437">
            <w:pPr>
              <w:suppressAutoHyphens/>
              <w:spacing w:before="40" w:after="40" w:line="200" w:lineRule="atLeast"/>
              <w:ind w:left="463" w:hanging="463"/>
              <w:rPr>
                <w:rFonts w:eastAsia="Times New Roman" w:cs="Arial"/>
                <w:sz w:val="22"/>
                <w:szCs w:val="22"/>
                <w:lang w:eastAsia="en-AU"/>
              </w:rPr>
            </w:pPr>
            <w:r w:rsidRPr="004F09C6">
              <w:rPr>
                <w:rFonts w:eastAsia="Times New Roman" w:cs="Arial"/>
                <w:sz w:val="22"/>
                <w:szCs w:val="22"/>
                <w:lang w:eastAsia="en-AU"/>
              </w:rPr>
              <w:t xml:space="preserve">Rollins, P. R., De Froy, A., Campbell, M., &amp; Hoffman, R. T. (2021). Mutual gaze: An active ingredient for social development in toddlers with ASD: A randomized control trial. </w:t>
            </w:r>
            <w:r w:rsidRPr="004F09C6">
              <w:rPr>
                <w:rFonts w:eastAsia="Times New Roman" w:cs="Arial"/>
                <w:i/>
                <w:iCs/>
                <w:sz w:val="22"/>
                <w:szCs w:val="22"/>
                <w:lang w:eastAsia="en-AU"/>
              </w:rPr>
              <w:t>Journal of Autism &amp; Developmental Disorders, 51(</w:t>
            </w:r>
            <w:r w:rsidRPr="004F09C6">
              <w:rPr>
                <w:rFonts w:eastAsia="Times New Roman" w:cs="Arial"/>
                <w:sz w:val="22"/>
                <w:szCs w:val="22"/>
                <w:lang w:eastAsia="en-AU"/>
              </w:rPr>
              <w:t xml:space="preserve">6), 1921-1938. https://doi.org/10.1007/s10803-020-04672-4 </w:t>
            </w:r>
          </w:p>
        </w:tc>
        <w:tc>
          <w:tcPr>
            <w:tcW w:w="1218" w:type="dxa"/>
          </w:tcPr>
          <w:p w14:paraId="2AFE5223" w14:textId="435B5F63" w:rsidR="00616437" w:rsidRPr="00756F5E" w:rsidRDefault="00616437" w:rsidP="00616437">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Rollins et al. (2021)</w:t>
            </w:r>
          </w:p>
        </w:tc>
      </w:tr>
      <w:tr w:rsidR="005E5A49" w:rsidRPr="00756F5E" w14:paraId="2F274B95"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D5B8E5C" w14:textId="5390E3AE" w:rsidR="005E5A49" w:rsidRPr="00756F5E" w:rsidRDefault="005E5A49" w:rsidP="005E5A49">
            <w:pPr>
              <w:suppressAutoHyphens/>
              <w:spacing w:before="40" w:after="40" w:line="200" w:lineRule="atLeast"/>
              <w:ind w:left="463" w:hanging="463"/>
              <w:rPr>
                <w:rFonts w:eastAsia="Times New Roman" w:cs="Arial"/>
                <w:sz w:val="22"/>
                <w:szCs w:val="22"/>
                <w:lang w:eastAsia="en-AU"/>
              </w:rPr>
            </w:pPr>
            <w:r w:rsidRPr="00A620C1">
              <w:rPr>
                <w:rFonts w:eastAsia="Times New Roman" w:cs="Arial"/>
                <w:sz w:val="22"/>
                <w:szCs w:val="22"/>
                <w:lang w:eastAsia="en-AU"/>
              </w:rPr>
              <w:t xml:space="preserve">Schertz, H. H., Odom, S. L., Baggett, K. M., &amp; Sideris, J. H. (2018). Mediating parent learning to promote social communication for toddlers with autism: Effects from a randomized controlled trial. </w:t>
            </w:r>
            <w:r w:rsidRPr="00A620C1">
              <w:rPr>
                <w:rFonts w:eastAsia="Times New Roman" w:cs="Arial"/>
                <w:i/>
                <w:iCs/>
                <w:sz w:val="22"/>
                <w:szCs w:val="22"/>
                <w:lang w:eastAsia="en-AU"/>
              </w:rPr>
              <w:t>Journal of Autism &amp; Developmental Disorders, 48(</w:t>
            </w:r>
            <w:r w:rsidRPr="00A620C1">
              <w:rPr>
                <w:rFonts w:eastAsia="Times New Roman" w:cs="Arial"/>
                <w:sz w:val="22"/>
                <w:szCs w:val="22"/>
                <w:lang w:eastAsia="en-AU"/>
              </w:rPr>
              <w:t>3), 853-867. https://doi.org/10.1007/s10803-017-3386-8</w:t>
            </w:r>
          </w:p>
        </w:tc>
        <w:tc>
          <w:tcPr>
            <w:tcW w:w="1218" w:type="dxa"/>
          </w:tcPr>
          <w:p w14:paraId="4C713C68" w14:textId="787B7DE6" w:rsidR="005E5A49" w:rsidRPr="00756F5E" w:rsidRDefault="005E5A49" w:rsidP="005E5A4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Schertz et al. (2018)</w:t>
            </w:r>
          </w:p>
        </w:tc>
      </w:tr>
      <w:tr w:rsidR="005E5A49" w:rsidRPr="00756F5E" w14:paraId="3F1158E5"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18B58E4" w14:textId="3F7AE081" w:rsidR="005E5A49" w:rsidRPr="00756F5E" w:rsidRDefault="005E5A49" w:rsidP="005E5A49">
            <w:pPr>
              <w:suppressAutoHyphens/>
              <w:spacing w:before="40" w:after="40" w:line="200" w:lineRule="atLeast"/>
              <w:ind w:left="463" w:hanging="463"/>
              <w:rPr>
                <w:rFonts w:eastAsia="Times New Roman" w:cs="Arial"/>
                <w:sz w:val="22"/>
                <w:szCs w:val="22"/>
                <w:lang w:eastAsia="en-AU"/>
              </w:rPr>
            </w:pPr>
            <w:r w:rsidRPr="002D653A">
              <w:rPr>
                <w:rFonts w:eastAsia="Times New Roman" w:cs="Arial"/>
                <w:sz w:val="22"/>
                <w:szCs w:val="22"/>
                <w:lang w:val="it-IT" w:eastAsia="en-AU"/>
              </w:rPr>
              <w:t xml:space="preserve">Sgandurra, G., Lorentzen, J., Inguaggiato, E., Bartalena, L., Beani, E., Cecchi, F., Dario, P., Giampietri, M., Greisen, G., Herskind, A., Nielsen, J. B., Rossi, G., &amp; Cioni, G. (2017). </w:t>
            </w:r>
            <w:r w:rsidRPr="005C0C39">
              <w:rPr>
                <w:rFonts w:eastAsia="Times New Roman" w:cs="Arial"/>
                <w:sz w:val="22"/>
                <w:szCs w:val="22"/>
                <w:lang w:val="en-AU" w:eastAsia="en-AU"/>
              </w:rPr>
              <w:t xml:space="preserve">A randomized clinical trial in preterm infants on the effects of a home-based early intervention with the 'CareToy System'. </w:t>
            </w:r>
            <w:r w:rsidRPr="002D653A">
              <w:rPr>
                <w:rFonts w:eastAsia="Times New Roman" w:cs="Arial"/>
                <w:i/>
                <w:iCs/>
                <w:sz w:val="22"/>
                <w:szCs w:val="22"/>
                <w:lang w:val="it-IT" w:eastAsia="en-AU"/>
              </w:rPr>
              <w:t>PLoS One, 12</w:t>
            </w:r>
            <w:r w:rsidRPr="002D653A">
              <w:rPr>
                <w:rFonts w:eastAsia="Times New Roman" w:cs="Arial"/>
                <w:sz w:val="22"/>
                <w:szCs w:val="22"/>
                <w:lang w:val="it-IT" w:eastAsia="en-AU"/>
              </w:rPr>
              <w:t xml:space="preserve">(3), e0173521. https://doi.org/10.1371/journal.pone.0173521 </w:t>
            </w:r>
          </w:p>
        </w:tc>
        <w:tc>
          <w:tcPr>
            <w:tcW w:w="1218" w:type="dxa"/>
          </w:tcPr>
          <w:p w14:paraId="29DDDA6D" w14:textId="68039BF6" w:rsidR="005E5A49" w:rsidRPr="00756F5E" w:rsidRDefault="005E5A49" w:rsidP="005E5A4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Sgandurra et al. (2017)</w:t>
            </w:r>
          </w:p>
        </w:tc>
      </w:tr>
      <w:tr w:rsidR="005E5A49" w:rsidRPr="00756F5E" w14:paraId="3CF7EBAC"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78C261B" w14:textId="1F60E3B5" w:rsidR="005E5A49" w:rsidRPr="00756F5E" w:rsidRDefault="005E5A49" w:rsidP="005E5A49">
            <w:pPr>
              <w:suppressAutoHyphens/>
              <w:spacing w:before="40" w:after="40" w:line="200" w:lineRule="atLeast"/>
              <w:ind w:left="463" w:hanging="463"/>
              <w:rPr>
                <w:rFonts w:eastAsia="Times New Roman" w:cs="Arial"/>
                <w:sz w:val="22"/>
                <w:szCs w:val="22"/>
                <w:lang w:eastAsia="en-AU"/>
              </w:rPr>
            </w:pPr>
            <w:r w:rsidRPr="00FB5E83">
              <w:rPr>
                <w:rFonts w:eastAsia="Times New Roman" w:cs="Arial"/>
                <w:sz w:val="22"/>
                <w:szCs w:val="22"/>
                <w:lang w:val="it-IT" w:eastAsia="en-AU"/>
              </w:rPr>
              <w:t xml:space="preserve">Sgandurra, G., Beani, E., Inguaggiato, E., Lorentzen, J., Bo Nielsen, J., &amp; Cioni, G. (2019). </w:t>
            </w:r>
            <w:r w:rsidRPr="005C0C39">
              <w:rPr>
                <w:rFonts w:eastAsia="Times New Roman" w:cs="Arial"/>
                <w:sz w:val="22"/>
                <w:szCs w:val="22"/>
                <w:lang w:val="en-AU" w:eastAsia="en-AU"/>
              </w:rPr>
              <w:t xml:space="preserve">Effects on parental stress of early home-based caretoy intervention in low-risk preterm infants. </w:t>
            </w:r>
            <w:r w:rsidRPr="00FB5E83">
              <w:rPr>
                <w:rFonts w:eastAsia="Times New Roman" w:cs="Arial"/>
                <w:i/>
                <w:iCs/>
                <w:sz w:val="22"/>
                <w:szCs w:val="22"/>
                <w:lang w:val="it-IT" w:eastAsia="en-AU"/>
              </w:rPr>
              <w:t>Neural Plasticity, 2019</w:t>
            </w:r>
            <w:r w:rsidRPr="00FB5E83">
              <w:rPr>
                <w:rFonts w:eastAsia="Times New Roman" w:cs="Arial"/>
                <w:sz w:val="22"/>
                <w:szCs w:val="22"/>
                <w:lang w:val="it-IT" w:eastAsia="en-AU"/>
              </w:rPr>
              <w:t xml:space="preserve">(1), 7517351. https://doi.org/10.1155/2019/7517351 </w:t>
            </w:r>
          </w:p>
        </w:tc>
        <w:tc>
          <w:tcPr>
            <w:tcW w:w="1218" w:type="dxa"/>
          </w:tcPr>
          <w:p w14:paraId="769E9646" w14:textId="630C5804" w:rsidR="005E5A49" w:rsidRPr="00756F5E" w:rsidRDefault="005E5A49" w:rsidP="005E5A4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Sgandurra et al. (2019)</w:t>
            </w:r>
          </w:p>
        </w:tc>
      </w:tr>
      <w:tr w:rsidR="005E5A49" w:rsidRPr="00756F5E" w14:paraId="03A2FA94"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E190313" w14:textId="1FB851B5" w:rsidR="005E5A49" w:rsidRPr="00756F5E" w:rsidRDefault="005E5A49" w:rsidP="005E5A49">
            <w:pPr>
              <w:suppressAutoHyphens/>
              <w:spacing w:before="40" w:after="40" w:line="200" w:lineRule="atLeast"/>
              <w:ind w:left="463" w:hanging="463"/>
              <w:rPr>
                <w:rFonts w:eastAsia="Times New Roman" w:cs="Arial"/>
                <w:sz w:val="22"/>
                <w:szCs w:val="22"/>
                <w:lang w:eastAsia="en-AU"/>
              </w:rPr>
            </w:pPr>
            <w:r w:rsidRPr="000D0214">
              <w:rPr>
                <w:rFonts w:eastAsia="Times New Roman" w:cs="Arial"/>
                <w:sz w:val="22"/>
                <w:szCs w:val="22"/>
                <w:lang w:eastAsia="en-AU"/>
              </w:rPr>
              <w:t xml:space="preserve">Solomon, R., Van Egeren, L. A., Mahoney, G., Huber, M. S., &amp; Zimmerman, P. (2014). PLAY project home consultation intervention program for young children with autism spectrum disorders: A randomized controlled trial. </w:t>
            </w:r>
            <w:r w:rsidRPr="000D0214">
              <w:rPr>
                <w:rFonts w:eastAsia="Times New Roman" w:cs="Arial"/>
                <w:i/>
                <w:iCs/>
                <w:sz w:val="22"/>
                <w:szCs w:val="22"/>
                <w:lang w:eastAsia="en-AU"/>
              </w:rPr>
              <w:t>Journal of Developmental and</w:t>
            </w:r>
            <w:r w:rsidRPr="000D0214">
              <w:rPr>
                <w:rFonts w:eastAsia="Times New Roman" w:cs="Arial"/>
                <w:sz w:val="22"/>
                <w:szCs w:val="22"/>
                <w:lang w:eastAsia="en-AU"/>
              </w:rPr>
              <w:t xml:space="preserve"> </w:t>
            </w:r>
            <w:r w:rsidRPr="000D0214">
              <w:rPr>
                <w:rFonts w:eastAsia="Times New Roman" w:cs="Arial"/>
                <w:i/>
                <w:iCs/>
                <w:sz w:val="22"/>
                <w:szCs w:val="22"/>
                <w:lang w:eastAsia="en-AU"/>
              </w:rPr>
              <w:t>Behavioral Pediatrics, 35</w:t>
            </w:r>
            <w:r w:rsidRPr="000D0214">
              <w:rPr>
                <w:rFonts w:eastAsia="Times New Roman" w:cs="Arial"/>
                <w:sz w:val="22"/>
                <w:szCs w:val="22"/>
                <w:lang w:eastAsia="en-AU"/>
              </w:rPr>
              <w:t xml:space="preserve">(8), 475-485. https://doi.org/10.1097/DBP.0000000000000096 </w:t>
            </w:r>
          </w:p>
        </w:tc>
        <w:tc>
          <w:tcPr>
            <w:tcW w:w="1218" w:type="dxa"/>
          </w:tcPr>
          <w:p w14:paraId="70979E5B" w14:textId="7D23622B" w:rsidR="005E5A49" w:rsidRPr="00756F5E" w:rsidRDefault="005E5A49" w:rsidP="005E5A4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Solomon et al. (2014)</w:t>
            </w:r>
          </w:p>
        </w:tc>
      </w:tr>
      <w:tr w:rsidR="00746E89" w:rsidRPr="00756F5E" w14:paraId="75AAC40E"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E73BA70" w14:textId="5CB9607A" w:rsidR="00746E89" w:rsidRPr="00756F5E" w:rsidRDefault="00746E89" w:rsidP="00746E89">
            <w:pPr>
              <w:suppressAutoHyphens/>
              <w:spacing w:before="40" w:after="40" w:line="200" w:lineRule="atLeast"/>
              <w:ind w:left="463" w:hanging="463"/>
              <w:rPr>
                <w:rFonts w:eastAsia="Times New Roman" w:cs="Arial"/>
                <w:sz w:val="22"/>
                <w:szCs w:val="22"/>
                <w:lang w:eastAsia="en-AU"/>
              </w:rPr>
            </w:pPr>
            <w:r w:rsidRPr="007C2A37">
              <w:rPr>
                <w:rFonts w:eastAsia="Times New Roman" w:cs="Arial"/>
                <w:sz w:val="22"/>
                <w:szCs w:val="22"/>
                <w:lang w:eastAsia="en-AU"/>
              </w:rPr>
              <w:t xml:space="preserve">Vivanti, G., Dissanayake, C., Duncan, Feary, J., Capes, K., Upson, S., Bent, C. A., Rogers, S. J., &amp; Hudry, K. (2019). Outcomes of children receiving group-Early Start Denver Model in an inclusive versus autism-specific setting: A pilot randomized controlled trial. </w:t>
            </w:r>
            <w:r w:rsidRPr="007C2A37">
              <w:rPr>
                <w:rFonts w:eastAsia="Times New Roman" w:cs="Arial"/>
                <w:i/>
                <w:iCs/>
                <w:sz w:val="22"/>
                <w:szCs w:val="22"/>
                <w:lang w:eastAsia="en-AU"/>
              </w:rPr>
              <w:t>Autism: The International Journal of Research and Practice, 23</w:t>
            </w:r>
            <w:r w:rsidRPr="007C2A37">
              <w:rPr>
                <w:rFonts w:eastAsia="Times New Roman" w:cs="Arial"/>
                <w:sz w:val="22"/>
                <w:szCs w:val="22"/>
                <w:lang w:eastAsia="en-AU"/>
              </w:rPr>
              <w:t xml:space="preserve">(5), 1165-1175. https://doi.org/10.1177/1362361318801341 </w:t>
            </w:r>
          </w:p>
        </w:tc>
        <w:tc>
          <w:tcPr>
            <w:tcW w:w="1218" w:type="dxa"/>
          </w:tcPr>
          <w:p w14:paraId="58C416C7" w14:textId="4EB6FFE9" w:rsidR="00746E89" w:rsidRPr="00756F5E" w:rsidRDefault="00746E89" w:rsidP="00746E8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Vivanti et al. (2019)</w:t>
            </w:r>
          </w:p>
        </w:tc>
      </w:tr>
      <w:tr w:rsidR="00746E89" w:rsidRPr="00756F5E" w14:paraId="3E97846C"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3303F47" w14:textId="2A49E852" w:rsidR="00746E89" w:rsidRPr="00756F5E" w:rsidRDefault="00746E89" w:rsidP="00746E89">
            <w:pPr>
              <w:suppressAutoHyphens/>
              <w:spacing w:before="40" w:after="40" w:line="200" w:lineRule="atLeast"/>
              <w:ind w:left="463" w:hanging="463"/>
              <w:rPr>
                <w:rFonts w:eastAsia="Times New Roman" w:cs="Arial"/>
                <w:sz w:val="22"/>
                <w:szCs w:val="22"/>
                <w:lang w:eastAsia="en-AU"/>
              </w:rPr>
            </w:pPr>
            <w:r w:rsidRPr="00916926">
              <w:rPr>
                <w:rFonts w:eastAsia="Times New Roman" w:cs="Arial"/>
                <w:sz w:val="22"/>
                <w:szCs w:val="22"/>
                <w:lang w:eastAsia="en-AU"/>
              </w:rPr>
              <w:t xml:space="preserve">Wainer, A. L., Arnold, Z. E., Leonczyk, C., &amp; Soorya, L. V. (2021). Examining a stepped-care telehealth program for parents of young children with autism: A proof-of-concept trial. </w:t>
            </w:r>
            <w:r w:rsidRPr="00916926">
              <w:rPr>
                <w:rFonts w:eastAsia="Times New Roman" w:cs="Arial"/>
                <w:i/>
                <w:iCs/>
                <w:sz w:val="22"/>
                <w:szCs w:val="22"/>
                <w:lang w:eastAsia="en-AU"/>
              </w:rPr>
              <w:t>Molecular Autism, 12</w:t>
            </w:r>
            <w:r w:rsidRPr="00916926">
              <w:rPr>
                <w:rFonts w:eastAsia="Times New Roman" w:cs="Arial"/>
                <w:sz w:val="22"/>
                <w:szCs w:val="22"/>
                <w:lang w:eastAsia="en-AU"/>
              </w:rPr>
              <w:t xml:space="preserve">(1), 32. https://doi.org/10.1186/s13229-021-00443-9 </w:t>
            </w:r>
          </w:p>
        </w:tc>
        <w:tc>
          <w:tcPr>
            <w:tcW w:w="1218" w:type="dxa"/>
          </w:tcPr>
          <w:p w14:paraId="5CF859BD" w14:textId="70625419" w:rsidR="00746E89" w:rsidRPr="00756F5E" w:rsidRDefault="00746E89" w:rsidP="00746E8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Wainer et al. (2021)</w:t>
            </w:r>
          </w:p>
        </w:tc>
      </w:tr>
      <w:tr w:rsidR="00746E89" w:rsidRPr="00756F5E" w14:paraId="296EFB02"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5BFF821" w14:textId="2247BE14" w:rsidR="00746E89" w:rsidRPr="00756F5E" w:rsidRDefault="00746E89" w:rsidP="00746E89">
            <w:pPr>
              <w:suppressAutoHyphens/>
              <w:spacing w:before="40" w:after="40" w:line="200" w:lineRule="atLeast"/>
              <w:ind w:left="463" w:hanging="463"/>
              <w:rPr>
                <w:rFonts w:eastAsia="Times New Roman" w:cs="Arial"/>
                <w:sz w:val="22"/>
                <w:szCs w:val="22"/>
                <w:lang w:eastAsia="en-AU"/>
              </w:rPr>
            </w:pPr>
            <w:r w:rsidRPr="00ED2B69">
              <w:rPr>
                <w:rFonts w:eastAsia="Times New Roman" w:cs="Arial"/>
                <w:sz w:val="22"/>
                <w:szCs w:val="22"/>
                <w:lang w:eastAsia="en-AU"/>
              </w:rPr>
              <w:t xml:space="preserve">Wetherby, A. M., Guthrie, W., Woods, J., Schatschneider, C., Holland, R. D., Morgan, L., &amp; Lord, C. (2014). Parent-implemented social intervention for toddlers with autism: An RCT. </w:t>
            </w:r>
            <w:r w:rsidRPr="00ED2B69">
              <w:rPr>
                <w:rFonts w:eastAsia="Times New Roman" w:cs="Arial"/>
                <w:i/>
                <w:iCs/>
                <w:sz w:val="22"/>
                <w:szCs w:val="22"/>
                <w:lang w:eastAsia="en-AU"/>
              </w:rPr>
              <w:t>Pediatrics,</w:t>
            </w:r>
            <w:r>
              <w:rPr>
                <w:rFonts w:eastAsia="Times New Roman" w:cs="Arial"/>
                <w:i/>
                <w:iCs/>
                <w:sz w:val="22"/>
                <w:szCs w:val="22"/>
                <w:lang w:eastAsia="en-AU"/>
              </w:rPr>
              <w:t xml:space="preserve"> </w:t>
            </w:r>
            <w:r w:rsidRPr="00ED2B69">
              <w:rPr>
                <w:rFonts w:eastAsia="Times New Roman" w:cs="Arial"/>
                <w:i/>
                <w:iCs/>
                <w:sz w:val="22"/>
                <w:szCs w:val="22"/>
                <w:lang w:eastAsia="en-AU"/>
              </w:rPr>
              <w:t>134</w:t>
            </w:r>
            <w:r w:rsidRPr="00ED2B69">
              <w:rPr>
                <w:rFonts w:eastAsia="Times New Roman" w:cs="Arial"/>
                <w:sz w:val="22"/>
                <w:szCs w:val="22"/>
                <w:lang w:eastAsia="en-AU"/>
              </w:rPr>
              <w:t xml:space="preserve">(6), 1084-1093. https://doi.org/10.1542/peds.2014-0757 </w:t>
            </w:r>
          </w:p>
        </w:tc>
        <w:tc>
          <w:tcPr>
            <w:tcW w:w="1218" w:type="dxa"/>
          </w:tcPr>
          <w:p w14:paraId="409EDC1C" w14:textId="3553CA6D" w:rsidR="00746E89" w:rsidRPr="00756F5E" w:rsidRDefault="00746E89" w:rsidP="00746E8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Wetherby et al. (2014)</w:t>
            </w:r>
          </w:p>
        </w:tc>
      </w:tr>
      <w:tr w:rsidR="00746E89" w:rsidRPr="00756F5E" w14:paraId="697FF3C4"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1A05797" w14:textId="3C091EE6" w:rsidR="00746E89" w:rsidRPr="00756F5E" w:rsidRDefault="00746E89" w:rsidP="00746E89">
            <w:pPr>
              <w:suppressAutoHyphens/>
              <w:spacing w:before="40" w:after="40" w:line="200" w:lineRule="atLeast"/>
              <w:ind w:left="463" w:hanging="463"/>
              <w:rPr>
                <w:rFonts w:eastAsia="Times New Roman" w:cs="Arial"/>
                <w:sz w:val="22"/>
                <w:szCs w:val="22"/>
                <w:lang w:eastAsia="en-AU"/>
              </w:rPr>
            </w:pPr>
            <w:r w:rsidRPr="00742100">
              <w:rPr>
                <w:rFonts w:eastAsia="Times New Roman" w:cs="Arial"/>
                <w:sz w:val="22"/>
                <w:szCs w:val="22"/>
                <w:lang w:eastAsia="en-AU"/>
              </w:rPr>
              <w:t xml:space="preserve">Whitehouse, A. J. O., Varcin, K. J., Pillar, S., Billingham, W., Alvares, G. A., Barbaro, J., Bent, C. A., Blenkley, D., Boutrus, M., &amp; Chee, A. (2021). Effect of preemptive intervention on developmental outcomes among infants showing early signs of autism: A randomized clinical trial of outcomes to diagnosis. </w:t>
            </w:r>
            <w:r w:rsidRPr="00742100">
              <w:rPr>
                <w:rFonts w:eastAsia="Times New Roman" w:cs="Arial"/>
                <w:i/>
                <w:iCs/>
                <w:sz w:val="22"/>
                <w:szCs w:val="22"/>
                <w:lang w:eastAsia="en-AU"/>
              </w:rPr>
              <w:t>JAMA Pediatrics, 175</w:t>
            </w:r>
            <w:r w:rsidRPr="00742100">
              <w:rPr>
                <w:rFonts w:eastAsia="Times New Roman" w:cs="Arial"/>
                <w:sz w:val="22"/>
                <w:szCs w:val="22"/>
                <w:lang w:eastAsia="en-AU"/>
              </w:rPr>
              <w:t>(11), e213298-e213298. https://doi.org/10.1001/jamapediatrics.2021.3298</w:t>
            </w:r>
          </w:p>
        </w:tc>
        <w:tc>
          <w:tcPr>
            <w:tcW w:w="1218" w:type="dxa"/>
          </w:tcPr>
          <w:p w14:paraId="1F4D09DC" w14:textId="44F332D3" w:rsidR="00746E89" w:rsidRPr="00756F5E" w:rsidRDefault="00746E89" w:rsidP="00746E8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Whitehouse et al. (2021)</w:t>
            </w:r>
          </w:p>
        </w:tc>
      </w:tr>
      <w:tr w:rsidR="00C30E56" w:rsidRPr="00756F5E" w14:paraId="59F8B6B7"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CB7A4E8" w14:textId="40F1A4E4" w:rsidR="00C30E56" w:rsidRPr="00756F5E" w:rsidRDefault="00C30E56" w:rsidP="00C30E56">
            <w:pPr>
              <w:suppressAutoHyphens/>
              <w:spacing w:before="40" w:after="40" w:line="200" w:lineRule="atLeast"/>
              <w:ind w:left="463" w:hanging="463"/>
              <w:rPr>
                <w:rFonts w:eastAsia="Times New Roman" w:cs="Arial"/>
                <w:sz w:val="22"/>
                <w:szCs w:val="22"/>
                <w:lang w:eastAsia="en-AU"/>
              </w:rPr>
            </w:pPr>
            <w:r w:rsidRPr="004B77C2">
              <w:rPr>
                <w:rFonts w:eastAsia="Times New Roman" w:cs="Arial"/>
                <w:sz w:val="22"/>
                <w:szCs w:val="22"/>
                <w:lang w:eastAsia="en-AU"/>
              </w:rPr>
              <w:t xml:space="preserve">Wilcox, M. J., Gray, S., &amp; Reiser, M. (2019). Preschoolers with developmental speech and/or language impairment: Efficacy of the Teaching Early Literacy and Language (TELL) curriculum. </w:t>
            </w:r>
            <w:r w:rsidRPr="004B77C2">
              <w:rPr>
                <w:rFonts w:eastAsia="Times New Roman" w:cs="Arial"/>
                <w:i/>
                <w:iCs/>
                <w:sz w:val="22"/>
                <w:szCs w:val="22"/>
                <w:lang w:eastAsia="en-AU"/>
              </w:rPr>
              <w:t>Early Childhood Research Quarterly, 51</w:t>
            </w:r>
            <w:r w:rsidRPr="004B77C2">
              <w:rPr>
                <w:rFonts w:eastAsia="Times New Roman" w:cs="Arial"/>
                <w:sz w:val="22"/>
                <w:szCs w:val="22"/>
                <w:lang w:eastAsia="en-AU"/>
              </w:rPr>
              <w:t xml:space="preserve">, 124-143. https://doi.org/10.1016/j.ecresq.2019.10.005 </w:t>
            </w:r>
          </w:p>
        </w:tc>
        <w:tc>
          <w:tcPr>
            <w:tcW w:w="1218" w:type="dxa"/>
          </w:tcPr>
          <w:p w14:paraId="5C3E380A" w14:textId="114F894F" w:rsidR="00C30E56" w:rsidRPr="00756F5E" w:rsidRDefault="00C30E56" w:rsidP="00C30E56">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Wilcox et al. (2019)</w:t>
            </w:r>
          </w:p>
        </w:tc>
      </w:tr>
      <w:tr w:rsidR="00C30E56" w:rsidRPr="00756F5E" w14:paraId="3C482928"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5867794" w14:textId="10D59560" w:rsidR="00C30E56" w:rsidRPr="00756F5E" w:rsidRDefault="00C30E56" w:rsidP="00C30E56">
            <w:pPr>
              <w:suppressAutoHyphens/>
              <w:spacing w:before="40" w:after="40" w:line="200" w:lineRule="atLeast"/>
              <w:ind w:left="463" w:hanging="463"/>
              <w:rPr>
                <w:rFonts w:eastAsia="Times New Roman" w:cs="Arial"/>
                <w:sz w:val="22"/>
                <w:szCs w:val="22"/>
                <w:lang w:eastAsia="en-AU"/>
              </w:rPr>
            </w:pPr>
            <w:r w:rsidRPr="007F367C">
              <w:rPr>
                <w:rFonts w:eastAsia="Times New Roman" w:cs="Arial"/>
                <w:sz w:val="22"/>
                <w:szCs w:val="22"/>
                <w:lang w:eastAsia="en-AU"/>
              </w:rPr>
              <w:t xml:space="preserve">Young, D., Reynolds, J., Tonmukayakul, U., Carter, R., Swift, E., Williams, K., McDonald, R., Reddihough, D., Carracher, R., Ireland, P., Tracy, J., Kenyon, C., &amp; Gibbs, L. (2023). An intervention to improve the self-efficacy of key workers to support parental wellbeing at an early childhood intervention service in Australia: A stepped wedged randomized cluster trial. </w:t>
            </w:r>
            <w:r w:rsidRPr="007F367C">
              <w:rPr>
                <w:rFonts w:eastAsia="Times New Roman" w:cs="Arial"/>
                <w:i/>
                <w:iCs/>
                <w:sz w:val="22"/>
                <w:szCs w:val="22"/>
                <w:lang w:eastAsia="en-AU"/>
              </w:rPr>
              <w:t>Disability &amp; Rehabilitation, 45</w:t>
            </w:r>
            <w:r w:rsidRPr="007F367C">
              <w:rPr>
                <w:rFonts w:eastAsia="Times New Roman" w:cs="Arial"/>
                <w:sz w:val="22"/>
                <w:szCs w:val="22"/>
                <w:lang w:eastAsia="en-AU"/>
              </w:rPr>
              <w:t xml:space="preserve">(19), 3046-3058. https://doi.org/10.1080/09638288.2022.2117865 </w:t>
            </w:r>
          </w:p>
        </w:tc>
        <w:tc>
          <w:tcPr>
            <w:tcW w:w="1218" w:type="dxa"/>
          </w:tcPr>
          <w:p w14:paraId="02A62E3A" w14:textId="6CD048A8" w:rsidR="00C30E56" w:rsidRPr="00756F5E" w:rsidRDefault="00C30E56" w:rsidP="00C30E56">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Young et al. (2023)</w:t>
            </w:r>
          </w:p>
        </w:tc>
      </w:tr>
      <w:tr w:rsidR="009A42D2" w:rsidRPr="00756F5E" w14:paraId="504AB02C"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shd w:val="clear" w:color="auto" w:fill="DAE2E6"/>
          </w:tcPr>
          <w:p w14:paraId="375FC551" w14:textId="77777777" w:rsidR="009A42D2" w:rsidRPr="00756F5E" w:rsidRDefault="009A42D2" w:rsidP="009A42D2">
            <w:pPr>
              <w:suppressAutoHyphens/>
              <w:spacing w:before="40" w:after="40" w:line="200" w:lineRule="atLeast"/>
              <w:ind w:left="463" w:hanging="463"/>
              <w:rPr>
                <w:rFonts w:eastAsia="Times New Roman" w:cs="Arial"/>
                <w:b/>
                <w:bCs/>
                <w:sz w:val="22"/>
                <w:szCs w:val="22"/>
                <w:lang w:eastAsia="en-AU"/>
              </w:rPr>
            </w:pPr>
            <w:r w:rsidRPr="00756F5E">
              <w:rPr>
                <w:rFonts w:eastAsia="Times New Roman" w:cs="Arial"/>
                <w:b/>
                <w:bCs/>
                <w:sz w:val="22"/>
                <w:szCs w:val="22"/>
                <w:lang w:val="en-AU" w:eastAsia="en-AU"/>
              </w:rPr>
              <w:t>RCTs included in an included systematic review, data not extracted</w:t>
            </w:r>
          </w:p>
        </w:tc>
        <w:tc>
          <w:tcPr>
            <w:tcW w:w="1218" w:type="dxa"/>
            <w:shd w:val="clear" w:color="auto" w:fill="DAE2E6"/>
          </w:tcPr>
          <w:p w14:paraId="7021807A" w14:textId="77777777" w:rsidR="009A42D2" w:rsidRPr="00756F5E" w:rsidRDefault="009A42D2" w:rsidP="009A42D2">
            <w:pPr>
              <w:suppressAutoHyphens/>
              <w:spacing w:before="40" w:after="40" w:line="200" w:lineRule="atLeast"/>
              <w:rPr>
                <w:rFonts w:eastAsia="Times New Roman" w:cs="Arial"/>
                <w:sz w:val="22"/>
                <w:szCs w:val="22"/>
                <w:lang w:eastAsia="en-AU"/>
              </w:rPr>
            </w:pPr>
          </w:p>
        </w:tc>
      </w:tr>
      <w:tr w:rsidR="007000BB" w:rsidRPr="00756F5E" w14:paraId="32DC0452"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C555862" w14:textId="0D804B7F" w:rsidR="007000BB" w:rsidRPr="00756F5E" w:rsidRDefault="007000BB" w:rsidP="007000BB">
            <w:pPr>
              <w:suppressAutoHyphens/>
              <w:spacing w:before="40" w:after="40" w:line="200" w:lineRule="atLeast"/>
              <w:ind w:left="463" w:hanging="463"/>
              <w:rPr>
                <w:rFonts w:eastAsia="Times New Roman" w:cs="Arial"/>
                <w:sz w:val="22"/>
                <w:szCs w:val="22"/>
                <w:lang w:eastAsia="en-AU"/>
              </w:rPr>
            </w:pPr>
            <w:r w:rsidRPr="00F56DFE">
              <w:rPr>
                <w:rFonts w:eastAsia="Times New Roman" w:cs="Arial"/>
                <w:sz w:val="22"/>
                <w:szCs w:val="22"/>
                <w:lang w:eastAsia="en-AU"/>
              </w:rPr>
              <w:t xml:space="preserve">Baranek, G. T., Watson, L. R., Turner-Brown, L., Field, S. H., Crais, E. R., Wakeford, L., Little, L. M., &amp; Reznick, J. S. (2015). Preliminary efficacy of adapted responsive teaching for infants at risk of autism spectrum disorder in a community sample. </w:t>
            </w:r>
            <w:r w:rsidRPr="00F56DFE">
              <w:rPr>
                <w:rFonts w:eastAsia="Times New Roman" w:cs="Arial"/>
                <w:i/>
                <w:iCs/>
                <w:sz w:val="22"/>
                <w:szCs w:val="22"/>
                <w:lang w:eastAsia="en-AU"/>
              </w:rPr>
              <w:t>Autism Research and Treatment, 2015,</w:t>
            </w:r>
            <w:r w:rsidRPr="00F56DFE">
              <w:rPr>
                <w:rFonts w:eastAsia="Times New Roman" w:cs="Arial"/>
                <w:sz w:val="22"/>
                <w:szCs w:val="22"/>
                <w:lang w:eastAsia="en-AU"/>
              </w:rPr>
              <w:t xml:space="preserve"> 386951-386951. https://doi.org/10.1155/2015/386951 </w:t>
            </w:r>
          </w:p>
        </w:tc>
        <w:tc>
          <w:tcPr>
            <w:tcW w:w="1218" w:type="dxa"/>
          </w:tcPr>
          <w:p w14:paraId="512C7D9E" w14:textId="0DDD015C" w:rsidR="007000BB" w:rsidRPr="00756F5E" w:rsidRDefault="007000BB" w:rsidP="007000B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Baranek et al. (2015)</w:t>
            </w:r>
          </w:p>
        </w:tc>
      </w:tr>
      <w:tr w:rsidR="007000BB" w:rsidRPr="00756F5E" w14:paraId="7A538B21"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3D9E832C" w14:textId="7289DF11" w:rsidR="007000BB" w:rsidRPr="00756F5E" w:rsidRDefault="007000BB" w:rsidP="007000BB">
            <w:pPr>
              <w:suppressAutoHyphens/>
              <w:spacing w:before="40" w:after="40" w:line="200" w:lineRule="atLeast"/>
              <w:ind w:left="463" w:hanging="463"/>
              <w:rPr>
                <w:rFonts w:eastAsia="Times New Roman" w:cs="Arial"/>
                <w:sz w:val="22"/>
                <w:szCs w:val="22"/>
                <w:lang w:eastAsia="en-AU"/>
              </w:rPr>
            </w:pPr>
            <w:r w:rsidRPr="0021652F">
              <w:rPr>
                <w:rFonts w:eastAsia="Times New Roman" w:cs="Arial"/>
                <w:sz w:val="22"/>
                <w:szCs w:val="22"/>
                <w:lang w:eastAsia="en-AU"/>
              </w:rPr>
              <w:t xml:space="preserve">Green, J., Pickles, A., Pasco, G., Bedford, R., Wan, M. W., Elsabbagh, M., Slonims, V., Gliga, T., Jones, E., Cheung, C., Charman, T., &amp; Johnson, M. (2017). Randomised trial of a parent-mediated intervention for infants at high risk for autism: Longitudinal outcomes to age 3 years. </w:t>
            </w:r>
            <w:r w:rsidRPr="0021652F">
              <w:rPr>
                <w:rFonts w:eastAsia="Times New Roman" w:cs="Arial"/>
                <w:i/>
                <w:iCs/>
                <w:sz w:val="22"/>
                <w:szCs w:val="22"/>
                <w:lang w:eastAsia="en-AU"/>
              </w:rPr>
              <w:t>Journal of Child Psychology and Psychiatry, and Allied Disciplines, 58</w:t>
            </w:r>
            <w:r w:rsidRPr="0021652F">
              <w:rPr>
                <w:rFonts w:eastAsia="Times New Roman" w:cs="Arial"/>
                <w:sz w:val="22"/>
                <w:szCs w:val="22"/>
                <w:lang w:eastAsia="en-AU"/>
              </w:rPr>
              <w:t xml:space="preserve">(12), 1330-1340. https://doi.org/10.1111/jcpp.12728 </w:t>
            </w:r>
          </w:p>
        </w:tc>
        <w:tc>
          <w:tcPr>
            <w:tcW w:w="1218" w:type="dxa"/>
          </w:tcPr>
          <w:p w14:paraId="051B1078" w14:textId="2E3F754E" w:rsidR="007000BB" w:rsidRPr="00756F5E" w:rsidRDefault="007000BB" w:rsidP="007000B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Green et al. (2017)</w:t>
            </w:r>
          </w:p>
        </w:tc>
      </w:tr>
      <w:tr w:rsidR="007000BB" w:rsidRPr="00756F5E" w14:paraId="1BEC178C"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720D7263" w14:textId="0940AAF5" w:rsidR="007000BB" w:rsidRPr="00756F5E" w:rsidRDefault="007000BB" w:rsidP="007000BB">
            <w:pPr>
              <w:suppressAutoHyphens/>
              <w:spacing w:before="40" w:after="40" w:line="200" w:lineRule="atLeast"/>
              <w:ind w:left="463" w:hanging="463"/>
              <w:rPr>
                <w:rFonts w:eastAsia="Times New Roman" w:cs="Arial"/>
                <w:sz w:val="22"/>
                <w:szCs w:val="22"/>
                <w:lang w:eastAsia="en-AU"/>
              </w:rPr>
            </w:pPr>
            <w:r w:rsidRPr="00075DE8">
              <w:rPr>
                <w:rFonts w:eastAsia="Times New Roman" w:cs="Arial"/>
                <w:sz w:val="22"/>
                <w:szCs w:val="22"/>
                <w:lang w:eastAsia="en-AU"/>
              </w:rPr>
              <w:t xml:space="preserve">Jones, E. J. H., Dawson, G., Kelly, J., Estes, A., &amp; Webb, S. J. (2017). Parent-delivered early intervention in infants at risk for ASD: Effects on electrophysiological and habituation measures of social attention. </w:t>
            </w:r>
            <w:r w:rsidRPr="00075DE8">
              <w:rPr>
                <w:rFonts w:eastAsia="Times New Roman" w:cs="Arial"/>
                <w:i/>
                <w:iCs/>
                <w:sz w:val="22"/>
                <w:szCs w:val="22"/>
                <w:lang w:eastAsia="en-AU"/>
              </w:rPr>
              <w:t>Autism Research, 10</w:t>
            </w:r>
            <w:r w:rsidRPr="00075DE8">
              <w:rPr>
                <w:rFonts w:eastAsia="Times New Roman" w:cs="Arial"/>
                <w:sz w:val="22"/>
                <w:szCs w:val="22"/>
                <w:lang w:eastAsia="en-AU"/>
              </w:rPr>
              <w:t xml:space="preserve">(5), 961-972. https://doi.org/10.1002/aur.1754 </w:t>
            </w:r>
          </w:p>
        </w:tc>
        <w:tc>
          <w:tcPr>
            <w:tcW w:w="1218" w:type="dxa"/>
          </w:tcPr>
          <w:p w14:paraId="08EA347B" w14:textId="10EB33D3" w:rsidR="007000BB" w:rsidRPr="00756F5E" w:rsidRDefault="007000BB" w:rsidP="007000B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Jones et al. (2017)</w:t>
            </w:r>
          </w:p>
        </w:tc>
      </w:tr>
      <w:tr w:rsidR="007000BB" w:rsidRPr="00756F5E" w14:paraId="438D1171"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B500690" w14:textId="2A2FEFAF" w:rsidR="007000BB" w:rsidRPr="00756F5E" w:rsidRDefault="007000BB" w:rsidP="007000BB">
            <w:pPr>
              <w:suppressAutoHyphens/>
              <w:spacing w:before="40" w:after="40" w:line="200" w:lineRule="atLeast"/>
              <w:ind w:left="463" w:hanging="463"/>
              <w:rPr>
                <w:rFonts w:eastAsia="Times New Roman" w:cs="Arial"/>
                <w:sz w:val="22"/>
                <w:szCs w:val="22"/>
                <w:lang w:eastAsia="en-AU"/>
              </w:rPr>
            </w:pPr>
            <w:r w:rsidRPr="00A20088">
              <w:rPr>
                <w:rFonts w:eastAsia="Times New Roman" w:cs="Arial"/>
                <w:sz w:val="22"/>
                <w:szCs w:val="22"/>
                <w:lang w:eastAsia="en-AU"/>
              </w:rPr>
              <w:t xml:space="preserve">Kasari, C., Siller, M., Huynh, L. N., Shih, W., Swanson, M., Hellemann, G. S., &amp; Sugar, C. A. (2014). Randomized controlled trial of parental responsiveness intervention for toddlers at high risk for autism. </w:t>
            </w:r>
            <w:r w:rsidRPr="00A20088">
              <w:rPr>
                <w:rFonts w:eastAsia="Times New Roman" w:cs="Arial"/>
                <w:i/>
                <w:iCs/>
                <w:sz w:val="22"/>
                <w:szCs w:val="22"/>
                <w:lang w:eastAsia="en-AU"/>
              </w:rPr>
              <w:t>Infant Behavior &amp; Development, 37</w:t>
            </w:r>
            <w:r w:rsidRPr="00A20088">
              <w:rPr>
                <w:rFonts w:eastAsia="Times New Roman" w:cs="Arial"/>
                <w:sz w:val="22"/>
                <w:szCs w:val="22"/>
                <w:lang w:eastAsia="en-AU"/>
              </w:rPr>
              <w:t>(4), 711-721. https://doi.org/10.1016/j.infbeh.2014.08.007</w:t>
            </w:r>
          </w:p>
        </w:tc>
        <w:tc>
          <w:tcPr>
            <w:tcW w:w="1218" w:type="dxa"/>
          </w:tcPr>
          <w:p w14:paraId="58189EB3" w14:textId="0C0AD1BD" w:rsidR="007000BB" w:rsidRPr="00756F5E" w:rsidRDefault="007000BB" w:rsidP="007000B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Kasari et al. (2014)</w:t>
            </w:r>
          </w:p>
        </w:tc>
      </w:tr>
      <w:tr w:rsidR="000B0AF9" w:rsidRPr="00756F5E" w14:paraId="14FC1616"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5E302C8" w14:textId="161CE5E0" w:rsidR="000B0AF9" w:rsidRPr="00756F5E" w:rsidRDefault="000B0AF9" w:rsidP="000B0AF9">
            <w:pPr>
              <w:suppressAutoHyphens/>
              <w:spacing w:before="40" w:after="40" w:line="200" w:lineRule="atLeast"/>
              <w:ind w:left="463" w:hanging="463"/>
              <w:rPr>
                <w:rFonts w:eastAsia="Times New Roman" w:cs="Arial"/>
                <w:sz w:val="22"/>
                <w:szCs w:val="22"/>
                <w:lang w:eastAsia="en-AU"/>
              </w:rPr>
            </w:pPr>
            <w:r w:rsidRPr="008A3C79">
              <w:rPr>
                <w:rFonts w:eastAsia="Times New Roman" w:cs="Arial"/>
                <w:sz w:val="22"/>
                <w:szCs w:val="22"/>
                <w:lang w:eastAsia="en-AU"/>
              </w:rPr>
              <w:t xml:space="preserve">Rogers, S. J., Stahmer, A., Talbott, M., Young, G., Fuller, E., Pellecchia, M., Barber, A., &amp; Griffith, E. (2022). Feasibility of delivering parent-implemented NDBI interventions in low-resource regions: A pilot randomized controlled study. </w:t>
            </w:r>
            <w:r w:rsidRPr="008A3C79">
              <w:rPr>
                <w:rFonts w:eastAsia="Times New Roman" w:cs="Arial"/>
                <w:i/>
                <w:iCs/>
                <w:sz w:val="22"/>
                <w:szCs w:val="22"/>
                <w:lang w:eastAsia="en-AU"/>
              </w:rPr>
              <w:t>Journal of Neurodevelopmental Disorders, 14</w:t>
            </w:r>
            <w:r w:rsidRPr="008A3C79">
              <w:rPr>
                <w:rFonts w:eastAsia="Times New Roman" w:cs="Arial"/>
                <w:sz w:val="22"/>
                <w:szCs w:val="22"/>
                <w:lang w:eastAsia="en-AU"/>
              </w:rPr>
              <w:t xml:space="preserve">(1), 3. https://doi.org/10.1186/s11689-021-09410-0 </w:t>
            </w:r>
          </w:p>
        </w:tc>
        <w:tc>
          <w:tcPr>
            <w:tcW w:w="1218" w:type="dxa"/>
          </w:tcPr>
          <w:p w14:paraId="40EE6742" w14:textId="6DAB8E46" w:rsidR="000B0AF9" w:rsidRPr="00756F5E" w:rsidRDefault="000B0AF9" w:rsidP="000B0AF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Rogers et al. (2022)</w:t>
            </w:r>
          </w:p>
        </w:tc>
      </w:tr>
      <w:tr w:rsidR="000B0AF9" w:rsidRPr="00756F5E" w14:paraId="76B9FCFD"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5E80BEE" w14:textId="697E13B4" w:rsidR="000B0AF9" w:rsidRPr="00756F5E" w:rsidRDefault="000B0AF9" w:rsidP="000B0AF9">
            <w:pPr>
              <w:suppressAutoHyphens/>
              <w:spacing w:before="40" w:after="40" w:line="200" w:lineRule="atLeast"/>
              <w:ind w:left="463" w:hanging="463"/>
              <w:rPr>
                <w:rFonts w:eastAsia="Times New Roman" w:cs="Arial"/>
                <w:sz w:val="22"/>
                <w:szCs w:val="22"/>
                <w:lang w:eastAsia="en-AU"/>
              </w:rPr>
            </w:pPr>
            <w:r w:rsidRPr="00FB75EA">
              <w:rPr>
                <w:rFonts w:eastAsia="Times New Roman" w:cs="Arial"/>
                <w:sz w:val="22"/>
                <w:szCs w:val="22"/>
                <w:lang w:eastAsia="en-AU"/>
              </w:rPr>
              <w:t xml:space="preserve">Watson, L., Crais, E., Baranek, G., Turner-Brown, L., Sideris, J., Wakeford, L., Kinard, J., Reznick, J., Martin, K., &amp; Nowell, S. (2017). Parent-mediated intervention for one-year-olds screened as at-risk for autism spectrum disorder: A randomized controlled trial. </w:t>
            </w:r>
            <w:r w:rsidRPr="00FB75EA">
              <w:rPr>
                <w:rFonts w:eastAsia="Times New Roman" w:cs="Arial"/>
                <w:i/>
                <w:iCs/>
                <w:sz w:val="22"/>
                <w:szCs w:val="22"/>
                <w:lang w:eastAsia="en-AU"/>
              </w:rPr>
              <w:t>Journal of Autism &amp; Developmental Disorders, 47</w:t>
            </w:r>
            <w:r w:rsidRPr="00FB75EA">
              <w:rPr>
                <w:rFonts w:eastAsia="Times New Roman" w:cs="Arial"/>
                <w:sz w:val="22"/>
                <w:szCs w:val="22"/>
                <w:lang w:eastAsia="en-AU"/>
              </w:rPr>
              <w:t xml:space="preserve">(11), 3520-3540. https://doi.org/10.1007/s10803-017-3268-0 </w:t>
            </w:r>
          </w:p>
        </w:tc>
        <w:tc>
          <w:tcPr>
            <w:tcW w:w="1218" w:type="dxa"/>
          </w:tcPr>
          <w:p w14:paraId="521E7D4E" w14:textId="24C6DF65" w:rsidR="000B0AF9" w:rsidRPr="00756F5E" w:rsidRDefault="000B0AF9" w:rsidP="000B0AF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Watson et al. (2017)</w:t>
            </w:r>
          </w:p>
        </w:tc>
      </w:tr>
      <w:tr w:rsidR="000B0AF9" w:rsidRPr="00756F5E" w14:paraId="27F10DEA"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82B6614" w14:textId="2ECC7DF8" w:rsidR="000B0AF9" w:rsidRPr="00756F5E" w:rsidRDefault="000B0AF9" w:rsidP="000B0AF9">
            <w:pPr>
              <w:suppressAutoHyphens/>
              <w:spacing w:before="40" w:after="40" w:line="200" w:lineRule="atLeast"/>
              <w:ind w:left="463" w:hanging="463"/>
              <w:rPr>
                <w:rFonts w:eastAsia="Times New Roman" w:cs="Arial"/>
                <w:sz w:val="22"/>
                <w:szCs w:val="22"/>
                <w:lang w:eastAsia="en-AU"/>
              </w:rPr>
            </w:pPr>
            <w:r w:rsidRPr="00F05B8D">
              <w:rPr>
                <w:rFonts w:eastAsia="Times New Roman" w:cs="Arial"/>
                <w:sz w:val="22"/>
                <w:szCs w:val="22"/>
                <w:lang w:eastAsia="en-AU"/>
              </w:rPr>
              <w:t xml:space="preserve">Whitehouse, A. J. O., Varcin, K. J., Alvares, G. A., Barbaro, J., Bent, C., Boutrus, M., Chetcuti, L., Cooper, M. N., Clark, A., Davidson, E., Dimov, S., Dissanayake, C., Doyle, J., Grant, M., Iacono, T., Maybery, M., Pillar, S., Renton, M., Rowbottam, C., . . . Hudry, K. (2019). Pre-emptive intervention versus treatment as usual for infants showing early behavioural risk signs of autism spectrum disorder: a single-blind, randomised controlled trial. </w:t>
            </w:r>
            <w:r w:rsidRPr="00F05B8D">
              <w:rPr>
                <w:rFonts w:eastAsia="Times New Roman" w:cs="Arial"/>
                <w:i/>
                <w:iCs/>
                <w:sz w:val="22"/>
                <w:szCs w:val="22"/>
                <w:lang w:eastAsia="en-AU"/>
              </w:rPr>
              <w:t>Lancet Child &amp; Adolescent Health, 3</w:t>
            </w:r>
            <w:r w:rsidRPr="00F05B8D">
              <w:rPr>
                <w:rFonts w:eastAsia="Times New Roman" w:cs="Arial"/>
                <w:sz w:val="22"/>
                <w:szCs w:val="22"/>
                <w:lang w:eastAsia="en-AU"/>
              </w:rPr>
              <w:t xml:space="preserve">(9), 605-615. https://doi.org/10.1016/s2352-4642(19)30184-1 </w:t>
            </w:r>
          </w:p>
        </w:tc>
        <w:tc>
          <w:tcPr>
            <w:tcW w:w="1218" w:type="dxa"/>
          </w:tcPr>
          <w:p w14:paraId="13F7E3F6" w14:textId="76095B66" w:rsidR="000B0AF9" w:rsidRPr="00756F5E" w:rsidRDefault="000B0AF9" w:rsidP="000B0AF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Whitehouse et al. (2019)</w:t>
            </w:r>
          </w:p>
        </w:tc>
      </w:tr>
      <w:tr w:rsidR="00B412C2" w:rsidRPr="00756F5E" w14:paraId="0E30833F"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5AF90AA" w14:textId="60043CC2" w:rsidR="00B412C2" w:rsidRPr="00756F5E" w:rsidRDefault="00B412C2" w:rsidP="00B412C2">
            <w:pPr>
              <w:suppressAutoHyphens/>
              <w:spacing w:before="40" w:after="40" w:line="200" w:lineRule="atLeast"/>
              <w:ind w:left="463" w:hanging="463"/>
              <w:rPr>
                <w:rFonts w:eastAsia="Times New Roman" w:cs="Arial"/>
                <w:sz w:val="22"/>
                <w:szCs w:val="22"/>
                <w:lang w:eastAsia="en-AU"/>
              </w:rPr>
            </w:pPr>
            <w:r w:rsidRPr="000B4D6C">
              <w:rPr>
                <w:rFonts w:eastAsia="Times New Roman" w:cs="Arial"/>
                <w:sz w:val="22"/>
                <w:szCs w:val="22"/>
                <w:lang w:eastAsia="en-AU"/>
              </w:rPr>
              <w:t xml:space="preserve">Yoder, P. J., Stone, W. L., &amp; Edmunds, S. R. (2021). For which younger siblings of children with autism spectrum disorder does parent-mediated intervention work? </w:t>
            </w:r>
            <w:r w:rsidRPr="000B4D6C">
              <w:rPr>
                <w:rFonts w:eastAsia="Times New Roman" w:cs="Arial"/>
                <w:i/>
                <w:iCs/>
                <w:sz w:val="22"/>
                <w:szCs w:val="22"/>
                <w:lang w:eastAsia="en-AU"/>
              </w:rPr>
              <w:t>Autism: The International Journal of Research &amp; Practice, 25</w:t>
            </w:r>
            <w:r w:rsidRPr="000B4D6C">
              <w:rPr>
                <w:rFonts w:eastAsia="Times New Roman" w:cs="Arial"/>
                <w:sz w:val="22"/>
                <w:szCs w:val="22"/>
                <w:lang w:eastAsia="en-AU"/>
              </w:rPr>
              <w:t xml:space="preserve">(1), 58-69. https://doi.org/10.1177/1362361320943373 </w:t>
            </w:r>
          </w:p>
        </w:tc>
        <w:tc>
          <w:tcPr>
            <w:tcW w:w="1218" w:type="dxa"/>
          </w:tcPr>
          <w:p w14:paraId="1B4DAE9D" w14:textId="1D9BBD1D" w:rsidR="00B412C2" w:rsidRPr="00756F5E" w:rsidRDefault="00B412C2" w:rsidP="00B412C2">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Yoder et al. (2021)</w:t>
            </w:r>
          </w:p>
        </w:tc>
      </w:tr>
      <w:tr w:rsidR="009A42D2" w:rsidRPr="00756F5E" w14:paraId="0D8518EE"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shd w:val="clear" w:color="auto" w:fill="DAE2E6"/>
          </w:tcPr>
          <w:p w14:paraId="7627C2ED" w14:textId="77777777" w:rsidR="009A42D2" w:rsidRPr="00756F5E" w:rsidRDefault="009A42D2" w:rsidP="009A42D2">
            <w:pPr>
              <w:suppressAutoHyphens/>
              <w:spacing w:before="40" w:after="40" w:line="200" w:lineRule="atLeast"/>
              <w:ind w:left="463" w:hanging="463"/>
              <w:rPr>
                <w:rFonts w:eastAsia="Times New Roman" w:cs="Arial"/>
                <w:b/>
                <w:bCs/>
                <w:sz w:val="22"/>
                <w:szCs w:val="22"/>
                <w:lang w:eastAsia="en-AU"/>
              </w:rPr>
            </w:pPr>
            <w:r w:rsidRPr="00756F5E">
              <w:rPr>
                <w:rFonts w:cs="Arial"/>
                <w:b/>
                <w:bCs/>
                <w:sz w:val="22"/>
                <w:szCs w:val="22"/>
                <w:lang w:val="en-AU"/>
              </w:rPr>
              <w:t>Qualitative studies, data extracted</w:t>
            </w:r>
          </w:p>
        </w:tc>
        <w:tc>
          <w:tcPr>
            <w:tcW w:w="1218" w:type="dxa"/>
            <w:shd w:val="clear" w:color="auto" w:fill="DAE2E6"/>
          </w:tcPr>
          <w:p w14:paraId="6E6E0365" w14:textId="77777777" w:rsidR="009A42D2" w:rsidRPr="00756F5E" w:rsidRDefault="009A42D2" w:rsidP="009A42D2">
            <w:pPr>
              <w:suppressAutoHyphens/>
              <w:spacing w:before="40" w:after="40" w:line="200" w:lineRule="atLeast"/>
              <w:rPr>
                <w:rFonts w:eastAsia="Times New Roman" w:cs="Arial"/>
                <w:b/>
                <w:bCs/>
                <w:sz w:val="22"/>
                <w:szCs w:val="22"/>
                <w:lang w:eastAsia="en-AU"/>
              </w:rPr>
            </w:pPr>
          </w:p>
        </w:tc>
      </w:tr>
      <w:tr w:rsidR="00700F05" w:rsidRPr="00756F5E" w14:paraId="65DDD5BF"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61A10D7" w14:textId="37358A7A" w:rsidR="00700F05" w:rsidRPr="00756F5E" w:rsidRDefault="00700F05" w:rsidP="00700F05">
            <w:pPr>
              <w:suppressAutoHyphens/>
              <w:spacing w:before="40" w:after="40" w:line="200" w:lineRule="atLeast"/>
              <w:ind w:left="463" w:hanging="463"/>
              <w:rPr>
                <w:rFonts w:eastAsia="Times New Roman" w:cs="Arial"/>
                <w:sz w:val="22"/>
                <w:szCs w:val="22"/>
                <w:lang w:eastAsia="en-AU"/>
              </w:rPr>
            </w:pPr>
            <w:r w:rsidRPr="002A3F5B">
              <w:rPr>
                <w:rFonts w:eastAsia="Times New Roman" w:cs="Arial"/>
                <w:sz w:val="22"/>
                <w:szCs w:val="22"/>
                <w:lang w:eastAsia="en-AU"/>
              </w:rPr>
              <w:t>Akhbari Ziegler, S., Mitteregger, E., &amp; Hadders-Algra, M. (2020). Caregivers' experiences with the new family-centred paediatric physiotherapy programme COPCA: A qualitative study</w:t>
            </w:r>
            <w:r w:rsidRPr="00C73410">
              <w:rPr>
                <w:rFonts w:eastAsia="Times New Roman" w:cs="Arial"/>
                <w:i/>
                <w:iCs/>
                <w:sz w:val="22"/>
                <w:szCs w:val="22"/>
                <w:lang w:eastAsia="en-AU"/>
              </w:rPr>
              <w:t>. Child: Care Health and Development, 46</w:t>
            </w:r>
            <w:r w:rsidRPr="002A3F5B">
              <w:rPr>
                <w:rFonts w:eastAsia="Times New Roman" w:cs="Arial"/>
                <w:sz w:val="22"/>
                <w:szCs w:val="22"/>
                <w:lang w:eastAsia="en-AU"/>
              </w:rPr>
              <w:t xml:space="preserve">(1), 28-36. https://doi.org/10.1111/cch.12722 </w:t>
            </w:r>
          </w:p>
        </w:tc>
        <w:tc>
          <w:tcPr>
            <w:tcW w:w="1218" w:type="dxa"/>
          </w:tcPr>
          <w:p w14:paraId="7104F2A7" w14:textId="1C0E2A3D" w:rsidR="00700F05" w:rsidRPr="00756F5E" w:rsidRDefault="00700F05" w:rsidP="00700F0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Akhbari Ziegler et al. (2020)</w:t>
            </w:r>
          </w:p>
        </w:tc>
      </w:tr>
      <w:tr w:rsidR="00700F05" w:rsidRPr="00756F5E" w14:paraId="77DB2871"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A5DDB94" w14:textId="66771750" w:rsidR="00700F05" w:rsidRPr="00756F5E" w:rsidRDefault="00700F05" w:rsidP="00700F05">
            <w:pPr>
              <w:suppressAutoHyphens/>
              <w:spacing w:before="40" w:after="40" w:line="200" w:lineRule="atLeast"/>
              <w:ind w:left="463" w:hanging="463"/>
              <w:rPr>
                <w:rFonts w:eastAsia="Times New Roman" w:cs="Arial"/>
                <w:sz w:val="22"/>
                <w:szCs w:val="22"/>
                <w:lang w:eastAsia="en-AU"/>
              </w:rPr>
            </w:pPr>
            <w:r w:rsidRPr="00C73410">
              <w:rPr>
                <w:rFonts w:eastAsia="Times New Roman" w:cs="Arial"/>
                <w:sz w:val="22"/>
                <w:szCs w:val="22"/>
                <w:lang w:eastAsia="en-AU"/>
              </w:rPr>
              <w:t xml:space="preserve">Amsbary, J., &amp; Able, H. (2023). Exploring parents' perceptions of an early intervention for toddlers with autism. </w:t>
            </w:r>
            <w:r w:rsidRPr="00C73410">
              <w:rPr>
                <w:rFonts w:eastAsia="Times New Roman" w:cs="Arial"/>
                <w:i/>
                <w:iCs/>
                <w:sz w:val="22"/>
                <w:szCs w:val="22"/>
                <w:lang w:eastAsia="en-AU"/>
              </w:rPr>
              <w:t>Infants &amp; Young Children, 36</w:t>
            </w:r>
            <w:r w:rsidRPr="00C73410">
              <w:rPr>
                <w:rFonts w:eastAsia="Times New Roman" w:cs="Arial"/>
                <w:sz w:val="22"/>
                <w:szCs w:val="22"/>
                <w:lang w:eastAsia="en-AU"/>
              </w:rPr>
              <w:t xml:space="preserve">(3), 228-246. https://doi.org/10.1097/iyc.0000000000000242 </w:t>
            </w:r>
          </w:p>
        </w:tc>
        <w:tc>
          <w:tcPr>
            <w:tcW w:w="1218" w:type="dxa"/>
          </w:tcPr>
          <w:p w14:paraId="4DBD726A" w14:textId="01C637E6" w:rsidR="00700F05" w:rsidRPr="00756F5E" w:rsidRDefault="00700F05" w:rsidP="00700F0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Amsbary and Able (2023)</w:t>
            </w:r>
          </w:p>
        </w:tc>
      </w:tr>
      <w:tr w:rsidR="00700F05" w:rsidRPr="00756F5E" w14:paraId="071E4905"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DAB7262" w14:textId="2C5B323F" w:rsidR="00700F05" w:rsidRPr="00756F5E" w:rsidRDefault="00700F05" w:rsidP="00700F05">
            <w:pPr>
              <w:suppressAutoHyphens/>
              <w:spacing w:before="40" w:after="40" w:line="200" w:lineRule="atLeast"/>
              <w:ind w:left="463" w:hanging="463"/>
              <w:rPr>
                <w:rFonts w:eastAsia="Times New Roman" w:cs="Arial"/>
                <w:sz w:val="22"/>
                <w:szCs w:val="22"/>
                <w:lang w:eastAsia="en-AU"/>
              </w:rPr>
            </w:pPr>
            <w:r w:rsidRPr="0054006F">
              <w:rPr>
                <w:rFonts w:eastAsia="Times New Roman" w:cs="Arial"/>
                <w:sz w:val="22"/>
                <w:szCs w:val="22"/>
                <w:lang w:eastAsia="en-AU"/>
              </w:rPr>
              <w:t xml:space="preserve">Armstrong, J., Elliott, C., Davidson, E., Mizen, J., Wray, J., &amp; Girdler, S. (2021). The power of playgroups: Key components of supported and therapeutic playgroups from the perspective of parents. </w:t>
            </w:r>
            <w:r w:rsidRPr="0054006F">
              <w:rPr>
                <w:rFonts w:eastAsia="Times New Roman" w:cs="Arial"/>
                <w:i/>
                <w:iCs/>
                <w:sz w:val="22"/>
                <w:szCs w:val="22"/>
                <w:lang w:eastAsia="en-AU"/>
              </w:rPr>
              <w:t>Australian Occupational Therapy Journal, 68</w:t>
            </w:r>
            <w:r w:rsidRPr="0054006F">
              <w:rPr>
                <w:rFonts w:eastAsia="Times New Roman" w:cs="Arial"/>
                <w:sz w:val="22"/>
                <w:szCs w:val="22"/>
                <w:lang w:eastAsia="en-AU"/>
              </w:rPr>
              <w:t xml:space="preserve">(2), 144-155. https://doi.org/10.1111/1440-1630.12708 </w:t>
            </w:r>
          </w:p>
        </w:tc>
        <w:tc>
          <w:tcPr>
            <w:tcW w:w="1218" w:type="dxa"/>
          </w:tcPr>
          <w:p w14:paraId="254FF2B1" w14:textId="41A35D80" w:rsidR="00700F05" w:rsidRPr="00756F5E" w:rsidRDefault="00700F05" w:rsidP="00700F0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Armstrong et al. (2021)</w:t>
            </w:r>
          </w:p>
        </w:tc>
      </w:tr>
      <w:tr w:rsidR="00700F05" w:rsidRPr="00756F5E" w14:paraId="3DE41B43"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FE3FAB1" w14:textId="3346D456" w:rsidR="00700F05" w:rsidRPr="00756F5E" w:rsidRDefault="00700F05" w:rsidP="00700F05">
            <w:pPr>
              <w:suppressAutoHyphens/>
              <w:spacing w:before="40" w:after="40" w:line="200" w:lineRule="atLeast"/>
              <w:ind w:left="463" w:hanging="463"/>
              <w:rPr>
                <w:rFonts w:eastAsia="Times New Roman" w:cs="Arial"/>
                <w:sz w:val="22"/>
                <w:szCs w:val="22"/>
                <w:lang w:eastAsia="en-AU"/>
              </w:rPr>
            </w:pPr>
            <w:r w:rsidRPr="00850BC8">
              <w:rPr>
                <w:rFonts w:eastAsia="Times New Roman" w:cs="Arial"/>
                <w:sz w:val="22"/>
                <w:szCs w:val="22"/>
                <w:lang w:eastAsia="en-AU"/>
              </w:rPr>
              <w:t xml:space="preserve">Aylward, E., &amp; Neilsen-Hewett, C. (2021). Application of an evidence-based early intervention model for children with ASD in mainstream early childhood education and care settings via a targeted professional development program. </w:t>
            </w:r>
            <w:r w:rsidRPr="00850BC8">
              <w:rPr>
                <w:rFonts w:eastAsia="Times New Roman" w:cs="Arial"/>
                <w:i/>
                <w:iCs/>
                <w:sz w:val="22"/>
                <w:szCs w:val="22"/>
                <w:lang w:eastAsia="en-AU"/>
              </w:rPr>
              <w:t>Australasian Journal of Special and Inclusive Education, 45</w:t>
            </w:r>
            <w:r w:rsidRPr="00850BC8">
              <w:rPr>
                <w:rFonts w:eastAsia="Times New Roman" w:cs="Arial"/>
                <w:sz w:val="22"/>
                <w:szCs w:val="22"/>
                <w:lang w:eastAsia="en-AU"/>
              </w:rPr>
              <w:t xml:space="preserve">(2), 135-149. https://doi.org/10.1017/jsi.2021.11 </w:t>
            </w:r>
          </w:p>
        </w:tc>
        <w:tc>
          <w:tcPr>
            <w:tcW w:w="1218" w:type="dxa"/>
          </w:tcPr>
          <w:p w14:paraId="581522C7" w14:textId="3F4CC31B" w:rsidR="00700F05" w:rsidRPr="00756F5E" w:rsidRDefault="00700F05" w:rsidP="00700F05">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Aylward and Neilsen-Hewett (2021)</w:t>
            </w:r>
          </w:p>
        </w:tc>
      </w:tr>
      <w:tr w:rsidR="004A770D" w:rsidRPr="00756F5E" w14:paraId="78824384"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72F6B38D" w14:textId="7EE5B0CE" w:rsidR="004A770D" w:rsidRPr="00756F5E" w:rsidRDefault="004A770D" w:rsidP="004A770D">
            <w:pPr>
              <w:suppressAutoHyphens/>
              <w:spacing w:before="40" w:after="40" w:line="200" w:lineRule="atLeast"/>
              <w:ind w:left="463" w:hanging="463"/>
              <w:rPr>
                <w:rFonts w:eastAsia="Times New Roman" w:cs="Arial"/>
                <w:sz w:val="22"/>
                <w:szCs w:val="22"/>
                <w:lang w:eastAsia="en-AU"/>
              </w:rPr>
            </w:pPr>
            <w:r w:rsidRPr="00DF02A4">
              <w:rPr>
                <w:rFonts w:eastAsia="Times New Roman" w:cs="Arial"/>
                <w:sz w:val="22"/>
                <w:szCs w:val="22"/>
                <w:lang w:eastAsia="en-AU"/>
              </w:rPr>
              <w:t xml:space="preserve">Beamish, W., Macdonald, L., Hay, S., Taylor, A., Paynter, J., &amp; Tucker, M. (2022). A model of practice for building teacher capacity in educating young school-age children on the autism spectrum: User perspectives. </w:t>
            </w:r>
            <w:r w:rsidRPr="00DF02A4">
              <w:rPr>
                <w:rFonts w:eastAsia="Times New Roman" w:cs="Arial"/>
                <w:i/>
                <w:iCs/>
                <w:sz w:val="22"/>
                <w:szCs w:val="22"/>
                <w:lang w:eastAsia="en-AU"/>
              </w:rPr>
              <w:t>International Journal of Disability, Development &amp; Education, 69</w:t>
            </w:r>
            <w:r w:rsidRPr="00DF02A4">
              <w:rPr>
                <w:rFonts w:eastAsia="Times New Roman" w:cs="Arial"/>
                <w:sz w:val="22"/>
                <w:szCs w:val="22"/>
                <w:lang w:eastAsia="en-AU"/>
              </w:rPr>
              <w:t xml:space="preserve">(4), 1168-1184. https://doi.org/10.1080/1034912X.2020.1774046 </w:t>
            </w:r>
          </w:p>
        </w:tc>
        <w:tc>
          <w:tcPr>
            <w:tcW w:w="1218" w:type="dxa"/>
          </w:tcPr>
          <w:p w14:paraId="7D531CBC" w14:textId="4CBCD269" w:rsidR="004A770D" w:rsidRPr="00756F5E" w:rsidRDefault="004A770D" w:rsidP="004A770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Beamish et al. (2022)</w:t>
            </w:r>
          </w:p>
        </w:tc>
      </w:tr>
      <w:tr w:rsidR="004A770D" w:rsidRPr="00756F5E" w14:paraId="4A2E8716"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8651C75" w14:textId="02E0DE7D" w:rsidR="004A770D" w:rsidRPr="00756F5E" w:rsidRDefault="004A770D" w:rsidP="004A770D">
            <w:pPr>
              <w:suppressAutoHyphens/>
              <w:spacing w:before="40" w:after="40" w:line="200" w:lineRule="atLeast"/>
              <w:ind w:left="463" w:hanging="463"/>
              <w:rPr>
                <w:rFonts w:eastAsia="Times New Roman" w:cs="Arial"/>
                <w:sz w:val="22"/>
                <w:szCs w:val="22"/>
                <w:lang w:eastAsia="en-AU"/>
              </w:rPr>
            </w:pPr>
            <w:r w:rsidRPr="00A02339">
              <w:rPr>
                <w:rFonts w:eastAsia="Times New Roman" w:cs="Arial"/>
                <w:sz w:val="22"/>
                <w:szCs w:val="22"/>
                <w:lang w:eastAsia="en-AU"/>
              </w:rPr>
              <w:t xml:space="preserve">Bejnö, H., Bölte, S., Linder, N., Långh, U., Odom, S. L., &amp; Roll-Pettersson, L. (2022). From someone who may cause trouble to someone you can play with: Stakeholders' perspectives on preschool program quality for autistic children. </w:t>
            </w:r>
            <w:r w:rsidRPr="00A02339">
              <w:rPr>
                <w:rFonts w:eastAsia="Times New Roman" w:cs="Arial"/>
                <w:i/>
                <w:iCs/>
                <w:sz w:val="22"/>
                <w:szCs w:val="22"/>
                <w:lang w:eastAsia="en-AU"/>
              </w:rPr>
              <w:t>Journal of Autism &amp; Developmental Disorders, 52</w:t>
            </w:r>
            <w:r w:rsidRPr="00A02339">
              <w:rPr>
                <w:rFonts w:eastAsia="Times New Roman" w:cs="Arial"/>
                <w:sz w:val="22"/>
                <w:szCs w:val="22"/>
                <w:lang w:eastAsia="en-AU"/>
              </w:rPr>
              <w:t xml:space="preserve">(9), 3890-3908. https://doi.org/10.1007/s10803-021-05268-2 </w:t>
            </w:r>
          </w:p>
        </w:tc>
        <w:tc>
          <w:tcPr>
            <w:tcW w:w="1218" w:type="dxa"/>
          </w:tcPr>
          <w:p w14:paraId="1A0197F0" w14:textId="07C41ACF" w:rsidR="004A770D" w:rsidRPr="00756F5E" w:rsidRDefault="004A770D" w:rsidP="004A770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Bejnö et al. (2022)</w:t>
            </w:r>
          </w:p>
        </w:tc>
      </w:tr>
      <w:tr w:rsidR="004A770D" w:rsidRPr="00756F5E" w14:paraId="034A9BC7"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760139F8" w14:textId="3E4C4E76" w:rsidR="004A770D" w:rsidRPr="00756F5E" w:rsidRDefault="004A770D" w:rsidP="004A770D">
            <w:pPr>
              <w:suppressAutoHyphens/>
              <w:spacing w:before="40" w:after="40" w:line="200" w:lineRule="atLeast"/>
              <w:ind w:left="463" w:hanging="463"/>
              <w:rPr>
                <w:rFonts w:eastAsia="Times New Roman" w:cs="Arial"/>
                <w:sz w:val="22"/>
                <w:szCs w:val="22"/>
                <w:lang w:eastAsia="en-AU"/>
              </w:rPr>
            </w:pPr>
            <w:r w:rsidRPr="00160B1E">
              <w:rPr>
                <w:rFonts w:eastAsia="Times New Roman" w:cs="Arial"/>
                <w:sz w:val="22"/>
                <w:szCs w:val="22"/>
                <w:lang w:eastAsia="en-AU"/>
              </w:rPr>
              <w:t xml:space="preserve">Burke, M. M., Chan, N., &amp; Neece, C. L. (2017). Parent perspectives of applying mindfulness-based stress reduction strategies to special education. </w:t>
            </w:r>
            <w:r w:rsidRPr="00160B1E">
              <w:rPr>
                <w:rFonts w:eastAsia="Times New Roman" w:cs="Arial"/>
                <w:i/>
                <w:iCs/>
                <w:sz w:val="22"/>
                <w:szCs w:val="22"/>
                <w:lang w:eastAsia="en-AU"/>
              </w:rPr>
              <w:t>Intellectual &amp; Developmental Disabilities, 55</w:t>
            </w:r>
            <w:r w:rsidRPr="00160B1E">
              <w:rPr>
                <w:rFonts w:eastAsia="Times New Roman" w:cs="Arial"/>
                <w:sz w:val="22"/>
                <w:szCs w:val="22"/>
                <w:lang w:eastAsia="en-AU"/>
              </w:rPr>
              <w:t>(3), 167-180. https://doi.org/10.1352/1934-9556-55.3.167</w:t>
            </w:r>
          </w:p>
        </w:tc>
        <w:tc>
          <w:tcPr>
            <w:tcW w:w="1218" w:type="dxa"/>
          </w:tcPr>
          <w:p w14:paraId="2819DD46" w14:textId="106AD85E" w:rsidR="004A770D" w:rsidRPr="00756F5E" w:rsidRDefault="004A770D" w:rsidP="004A770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Burke et al. (2017)</w:t>
            </w:r>
          </w:p>
        </w:tc>
      </w:tr>
      <w:tr w:rsidR="005D452E" w:rsidRPr="00756F5E" w14:paraId="42D48FC9"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046D07F" w14:textId="6DFB5660" w:rsidR="005D452E" w:rsidRPr="00756F5E" w:rsidRDefault="005D452E" w:rsidP="005D452E">
            <w:pPr>
              <w:suppressAutoHyphens/>
              <w:spacing w:before="40" w:after="40" w:line="200" w:lineRule="atLeast"/>
              <w:ind w:left="463" w:hanging="463"/>
              <w:rPr>
                <w:rFonts w:eastAsia="Times New Roman" w:cs="Arial"/>
                <w:sz w:val="22"/>
                <w:szCs w:val="22"/>
                <w:lang w:eastAsia="en-AU"/>
              </w:rPr>
            </w:pPr>
            <w:r w:rsidRPr="003D7D5A">
              <w:rPr>
                <w:rFonts w:eastAsia="Times New Roman" w:cs="Arial"/>
                <w:sz w:val="22"/>
                <w:szCs w:val="22"/>
                <w:lang w:eastAsia="en-AU"/>
              </w:rPr>
              <w:t xml:space="preserve">Callanan, J., Signal, T., &amp; McAdie, T. (2023). Involving parents in early intervention: Therapists' experience of the Parent Child Relationally Informed-Early Intervention (PCRI-EI) model of practice. </w:t>
            </w:r>
            <w:r w:rsidRPr="003D7D5A">
              <w:rPr>
                <w:rFonts w:eastAsia="Times New Roman" w:cs="Arial"/>
                <w:i/>
                <w:iCs/>
                <w:sz w:val="22"/>
                <w:szCs w:val="22"/>
                <w:lang w:eastAsia="en-AU"/>
              </w:rPr>
              <w:t>International Journal of Disability, Development &amp; Education, 70</w:t>
            </w:r>
            <w:r w:rsidRPr="003D7D5A">
              <w:rPr>
                <w:rFonts w:eastAsia="Times New Roman" w:cs="Arial"/>
                <w:sz w:val="22"/>
                <w:szCs w:val="22"/>
                <w:lang w:eastAsia="en-AU"/>
              </w:rPr>
              <w:t xml:space="preserve">(5), 674-687. https://doi.org/10.1080/1034912X.2021.1910933 </w:t>
            </w:r>
          </w:p>
        </w:tc>
        <w:tc>
          <w:tcPr>
            <w:tcW w:w="1218" w:type="dxa"/>
          </w:tcPr>
          <w:p w14:paraId="17B9829D" w14:textId="5E2DA4F9" w:rsidR="005D452E" w:rsidRPr="00756F5E" w:rsidRDefault="005D452E" w:rsidP="005D452E">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Callanan et al. (2023)</w:t>
            </w:r>
          </w:p>
        </w:tc>
      </w:tr>
      <w:tr w:rsidR="005D452E" w:rsidRPr="00756F5E" w14:paraId="7BD4E40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F9CE82F" w14:textId="181EC74A" w:rsidR="005D452E" w:rsidRPr="00756F5E" w:rsidRDefault="005D452E" w:rsidP="005D452E">
            <w:pPr>
              <w:suppressAutoHyphens/>
              <w:spacing w:before="40" w:after="40" w:line="200" w:lineRule="atLeast"/>
              <w:ind w:left="463" w:hanging="463"/>
              <w:rPr>
                <w:rFonts w:eastAsia="Times New Roman" w:cs="Arial"/>
                <w:sz w:val="22"/>
                <w:szCs w:val="22"/>
                <w:lang w:eastAsia="en-AU"/>
              </w:rPr>
            </w:pPr>
            <w:r w:rsidRPr="00577242">
              <w:rPr>
                <w:rFonts w:eastAsia="Times New Roman" w:cs="Arial"/>
                <w:sz w:val="22"/>
                <w:szCs w:val="22"/>
                <w:lang w:eastAsia="en-AU"/>
              </w:rPr>
              <w:t xml:space="preserve">Clapham, K., Manning, C., Williams, K., O'Brien, G., &amp; Sutherland, M. (2017). Using a logic model to evaluate the Kids Together early education inclusion program for children with disabilities and additional needs. </w:t>
            </w:r>
            <w:r w:rsidRPr="00577242">
              <w:rPr>
                <w:rFonts w:eastAsia="Times New Roman" w:cs="Arial"/>
                <w:i/>
                <w:iCs/>
                <w:sz w:val="22"/>
                <w:szCs w:val="22"/>
                <w:lang w:eastAsia="en-AU"/>
              </w:rPr>
              <w:t>Evaluation and Program Planning, 61,</w:t>
            </w:r>
            <w:r w:rsidRPr="00577242">
              <w:rPr>
                <w:rFonts w:eastAsia="Times New Roman" w:cs="Arial"/>
                <w:sz w:val="22"/>
                <w:szCs w:val="22"/>
                <w:lang w:eastAsia="en-AU"/>
              </w:rPr>
              <w:t xml:space="preserve"> 96-105. https://doi.org/10.1016/j.evalprogplan.2016.12.004 </w:t>
            </w:r>
          </w:p>
        </w:tc>
        <w:tc>
          <w:tcPr>
            <w:tcW w:w="1218" w:type="dxa"/>
          </w:tcPr>
          <w:p w14:paraId="71844EEE" w14:textId="6FD02BC2" w:rsidR="005D452E" w:rsidRPr="00756F5E" w:rsidRDefault="005D452E" w:rsidP="005D452E">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Clapham et al. (2017)</w:t>
            </w:r>
          </w:p>
        </w:tc>
      </w:tr>
      <w:tr w:rsidR="005D452E" w:rsidRPr="00756F5E" w14:paraId="3062AB3A"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13D3CE9" w14:textId="202BB56D" w:rsidR="005D452E" w:rsidRPr="00756F5E" w:rsidRDefault="005D452E" w:rsidP="005D452E">
            <w:pPr>
              <w:suppressAutoHyphens/>
              <w:spacing w:before="40" w:after="40" w:line="200" w:lineRule="atLeast"/>
              <w:ind w:left="463" w:hanging="463"/>
              <w:rPr>
                <w:rFonts w:eastAsia="Times New Roman" w:cs="Arial"/>
                <w:sz w:val="22"/>
                <w:szCs w:val="22"/>
                <w:lang w:eastAsia="en-AU"/>
              </w:rPr>
            </w:pPr>
            <w:r w:rsidRPr="00527D9D">
              <w:rPr>
                <w:rFonts w:eastAsia="Times New Roman" w:cs="Arial"/>
                <w:sz w:val="22"/>
                <w:szCs w:val="22"/>
                <w:lang w:eastAsia="en-AU"/>
              </w:rPr>
              <w:t>Cosgrove, K., Gilkerson, L., Leviton, A., Mueller, M., Norris-Shortle, C., &amp; Gouvêa, M. (2019). Building professional capacity to strengthen parent/professional relationships in early intervention: The FAN approach</w:t>
            </w:r>
            <w:r w:rsidRPr="00527D9D">
              <w:rPr>
                <w:rFonts w:eastAsia="Times New Roman" w:cs="Arial"/>
                <w:i/>
                <w:iCs/>
                <w:sz w:val="22"/>
                <w:szCs w:val="22"/>
                <w:lang w:eastAsia="en-AU"/>
              </w:rPr>
              <w:t xml:space="preserve">. Infants &amp; Young Children: An Interdisciplinary Journal of Early Childhood Intervention, </w:t>
            </w:r>
            <w:r w:rsidRPr="004D7144">
              <w:rPr>
                <w:rFonts w:eastAsia="Times New Roman" w:cs="Arial"/>
                <w:i/>
                <w:iCs/>
                <w:sz w:val="22"/>
                <w:szCs w:val="22"/>
                <w:lang w:eastAsia="en-AU"/>
              </w:rPr>
              <w:t>32</w:t>
            </w:r>
            <w:r w:rsidRPr="00527D9D">
              <w:rPr>
                <w:rFonts w:eastAsia="Times New Roman" w:cs="Arial"/>
                <w:sz w:val="22"/>
                <w:szCs w:val="22"/>
                <w:lang w:eastAsia="en-AU"/>
              </w:rPr>
              <w:t xml:space="preserve">(4), 245-254. https://doi.org/10.1097/IYC.0000000000000148 </w:t>
            </w:r>
          </w:p>
        </w:tc>
        <w:tc>
          <w:tcPr>
            <w:tcW w:w="1218" w:type="dxa"/>
          </w:tcPr>
          <w:p w14:paraId="15567211" w14:textId="47DBEB7E" w:rsidR="005D452E" w:rsidRPr="00756F5E" w:rsidRDefault="005D452E" w:rsidP="005D452E">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Cosgrove et al. (2019)</w:t>
            </w:r>
          </w:p>
        </w:tc>
      </w:tr>
      <w:tr w:rsidR="00433E7C" w:rsidRPr="00756F5E" w14:paraId="5FC40CCC"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EB4ABCA" w14:textId="592923C8" w:rsidR="00433E7C" w:rsidRPr="00756F5E" w:rsidRDefault="00433E7C" w:rsidP="00433E7C">
            <w:pPr>
              <w:suppressAutoHyphens/>
              <w:spacing w:before="40" w:after="40" w:line="200" w:lineRule="atLeast"/>
              <w:ind w:left="463" w:hanging="463"/>
              <w:rPr>
                <w:rFonts w:eastAsia="Times New Roman" w:cs="Arial"/>
                <w:sz w:val="22"/>
                <w:szCs w:val="22"/>
                <w:lang w:eastAsia="en-AU"/>
              </w:rPr>
            </w:pPr>
            <w:r w:rsidRPr="00357327">
              <w:rPr>
                <w:rFonts w:eastAsia="Times New Roman" w:cs="Arial"/>
                <w:sz w:val="22"/>
                <w:szCs w:val="22"/>
                <w:lang w:eastAsia="en-AU"/>
              </w:rPr>
              <w:t xml:space="preserve">Due, C., Goodwin Smith, I., Allen, P., Button, E., Cheek, C., Quarmby, L., Stephens, M., Paku, S., Ferguson, S., &amp; Fordyce, K. (2018). A pilot study of social inclusion and quality of life for parents of children with autism spectrum disorder. </w:t>
            </w:r>
            <w:r w:rsidRPr="00357327">
              <w:rPr>
                <w:rFonts w:eastAsia="Times New Roman" w:cs="Arial"/>
                <w:i/>
                <w:iCs/>
                <w:sz w:val="22"/>
                <w:szCs w:val="22"/>
                <w:lang w:eastAsia="en-AU"/>
              </w:rPr>
              <w:t>Journal of Intellectual &amp; Developmental Disability, 43</w:t>
            </w:r>
            <w:r w:rsidRPr="00357327">
              <w:rPr>
                <w:rFonts w:eastAsia="Times New Roman" w:cs="Arial"/>
                <w:sz w:val="22"/>
                <w:szCs w:val="22"/>
                <w:lang w:eastAsia="en-AU"/>
              </w:rPr>
              <w:t xml:space="preserve">(1), 73-82. https://doi.org/10.3109/13668250.2017.1310812 </w:t>
            </w:r>
          </w:p>
        </w:tc>
        <w:tc>
          <w:tcPr>
            <w:tcW w:w="1218" w:type="dxa"/>
          </w:tcPr>
          <w:p w14:paraId="442F25A5" w14:textId="1A4E8CDF" w:rsidR="00433E7C" w:rsidRPr="00756F5E" w:rsidRDefault="00433E7C" w:rsidP="00433E7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Due et al. (2018)</w:t>
            </w:r>
          </w:p>
        </w:tc>
      </w:tr>
      <w:tr w:rsidR="00433E7C" w:rsidRPr="00756F5E" w14:paraId="0A7B1935"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7F2BD07D" w14:textId="527EF8FD" w:rsidR="00433E7C" w:rsidRPr="00756F5E" w:rsidRDefault="00433E7C" w:rsidP="00433E7C">
            <w:pPr>
              <w:suppressAutoHyphens/>
              <w:spacing w:before="40" w:after="40" w:line="200" w:lineRule="atLeast"/>
              <w:ind w:left="463" w:hanging="463"/>
              <w:rPr>
                <w:rFonts w:eastAsia="Times New Roman" w:cs="Arial"/>
                <w:sz w:val="22"/>
                <w:szCs w:val="22"/>
                <w:lang w:eastAsia="en-AU"/>
              </w:rPr>
            </w:pPr>
            <w:r w:rsidRPr="00401F42">
              <w:rPr>
                <w:rFonts w:eastAsia="Times New Roman" w:cs="Arial"/>
                <w:sz w:val="22"/>
                <w:szCs w:val="22"/>
                <w:lang w:eastAsia="en-AU"/>
              </w:rPr>
              <w:t xml:space="preserve">Elvrum, A.-K. G., Eliasson, A.-C., Berg Karstad, S., Sather, R., &amp; Soderstrom, S. (2024). Parents' experiences of participating in the Small Step early intervention program for infants at high risk of cerebral palsy: Essential components and potential dilemmas. </w:t>
            </w:r>
            <w:r w:rsidRPr="00401F42">
              <w:rPr>
                <w:rFonts w:eastAsia="Times New Roman" w:cs="Arial"/>
                <w:i/>
                <w:iCs/>
                <w:sz w:val="22"/>
                <w:szCs w:val="22"/>
                <w:lang w:eastAsia="en-AU"/>
              </w:rPr>
              <w:t>Disability and Rehabilitation</w:t>
            </w:r>
            <w:r w:rsidRPr="00401F42">
              <w:rPr>
                <w:rFonts w:eastAsia="Times New Roman" w:cs="Arial"/>
                <w:sz w:val="22"/>
                <w:szCs w:val="22"/>
                <w:lang w:eastAsia="en-AU"/>
              </w:rPr>
              <w:t xml:space="preserve">, 1-9. https://doi.org/10.1080/09638288.2024.2362394 </w:t>
            </w:r>
          </w:p>
        </w:tc>
        <w:tc>
          <w:tcPr>
            <w:tcW w:w="1218" w:type="dxa"/>
          </w:tcPr>
          <w:p w14:paraId="4EEA3835" w14:textId="6C22E1AB" w:rsidR="00433E7C" w:rsidRPr="00756F5E" w:rsidRDefault="00433E7C" w:rsidP="00433E7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Elvrum et al. (2024)</w:t>
            </w:r>
          </w:p>
        </w:tc>
      </w:tr>
      <w:tr w:rsidR="00BA6C78" w:rsidRPr="00756F5E" w14:paraId="176E504E"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F82B277" w14:textId="11383C35" w:rsidR="00BA6C78" w:rsidRPr="00756F5E" w:rsidRDefault="00BA6C78" w:rsidP="00BA6C78">
            <w:pPr>
              <w:suppressAutoHyphens/>
              <w:spacing w:before="40" w:after="40" w:line="200" w:lineRule="atLeast"/>
              <w:ind w:left="463" w:hanging="463"/>
              <w:rPr>
                <w:rFonts w:eastAsia="Times New Roman" w:cs="Arial"/>
                <w:sz w:val="22"/>
                <w:szCs w:val="22"/>
                <w:lang w:eastAsia="en-AU"/>
              </w:rPr>
            </w:pPr>
            <w:r w:rsidRPr="006176D1">
              <w:rPr>
                <w:rFonts w:eastAsia="Times New Roman" w:cs="Arial"/>
                <w:sz w:val="22"/>
                <w:szCs w:val="22"/>
                <w:lang w:eastAsia="en-AU"/>
              </w:rPr>
              <w:t xml:space="preserve">Gibbs, D., Harniess, P., &amp; Crossley, S.-L. (2019). 'The constant by our side' - Mothers' experiences of early intervention therapy services for infants with emerging signs of complex neurodevelopmental difficulties. </w:t>
            </w:r>
            <w:r w:rsidRPr="006176D1">
              <w:rPr>
                <w:rFonts w:eastAsia="Times New Roman" w:cs="Arial"/>
                <w:i/>
                <w:iCs/>
                <w:sz w:val="22"/>
                <w:szCs w:val="22"/>
                <w:lang w:eastAsia="en-AU"/>
              </w:rPr>
              <w:t>Infants and Young Children, 32(</w:t>
            </w:r>
            <w:r w:rsidRPr="006176D1">
              <w:rPr>
                <w:rFonts w:eastAsia="Times New Roman" w:cs="Arial"/>
                <w:sz w:val="22"/>
                <w:szCs w:val="22"/>
                <w:lang w:eastAsia="en-AU"/>
              </w:rPr>
              <w:t xml:space="preserve">4), 255-269. https://doi.org/10.1097/IYC.0000000000000149 </w:t>
            </w:r>
          </w:p>
        </w:tc>
        <w:tc>
          <w:tcPr>
            <w:tcW w:w="1218" w:type="dxa"/>
          </w:tcPr>
          <w:p w14:paraId="44053926" w14:textId="356A8410" w:rsidR="00BA6C78" w:rsidRPr="00756F5E" w:rsidRDefault="00BA6C78" w:rsidP="00BA6C7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Gibbs et al. (2019)</w:t>
            </w:r>
          </w:p>
        </w:tc>
      </w:tr>
      <w:tr w:rsidR="00BA6C78" w:rsidRPr="00756F5E" w14:paraId="2321E134"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7E0B9095" w14:textId="5259263D" w:rsidR="00BA6C78" w:rsidRPr="00756F5E" w:rsidRDefault="00BA6C78" w:rsidP="00BA6C78">
            <w:pPr>
              <w:suppressAutoHyphens/>
              <w:spacing w:before="40" w:after="40" w:line="200" w:lineRule="atLeast"/>
              <w:ind w:left="463" w:hanging="463"/>
              <w:rPr>
                <w:rFonts w:eastAsia="Times New Roman" w:cs="Arial"/>
                <w:sz w:val="22"/>
                <w:szCs w:val="22"/>
                <w:lang w:eastAsia="en-AU"/>
              </w:rPr>
            </w:pPr>
            <w:r w:rsidRPr="00902CC4">
              <w:rPr>
                <w:rFonts w:eastAsia="Times New Roman" w:cs="Arial"/>
                <w:sz w:val="22"/>
                <w:szCs w:val="22"/>
                <w:lang w:eastAsia="en-AU"/>
              </w:rPr>
              <w:t xml:space="preserve">Haine-Schlagel, R., Rieth, S., Dickson, K. S., Brookman-Frazee, L., &amp; Stahmer, A. (2020). Adapting parent engagement strategies for an evidence-based parent-mediated intervention for young children at risk for autism spectrum disorder. </w:t>
            </w:r>
            <w:r w:rsidRPr="00902CC4">
              <w:rPr>
                <w:rFonts w:eastAsia="Times New Roman" w:cs="Arial"/>
                <w:i/>
                <w:iCs/>
                <w:sz w:val="22"/>
                <w:szCs w:val="22"/>
                <w:lang w:eastAsia="en-AU"/>
              </w:rPr>
              <w:t>Journal of Community Psychology, 48</w:t>
            </w:r>
            <w:r w:rsidRPr="00902CC4">
              <w:rPr>
                <w:rFonts w:eastAsia="Times New Roman" w:cs="Arial"/>
                <w:sz w:val="22"/>
                <w:szCs w:val="22"/>
                <w:lang w:eastAsia="en-AU"/>
              </w:rPr>
              <w:t xml:space="preserve">(4), 1215-1237. https://doi.org/10.1002/jcop.22347 </w:t>
            </w:r>
          </w:p>
        </w:tc>
        <w:tc>
          <w:tcPr>
            <w:tcW w:w="1218" w:type="dxa"/>
          </w:tcPr>
          <w:p w14:paraId="1CB69293" w14:textId="411CD67D" w:rsidR="00BA6C78" w:rsidRPr="00756F5E" w:rsidRDefault="00BA6C78" w:rsidP="00BA6C7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Haine-Schlagel et al. (2020)</w:t>
            </w:r>
          </w:p>
        </w:tc>
      </w:tr>
      <w:tr w:rsidR="00BA6C78" w:rsidRPr="00756F5E" w14:paraId="17C748A5"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5C94C86" w14:textId="0A5D5B92" w:rsidR="00BA6C78" w:rsidRPr="00756F5E" w:rsidRDefault="00BA6C78" w:rsidP="00BA6C78">
            <w:pPr>
              <w:suppressAutoHyphens/>
              <w:spacing w:before="40" w:after="40" w:line="200" w:lineRule="atLeast"/>
              <w:ind w:left="463" w:hanging="463"/>
              <w:rPr>
                <w:rFonts w:eastAsia="Times New Roman" w:cs="Arial"/>
                <w:sz w:val="22"/>
                <w:szCs w:val="22"/>
                <w:lang w:eastAsia="en-AU"/>
              </w:rPr>
            </w:pPr>
            <w:r w:rsidRPr="00184895">
              <w:rPr>
                <w:rFonts w:eastAsia="Times New Roman" w:cs="Arial"/>
                <w:sz w:val="22"/>
                <w:szCs w:val="22"/>
                <w:lang w:eastAsia="en-AU"/>
              </w:rPr>
              <w:t xml:space="preserve">Miller, L., Imms, C., Cross, A., Pozniak, K., O'Connor, B., Martens, R., Cavalieros, V., Babic, R., Novak-Pavlic, M., Rodrigues, M., Balram, A., Hughes, D., Ziviani, J., &amp; Rosenbaum, P. (2023). Impact of "early intervention" parent workshops on outcomes for caregivers of children with neurodisabilities: a mixed-methods study. </w:t>
            </w:r>
            <w:r w:rsidRPr="00184895">
              <w:rPr>
                <w:rFonts w:eastAsia="Times New Roman" w:cs="Arial"/>
                <w:i/>
                <w:iCs/>
                <w:sz w:val="22"/>
                <w:szCs w:val="22"/>
                <w:lang w:eastAsia="en-AU"/>
              </w:rPr>
              <w:t>Disability and Rehabilitation, 45</w:t>
            </w:r>
            <w:r w:rsidRPr="00184895">
              <w:rPr>
                <w:rFonts w:eastAsia="Times New Roman" w:cs="Arial"/>
                <w:sz w:val="22"/>
                <w:szCs w:val="22"/>
                <w:lang w:eastAsia="en-AU"/>
              </w:rPr>
              <w:t xml:space="preserve">(23), 3900-3911. https://doi.org/10.1080/09638288.2022.2143579 </w:t>
            </w:r>
          </w:p>
        </w:tc>
        <w:tc>
          <w:tcPr>
            <w:tcW w:w="1218" w:type="dxa"/>
          </w:tcPr>
          <w:p w14:paraId="76899934" w14:textId="3A8EA191" w:rsidR="00BA6C78" w:rsidRPr="00756F5E" w:rsidRDefault="00BA6C78" w:rsidP="00BA6C7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Miller et al. (2023)</w:t>
            </w:r>
          </w:p>
        </w:tc>
      </w:tr>
      <w:tr w:rsidR="00BA6C78" w:rsidRPr="00756F5E" w14:paraId="5B9ECC9A"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33A92DE" w14:textId="0CD913FE" w:rsidR="00BA6C78" w:rsidRPr="00756F5E" w:rsidRDefault="00BA6C78" w:rsidP="00BA6C78">
            <w:pPr>
              <w:suppressAutoHyphens/>
              <w:spacing w:before="40" w:after="40" w:line="200" w:lineRule="atLeast"/>
              <w:ind w:left="463" w:hanging="463"/>
              <w:rPr>
                <w:rFonts w:eastAsia="Times New Roman" w:cs="Arial"/>
                <w:sz w:val="22"/>
                <w:szCs w:val="22"/>
                <w:lang w:eastAsia="en-AU"/>
              </w:rPr>
            </w:pPr>
            <w:r w:rsidRPr="008B0075">
              <w:rPr>
                <w:rFonts w:eastAsia="Times New Roman" w:cs="Arial"/>
                <w:sz w:val="22"/>
                <w:szCs w:val="22"/>
                <w:lang w:eastAsia="en-AU"/>
              </w:rPr>
              <w:t>Miller, L., Nickson, G., Pozniak, K., Khan, D., Imms, C., Ziviani, J., Cross, A., Martens, R., Cavalieros, V., &amp; Rosenbaum, P. (2022). ENabling VISions and Growing Expectations (ENVISAGE): Parent reviewers' perspectives of a co-designed program to support parents raising a child with an early-onset neurodevelopmental disability.</w:t>
            </w:r>
            <w:r w:rsidRPr="008B0075">
              <w:rPr>
                <w:rFonts w:eastAsia="Times New Roman" w:cs="Arial"/>
                <w:i/>
                <w:iCs/>
                <w:sz w:val="22"/>
                <w:szCs w:val="22"/>
                <w:lang w:eastAsia="en-AU"/>
              </w:rPr>
              <w:t xml:space="preserve"> Research in developmental disabilities, 121, </w:t>
            </w:r>
            <w:r w:rsidRPr="008B0075">
              <w:rPr>
                <w:rFonts w:eastAsia="Times New Roman" w:cs="Arial"/>
                <w:sz w:val="22"/>
                <w:szCs w:val="22"/>
                <w:lang w:eastAsia="en-AU"/>
              </w:rPr>
              <w:t xml:space="preserve">104150. https://doi.org/10.1016/j.ridd.2021.104150 </w:t>
            </w:r>
          </w:p>
        </w:tc>
        <w:tc>
          <w:tcPr>
            <w:tcW w:w="1218" w:type="dxa"/>
          </w:tcPr>
          <w:p w14:paraId="09213FF2" w14:textId="7EE0A25B" w:rsidR="00BA6C78" w:rsidRPr="00756F5E" w:rsidRDefault="00BA6C78" w:rsidP="00BA6C7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Miller et al. (2022)</w:t>
            </w:r>
          </w:p>
        </w:tc>
      </w:tr>
      <w:tr w:rsidR="001445ED" w:rsidRPr="00756F5E" w14:paraId="0C77FA53"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761C17CB" w14:textId="38BC0A05" w:rsidR="001445ED" w:rsidRPr="00756F5E" w:rsidRDefault="001445ED" w:rsidP="001445ED">
            <w:pPr>
              <w:suppressAutoHyphens/>
              <w:spacing w:before="40" w:after="40" w:line="200" w:lineRule="atLeast"/>
              <w:ind w:left="463" w:hanging="463"/>
              <w:rPr>
                <w:rFonts w:eastAsia="Times New Roman" w:cs="Arial"/>
                <w:sz w:val="22"/>
                <w:szCs w:val="22"/>
                <w:lang w:eastAsia="en-AU"/>
              </w:rPr>
            </w:pPr>
            <w:r w:rsidRPr="00DC266B">
              <w:rPr>
                <w:rFonts w:eastAsia="Times New Roman" w:cs="Arial"/>
                <w:sz w:val="22"/>
                <w:szCs w:val="22"/>
                <w:lang w:eastAsia="en-AU"/>
              </w:rPr>
              <w:t xml:space="preserve">Nilses, A., Jingrot, M., Linnsand, P., Gillberg, C., &amp; Nygren, G. (2019). Experiences of immigrant parents in Sweden participating in a community assessment and intervention program for preschool children with autism. </w:t>
            </w:r>
            <w:r w:rsidRPr="00DC266B">
              <w:rPr>
                <w:rFonts w:eastAsia="Times New Roman" w:cs="Arial"/>
                <w:i/>
                <w:iCs/>
                <w:sz w:val="22"/>
                <w:szCs w:val="22"/>
                <w:lang w:eastAsia="en-AU"/>
              </w:rPr>
              <w:t>Neuropsychiatric Disease and Treatment, 15</w:t>
            </w:r>
            <w:r w:rsidRPr="00DC266B">
              <w:rPr>
                <w:rFonts w:eastAsia="Times New Roman" w:cs="Arial"/>
                <w:sz w:val="22"/>
                <w:szCs w:val="22"/>
                <w:lang w:eastAsia="en-AU"/>
              </w:rPr>
              <w:t xml:space="preserve">, 3397-3410. https://doi.org/10.2147/NDT.S221908 </w:t>
            </w:r>
          </w:p>
        </w:tc>
        <w:tc>
          <w:tcPr>
            <w:tcW w:w="1218" w:type="dxa"/>
          </w:tcPr>
          <w:p w14:paraId="2EC9BD82" w14:textId="48A18FE7" w:rsidR="001445ED" w:rsidRPr="00756F5E" w:rsidRDefault="001445ED" w:rsidP="001445E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Nilses et al. (2019)</w:t>
            </w:r>
          </w:p>
        </w:tc>
      </w:tr>
      <w:tr w:rsidR="003A342C" w:rsidRPr="00756F5E" w14:paraId="46E3A99C"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92B1875" w14:textId="577566A0" w:rsidR="003A342C" w:rsidRPr="003A342C" w:rsidRDefault="003A342C" w:rsidP="003A342C">
            <w:pPr>
              <w:suppressAutoHyphens/>
              <w:spacing w:before="40" w:after="40" w:line="200" w:lineRule="atLeast"/>
              <w:ind w:left="463" w:hanging="463"/>
              <w:rPr>
                <w:rFonts w:eastAsia="Times New Roman" w:cs="Arial"/>
                <w:sz w:val="22"/>
                <w:szCs w:val="22"/>
                <w:lang w:val="en-AU" w:eastAsia="en-AU"/>
              </w:rPr>
            </w:pPr>
            <w:r w:rsidRPr="003A342C">
              <w:rPr>
                <w:rFonts w:eastAsia="Times New Roman" w:cs="Arial"/>
                <w:sz w:val="22"/>
                <w:szCs w:val="22"/>
                <w:lang w:val="en-AU" w:eastAsia="en-AU"/>
              </w:rPr>
              <w:t>Pfeiffer, D.L., Hess, C.R., Landa, R.J. (2024). Seeking validation and creating meaningful interactions: Perceptions of a Parent-Mediated Infant Intervention.</w:t>
            </w:r>
            <w:r w:rsidRPr="003A342C">
              <w:rPr>
                <w:rFonts w:eastAsia="Times New Roman" w:cs="Arial"/>
                <w:i/>
                <w:iCs/>
                <w:sz w:val="22"/>
                <w:szCs w:val="22"/>
                <w:lang w:val="en-AU" w:eastAsia="en-AU"/>
              </w:rPr>
              <w:t> Infants &amp; Young Child</w:t>
            </w:r>
            <w:r w:rsidRPr="003A342C">
              <w:rPr>
                <w:rFonts w:eastAsia="Times New Roman" w:cs="Arial"/>
                <w:sz w:val="22"/>
                <w:szCs w:val="22"/>
                <w:lang w:val="en-AU" w:eastAsia="en-AU"/>
              </w:rPr>
              <w:t xml:space="preserve">. 37(2):85-100. </w:t>
            </w:r>
            <w:hyperlink r:id="rId694" w:history="1">
              <w:r w:rsidRPr="003A342C">
                <w:rPr>
                  <w:rFonts w:eastAsia="Times New Roman" w:cs="Arial"/>
                  <w:sz w:val="22"/>
                  <w:szCs w:val="22"/>
                  <w:lang w:eastAsia="en-AU"/>
                </w:rPr>
                <w:t>https://doi.org/10.1097/IYC.0000000000000260</w:t>
              </w:r>
            </w:hyperlink>
          </w:p>
        </w:tc>
        <w:tc>
          <w:tcPr>
            <w:tcW w:w="1218" w:type="dxa"/>
          </w:tcPr>
          <w:p w14:paraId="355632B2" w14:textId="7C7275C3" w:rsidR="003A342C" w:rsidRPr="00376175" w:rsidRDefault="00D36613" w:rsidP="001445ED">
            <w:pPr>
              <w:suppressAutoHyphens/>
              <w:spacing w:before="40" w:after="40" w:line="200" w:lineRule="atLeast"/>
              <w:rPr>
                <w:rFonts w:eastAsia="Times New Roman" w:cs="Arial"/>
                <w:noProof/>
                <w:sz w:val="22"/>
                <w:szCs w:val="22"/>
                <w:lang w:eastAsia="en-AU"/>
              </w:rPr>
            </w:pPr>
            <w:r w:rsidRPr="003A342C">
              <w:rPr>
                <w:rFonts w:eastAsia="Times New Roman" w:cs="Arial"/>
                <w:sz w:val="22"/>
                <w:szCs w:val="22"/>
                <w:lang w:val="en-AU" w:eastAsia="en-AU"/>
              </w:rPr>
              <w:t>Pfeiffer</w:t>
            </w:r>
            <w:r w:rsidR="00BF6A77">
              <w:rPr>
                <w:rFonts w:eastAsia="Times New Roman" w:cs="Arial"/>
                <w:sz w:val="22"/>
                <w:szCs w:val="22"/>
                <w:lang w:val="en-AU" w:eastAsia="en-AU"/>
              </w:rPr>
              <w:t xml:space="preserve"> et al. (</w:t>
            </w:r>
            <w:r w:rsidR="00835896">
              <w:rPr>
                <w:rFonts w:eastAsia="Times New Roman" w:cs="Arial"/>
                <w:sz w:val="22"/>
                <w:szCs w:val="22"/>
                <w:lang w:val="en-AU" w:eastAsia="en-AU"/>
              </w:rPr>
              <w:t>2024</w:t>
            </w:r>
            <w:r w:rsidR="00BF6A77">
              <w:rPr>
                <w:rFonts w:eastAsia="Times New Roman" w:cs="Arial"/>
                <w:sz w:val="22"/>
                <w:szCs w:val="22"/>
                <w:lang w:val="en-AU" w:eastAsia="en-AU"/>
              </w:rPr>
              <w:t>)</w:t>
            </w:r>
          </w:p>
        </w:tc>
      </w:tr>
      <w:tr w:rsidR="001445ED" w:rsidRPr="00756F5E" w14:paraId="621DCFDE"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71CAEA50" w14:textId="791A63A3" w:rsidR="001445ED" w:rsidRPr="00756F5E" w:rsidRDefault="001445ED" w:rsidP="001445ED">
            <w:pPr>
              <w:suppressAutoHyphens/>
              <w:spacing w:before="40" w:after="40" w:line="200" w:lineRule="atLeast"/>
              <w:ind w:left="463" w:hanging="463"/>
              <w:rPr>
                <w:rFonts w:eastAsia="Times New Roman" w:cs="Arial"/>
                <w:sz w:val="22"/>
                <w:szCs w:val="22"/>
                <w:lang w:eastAsia="en-AU"/>
              </w:rPr>
            </w:pPr>
            <w:r w:rsidRPr="005A2A28">
              <w:rPr>
                <w:rFonts w:eastAsia="Times New Roman" w:cs="Arial"/>
                <w:sz w:val="22"/>
                <w:szCs w:val="22"/>
                <w:lang w:eastAsia="en-AU"/>
              </w:rPr>
              <w:t xml:space="preserve">Rogerson, J., Falkmer, M., Cuomo, B., Falkmer, T., Whitehouse, A. J. O., Granich, J., &amp; Vaz, S. (2019). Parental experiences using the Therapy Outcomes by You (TOBY) application to deliver early intervention to their child with autism. </w:t>
            </w:r>
            <w:r w:rsidRPr="005A2A28">
              <w:rPr>
                <w:rFonts w:eastAsia="Times New Roman" w:cs="Arial"/>
                <w:i/>
                <w:iCs/>
                <w:sz w:val="22"/>
                <w:szCs w:val="22"/>
                <w:lang w:eastAsia="en-AU"/>
              </w:rPr>
              <w:t>Developmental Neurorehabilitation, 22</w:t>
            </w:r>
            <w:r w:rsidRPr="005A2A28">
              <w:rPr>
                <w:rFonts w:eastAsia="Times New Roman" w:cs="Arial"/>
                <w:sz w:val="22"/>
                <w:szCs w:val="22"/>
                <w:lang w:eastAsia="en-AU"/>
              </w:rPr>
              <w:t xml:space="preserve">(4), 219-227. https://doi.org/10.1080/17518423.2018.1440259 </w:t>
            </w:r>
          </w:p>
        </w:tc>
        <w:tc>
          <w:tcPr>
            <w:tcW w:w="1218" w:type="dxa"/>
          </w:tcPr>
          <w:p w14:paraId="108BE6B1" w14:textId="046D5270" w:rsidR="001445ED" w:rsidRPr="00756F5E" w:rsidRDefault="001445ED" w:rsidP="001445E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Rogerson et al. (2019)</w:t>
            </w:r>
          </w:p>
        </w:tc>
      </w:tr>
      <w:tr w:rsidR="004F214D" w:rsidRPr="00756F5E" w14:paraId="660C7062"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CBC6100" w14:textId="71004DA7" w:rsidR="004F214D" w:rsidRPr="00756F5E" w:rsidRDefault="004F214D" w:rsidP="004F214D">
            <w:pPr>
              <w:suppressAutoHyphens/>
              <w:spacing w:before="40" w:after="40" w:line="200" w:lineRule="atLeast"/>
              <w:ind w:left="463" w:hanging="463"/>
              <w:rPr>
                <w:rFonts w:eastAsia="Times New Roman" w:cs="Arial"/>
                <w:sz w:val="22"/>
                <w:szCs w:val="22"/>
                <w:lang w:eastAsia="en-AU"/>
              </w:rPr>
            </w:pPr>
            <w:r w:rsidRPr="002C5531">
              <w:rPr>
                <w:rFonts w:eastAsia="Times New Roman" w:cs="Arial"/>
                <w:sz w:val="22"/>
                <w:szCs w:val="22"/>
                <w:lang w:eastAsia="en-AU"/>
              </w:rPr>
              <w:t xml:space="preserve">Rollins, P. R., Rangel-Uribe, C., Rojas, R., &amp; Brantley, S. (2023). Examining cultural and linguistic sensitivity of pathways early autism intervention with hispanic families. </w:t>
            </w:r>
            <w:r w:rsidRPr="00181CFD">
              <w:rPr>
                <w:rFonts w:eastAsia="Times New Roman" w:cs="Arial"/>
                <w:i/>
                <w:iCs/>
                <w:sz w:val="22"/>
                <w:szCs w:val="22"/>
                <w:lang w:eastAsia="en-AU"/>
              </w:rPr>
              <w:t>Journal of Autism and Developmental Disorders, 54</w:t>
            </w:r>
            <w:r w:rsidRPr="002C5531">
              <w:rPr>
                <w:rFonts w:eastAsia="Times New Roman" w:cs="Arial"/>
                <w:sz w:val="22"/>
                <w:szCs w:val="22"/>
                <w:lang w:eastAsia="en-AU"/>
              </w:rPr>
              <w:t xml:space="preserve">(7), 2564-2577. https://doi.org/10.1007/s10803-023-06003-9 </w:t>
            </w:r>
          </w:p>
        </w:tc>
        <w:tc>
          <w:tcPr>
            <w:tcW w:w="1218" w:type="dxa"/>
          </w:tcPr>
          <w:p w14:paraId="51E1FF50" w14:textId="33AFFE00" w:rsidR="004F214D" w:rsidRPr="00756F5E" w:rsidRDefault="004F214D" w:rsidP="004F214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Rollins et al. (2023)</w:t>
            </w:r>
          </w:p>
        </w:tc>
      </w:tr>
      <w:tr w:rsidR="004F214D" w:rsidRPr="00756F5E" w14:paraId="3E314B5C"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6405505" w14:textId="01B00312" w:rsidR="004F214D" w:rsidRPr="00756F5E" w:rsidRDefault="004F214D" w:rsidP="004F214D">
            <w:pPr>
              <w:suppressAutoHyphens/>
              <w:spacing w:before="40" w:after="40" w:line="200" w:lineRule="atLeast"/>
              <w:ind w:left="463" w:hanging="463"/>
              <w:rPr>
                <w:rFonts w:eastAsia="Times New Roman" w:cs="Arial"/>
                <w:sz w:val="22"/>
                <w:szCs w:val="22"/>
                <w:lang w:eastAsia="en-AU"/>
              </w:rPr>
            </w:pPr>
            <w:r w:rsidRPr="00FB0279">
              <w:rPr>
                <w:rFonts w:eastAsia="Times New Roman" w:cs="Arial"/>
                <w:sz w:val="22"/>
                <w:szCs w:val="22"/>
                <w:lang w:eastAsia="en-AU"/>
              </w:rPr>
              <w:t xml:space="preserve">Rufsvold, R., Smolen, E., Hartman, M., &amp; Fleming, L. (2023). Parents' perspectives of center-based early intervention services for deaf/hard of hearing children. </w:t>
            </w:r>
            <w:r w:rsidRPr="00FB0279">
              <w:rPr>
                <w:rFonts w:eastAsia="Times New Roman" w:cs="Arial"/>
                <w:i/>
                <w:iCs/>
                <w:sz w:val="22"/>
                <w:szCs w:val="22"/>
                <w:lang w:eastAsia="en-AU"/>
              </w:rPr>
              <w:t>Journal of Early Intervention, 45</w:t>
            </w:r>
            <w:r w:rsidRPr="00FB0279">
              <w:rPr>
                <w:rFonts w:eastAsia="Times New Roman" w:cs="Arial"/>
                <w:sz w:val="22"/>
                <w:szCs w:val="22"/>
                <w:lang w:eastAsia="en-AU"/>
              </w:rPr>
              <w:t xml:space="preserve">(4), 488-504. https://doi.org/10.1177/10538151231155409 </w:t>
            </w:r>
          </w:p>
        </w:tc>
        <w:tc>
          <w:tcPr>
            <w:tcW w:w="1218" w:type="dxa"/>
          </w:tcPr>
          <w:p w14:paraId="6D0A4621" w14:textId="58727E70" w:rsidR="004F214D" w:rsidRPr="00756F5E" w:rsidRDefault="004F214D" w:rsidP="004F214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Rufsvold et al. (2023)</w:t>
            </w:r>
          </w:p>
        </w:tc>
      </w:tr>
      <w:tr w:rsidR="004F214D" w:rsidRPr="00756F5E" w14:paraId="0E14B615"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424ED81" w14:textId="3B6971AC" w:rsidR="004F214D" w:rsidRPr="00756F5E" w:rsidRDefault="004F214D" w:rsidP="004F214D">
            <w:pPr>
              <w:suppressAutoHyphens/>
              <w:spacing w:before="40" w:after="40" w:line="200" w:lineRule="atLeast"/>
              <w:ind w:left="463" w:hanging="463"/>
              <w:rPr>
                <w:rFonts w:eastAsia="Times New Roman" w:cs="Arial"/>
                <w:sz w:val="22"/>
                <w:szCs w:val="22"/>
                <w:lang w:eastAsia="en-AU"/>
              </w:rPr>
            </w:pPr>
            <w:r w:rsidRPr="00680F2D">
              <w:rPr>
                <w:rFonts w:eastAsia="Times New Roman" w:cs="Arial"/>
                <w:sz w:val="22"/>
                <w:szCs w:val="22"/>
                <w:lang w:eastAsia="en-AU"/>
              </w:rPr>
              <w:t xml:space="preserve">Salisbury, C., Woods, J., Snyder, P., Moddelmog, K., Mawdsley, H., Romano, M., &amp; Windsor, K. (2018). Caregiver and provider experiences with coaching and embedded intervention. </w:t>
            </w:r>
            <w:r w:rsidRPr="00680F2D">
              <w:rPr>
                <w:rFonts w:eastAsia="Times New Roman" w:cs="Arial"/>
                <w:i/>
                <w:iCs/>
                <w:sz w:val="22"/>
                <w:szCs w:val="22"/>
                <w:lang w:eastAsia="en-AU"/>
              </w:rPr>
              <w:t>Topics in Early Childhood Special Education, 38</w:t>
            </w:r>
            <w:r w:rsidRPr="00680F2D">
              <w:rPr>
                <w:rFonts w:eastAsia="Times New Roman" w:cs="Arial"/>
                <w:sz w:val="22"/>
                <w:szCs w:val="22"/>
                <w:lang w:eastAsia="en-AU"/>
              </w:rPr>
              <w:t xml:space="preserve">(1), 17-29. https://doi.org/10.1177/0271121417708036 </w:t>
            </w:r>
          </w:p>
        </w:tc>
        <w:tc>
          <w:tcPr>
            <w:tcW w:w="1218" w:type="dxa"/>
          </w:tcPr>
          <w:p w14:paraId="17B8229E" w14:textId="573A9BF0" w:rsidR="004F214D" w:rsidRPr="00756F5E" w:rsidRDefault="004F214D" w:rsidP="004F214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Salisbury et al. (2018)</w:t>
            </w:r>
          </w:p>
        </w:tc>
      </w:tr>
      <w:tr w:rsidR="004F214D" w:rsidRPr="00756F5E" w14:paraId="021FD501"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B99FD53" w14:textId="24F9F369" w:rsidR="004F214D" w:rsidRPr="00756F5E" w:rsidRDefault="004F214D" w:rsidP="004F214D">
            <w:pPr>
              <w:suppressAutoHyphens/>
              <w:spacing w:before="40" w:after="40" w:line="200" w:lineRule="atLeast"/>
              <w:ind w:left="463" w:hanging="463"/>
              <w:rPr>
                <w:rFonts w:eastAsia="Times New Roman" w:cs="Arial"/>
                <w:sz w:val="22"/>
                <w:szCs w:val="22"/>
                <w:lang w:eastAsia="en-AU"/>
              </w:rPr>
            </w:pPr>
            <w:r w:rsidRPr="00B06BCE">
              <w:rPr>
                <w:rFonts w:eastAsia="Times New Roman" w:cs="Arial"/>
                <w:sz w:val="22"/>
                <w:szCs w:val="22"/>
                <w:lang w:eastAsia="en-AU"/>
              </w:rPr>
              <w:t>Siller, M., Pickard, K., Fuhrmeister, S., Kushner, E., Rudrabhatla, A., &amp; Morgan, L. (2022). Teacher-implemented parent coaching in inclusive preschool settings for children with autism</w:t>
            </w:r>
            <w:r w:rsidRPr="00B06BCE">
              <w:rPr>
                <w:rFonts w:eastAsia="Times New Roman" w:cs="Arial"/>
                <w:i/>
                <w:iCs/>
                <w:sz w:val="22"/>
                <w:szCs w:val="22"/>
                <w:lang w:eastAsia="en-AU"/>
              </w:rPr>
              <w:t>. Journal of Early Intervention, 44</w:t>
            </w:r>
            <w:r w:rsidRPr="00B06BCE">
              <w:rPr>
                <w:rFonts w:eastAsia="Times New Roman" w:cs="Arial"/>
                <w:sz w:val="22"/>
                <w:szCs w:val="22"/>
                <w:lang w:eastAsia="en-AU"/>
              </w:rPr>
              <w:t xml:space="preserve">(2), 211-231. https://doi.org/10.1177/10538151221083552 </w:t>
            </w:r>
          </w:p>
        </w:tc>
        <w:tc>
          <w:tcPr>
            <w:tcW w:w="1218" w:type="dxa"/>
          </w:tcPr>
          <w:p w14:paraId="6D982DBE" w14:textId="23FBC742" w:rsidR="004F214D" w:rsidRPr="00756F5E" w:rsidRDefault="004F214D" w:rsidP="004F214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Siller et al. (2022)</w:t>
            </w:r>
          </w:p>
        </w:tc>
      </w:tr>
      <w:tr w:rsidR="004F214D" w:rsidRPr="00756F5E" w14:paraId="34DF553D"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A3B27F6" w14:textId="4F40CF6F" w:rsidR="004F214D" w:rsidRPr="00756F5E" w:rsidRDefault="004F214D" w:rsidP="004056A9">
            <w:pPr>
              <w:suppressAutoHyphens/>
              <w:spacing w:before="40" w:after="40" w:line="200" w:lineRule="atLeast"/>
              <w:ind w:left="463" w:hanging="463"/>
              <w:rPr>
                <w:rFonts w:eastAsia="Times New Roman" w:cs="Arial"/>
                <w:sz w:val="22"/>
                <w:szCs w:val="22"/>
                <w:lang w:eastAsia="en-AU"/>
              </w:rPr>
            </w:pPr>
            <w:r w:rsidRPr="00F32B5D">
              <w:rPr>
                <w:rFonts w:eastAsia="Times New Roman" w:cs="Arial"/>
                <w:sz w:val="22"/>
                <w:szCs w:val="22"/>
                <w:lang w:eastAsia="en-AU"/>
              </w:rPr>
              <w:t xml:space="preserve">Verhaegh, A. P., Nuijen, N. B., Aarts, P. B., Nijhuis-van der Sanden, M. W. G., Willemsen, M. A., Groen, B. E., &amp; Vriezekolk, J. E. (2022). Parents' experiences with a home-based upper limb training program using a video coaching approach for infants and toddlers with unilateral cerebral palsy: A qualitative interview study. </w:t>
            </w:r>
            <w:r w:rsidRPr="002E3F1A">
              <w:rPr>
                <w:rFonts w:eastAsia="Times New Roman" w:cs="Arial"/>
                <w:i/>
                <w:iCs/>
                <w:sz w:val="22"/>
                <w:szCs w:val="22"/>
                <w:lang w:eastAsia="en-AU"/>
              </w:rPr>
              <w:t>BMC Pediatrics, 22</w:t>
            </w:r>
            <w:r w:rsidRPr="00F32B5D">
              <w:rPr>
                <w:rFonts w:eastAsia="Times New Roman" w:cs="Arial"/>
                <w:sz w:val="22"/>
                <w:szCs w:val="22"/>
                <w:lang w:eastAsia="en-AU"/>
              </w:rPr>
              <w:t xml:space="preserve">(1), 380. https://doi.org/10.1186/s12887-022-03432-w </w:t>
            </w:r>
          </w:p>
        </w:tc>
        <w:tc>
          <w:tcPr>
            <w:tcW w:w="1218" w:type="dxa"/>
          </w:tcPr>
          <w:p w14:paraId="6A78BC5E" w14:textId="0462B011" w:rsidR="004F214D" w:rsidRPr="00756F5E" w:rsidRDefault="004F214D" w:rsidP="004F214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Verhaegh et al. (2022)</w:t>
            </w:r>
          </w:p>
        </w:tc>
      </w:tr>
      <w:tr w:rsidR="009A42D2" w:rsidRPr="00756F5E" w14:paraId="6A63A3DF"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shd w:val="clear" w:color="auto" w:fill="DAE2E6"/>
          </w:tcPr>
          <w:p w14:paraId="76D5DEFF" w14:textId="2CE2C31C" w:rsidR="009A42D2" w:rsidRPr="00756F5E" w:rsidRDefault="009A42D2" w:rsidP="009A42D2">
            <w:pPr>
              <w:suppressAutoHyphens/>
              <w:spacing w:before="40" w:after="40" w:line="200" w:lineRule="atLeast"/>
              <w:ind w:left="463" w:hanging="463"/>
              <w:rPr>
                <w:rFonts w:eastAsia="Times New Roman" w:cs="Arial"/>
                <w:sz w:val="22"/>
                <w:szCs w:val="22"/>
                <w:lang w:eastAsia="en-AU"/>
              </w:rPr>
            </w:pPr>
            <w:r w:rsidRPr="00756F5E">
              <w:rPr>
                <w:rFonts w:eastAsia="Times New Roman" w:cs="Arial"/>
                <w:b/>
                <w:bCs/>
                <w:sz w:val="22"/>
                <w:szCs w:val="22"/>
                <w:lang w:eastAsia="en-AU"/>
              </w:rPr>
              <w:t>Aboriginal and Torres Straits Islander evidence, data e</w:t>
            </w:r>
            <w:r>
              <w:rPr>
                <w:rFonts w:eastAsia="Times New Roman" w:cs="Arial"/>
                <w:b/>
                <w:bCs/>
                <w:sz w:val="22"/>
                <w:szCs w:val="22"/>
                <w:lang w:eastAsia="en-AU"/>
              </w:rPr>
              <w:t>x</w:t>
            </w:r>
            <w:r w:rsidRPr="00756F5E">
              <w:rPr>
                <w:rFonts w:eastAsia="Times New Roman" w:cs="Arial"/>
                <w:b/>
                <w:bCs/>
                <w:sz w:val="22"/>
                <w:szCs w:val="22"/>
                <w:lang w:eastAsia="en-AU"/>
              </w:rPr>
              <w:t xml:space="preserve">tracted </w:t>
            </w:r>
          </w:p>
        </w:tc>
        <w:tc>
          <w:tcPr>
            <w:tcW w:w="1218" w:type="dxa"/>
            <w:shd w:val="clear" w:color="auto" w:fill="DAE2E6"/>
          </w:tcPr>
          <w:p w14:paraId="05D8D4AD" w14:textId="77777777" w:rsidR="009A42D2" w:rsidRPr="00756F5E" w:rsidRDefault="009A42D2" w:rsidP="009A42D2">
            <w:pPr>
              <w:suppressAutoHyphens/>
              <w:spacing w:before="40" w:after="40" w:line="200" w:lineRule="atLeast"/>
              <w:rPr>
                <w:rFonts w:eastAsia="Times New Roman" w:cs="Arial"/>
                <w:sz w:val="22"/>
                <w:szCs w:val="22"/>
                <w:lang w:eastAsia="en-AU"/>
              </w:rPr>
            </w:pPr>
          </w:p>
        </w:tc>
      </w:tr>
      <w:tr w:rsidR="00C93248" w:rsidRPr="00756F5E" w14:paraId="031F6802"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B92969B" w14:textId="50450D8A" w:rsidR="00C93248" w:rsidRPr="00756F5E" w:rsidRDefault="00C93248" w:rsidP="00C93248">
            <w:pPr>
              <w:suppressAutoHyphens/>
              <w:spacing w:before="40" w:after="40" w:line="200" w:lineRule="atLeast"/>
              <w:ind w:left="463" w:hanging="463"/>
              <w:rPr>
                <w:rFonts w:eastAsia="Times New Roman" w:cs="Arial"/>
                <w:sz w:val="22"/>
                <w:szCs w:val="22"/>
                <w:lang w:eastAsia="en-AU"/>
              </w:rPr>
            </w:pPr>
            <w:r w:rsidRPr="002D45E8">
              <w:rPr>
                <w:rFonts w:eastAsia="Times New Roman" w:cs="Arial"/>
                <w:sz w:val="22"/>
                <w:szCs w:val="22"/>
                <w:lang w:eastAsia="en-AU"/>
              </w:rPr>
              <w:t xml:space="preserve">Arcos Holzinger, L., &amp; Biddle, N. (2015). </w:t>
            </w:r>
            <w:r w:rsidRPr="0035208F">
              <w:rPr>
                <w:rFonts w:eastAsia="Times New Roman" w:cs="Arial"/>
                <w:i/>
                <w:iCs/>
                <w:sz w:val="22"/>
                <w:szCs w:val="22"/>
                <w:lang w:eastAsia="en-AU"/>
              </w:rPr>
              <w:t>The relationship between early childhood education and care (ECEC) and the outcomes of Indigenous children: Evidence from the Longitudinal Study of Indigenous Children (LSIC).</w:t>
            </w:r>
            <w:r w:rsidRPr="002D45E8">
              <w:rPr>
                <w:rFonts w:eastAsia="Times New Roman" w:cs="Arial"/>
                <w:sz w:val="22"/>
                <w:szCs w:val="22"/>
                <w:lang w:eastAsia="en-AU"/>
              </w:rPr>
              <w:t xml:space="preserve"> Centre for Aboriginal Economic Policy Research, Australian National University. Retrieved 6 September, 2024 from https://caepr.cass.anu.edu.au/sites/default/files/docs/Working_Paper_103-15_0.pdf</w:t>
            </w:r>
          </w:p>
        </w:tc>
        <w:tc>
          <w:tcPr>
            <w:tcW w:w="1218" w:type="dxa"/>
          </w:tcPr>
          <w:p w14:paraId="11A85DB3" w14:textId="042539DC" w:rsidR="00C93248" w:rsidRPr="00756F5E" w:rsidRDefault="00C93248" w:rsidP="00C9324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Arcos Holzinger and Biddle (2015)</w:t>
            </w:r>
          </w:p>
        </w:tc>
      </w:tr>
      <w:tr w:rsidR="00C93248" w:rsidRPr="00756F5E" w14:paraId="25B41A6E"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6E5CF3E" w14:textId="23294E6B" w:rsidR="00C93248" w:rsidRPr="00756F5E" w:rsidRDefault="00C93248" w:rsidP="00C93248">
            <w:pPr>
              <w:suppressAutoHyphens/>
              <w:spacing w:before="40" w:after="40" w:line="200" w:lineRule="atLeast"/>
              <w:ind w:left="463" w:hanging="463"/>
              <w:rPr>
                <w:rFonts w:eastAsia="Times New Roman" w:cs="Arial"/>
                <w:sz w:val="22"/>
                <w:szCs w:val="22"/>
                <w:lang w:eastAsia="en-AU"/>
              </w:rPr>
            </w:pPr>
            <w:r w:rsidRPr="005C4A17">
              <w:rPr>
                <w:rFonts w:eastAsia="Times New Roman" w:cs="Arial"/>
                <w:sz w:val="22"/>
                <w:szCs w:val="22"/>
                <w:lang w:eastAsia="en-AU"/>
              </w:rPr>
              <w:t xml:space="preserve">Department of Education, &amp; Department of Health and Aged Care. (2023). </w:t>
            </w:r>
            <w:r w:rsidRPr="0035208F">
              <w:rPr>
                <w:rFonts w:eastAsia="Times New Roman" w:cs="Arial"/>
                <w:i/>
                <w:iCs/>
                <w:sz w:val="22"/>
                <w:szCs w:val="22"/>
                <w:lang w:eastAsia="en-AU"/>
              </w:rPr>
              <w:t>Connected beginnings program mid-term evaluation: Final report</w:t>
            </w:r>
            <w:r w:rsidRPr="005C4A17">
              <w:rPr>
                <w:rFonts w:eastAsia="Times New Roman" w:cs="Arial"/>
                <w:sz w:val="22"/>
                <w:szCs w:val="22"/>
                <w:lang w:eastAsia="en-AU"/>
              </w:rPr>
              <w:t>. Department of Education. Retrieved 6 September, 2024 from https://www.education.gov.au/early-childhood/resources/evaluation-connected-beginnings-midterm-report-2023</w:t>
            </w:r>
          </w:p>
        </w:tc>
        <w:tc>
          <w:tcPr>
            <w:tcW w:w="1218" w:type="dxa"/>
          </w:tcPr>
          <w:p w14:paraId="194C7869" w14:textId="02B219C5" w:rsidR="00C93248" w:rsidRPr="00756F5E" w:rsidRDefault="00C93248" w:rsidP="00C9324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Department of Education and Department of Health and Aged Care (2023)</w:t>
            </w:r>
          </w:p>
        </w:tc>
      </w:tr>
      <w:tr w:rsidR="00C93248" w:rsidRPr="00756F5E" w14:paraId="30853C9A"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966AFFA" w14:textId="13DB3A69" w:rsidR="00C93248" w:rsidRPr="00756F5E" w:rsidRDefault="00C93248" w:rsidP="00C93248">
            <w:pPr>
              <w:suppressAutoHyphens/>
              <w:spacing w:before="40" w:after="40" w:line="200" w:lineRule="atLeast"/>
              <w:ind w:left="463" w:hanging="463"/>
              <w:rPr>
                <w:rFonts w:eastAsia="Times New Roman" w:cs="Arial"/>
                <w:sz w:val="22"/>
                <w:szCs w:val="22"/>
                <w:lang w:eastAsia="en-AU"/>
              </w:rPr>
            </w:pPr>
            <w:r w:rsidRPr="007B3F01">
              <w:rPr>
                <w:rFonts w:eastAsia="Times New Roman" w:cs="Arial"/>
                <w:sz w:val="22"/>
                <w:szCs w:val="22"/>
                <w:lang w:eastAsia="en-AU"/>
              </w:rPr>
              <w:t xml:space="preserve">Elek, C., Gibberd, A., Gubhaju, L., Lennox, J., Highfold, R., Goldfeld, S., &amp; Eades, S. (2022). An opportunity for our little ones: Findings from an evaluation of an Aboriginal early childhood learning centre in central Australia. </w:t>
            </w:r>
            <w:r w:rsidRPr="007B3F01">
              <w:rPr>
                <w:rFonts w:eastAsia="Times New Roman" w:cs="Arial"/>
                <w:i/>
                <w:iCs/>
                <w:sz w:val="22"/>
                <w:szCs w:val="22"/>
                <w:lang w:eastAsia="en-AU"/>
              </w:rPr>
              <w:t>Early Childhood Education Journal, 50</w:t>
            </w:r>
            <w:r w:rsidRPr="007B3F01">
              <w:rPr>
                <w:rFonts w:eastAsia="Times New Roman" w:cs="Arial"/>
                <w:sz w:val="22"/>
                <w:szCs w:val="22"/>
                <w:lang w:eastAsia="en-AU"/>
              </w:rPr>
              <w:t xml:space="preserve">(4), 579-591. https://doi.org/10.1007/s10643-021-01174-5 </w:t>
            </w:r>
          </w:p>
        </w:tc>
        <w:tc>
          <w:tcPr>
            <w:tcW w:w="1218" w:type="dxa"/>
          </w:tcPr>
          <w:p w14:paraId="4379BE45" w14:textId="5C5C7E52" w:rsidR="00C93248" w:rsidRPr="00756F5E" w:rsidRDefault="00C93248" w:rsidP="00C9324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Elek et al. (2022)</w:t>
            </w:r>
          </w:p>
        </w:tc>
      </w:tr>
      <w:tr w:rsidR="00C93248" w:rsidRPr="00756F5E" w14:paraId="778C5D8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272AA21" w14:textId="6367081F" w:rsidR="00C93248" w:rsidRPr="00756F5E" w:rsidRDefault="00C93248" w:rsidP="00C93248">
            <w:pPr>
              <w:suppressAutoHyphens/>
              <w:spacing w:before="40" w:after="40" w:line="200" w:lineRule="atLeast"/>
              <w:ind w:left="463" w:hanging="463"/>
              <w:rPr>
                <w:rFonts w:eastAsia="Times New Roman" w:cs="Arial"/>
                <w:sz w:val="22"/>
                <w:szCs w:val="22"/>
                <w:lang w:eastAsia="en-AU"/>
              </w:rPr>
            </w:pPr>
            <w:r w:rsidRPr="00AA05F9">
              <w:rPr>
                <w:rFonts w:eastAsia="Times New Roman" w:cs="Arial"/>
                <w:sz w:val="22"/>
                <w:szCs w:val="22"/>
                <w:lang w:eastAsia="en-AU"/>
              </w:rPr>
              <w:t xml:space="preserve">Elek, C., Gubhaju, L., Lloyd-Johnsen, C., Eades, S., &amp; Goldfeld, S. (2020). Can early childhood education programs support positive outcomes for Indigenous children? A systematic review of the international literature. </w:t>
            </w:r>
            <w:r w:rsidRPr="00AA05F9">
              <w:rPr>
                <w:rFonts w:eastAsia="Times New Roman" w:cs="Arial"/>
                <w:i/>
                <w:iCs/>
                <w:sz w:val="22"/>
                <w:szCs w:val="22"/>
                <w:lang w:eastAsia="en-AU"/>
              </w:rPr>
              <w:t>Educational Research Review, 31,</w:t>
            </w:r>
            <w:r w:rsidRPr="00AA05F9">
              <w:rPr>
                <w:rFonts w:eastAsia="Times New Roman" w:cs="Arial"/>
                <w:sz w:val="22"/>
                <w:szCs w:val="22"/>
                <w:lang w:eastAsia="en-AU"/>
              </w:rPr>
              <w:t xml:space="preserve"> 100363. https://doi.org/10.1016/j.edurev.2020.100363</w:t>
            </w:r>
            <w:r w:rsidRPr="00376175">
              <w:rPr>
                <w:rFonts w:eastAsia="Times New Roman" w:cs="Arial"/>
                <w:sz w:val="22"/>
                <w:szCs w:val="22"/>
                <w:lang w:eastAsia="en-AU"/>
              </w:rPr>
              <w:t xml:space="preserve"> </w:t>
            </w:r>
          </w:p>
        </w:tc>
        <w:tc>
          <w:tcPr>
            <w:tcW w:w="1218" w:type="dxa"/>
          </w:tcPr>
          <w:p w14:paraId="03F560B9" w14:textId="02AF8287" w:rsidR="00C93248" w:rsidRPr="00756F5E" w:rsidRDefault="00C93248" w:rsidP="00C9324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Elek et al. (2020)</w:t>
            </w:r>
          </w:p>
        </w:tc>
      </w:tr>
      <w:tr w:rsidR="00C93248" w:rsidRPr="00756F5E" w14:paraId="4DAEFC7B"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EED8125" w14:textId="222F32C9" w:rsidR="00C93248" w:rsidRPr="00756F5E" w:rsidRDefault="00C93248" w:rsidP="00C93248">
            <w:pPr>
              <w:suppressAutoHyphens/>
              <w:spacing w:before="40" w:after="40" w:line="200" w:lineRule="atLeast"/>
              <w:ind w:left="463" w:hanging="463"/>
              <w:rPr>
                <w:rFonts w:eastAsia="Times New Roman" w:cs="Arial"/>
                <w:sz w:val="22"/>
                <w:szCs w:val="22"/>
                <w:lang w:eastAsia="en-AU"/>
              </w:rPr>
            </w:pPr>
            <w:r w:rsidRPr="009F65CE">
              <w:rPr>
                <w:rFonts w:eastAsia="Times New Roman" w:cs="Arial"/>
                <w:sz w:val="22"/>
                <w:szCs w:val="22"/>
                <w:lang w:eastAsia="en-AU"/>
              </w:rPr>
              <w:t xml:space="preserve">Emerson, L., Fox, S., &amp; Smith, C. (2015). </w:t>
            </w:r>
            <w:r w:rsidRPr="00A17B00">
              <w:rPr>
                <w:rFonts w:eastAsia="Times New Roman" w:cs="Arial"/>
                <w:i/>
                <w:iCs/>
                <w:sz w:val="22"/>
                <w:szCs w:val="22"/>
                <w:lang w:eastAsia="en-AU"/>
              </w:rPr>
              <w:t>Good beginnings: Getting it right in the early years. Review of the evidence on the importance of a healthy start to life and on interventions to promote good beginnings</w:t>
            </w:r>
            <w:r w:rsidRPr="009F65CE">
              <w:rPr>
                <w:rFonts w:eastAsia="Times New Roman" w:cs="Arial"/>
                <w:sz w:val="22"/>
                <w:szCs w:val="22"/>
                <w:lang w:eastAsia="en-AU"/>
              </w:rPr>
              <w:t>. Lowitja Institute. Retrieved 6 September, 2024 from https://www.lowitja.org.au/wp-content/uploads/2023/05/Early-Childhood-web.pdf</w:t>
            </w:r>
          </w:p>
        </w:tc>
        <w:tc>
          <w:tcPr>
            <w:tcW w:w="1218" w:type="dxa"/>
          </w:tcPr>
          <w:p w14:paraId="588050F7" w14:textId="07BC1647" w:rsidR="00C93248" w:rsidRPr="00756F5E" w:rsidRDefault="00C93248" w:rsidP="00C9324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Emerson et al. (2015)</w:t>
            </w:r>
          </w:p>
        </w:tc>
      </w:tr>
      <w:tr w:rsidR="00C93248" w:rsidRPr="00756F5E" w14:paraId="3BDA47CE"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D18D1F9" w14:textId="55AF5053" w:rsidR="00C93248" w:rsidRPr="00756F5E" w:rsidRDefault="00C93248" w:rsidP="00C93248">
            <w:pPr>
              <w:suppressAutoHyphens/>
              <w:spacing w:before="40" w:after="40" w:line="200" w:lineRule="atLeast"/>
              <w:ind w:left="463" w:hanging="463"/>
              <w:rPr>
                <w:rFonts w:eastAsia="Times New Roman" w:cs="Arial"/>
                <w:sz w:val="22"/>
                <w:szCs w:val="22"/>
                <w:lang w:eastAsia="en-AU"/>
              </w:rPr>
            </w:pPr>
            <w:r w:rsidRPr="006749CD">
              <w:rPr>
                <w:rFonts w:eastAsia="Times New Roman" w:cs="Arial"/>
                <w:sz w:val="22"/>
                <w:szCs w:val="22"/>
                <w:lang w:eastAsia="en-AU"/>
              </w:rPr>
              <w:t xml:space="preserve">Harrison, L. J., Sumsion, J., Bradley, B., Letsch, K., &amp; Salamon, A. (2020). Flourishing on the margins: A study of babies and belonging in an Australian Aboriginal community childcare centre. In Murray. J &amp; Gray. C (Eds.), </w:t>
            </w:r>
            <w:r w:rsidRPr="00A17B00">
              <w:rPr>
                <w:rFonts w:eastAsia="Times New Roman" w:cs="Arial"/>
                <w:i/>
                <w:iCs/>
                <w:sz w:val="22"/>
                <w:szCs w:val="22"/>
                <w:lang w:eastAsia="en-AU"/>
              </w:rPr>
              <w:t>Perspectives from Young Children on the Margins</w:t>
            </w:r>
            <w:r w:rsidRPr="006749CD">
              <w:rPr>
                <w:rFonts w:eastAsia="Times New Roman" w:cs="Arial"/>
                <w:sz w:val="22"/>
                <w:szCs w:val="22"/>
                <w:lang w:eastAsia="en-AU"/>
              </w:rPr>
              <w:t xml:space="preserve"> (pp. 17-33). Routledge.</w:t>
            </w:r>
          </w:p>
        </w:tc>
        <w:tc>
          <w:tcPr>
            <w:tcW w:w="1218" w:type="dxa"/>
          </w:tcPr>
          <w:p w14:paraId="4C3C2EC0" w14:textId="41A95246" w:rsidR="00C93248" w:rsidRPr="00756F5E" w:rsidRDefault="00C93248" w:rsidP="00C9324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Harrison et al. (2020)</w:t>
            </w:r>
          </w:p>
        </w:tc>
      </w:tr>
      <w:tr w:rsidR="00C93248" w:rsidRPr="00756F5E" w14:paraId="54EA3A3D"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0016B53" w14:textId="17C62445" w:rsidR="00C93248" w:rsidRPr="00756F5E" w:rsidRDefault="00C93248" w:rsidP="00C93248">
            <w:pPr>
              <w:suppressAutoHyphens/>
              <w:spacing w:before="40" w:after="40" w:line="200" w:lineRule="atLeast"/>
              <w:ind w:left="463" w:hanging="463"/>
              <w:rPr>
                <w:rFonts w:eastAsia="Times New Roman" w:cs="Arial"/>
                <w:sz w:val="22"/>
                <w:szCs w:val="22"/>
                <w:lang w:eastAsia="en-AU"/>
              </w:rPr>
            </w:pPr>
            <w:r w:rsidRPr="00421A5B">
              <w:rPr>
                <w:rFonts w:eastAsia="Times New Roman" w:cs="Arial"/>
                <w:sz w:val="22"/>
                <w:szCs w:val="22"/>
                <w:lang w:eastAsia="en-AU"/>
              </w:rPr>
              <w:t xml:space="preserve">Jones, C., Sharma, M., Harkus, S., McMahon, C., Taumoepeau, M., Demuth, K., Mattock, K., Rosas, L., Wing, R., Pawar, S., &amp; Hampshire, A. (2018). A program to respond to otitis media in remote Australian Aboriginal communities: a qualitative investigation of parent perspectives. </w:t>
            </w:r>
            <w:r w:rsidRPr="00421A5B">
              <w:rPr>
                <w:rFonts w:eastAsia="Times New Roman" w:cs="Arial"/>
                <w:i/>
                <w:iCs/>
                <w:sz w:val="22"/>
                <w:szCs w:val="22"/>
                <w:lang w:eastAsia="en-AU"/>
              </w:rPr>
              <w:t>BMC Pediatrics, 18</w:t>
            </w:r>
            <w:r w:rsidRPr="00421A5B">
              <w:rPr>
                <w:rFonts w:eastAsia="Times New Roman" w:cs="Arial"/>
                <w:sz w:val="22"/>
                <w:szCs w:val="22"/>
                <w:lang w:eastAsia="en-AU"/>
              </w:rPr>
              <w:t xml:space="preserve">(2018), 99. https://doi.org/10.1186/s12887-018-1081-3 </w:t>
            </w:r>
          </w:p>
        </w:tc>
        <w:tc>
          <w:tcPr>
            <w:tcW w:w="1218" w:type="dxa"/>
          </w:tcPr>
          <w:p w14:paraId="117F1F8E" w14:textId="276A2091" w:rsidR="00C93248" w:rsidRPr="00756F5E" w:rsidRDefault="00C93248" w:rsidP="00C9324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Jones et al. (2018)</w:t>
            </w:r>
          </w:p>
        </w:tc>
      </w:tr>
      <w:tr w:rsidR="00521F80" w:rsidRPr="00756F5E" w14:paraId="3E38F792"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38C92415" w14:textId="2D7028AD" w:rsidR="00521F80" w:rsidRPr="00756F5E" w:rsidRDefault="00521F80" w:rsidP="00521F80">
            <w:pPr>
              <w:suppressAutoHyphens/>
              <w:spacing w:before="40" w:after="40" w:line="200" w:lineRule="atLeast"/>
              <w:ind w:left="463" w:hanging="463"/>
              <w:rPr>
                <w:rFonts w:eastAsia="Times New Roman" w:cs="Arial"/>
                <w:sz w:val="22"/>
                <w:szCs w:val="22"/>
                <w:lang w:eastAsia="en-AU"/>
              </w:rPr>
            </w:pPr>
            <w:r w:rsidRPr="00C67703">
              <w:rPr>
                <w:rFonts w:eastAsia="Times New Roman" w:cs="Arial"/>
                <w:sz w:val="22"/>
                <w:szCs w:val="22"/>
                <w:lang w:eastAsia="en-AU"/>
              </w:rPr>
              <w:t xml:space="preserve">Kral, I., Fasoli, L., Smith, H., Meek, B., &amp; Phair, R. (2021). A strong start for every Indigenous child. </w:t>
            </w:r>
            <w:r w:rsidRPr="00C67703">
              <w:rPr>
                <w:rFonts w:eastAsia="Times New Roman" w:cs="Arial"/>
                <w:i/>
                <w:iCs/>
                <w:sz w:val="22"/>
                <w:szCs w:val="22"/>
                <w:lang w:eastAsia="en-AU"/>
              </w:rPr>
              <w:t>OECD Education Working Papers, 251</w:t>
            </w:r>
            <w:r w:rsidRPr="00C67703">
              <w:rPr>
                <w:rFonts w:eastAsia="Times New Roman" w:cs="Arial"/>
                <w:sz w:val="22"/>
                <w:szCs w:val="22"/>
                <w:lang w:eastAsia="en-AU"/>
              </w:rPr>
              <w:t xml:space="preserve">. https://doi.org/10.1787/ebcc34a6-en </w:t>
            </w:r>
          </w:p>
        </w:tc>
        <w:tc>
          <w:tcPr>
            <w:tcW w:w="1218" w:type="dxa"/>
          </w:tcPr>
          <w:p w14:paraId="1779FF04" w14:textId="42D5520F" w:rsidR="00521F80" w:rsidRPr="00756F5E" w:rsidRDefault="00521F80" w:rsidP="00521F80">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Kral et al. (2021)</w:t>
            </w:r>
          </w:p>
        </w:tc>
      </w:tr>
      <w:tr w:rsidR="00521F80" w:rsidRPr="00756F5E" w14:paraId="424DCFEE"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A7E81F1" w14:textId="0CB9E1CB" w:rsidR="00521F80" w:rsidRPr="00756F5E" w:rsidRDefault="00521F80" w:rsidP="00521F80">
            <w:pPr>
              <w:suppressAutoHyphens/>
              <w:spacing w:before="40" w:after="40" w:line="200" w:lineRule="atLeast"/>
              <w:ind w:left="463" w:hanging="463"/>
              <w:rPr>
                <w:rFonts w:eastAsia="Times New Roman" w:cs="Arial"/>
                <w:sz w:val="22"/>
                <w:szCs w:val="22"/>
                <w:lang w:eastAsia="en-AU"/>
              </w:rPr>
            </w:pPr>
            <w:r w:rsidRPr="00B10762">
              <w:rPr>
                <w:rFonts w:eastAsia="Times New Roman" w:cs="Arial"/>
                <w:sz w:val="22"/>
                <w:szCs w:val="22"/>
                <w:lang w:eastAsia="en-AU"/>
              </w:rPr>
              <w:t xml:space="preserve">Page, J., Cock, M. L., Murray, L., Eadie, T., Niklas, F., Scull, J., &amp; Sparling, J. (2019). An Abecedarian approach with Aboriginal families and their young children in Australia: Playgroup participation and developmental outcomes. </w:t>
            </w:r>
            <w:r w:rsidRPr="00B67E95">
              <w:rPr>
                <w:rFonts w:eastAsia="Times New Roman" w:cs="Arial"/>
                <w:i/>
                <w:iCs/>
                <w:sz w:val="22"/>
                <w:szCs w:val="22"/>
                <w:lang w:eastAsia="en-AU"/>
              </w:rPr>
              <w:t>International Journal of Early Childhood, 51</w:t>
            </w:r>
            <w:r w:rsidRPr="00B10762">
              <w:rPr>
                <w:rFonts w:eastAsia="Times New Roman" w:cs="Arial"/>
                <w:sz w:val="22"/>
                <w:szCs w:val="22"/>
                <w:lang w:eastAsia="en-AU"/>
              </w:rPr>
              <w:t>(4), 233-250. https://doi.org/10.1007/s13158-019-00246-3</w:t>
            </w:r>
          </w:p>
        </w:tc>
        <w:tc>
          <w:tcPr>
            <w:tcW w:w="1218" w:type="dxa"/>
          </w:tcPr>
          <w:p w14:paraId="524BD596" w14:textId="5217E224" w:rsidR="00521F80" w:rsidRPr="00756F5E" w:rsidRDefault="00521F80" w:rsidP="00521F80">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Page et al. (2019)</w:t>
            </w:r>
          </w:p>
        </w:tc>
      </w:tr>
      <w:tr w:rsidR="00521F80" w:rsidRPr="00756F5E" w14:paraId="5B3E663E"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3E2EC1A4" w14:textId="794B5E29" w:rsidR="00521F80" w:rsidRPr="00756F5E" w:rsidRDefault="00521F80" w:rsidP="00521F80">
            <w:pPr>
              <w:suppressAutoHyphens/>
              <w:spacing w:before="40" w:after="40" w:line="200" w:lineRule="atLeast"/>
              <w:ind w:left="463" w:hanging="463"/>
              <w:rPr>
                <w:rFonts w:eastAsia="Times New Roman" w:cs="Arial"/>
                <w:sz w:val="22"/>
                <w:szCs w:val="22"/>
                <w:lang w:eastAsia="en-AU"/>
              </w:rPr>
            </w:pPr>
            <w:r w:rsidRPr="004D7714">
              <w:rPr>
                <w:rFonts w:eastAsia="Times New Roman" w:cs="Arial"/>
                <w:sz w:val="22"/>
                <w:szCs w:val="22"/>
                <w:lang w:eastAsia="en-AU"/>
              </w:rPr>
              <w:t xml:space="preserve">Robinson, G., &amp; Tyler, B. (2006). </w:t>
            </w:r>
            <w:r w:rsidRPr="004D7714">
              <w:rPr>
                <w:rFonts w:eastAsia="Times New Roman" w:cs="Arial"/>
                <w:i/>
                <w:iCs/>
                <w:sz w:val="22"/>
                <w:szCs w:val="22"/>
                <w:lang w:eastAsia="en-AU"/>
              </w:rPr>
              <w:t>Ngaripirliga'ajirri. An early intervention program on the Tiwi Islands. Final evaluation report.</w:t>
            </w:r>
            <w:r w:rsidRPr="004D7714">
              <w:rPr>
                <w:rFonts w:eastAsia="Times New Roman" w:cs="Arial"/>
                <w:sz w:val="22"/>
                <w:szCs w:val="22"/>
                <w:lang w:eastAsia="en-AU"/>
              </w:rPr>
              <w:t xml:space="preserve"> NT, Australia: School for Social and Policy Research, Charles Darwin University. Retrieved 6 September, 2024 from https://www.menzies.edu.au/icms_docs/312386_Ngaripirliga%E2%80%99ajirri_An_Early_Intervention_Program_on_the_Tiwi_Islands.pdf</w:t>
            </w:r>
          </w:p>
        </w:tc>
        <w:tc>
          <w:tcPr>
            <w:tcW w:w="1218" w:type="dxa"/>
          </w:tcPr>
          <w:p w14:paraId="22C784CD" w14:textId="5B6837FD" w:rsidR="00521F80" w:rsidRPr="00756F5E" w:rsidRDefault="00521F80" w:rsidP="00521F80">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Robinson and Tyler (2006)</w:t>
            </w:r>
          </w:p>
        </w:tc>
      </w:tr>
      <w:tr w:rsidR="00521F80" w:rsidRPr="00756F5E" w14:paraId="67AE4460"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3E53417" w14:textId="46AC7E62" w:rsidR="00521F80" w:rsidRPr="00756F5E" w:rsidRDefault="00521F80" w:rsidP="00521F80">
            <w:pPr>
              <w:suppressAutoHyphens/>
              <w:spacing w:before="40" w:after="40" w:line="200" w:lineRule="atLeast"/>
              <w:ind w:left="463" w:hanging="463"/>
              <w:rPr>
                <w:rFonts w:eastAsia="Times New Roman" w:cs="Arial"/>
                <w:sz w:val="22"/>
                <w:szCs w:val="22"/>
                <w:lang w:eastAsia="en-AU"/>
              </w:rPr>
            </w:pPr>
            <w:r w:rsidRPr="00725029">
              <w:rPr>
                <w:rFonts w:eastAsia="Times New Roman" w:cs="Arial"/>
                <w:sz w:val="22"/>
                <w:szCs w:val="22"/>
                <w:lang w:eastAsia="en-AU"/>
              </w:rPr>
              <w:t xml:space="preserve">Simpson, W., Robinson, D., Bennett, E., Strange, C., Banham, V., Allen, J., &amp; Marriott, R. (2022). Health promotion in an Australian Aboriginal community: the Growing Strong Brains® toolkit. </w:t>
            </w:r>
            <w:r w:rsidRPr="00725029">
              <w:rPr>
                <w:rFonts w:eastAsia="Times New Roman" w:cs="Arial"/>
                <w:i/>
                <w:iCs/>
                <w:sz w:val="22"/>
                <w:szCs w:val="22"/>
                <w:lang w:eastAsia="en-AU"/>
              </w:rPr>
              <w:t xml:space="preserve">Primary Health Care Research &amp; Development, 23, </w:t>
            </w:r>
            <w:r w:rsidRPr="00725029">
              <w:rPr>
                <w:rFonts w:eastAsia="Times New Roman" w:cs="Arial"/>
                <w:sz w:val="22"/>
                <w:szCs w:val="22"/>
                <w:lang w:eastAsia="en-AU"/>
              </w:rPr>
              <w:t xml:space="preserve">e9. https://doi.org/10.1017/S1463423622000020 </w:t>
            </w:r>
          </w:p>
        </w:tc>
        <w:tc>
          <w:tcPr>
            <w:tcW w:w="1218" w:type="dxa"/>
          </w:tcPr>
          <w:p w14:paraId="0B0C087C" w14:textId="62795762" w:rsidR="00521F80" w:rsidRPr="00756F5E" w:rsidRDefault="00521F80" w:rsidP="00521F80">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Simpson et al. (2022)</w:t>
            </w:r>
          </w:p>
        </w:tc>
      </w:tr>
      <w:tr w:rsidR="00A107CE" w:rsidRPr="00756F5E" w14:paraId="22EDE3F4"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3821415" w14:textId="641A2603" w:rsidR="00A107CE" w:rsidRPr="00756F5E" w:rsidRDefault="00A107CE" w:rsidP="00A107CE">
            <w:pPr>
              <w:suppressAutoHyphens/>
              <w:spacing w:before="40" w:after="40" w:line="200" w:lineRule="atLeast"/>
              <w:ind w:left="463" w:hanging="463"/>
              <w:rPr>
                <w:rFonts w:eastAsia="Times New Roman" w:cs="Arial"/>
                <w:sz w:val="22"/>
                <w:szCs w:val="22"/>
                <w:lang w:eastAsia="en-AU"/>
              </w:rPr>
            </w:pPr>
            <w:r w:rsidRPr="00712FF2">
              <w:rPr>
                <w:rFonts w:eastAsia="Times New Roman" w:cs="Arial"/>
                <w:sz w:val="22"/>
                <w:szCs w:val="22"/>
                <w:lang w:eastAsia="en-AU"/>
              </w:rPr>
              <w:t>SNAICC. (2012</w:t>
            </w:r>
            <w:r>
              <w:rPr>
                <w:rFonts w:eastAsia="Times New Roman" w:cs="Arial"/>
                <w:sz w:val="22"/>
                <w:szCs w:val="22"/>
                <w:lang w:eastAsia="en-AU"/>
              </w:rPr>
              <w:t>b</w:t>
            </w:r>
            <w:r w:rsidRPr="00712FF2">
              <w:rPr>
                <w:rFonts w:eastAsia="Times New Roman" w:cs="Arial"/>
                <w:sz w:val="22"/>
                <w:szCs w:val="22"/>
                <w:lang w:eastAsia="en-AU"/>
              </w:rPr>
              <w:t xml:space="preserve">). </w:t>
            </w:r>
            <w:r w:rsidRPr="00E86ADE">
              <w:rPr>
                <w:rFonts w:eastAsia="Times New Roman" w:cs="Arial"/>
                <w:i/>
                <w:iCs/>
                <w:sz w:val="22"/>
                <w:szCs w:val="22"/>
                <w:lang w:eastAsia="en-AU"/>
              </w:rPr>
              <w:t>Learning from good practice: Implementing the early years learning framework for Aboriginal and Torres Strait Islander children</w:t>
            </w:r>
            <w:r>
              <w:rPr>
                <w:rFonts w:eastAsia="Times New Roman" w:cs="Arial"/>
                <w:sz w:val="22"/>
                <w:szCs w:val="22"/>
                <w:lang w:eastAsia="en-AU"/>
              </w:rPr>
              <w:t>.</w:t>
            </w:r>
            <w:r w:rsidRPr="00712FF2">
              <w:rPr>
                <w:rFonts w:eastAsia="Times New Roman" w:cs="Arial"/>
                <w:sz w:val="22"/>
                <w:szCs w:val="22"/>
                <w:lang w:eastAsia="en-AU"/>
              </w:rPr>
              <w:t xml:space="preserve"> North Fitzroy, VIC: SNAICC. Retrieved 6 September, 2024 from https://www.snaicc.org.au/wp-content/uploads/2015/12/02902.pdf</w:t>
            </w:r>
          </w:p>
        </w:tc>
        <w:tc>
          <w:tcPr>
            <w:tcW w:w="1218" w:type="dxa"/>
          </w:tcPr>
          <w:p w14:paraId="5049311C" w14:textId="77777777" w:rsidR="00A107CE" w:rsidRPr="00756F5E" w:rsidRDefault="00A107CE" w:rsidP="00A107CE">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SNAICC (2012b)</w:t>
            </w:r>
          </w:p>
        </w:tc>
      </w:tr>
      <w:tr w:rsidR="00A107CE" w:rsidRPr="00756F5E" w14:paraId="395B8E43"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B4EC6E2" w14:textId="5A313201" w:rsidR="00A107CE" w:rsidRPr="00756F5E" w:rsidRDefault="00A107CE" w:rsidP="00A107CE">
            <w:pPr>
              <w:suppressAutoHyphens/>
              <w:spacing w:before="40" w:after="40" w:line="200" w:lineRule="atLeast"/>
              <w:ind w:left="463" w:hanging="463"/>
              <w:rPr>
                <w:rFonts w:eastAsia="Times New Roman" w:cs="Arial"/>
                <w:sz w:val="22"/>
                <w:szCs w:val="22"/>
                <w:lang w:eastAsia="en-AU"/>
              </w:rPr>
            </w:pPr>
            <w:r w:rsidRPr="00E86ADE">
              <w:rPr>
                <w:rFonts w:eastAsia="Times New Roman" w:cs="Arial"/>
                <w:sz w:val="22"/>
                <w:szCs w:val="22"/>
                <w:lang w:eastAsia="en-AU"/>
              </w:rPr>
              <w:t>SNAICC. (2012</w:t>
            </w:r>
            <w:r>
              <w:rPr>
                <w:rFonts w:eastAsia="Times New Roman" w:cs="Arial"/>
                <w:sz w:val="22"/>
                <w:szCs w:val="22"/>
                <w:lang w:eastAsia="en-AU"/>
              </w:rPr>
              <w:t>a</w:t>
            </w:r>
            <w:r w:rsidRPr="00E86ADE">
              <w:rPr>
                <w:rFonts w:eastAsia="Times New Roman" w:cs="Arial"/>
                <w:i/>
                <w:iCs/>
                <w:sz w:val="22"/>
                <w:szCs w:val="22"/>
                <w:lang w:eastAsia="en-AU"/>
              </w:rPr>
              <w:t>). Improved outcomes for Aboriginal and Torres Strait Islander children and families in early childhood education and care services: Learning from good practice</w:t>
            </w:r>
            <w:r w:rsidRPr="00E86ADE">
              <w:rPr>
                <w:rFonts w:eastAsia="Times New Roman" w:cs="Arial"/>
                <w:sz w:val="22"/>
                <w:szCs w:val="22"/>
                <w:lang w:eastAsia="en-AU"/>
              </w:rPr>
              <w:t xml:space="preserve"> North Fitzroy, VIC: SNAICC. Retrieved 6 September, 20214 from https://www.snaicc.org.au/wp-content/uploads/2023/09/120401_9_Improved-Outcomes-in-ECEC-1.pdf</w:t>
            </w:r>
          </w:p>
        </w:tc>
        <w:tc>
          <w:tcPr>
            <w:tcW w:w="1218" w:type="dxa"/>
          </w:tcPr>
          <w:p w14:paraId="38308B44" w14:textId="77777777" w:rsidR="00A107CE" w:rsidRPr="00756F5E" w:rsidRDefault="00A107CE" w:rsidP="00A107CE">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SNAICC (2012a)</w:t>
            </w:r>
          </w:p>
        </w:tc>
      </w:tr>
      <w:tr w:rsidR="00A107CE" w:rsidRPr="00756F5E" w14:paraId="29C44017"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86D8306" w14:textId="2C58464D" w:rsidR="00A107CE" w:rsidRPr="00756F5E" w:rsidRDefault="00A107CE" w:rsidP="00A107CE">
            <w:pPr>
              <w:suppressAutoHyphens/>
              <w:spacing w:before="40" w:after="40" w:line="200" w:lineRule="atLeast"/>
              <w:ind w:left="463" w:hanging="463"/>
              <w:rPr>
                <w:rFonts w:eastAsia="Times New Roman" w:cs="Arial"/>
                <w:sz w:val="22"/>
                <w:szCs w:val="22"/>
                <w:lang w:eastAsia="en-AU"/>
              </w:rPr>
            </w:pPr>
            <w:r w:rsidRPr="00D76BBC">
              <w:rPr>
                <w:rFonts w:eastAsia="Times New Roman" w:cs="Arial"/>
                <w:sz w:val="22"/>
                <w:szCs w:val="22"/>
                <w:lang w:eastAsia="en-AU"/>
              </w:rPr>
              <w:t>SNAICC. (2021</w:t>
            </w:r>
            <w:r>
              <w:rPr>
                <w:rFonts w:eastAsia="Times New Roman" w:cs="Arial"/>
                <w:sz w:val="22"/>
                <w:szCs w:val="22"/>
                <w:lang w:eastAsia="en-AU"/>
              </w:rPr>
              <w:t>b</w:t>
            </w:r>
            <w:r w:rsidRPr="00D76BBC">
              <w:rPr>
                <w:rFonts w:eastAsia="Times New Roman" w:cs="Arial"/>
                <w:sz w:val="22"/>
                <w:szCs w:val="22"/>
                <w:lang w:eastAsia="en-AU"/>
              </w:rPr>
              <w:t xml:space="preserve">). </w:t>
            </w:r>
            <w:r w:rsidRPr="00D76BBC">
              <w:rPr>
                <w:rFonts w:eastAsia="Times New Roman" w:cs="Arial"/>
                <w:i/>
                <w:iCs/>
                <w:sz w:val="22"/>
                <w:szCs w:val="22"/>
                <w:lang w:eastAsia="en-AU"/>
              </w:rPr>
              <w:t>National framework for protecting Australia's children 2021-2031. Successor plan consultation report.</w:t>
            </w:r>
            <w:r w:rsidRPr="00D76BBC">
              <w:rPr>
                <w:rFonts w:eastAsia="Times New Roman" w:cs="Arial"/>
                <w:sz w:val="22"/>
                <w:szCs w:val="22"/>
                <w:lang w:eastAsia="en-AU"/>
              </w:rPr>
              <w:t xml:space="preserve"> SNAICC. Retrieved 6 September, 2024 from https://www.snaicc.org.au/wp-content/uploads/2021/11/211101_8_National-Framework-Protecting-Australias-Children.pdf</w:t>
            </w:r>
          </w:p>
        </w:tc>
        <w:tc>
          <w:tcPr>
            <w:tcW w:w="1218" w:type="dxa"/>
          </w:tcPr>
          <w:p w14:paraId="6C48391F" w14:textId="77777777" w:rsidR="00A107CE" w:rsidRPr="00756F5E" w:rsidRDefault="00A107CE" w:rsidP="00A107CE">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SNAICC (2021b)</w:t>
            </w:r>
          </w:p>
        </w:tc>
      </w:tr>
      <w:tr w:rsidR="00A107CE" w:rsidRPr="00756F5E" w14:paraId="171D1A72"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8DB867F" w14:textId="482730B3" w:rsidR="00A107CE" w:rsidRPr="00756F5E" w:rsidRDefault="00A107CE" w:rsidP="00A107CE">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SNAICC. (2021a). </w:t>
            </w:r>
            <w:r w:rsidRPr="00C87794">
              <w:rPr>
                <w:rFonts w:eastAsia="Times New Roman" w:cs="Arial"/>
                <w:i/>
                <w:iCs/>
                <w:sz w:val="22"/>
                <w:szCs w:val="22"/>
                <w:lang w:eastAsia="en-AU"/>
              </w:rPr>
              <w:t>National Aboriginal and Torres Strait Islander early childhood strategy consultation report.</w:t>
            </w:r>
            <w:r w:rsidRPr="00C85FBB">
              <w:rPr>
                <w:rFonts w:eastAsia="Times New Roman" w:cs="Arial"/>
                <w:sz w:val="22"/>
                <w:szCs w:val="22"/>
                <w:lang w:eastAsia="en-AU"/>
              </w:rPr>
              <w:t xml:space="preserve"> SNAICC. Retrieved 6 September, 2024 from https://www.snaicc.org.au/wp-content/uploads/2023/09/211207_9_National-Early-Childhood-Strategy-Report.pdf</w:t>
            </w:r>
          </w:p>
        </w:tc>
        <w:tc>
          <w:tcPr>
            <w:tcW w:w="1218" w:type="dxa"/>
          </w:tcPr>
          <w:p w14:paraId="48C3B5AA" w14:textId="77777777" w:rsidR="00A107CE" w:rsidRPr="00756F5E" w:rsidRDefault="00A107CE" w:rsidP="00A107CE">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SNAICC (2021a)</w:t>
            </w:r>
          </w:p>
        </w:tc>
      </w:tr>
      <w:tr w:rsidR="00A107CE" w:rsidRPr="00756F5E" w14:paraId="29319A68"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28C392A" w14:textId="22842AA8" w:rsidR="00A107CE" w:rsidRPr="00756F5E" w:rsidRDefault="00A107CE" w:rsidP="00A107CE">
            <w:pPr>
              <w:suppressAutoHyphens/>
              <w:spacing w:before="40" w:after="40" w:line="200" w:lineRule="atLeast"/>
              <w:ind w:left="463" w:hanging="463"/>
              <w:rPr>
                <w:rFonts w:eastAsia="Times New Roman" w:cs="Arial"/>
                <w:sz w:val="22"/>
                <w:szCs w:val="22"/>
                <w:lang w:eastAsia="en-AU"/>
              </w:rPr>
            </w:pPr>
            <w:r w:rsidRPr="00444589">
              <w:rPr>
                <w:rFonts w:eastAsia="Times New Roman" w:cs="Arial"/>
                <w:sz w:val="22"/>
                <w:szCs w:val="22"/>
                <w:lang w:eastAsia="en-AU"/>
              </w:rPr>
              <w:t xml:space="preserve">SNAICC. (2023). </w:t>
            </w:r>
            <w:r w:rsidRPr="00444589">
              <w:rPr>
                <w:rFonts w:eastAsia="Times New Roman" w:cs="Arial"/>
                <w:i/>
                <w:iCs/>
                <w:sz w:val="22"/>
                <w:szCs w:val="22"/>
                <w:lang w:eastAsia="en-AU"/>
              </w:rPr>
              <w:t>Stronger ACCOS, stronger families final report</w:t>
            </w:r>
            <w:r w:rsidRPr="00444589">
              <w:rPr>
                <w:rFonts w:eastAsia="Times New Roman" w:cs="Arial"/>
                <w:sz w:val="22"/>
                <w:szCs w:val="22"/>
                <w:lang w:eastAsia="en-AU"/>
              </w:rPr>
              <w:t>. SNAICC. Retrieved 6 September, 2024 from https://www.snaicc.org.au/wp-content/uploads/2023/09/230502_8_Stronger-ACCOs-Stronger-Families-Report.pdf</w:t>
            </w:r>
          </w:p>
        </w:tc>
        <w:tc>
          <w:tcPr>
            <w:tcW w:w="1218" w:type="dxa"/>
          </w:tcPr>
          <w:p w14:paraId="6879F179" w14:textId="77777777" w:rsidR="00A107CE" w:rsidRPr="00756F5E" w:rsidRDefault="00A107CE" w:rsidP="00A107CE">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SNAICC (2023)</w:t>
            </w:r>
          </w:p>
        </w:tc>
      </w:tr>
      <w:tr w:rsidR="00A107CE" w:rsidRPr="00756F5E" w14:paraId="2E35E73C"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EFD4D63" w14:textId="43652A86" w:rsidR="00A107CE" w:rsidRPr="00756F5E" w:rsidRDefault="00A107CE" w:rsidP="00A107CE">
            <w:pPr>
              <w:suppressAutoHyphens/>
              <w:spacing w:before="40" w:after="40" w:line="200" w:lineRule="atLeast"/>
              <w:ind w:left="463" w:hanging="463"/>
              <w:rPr>
                <w:rFonts w:eastAsia="Times New Roman" w:cs="Arial"/>
                <w:sz w:val="22"/>
                <w:szCs w:val="22"/>
                <w:lang w:eastAsia="en-AU"/>
              </w:rPr>
            </w:pPr>
            <w:r w:rsidRPr="00F25E95">
              <w:rPr>
                <w:rFonts w:eastAsia="Times New Roman" w:cs="Arial"/>
                <w:sz w:val="22"/>
                <w:szCs w:val="22"/>
                <w:lang w:eastAsia="en-AU"/>
              </w:rPr>
              <w:t xml:space="preserve">Trudgett, M., &amp; Grace, R. (2011). Engaging with early childhood education and care services: The perspectives of Indigenous Australian mothers and their young children. </w:t>
            </w:r>
            <w:r w:rsidRPr="00F25E95">
              <w:rPr>
                <w:rFonts w:eastAsia="Times New Roman" w:cs="Arial"/>
                <w:i/>
                <w:iCs/>
                <w:sz w:val="22"/>
                <w:szCs w:val="22"/>
                <w:lang w:eastAsia="en-AU"/>
              </w:rPr>
              <w:t>Kulumun. Indigenous Online Journal, 1,</w:t>
            </w:r>
            <w:r w:rsidRPr="00F25E95">
              <w:rPr>
                <w:rFonts w:eastAsia="Times New Roman" w:cs="Arial"/>
                <w:sz w:val="22"/>
                <w:szCs w:val="22"/>
                <w:lang w:eastAsia="en-AU"/>
              </w:rPr>
              <w:t xml:space="preserve"> 15-36. https://opus.lib.uts.edu.au/bitstream/10453/114692/1/tl.pdf </w:t>
            </w:r>
          </w:p>
        </w:tc>
        <w:tc>
          <w:tcPr>
            <w:tcW w:w="1218" w:type="dxa"/>
          </w:tcPr>
          <w:p w14:paraId="068EC55B" w14:textId="77777777" w:rsidR="00A107CE" w:rsidRPr="00756F5E" w:rsidRDefault="00A107CE" w:rsidP="00A107CE">
            <w:pPr>
              <w:suppressAutoHyphens/>
              <w:spacing w:before="40" w:after="40" w:line="200" w:lineRule="atLeast"/>
              <w:rPr>
                <w:rFonts w:eastAsia="Times New Roman" w:cs="Arial"/>
                <w:sz w:val="22"/>
                <w:szCs w:val="22"/>
                <w:lang w:eastAsia="en-AU"/>
              </w:rPr>
            </w:pPr>
            <w:r w:rsidRPr="00756F5E">
              <w:rPr>
                <w:rFonts w:eastAsia="Times New Roman" w:cs="Arial"/>
                <w:noProof/>
                <w:sz w:val="22"/>
                <w:szCs w:val="22"/>
                <w:lang w:eastAsia="en-AU"/>
              </w:rPr>
              <w:t>Trudgett and Grace (2011)</w:t>
            </w:r>
          </w:p>
        </w:tc>
      </w:tr>
      <w:tr w:rsidR="009A42D2" w:rsidRPr="00756F5E" w14:paraId="0ED78878"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shd w:val="clear" w:color="auto" w:fill="DAE2E6"/>
          </w:tcPr>
          <w:p w14:paraId="64F4C4F5" w14:textId="77777777" w:rsidR="009A42D2" w:rsidRPr="00756F5E" w:rsidRDefault="009A42D2" w:rsidP="009A42D2">
            <w:pPr>
              <w:suppressAutoHyphens/>
              <w:spacing w:before="40" w:after="40" w:line="200" w:lineRule="atLeast"/>
              <w:ind w:left="463" w:hanging="463"/>
              <w:rPr>
                <w:rFonts w:eastAsia="Times New Roman" w:cs="Arial"/>
                <w:sz w:val="22"/>
                <w:szCs w:val="22"/>
                <w:lang w:eastAsia="en-AU"/>
              </w:rPr>
            </w:pPr>
            <w:r w:rsidRPr="00756F5E">
              <w:rPr>
                <w:rFonts w:eastAsia="Times New Roman" w:cs="Arial"/>
                <w:b/>
                <w:bCs/>
                <w:sz w:val="22"/>
                <w:szCs w:val="22"/>
                <w:lang w:eastAsia="en-AU"/>
              </w:rPr>
              <w:t>Non-randomised trials, not extracted</w:t>
            </w:r>
          </w:p>
        </w:tc>
        <w:tc>
          <w:tcPr>
            <w:tcW w:w="1218" w:type="dxa"/>
            <w:shd w:val="clear" w:color="auto" w:fill="DAE2E6"/>
          </w:tcPr>
          <w:p w14:paraId="1D34D4E1" w14:textId="77777777" w:rsidR="009A42D2" w:rsidRPr="00756F5E" w:rsidRDefault="009A42D2" w:rsidP="009A42D2">
            <w:pPr>
              <w:suppressAutoHyphens/>
              <w:spacing w:before="40" w:after="40" w:line="200" w:lineRule="atLeast"/>
              <w:rPr>
                <w:rFonts w:eastAsia="Times New Roman" w:cs="Arial"/>
                <w:sz w:val="22"/>
                <w:szCs w:val="22"/>
                <w:lang w:eastAsia="en-AU"/>
              </w:rPr>
            </w:pPr>
          </w:p>
        </w:tc>
      </w:tr>
      <w:tr w:rsidR="00A2215A" w:rsidRPr="00756F5E" w14:paraId="050FF403"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7D9B1711" w14:textId="4B22E13F" w:rsidR="00A2215A" w:rsidRPr="00756F5E" w:rsidRDefault="00A2215A" w:rsidP="00A2215A">
            <w:pPr>
              <w:suppressAutoHyphens/>
              <w:spacing w:before="40" w:after="40" w:line="200" w:lineRule="atLeast"/>
              <w:ind w:left="463" w:hanging="463"/>
              <w:rPr>
                <w:rFonts w:eastAsia="Times New Roman" w:cs="Arial"/>
                <w:sz w:val="22"/>
                <w:szCs w:val="22"/>
                <w:lang w:eastAsia="en-AU"/>
              </w:rPr>
            </w:pPr>
            <w:r w:rsidRPr="005C0C39">
              <w:rPr>
                <w:rFonts w:eastAsia="Times New Roman" w:cs="Arial"/>
                <w:sz w:val="22"/>
                <w:szCs w:val="22"/>
                <w:lang w:val="it-IT" w:eastAsia="en-AU"/>
              </w:rPr>
              <w:t xml:space="preserve">Acosta-Rodriguez, V. M., Ramirez-Santana, G. M., &amp; Hernandez-Exposito, S. (2022). </w:t>
            </w:r>
            <w:r w:rsidRPr="002E6D98">
              <w:rPr>
                <w:rFonts w:eastAsia="Times New Roman" w:cs="Arial"/>
                <w:sz w:val="22"/>
                <w:szCs w:val="22"/>
                <w:lang w:eastAsia="en-AU"/>
              </w:rPr>
              <w:t xml:space="preserve">Intervention for oral language comprehension skills in preschoolers with developmental language disorder. </w:t>
            </w:r>
            <w:r w:rsidRPr="002E6D98">
              <w:rPr>
                <w:rFonts w:eastAsia="Times New Roman" w:cs="Arial"/>
                <w:i/>
                <w:iCs/>
                <w:sz w:val="22"/>
                <w:szCs w:val="22"/>
                <w:lang w:eastAsia="en-AU"/>
              </w:rPr>
              <w:t>International Journal of Language &amp; Communication Disorders, 57</w:t>
            </w:r>
            <w:r w:rsidRPr="002E6D98">
              <w:rPr>
                <w:rFonts w:eastAsia="Times New Roman" w:cs="Arial"/>
                <w:sz w:val="22"/>
                <w:szCs w:val="22"/>
                <w:lang w:eastAsia="en-AU"/>
              </w:rPr>
              <w:t xml:space="preserve">(1), 90-102. https://doi.org/https://dx.doi.org/10.1111/1460-6984.12676 </w:t>
            </w:r>
          </w:p>
        </w:tc>
        <w:tc>
          <w:tcPr>
            <w:tcW w:w="1218" w:type="dxa"/>
          </w:tcPr>
          <w:p w14:paraId="41D0DF36" w14:textId="1427FDD7" w:rsidR="00A2215A" w:rsidRPr="00756F5E" w:rsidRDefault="00A2215A" w:rsidP="00A221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Acosta-Rodriguez et al. (2022)</w:t>
            </w:r>
          </w:p>
        </w:tc>
      </w:tr>
      <w:tr w:rsidR="00A2215A" w:rsidRPr="00756F5E" w14:paraId="4B1D88AB"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010BEF3" w14:textId="406E5658" w:rsidR="00A2215A" w:rsidRPr="00756F5E" w:rsidRDefault="00A2215A" w:rsidP="00A2215A">
            <w:pPr>
              <w:suppressAutoHyphens/>
              <w:spacing w:before="40" w:after="40" w:line="200" w:lineRule="atLeast"/>
              <w:ind w:left="463" w:hanging="463"/>
              <w:rPr>
                <w:rFonts w:eastAsia="Times New Roman" w:cs="Arial"/>
                <w:sz w:val="22"/>
                <w:szCs w:val="22"/>
                <w:lang w:eastAsia="en-AU"/>
              </w:rPr>
            </w:pPr>
            <w:r w:rsidRPr="00C01C28">
              <w:rPr>
                <w:rFonts w:eastAsia="Times New Roman" w:cs="Arial"/>
                <w:sz w:val="22"/>
                <w:szCs w:val="22"/>
                <w:lang w:val="it-IT" w:eastAsia="en-AU"/>
              </w:rPr>
              <w:t xml:space="preserve">Aiello, S., Leonardi, E., Cerasa, A., Servidio, R., Famà, F. I., Carrozza, C., Campisi, A., Marino, F., Scifo, R., Baieli, S., Corpina, F., Tartarisco, G., Vagni, D., Pioggia, G., &amp; Ruta, L. (2022). </w:t>
            </w:r>
            <w:r w:rsidRPr="005C0C39">
              <w:rPr>
                <w:rFonts w:eastAsia="Times New Roman" w:cs="Arial"/>
                <w:sz w:val="22"/>
                <w:szCs w:val="22"/>
                <w:lang w:val="en-AU" w:eastAsia="en-AU"/>
              </w:rPr>
              <w:t xml:space="preserve">Video-feedback approach improves parental compliance to early behavioral interventions in children with autism spectrum disorders during the COVID-19 pandemic: A pilot investigation. </w:t>
            </w:r>
            <w:r w:rsidRPr="00C01C28">
              <w:rPr>
                <w:rFonts w:eastAsia="Times New Roman" w:cs="Arial"/>
                <w:i/>
                <w:iCs/>
                <w:sz w:val="22"/>
                <w:szCs w:val="22"/>
                <w:lang w:val="it-IT" w:eastAsia="en-AU"/>
              </w:rPr>
              <w:t>Children, 9</w:t>
            </w:r>
            <w:r w:rsidRPr="00C01C28">
              <w:rPr>
                <w:rFonts w:eastAsia="Times New Roman" w:cs="Arial"/>
                <w:sz w:val="22"/>
                <w:szCs w:val="22"/>
                <w:lang w:val="it-IT" w:eastAsia="en-AU"/>
              </w:rPr>
              <w:t xml:space="preserve">(11), 1710. https://doi.org/10.3390/children9111710 </w:t>
            </w:r>
          </w:p>
        </w:tc>
        <w:tc>
          <w:tcPr>
            <w:tcW w:w="1218" w:type="dxa"/>
          </w:tcPr>
          <w:p w14:paraId="2D7A6265" w14:textId="63F35777" w:rsidR="00A2215A" w:rsidRPr="00756F5E" w:rsidRDefault="00A2215A" w:rsidP="00A221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Aiello et al. (2022)</w:t>
            </w:r>
          </w:p>
        </w:tc>
      </w:tr>
      <w:tr w:rsidR="00A2215A" w:rsidRPr="00756F5E" w14:paraId="7B4D76BE"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710E901" w14:textId="096F66D8" w:rsidR="00A2215A" w:rsidRPr="00756F5E" w:rsidRDefault="00A2215A" w:rsidP="00A2215A">
            <w:pPr>
              <w:suppressAutoHyphens/>
              <w:spacing w:before="40" w:after="40" w:line="200" w:lineRule="atLeast"/>
              <w:ind w:left="463" w:hanging="463"/>
              <w:rPr>
                <w:rFonts w:eastAsia="Times New Roman" w:cs="Arial"/>
                <w:sz w:val="22"/>
                <w:szCs w:val="22"/>
                <w:lang w:eastAsia="en-AU"/>
              </w:rPr>
            </w:pPr>
            <w:r w:rsidRPr="00D74F5E">
              <w:rPr>
                <w:rFonts w:eastAsia="Times New Roman" w:cs="Arial"/>
                <w:sz w:val="22"/>
                <w:szCs w:val="22"/>
                <w:lang w:eastAsia="en-AU"/>
              </w:rPr>
              <w:t xml:space="preserve">Bejnö, H., Roll-Pettersson, L., Klintwall, L., Långh, U., Odom, S. L., &amp; Bölte, S. (2023). Adapting the preschool environment to the needs of children on the autism spectrum in Sweden: A quasi-experimental study. </w:t>
            </w:r>
            <w:r w:rsidRPr="00D74F5E">
              <w:rPr>
                <w:rFonts w:eastAsia="Times New Roman" w:cs="Arial"/>
                <w:i/>
                <w:iCs/>
                <w:sz w:val="22"/>
                <w:szCs w:val="22"/>
                <w:lang w:eastAsia="en-AU"/>
              </w:rPr>
              <w:t>Scandinavian Journal of Occupational Therapy, 30</w:t>
            </w:r>
            <w:r w:rsidRPr="00D74F5E">
              <w:rPr>
                <w:rFonts w:eastAsia="Times New Roman" w:cs="Arial"/>
                <w:sz w:val="22"/>
                <w:szCs w:val="22"/>
                <w:lang w:eastAsia="en-AU"/>
              </w:rPr>
              <w:t xml:space="preserve">(3), 278-297. https://doi.org/10.1080/11038128.2021.1993330 </w:t>
            </w:r>
          </w:p>
        </w:tc>
        <w:tc>
          <w:tcPr>
            <w:tcW w:w="1218" w:type="dxa"/>
          </w:tcPr>
          <w:p w14:paraId="6EC79FE1" w14:textId="11C9348E" w:rsidR="00A2215A" w:rsidRPr="00756F5E" w:rsidRDefault="00A2215A" w:rsidP="00A221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Bejnö et al. (2023)</w:t>
            </w:r>
          </w:p>
        </w:tc>
      </w:tr>
      <w:tr w:rsidR="003C64CA" w:rsidRPr="00756F5E" w14:paraId="1CF7A8B7"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5D1488A" w14:textId="6EF1D505" w:rsidR="003C64CA" w:rsidRPr="00756F5E" w:rsidRDefault="003C64CA" w:rsidP="003C64CA">
            <w:pPr>
              <w:suppressAutoHyphens/>
              <w:spacing w:before="40" w:after="40" w:line="200" w:lineRule="atLeast"/>
              <w:ind w:left="463" w:hanging="463"/>
              <w:rPr>
                <w:rFonts w:eastAsia="Times New Roman" w:cs="Arial"/>
                <w:sz w:val="22"/>
                <w:szCs w:val="22"/>
                <w:lang w:eastAsia="en-AU"/>
              </w:rPr>
            </w:pPr>
            <w:r w:rsidRPr="00981F8C">
              <w:rPr>
                <w:rFonts w:eastAsia="Times New Roman" w:cs="Arial"/>
                <w:sz w:val="22"/>
                <w:szCs w:val="22"/>
                <w:lang w:eastAsia="en-AU"/>
              </w:rPr>
              <w:t xml:space="preserve">Green, C. C., Bent, C. A., Smith, J., Chetcuti, L., Uljarevic, M., Pye, K., Toscano, G., Hudry, K., &amp; Victorian, A. T. (2024). An evaluation of child and parent outcomes following community-based early intervention with randomised parent-mediated intervention for autistic pre-schoolers. </w:t>
            </w:r>
            <w:r w:rsidRPr="00981F8C">
              <w:rPr>
                <w:rFonts w:eastAsia="Times New Roman" w:cs="Arial"/>
                <w:i/>
                <w:iCs/>
                <w:sz w:val="22"/>
                <w:szCs w:val="22"/>
                <w:lang w:eastAsia="en-AU"/>
              </w:rPr>
              <w:t>Child &amp; Youth Care Forum, 53</w:t>
            </w:r>
            <w:r w:rsidRPr="00981F8C">
              <w:rPr>
                <w:rFonts w:eastAsia="Times New Roman" w:cs="Arial"/>
                <w:sz w:val="22"/>
                <w:szCs w:val="22"/>
                <w:lang w:eastAsia="en-AU"/>
              </w:rPr>
              <w:t xml:space="preserve">(5), 1213-1233. https://doi.org/10.1007/s10566-024-09792-x </w:t>
            </w:r>
          </w:p>
        </w:tc>
        <w:tc>
          <w:tcPr>
            <w:tcW w:w="1218" w:type="dxa"/>
          </w:tcPr>
          <w:p w14:paraId="28D8B72B" w14:textId="4E860BD0" w:rsidR="003C64CA" w:rsidRPr="00756F5E" w:rsidRDefault="003C64CA" w:rsidP="003C64C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Green et al. (2024)</w:t>
            </w:r>
          </w:p>
        </w:tc>
      </w:tr>
      <w:tr w:rsidR="003C64CA" w:rsidRPr="00756F5E" w14:paraId="77F9EB67"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41041E1" w14:textId="07801317" w:rsidR="003C64CA" w:rsidRPr="00756F5E" w:rsidRDefault="003C64CA" w:rsidP="003C64CA">
            <w:pPr>
              <w:suppressAutoHyphens/>
              <w:spacing w:before="40" w:after="40" w:line="200" w:lineRule="atLeast"/>
              <w:ind w:left="463" w:hanging="463"/>
              <w:rPr>
                <w:rFonts w:eastAsia="Times New Roman" w:cs="Arial"/>
                <w:sz w:val="22"/>
                <w:szCs w:val="22"/>
                <w:lang w:eastAsia="en-AU"/>
              </w:rPr>
            </w:pPr>
            <w:r w:rsidRPr="00786025">
              <w:rPr>
                <w:rFonts w:eastAsia="Times New Roman" w:cs="Arial"/>
                <w:sz w:val="22"/>
                <w:szCs w:val="22"/>
                <w:lang w:eastAsia="en-AU"/>
              </w:rPr>
              <w:t xml:space="preserve">Michael, S., Lindee, M., Sally, F., Quentin, W., Brooke, S., Emma, C., &amp; Scott, G. (2024). Feasibility and acceptability of a low-resource-intensive, transdiagnostic intervention for children with social-communication challenges in early childhood education settings. </w:t>
            </w:r>
            <w:r w:rsidRPr="00786025">
              <w:rPr>
                <w:rFonts w:eastAsia="Times New Roman" w:cs="Arial"/>
                <w:i/>
                <w:iCs/>
                <w:sz w:val="22"/>
                <w:szCs w:val="22"/>
                <w:lang w:eastAsia="en-AU"/>
              </w:rPr>
              <w:t>Autism: The International Journal of Research and Practice, 28</w:t>
            </w:r>
            <w:r w:rsidRPr="00786025">
              <w:rPr>
                <w:rFonts w:eastAsia="Times New Roman" w:cs="Arial"/>
                <w:sz w:val="22"/>
                <w:szCs w:val="22"/>
                <w:lang w:eastAsia="en-AU"/>
              </w:rPr>
              <w:t xml:space="preserve">(3), 587-599. https://doi.org/10.1177/13623613231179289 </w:t>
            </w:r>
          </w:p>
        </w:tc>
        <w:tc>
          <w:tcPr>
            <w:tcW w:w="1218" w:type="dxa"/>
          </w:tcPr>
          <w:p w14:paraId="5EBC46ED" w14:textId="57691BBE" w:rsidR="003C64CA" w:rsidRPr="00756F5E" w:rsidRDefault="003C64CA" w:rsidP="003C64C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Michael et al. (2024)</w:t>
            </w:r>
          </w:p>
        </w:tc>
      </w:tr>
      <w:tr w:rsidR="003C64CA" w:rsidRPr="00756F5E" w14:paraId="15654C74"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9C8D18B" w14:textId="7A70315A" w:rsidR="003C64CA" w:rsidRPr="00756F5E" w:rsidRDefault="003C64CA" w:rsidP="003C64CA">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Nahmias, A. S., Kase, C., &amp; Mandell, D. S. (2014). Comparing cognitive outcomes among children with autism spectrum disorders receiving community-based early intervention in one of three placements. </w:t>
            </w:r>
            <w:r w:rsidRPr="002165C0">
              <w:rPr>
                <w:rFonts w:eastAsia="Times New Roman" w:cs="Arial"/>
                <w:i/>
                <w:iCs/>
                <w:sz w:val="22"/>
                <w:szCs w:val="22"/>
                <w:lang w:eastAsia="en-AU"/>
              </w:rPr>
              <w:t>Autism, 18</w:t>
            </w:r>
            <w:r w:rsidRPr="00376175">
              <w:rPr>
                <w:rFonts w:eastAsia="Times New Roman" w:cs="Arial"/>
                <w:sz w:val="22"/>
                <w:szCs w:val="22"/>
                <w:lang w:eastAsia="en-AU"/>
              </w:rPr>
              <w:t>(3), 311-320.</w:t>
            </w:r>
            <w:r>
              <w:rPr>
                <w:rFonts w:eastAsia="Times New Roman" w:cs="Arial"/>
                <w:sz w:val="22"/>
                <w:szCs w:val="22"/>
                <w:lang w:eastAsia="en-AU"/>
              </w:rPr>
              <w:t xml:space="preserve"> </w:t>
            </w:r>
            <w:r w:rsidRPr="002165C0">
              <w:rPr>
                <w:rFonts w:eastAsia="Times New Roman" w:cs="Arial"/>
                <w:sz w:val="22"/>
                <w:szCs w:val="22"/>
                <w:lang w:eastAsia="en-AU"/>
              </w:rPr>
              <w:t>https://doi.org/10.1177/1362361312467865</w:t>
            </w:r>
          </w:p>
        </w:tc>
        <w:tc>
          <w:tcPr>
            <w:tcW w:w="1218" w:type="dxa"/>
          </w:tcPr>
          <w:p w14:paraId="381B9664" w14:textId="3D223C1C" w:rsidR="003C64CA" w:rsidRPr="00756F5E" w:rsidRDefault="003C64CA" w:rsidP="003C64C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Nahmias et al. (2014)</w:t>
            </w:r>
          </w:p>
        </w:tc>
      </w:tr>
      <w:tr w:rsidR="003C64CA" w:rsidRPr="00756F5E" w14:paraId="7AA6338D"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A32B49C" w14:textId="6568E618" w:rsidR="003C64CA" w:rsidRPr="00756F5E" w:rsidRDefault="003C64CA" w:rsidP="003C64CA">
            <w:pPr>
              <w:suppressAutoHyphens/>
              <w:spacing w:before="40" w:after="40" w:line="200" w:lineRule="atLeast"/>
              <w:ind w:left="463" w:hanging="463"/>
              <w:rPr>
                <w:rFonts w:eastAsia="Times New Roman" w:cs="Arial"/>
                <w:sz w:val="22"/>
                <w:szCs w:val="22"/>
                <w:lang w:eastAsia="en-AU"/>
              </w:rPr>
            </w:pPr>
            <w:r w:rsidRPr="00A67925">
              <w:rPr>
                <w:rFonts w:eastAsia="Times New Roman" w:cs="Arial"/>
                <w:sz w:val="22"/>
                <w:szCs w:val="22"/>
                <w:lang w:eastAsia="en-AU"/>
              </w:rPr>
              <w:t xml:space="preserve">Pećnik, N., Ljubešić, M., &amp; Bohacek, A.-M. (2022). </w:t>
            </w:r>
            <w:r w:rsidRPr="00A67925">
              <w:rPr>
                <w:rFonts w:eastAsia="Times New Roman" w:cs="Arial"/>
                <w:i/>
                <w:iCs/>
                <w:sz w:val="22"/>
                <w:szCs w:val="22"/>
                <w:lang w:eastAsia="en-AU"/>
              </w:rPr>
              <w:t>Supporting parents of young children with disabilities: Effectiveness of the “Growing up Together Plus" program evaluation.</w:t>
            </w:r>
            <w:r w:rsidRPr="00A67925">
              <w:rPr>
                <w:rFonts w:eastAsia="Times New Roman" w:cs="Arial"/>
                <w:sz w:val="22"/>
                <w:szCs w:val="22"/>
                <w:lang w:eastAsia="en-AU"/>
              </w:rPr>
              <w:t xml:space="preserve"> Eurofam. Retrieved 6 September, 2024 from https://eurofamnet.eu/evaluation/wp-content/uploads/fsqm-files/GUTP-evaluation-study_manuscript.pdf</w:t>
            </w:r>
          </w:p>
        </w:tc>
        <w:tc>
          <w:tcPr>
            <w:tcW w:w="1218" w:type="dxa"/>
          </w:tcPr>
          <w:p w14:paraId="3647C6E6" w14:textId="04502474" w:rsidR="003C64CA" w:rsidRPr="00756F5E" w:rsidRDefault="003C64CA" w:rsidP="003C64C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Pećnik et al. (2022)</w:t>
            </w:r>
          </w:p>
        </w:tc>
      </w:tr>
      <w:tr w:rsidR="001C567C" w:rsidRPr="00756F5E" w14:paraId="1018E08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514ABCC" w14:textId="119321AD" w:rsidR="001C567C" w:rsidRPr="00756F5E" w:rsidRDefault="001C567C" w:rsidP="001C567C">
            <w:pPr>
              <w:suppressAutoHyphens/>
              <w:spacing w:before="40" w:after="40" w:line="200" w:lineRule="atLeast"/>
              <w:ind w:left="463" w:hanging="463"/>
              <w:rPr>
                <w:rFonts w:eastAsia="Times New Roman" w:cs="Arial"/>
                <w:sz w:val="22"/>
                <w:szCs w:val="22"/>
                <w:lang w:eastAsia="en-AU"/>
              </w:rPr>
            </w:pPr>
            <w:r w:rsidRPr="00C5337D">
              <w:rPr>
                <w:rFonts w:eastAsia="Times New Roman" w:cs="Arial"/>
                <w:sz w:val="22"/>
                <w:szCs w:val="22"/>
                <w:lang w:eastAsia="en-AU"/>
              </w:rPr>
              <w:t xml:space="preserve">Sainato, D. M., Morrison, R. S., Jung, S., Axe, J., &amp; Nixon, P. A. (2015). A comprehensive inclusion program for kindergarten children with autism spectrum disorder. </w:t>
            </w:r>
            <w:r w:rsidRPr="00C5337D">
              <w:rPr>
                <w:rFonts w:eastAsia="Times New Roman" w:cs="Arial"/>
                <w:i/>
                <w:iCs/>
                <w:sz w:val="22"/>
                <w:szCs w:val="22"/>
                <w:lang w:eastAsia="en-AU"/>
              </w:rPr>
              <w:t>Journal of Early Intervention, 37</w:t>
            </w:r>
            <w:r w:rsidRPr="00C5337D">
              <w:rPr>
                <w:rFonts w:eastAsia="Times New Roman" w:cs="Arial"/>
                <w:sz w:val="22"/>
                <w:szCs w:val="22"/>
                <w:lang w:eastAsia="en-AU"/>
              </w:rPr>
              <w:t xml:space="preserve">(3), 208-225. https://doi.org/10.1177/1053815115613836 </w:t>
            </w:r>
          </w:p>
        </w:tc>
        <w:tc>
          <w:tcPr>
            <w:tcW w:w="1218" w:type="dxa"/>
          </w:tcPr>
          <w:p w14:paraId="150F8974" w14:textId="547FB1C7" w:rsidR="001C567C" w:rsidRPr="00756F5E" w:rsidRDefault="001C567C" w:rsidP="001C567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 xml:space="preserve">Sainato et al. </w:t>
            </w:r>
            <w:r>
              <w:rPr>
                <w:rFonts w:eastAsia="Times New Roman" w:cs="Arial"/>
                <w:noProof/>
                <w:sz w:val="22"/>
                <w:szCs w:val="22"/>
                <w:lang w:eastAsia="en-AU"/>
              </w:rPr>
              <w:t>(</w:t>
            </w:r>
            <w:r w:rsidRPr="00376175">
              <w:rPr>
                <w:rFonts w:eastAsia="Times New Roman" w:cs="Arial"/>
                <w:noProof/>
                <w:sz w:val="22"/>
                <w:szCs w:val="22"/>
                <w:lang w:eastAsia="en-AU"/>
              </w:rPr>
              <w:t>2015)</w:t>
            </w:r>
          </w:p>
        </w:tc>
      </w:tr>
      <w:tr w:rsidR="001C567C" w:rsidRPr="00756F5E" w14:paraId="2E3BB0B5"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56AC6DB" w14:textId="41D40785" w:rsidR="001C567C" w:rsidRPr="00756F5E" w:rsidRDefault="001C567C" w:rsidP="001C567C">
            <w:pPr>
              <w:suppressAutoHyphens/>
              <w:spacing w:before="40" w:after="40" w:line="200" w:lineRule="atLeast"/>
              <w:ind w:left="463" w:hanging="463"/>
              <w:rPr>
                <w:rFonts w:eastAsia="Times New Roman" w:cs="Arial"/>
                <w:sz w:val="22"/>
                <w:szCs w:val="22"/>
                <w:lang w:eastAsia="en-AU"/>
              </w:rPr>
            </w:pPr>
            <w:r w:rsidRPr="00EC2383">
              <w:rPr>
                <w:rFonts w:eastAsia="Times New Roman" w:cs="Arial"/>
                <w:sz w:val="22"/>
                <w:szCs w:val="22"/>
                <w:lang w:eastAsia="en-AU"/>
              </w:rPr>
              <w:t xml:space="preserve">Schochet, O. N., Johnson, A. D., &amp; Phillips, D. A. (2020). The effects of early care and education settings on the kindergarten outcomes of doubly vulnerable children. </w:t>
            </w:r>
            <w:r w:rsidRPr="00EC2383">
              <w:rPr>
                <w:rFonts w:eastAsia="Times New Roman" w:cs="Arial"/>
                <w:i/>
                <w:iCs/>
                <w:sz w:val="22"/>
                <w:szCs w:val="22"/>
                <w:lang w:eastAsia="en-AU"/>
              </w:rPr>
              <w:t>Exceptional Children, 87</w:t>
            </w:r>
            <w:r w:rsidRPr="00EC2383">
              <w:rPr>
                <w:rFonts w:eastAsia="Times New Roman" w:cs="Arial"/>
                <w:sz w:val="22"/>
                <w:szCs w:val="22"/>
                <w:lang w:eastAsia="en-AU"/>
              </w:rPr>
              <w:t xml:space="preserve">(1), 27-53. https://doi.org/10.1177/0014402920926461 </w:t>
            </w:r>
          </w:p>
        </w:tc>
        <w:tc>
          <w:tcPr>
            <w:tcW w:w="1218" w:type="dxa"/>
          </w:tcPr>
          <w:p w14:paraId="0C5B864B" w14:textId="7E314630" w:rsidR="001C567C" w:rsidRPr="00756F5E" w:rsidRDefault="001C567C" w:rsidP="001C567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Schochet et al. (2020)</w:t>
            </w:r>
          </w:p>
        </w:tc>
      </w:tr>
      <w:tr w:rsidR="001C567C" w:rsidRPr="00756F5E" w14:paraId="675E0DE0"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2F6D1D7" w14:textId="2235D046" w:rsidR="001C567C" w:rsidRPr="00756F5E" w:rsidRDefault="001C567C" w:rsidP="001C567C">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val="it-IT" w:eastAsia="en-AU"/>
              </w:rPr>
              <w:t xml:space="preserve">Sgandurra, G., Bartalena, L., Cecchi, F., Cioni, G., Giampietri, M., Greisen, G., Herskind, A., Inguaggiato, E., Lorentzen, J., Nielsen, J. B., Orlando, M., &amp; Dario, P. (2016). </w:t>
            </w:r>
            <w:r w:rsidRPr="00376175">
              <w:rPr>
                <w:rFonts w:eastAsia="Times New Roman" w:cs="Arial"/>
                <w:sz w:val="22"/>
                <w:szCs w:val="22"/>
                <w:lang w:eastAsia="en-AU"/>
              </w:rPr>
              <w:t xml:space="preserve">A pilot study on early home-based intervention through an intelligent baby gym (CareToy) in preterm infants. </w:t>
            </w:r>
            <w:r w:rsidRPr="00924B15">
              <w:rPr>
                <w:rFonts w:eastAsia="Times New Roman" w:cs="Arial"/>
                <w:i/>
                <w:iCs/>
                <w:sz w:val="22"/>
                <w:szCs w:val="22"/>
                <w:lang w:eastAsia="en-AU"/>
              </w:rPr>
              <w:t>Research in Developmental Disabilities</w:t>
            </w:r>
            <w:r w:rsidRPr="00376175">
              <w:rPr>
                <w:rFonts w:eastAsia="Times New Roman" w:cs="Arial"/>
                <w:sz w:val="22"/>
                <w:szCs w:val="22"/>
                <w:lang w:eastAsia="en-AU"/>
              </w:rPr>
              <w:t xml:space="preserve">, </w:t>
            </w:r>
            <w:r w:rsidRPr="00924B15">
              <w:rPr>
                <w:rFonts w:eastAsia="Times New Roman" w:cs="Arial"/>
                <w:i/>
                <w:iCs/>
                <w:sz w:val="22"/>
                <w:szCs w:val="22"/>
                <w:lang w:eastAsia="en-AU"/>
              </w:rPr>
              <w:t>53</w:t>
            </w:r>
            <w:r w:rsidRPr="00846419">
              <w:rPr>
                <w:rFonts w:eastAsia="Times New Roman" w:cs="Arial"/>
                <w:sz w:val="22"/>
                <w:szCs w:val="22"/>
                <w:lang w:eastAsia="en-AU"/>
              </w:rPr>
              <w:t>(1), 32-42. https://doi.org/10.1016/j.ridd.2016.01.013</w:t>
            </w:r>
          </w:p>
        </w:tc>
        <w:tc>
          <w:tcPr>
            <w:tcW w:w="1218" w:type="dxa"/>
          </w:tcPr>
          <w:p w14:paraId="11DD06E4" w14:textId="0583C82D" w:rsidR="001C567C" w:rsidRPr="00756F5E" w:rsidRDefault="001C567C" w:rsidP="001C567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Sgandurra et al. (2016)</w:t>
            </w:r>
          </w:p>
        </w:tc>
      </w:tr>
      <w:tr w:rsidR="001C567C" w:rsidRPr="00756F5E" w14:paraId="662CFD61"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E473B4B" w14:textId="2BA32969" w:rsidR="001C567C" w:rsidRPr="00756F5E" w:rsidRDefault="001C567C" w:rsidP="001C567C">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Stahmer, A. C., Rieth, S. R., Dickson, K. S., Feder, J., Burgeson, M., Searcy, K., &amp; Brookman-Frazee, L. (2020). Project ImPACT for Toddlers: Pilot outcomes of a community adaptation of an intervention for autism risk. </w:t>
            </w:r>
            <w:r w:rsidRPr="00742304">
              <w:rPr>
                <w:rFonts w:eastAsia="Times New Roman" w:cs="Arial"/>
                <w:i/>
                <w:iCs/>
                <w:sz w:val="22"/>
                <w:szCs w:val="22"/>
                <w:lang w:eastAsia="en-AU"/>
              </w:rPr>
              <w:t>Autism: The International Journal of Research &amp; Practice, 24</w:t>
            </w:r>
            <w:r w:rsidRPr="00376175">
              <w:rPr>
                <w:rFonts w:eastAsia="Times New Roman" w:cs="Arial"/>
                <w:sz w:val="22"/>
                <w:szCs w:val="22"/>
                <w:lang w:eastAsia="en-AU"/>
              </w:rPr>
              <w:t>(3), 617-632.</w:t>
            </w:r>
            <w:r>
              <w:rPr>
                <w:rFonts w:eastAsia="Times New Roman" w:cs="Arial"/>
                <w:sz w:val="22"/>
                <w:szCs w:val="22"/>
                <w:lang w:eastAsia="en-AU"/>
              </w:rPr>
              <w:t xml:space="preserve"> </w:t>
            </w:r>
            <w:r w:rsidRPr="00742304">
              <w:rPr>
                <w:rFonts w:eastAsia="Times New Roman" w:cs="Arial"/>
                <w:sz w:val="22"/>
                <w:szCs w:val="22"/>
                <w:lang w:eastAsia="en-AU"/>
              </w:rPr>
              <w:t>https://doi.org/10.1177/1362361319878080</w:t>
            </w:r>
          </w:p>
        </w:tc>
        <w:tc>
          <w:tcPr>
            <w:tcW w:w="1218" w:type="dxa"/>
          </w:tcPr>
          <w:p w14:paraId="2DBA7BD2" w14:textId="2D786A6D" w:rsidR="001C567C" w:rsidRPr="00756F5E" w:rsidRDefault="001C567C" w:rsidP="001C567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Stahmer et al. (2020)</w:t>
            </w:r>
          </w:p>
        </w:tc>
      </w:tr>
      <w:tr w:rsidR="001C567C" w:rsidRPr="00756F5E" w14:paraId="533B5F1B"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7016720" w14:textId="7773BEE5" w:rsidR="001C567C" w:rsidRPr="00756F5E" w:rsidRDefault="001C567C" w:rsidP="001C567C">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val="it-IT" w:eastAsia="en-AU"/>
              </w:rPr>
              <w:t xml:space="preserve">Strauss, K., Benvenuto, A., Battan, B., Siracusano, M., Terribili, M., Curatolo, P., &amp; Fava, L. (2015). </w:t>
            </w:r>
            <w:r w:rsidRPr="00376175">
              <w:rPr>
                <w:rFonts w:eastAsia="Times New Roman" w:cs="Arial"/>
                <w:sz w:val="22"/>
                <w:szCs w:val="22"/>
                <w:lang w:eastAsia="en-AU"/>
              </w:rPr>
              <w:t xml:space="preserve">Promoting Shared Decision Making to strengthen outcome of young children with Autism Spectrum Disorders: The role of staff competence. </w:t>
            </w:r>
            <w:r w:rsidRPr="00E87600">
              <w:rPr>
                <w:rFonts w:eastAsia="Times New Roman" w:cs="Arial"/>
                <w:i/>
                <w:iCs/>
                <w:sz w:val="22"/>
                <w:szCs w:val="22"/>
                <w:lang w:eastAsia="en-AU"/>
              </w:rPr>
              <w:t>Research in Developmental Disabilities</w:t>
            </w:r>
            <w:r w:rsidRPr="00376175">
              <w:rPr>
                <w:rFonts w:eastAsia="Times New Roman" w:cs="Arial"/>
                <w:sz w:val="22"/>
                <w:szCs w:val="22"/>
                <w:lang w:eastAsia="en-AU"/>
              </w:rPr>
              <w:t xml:space="preserve">, </w:t>
            </w:r>
            <w:r w:rsidRPr="00E87600">
              <w:rPr>
                <w:rFonts w:eastAsia="Times New Roman" w:cs="Arial"/>
                <w:i/>
                <w:iCs/>
                <w:sz w:val="22"/>
                <w:szCs w:val="22"/>
                <w:lang w:val="en-AU" w:eastAsia="en-AU"/>
              </w:rPr>
              <w:t>38</w:t>
            </w:r>
            <w:r w:rsidRPr="00E87600">
              <w:rPr>
                <w:rFonts w:eastAsia="Times New Roman" w:cs="Arial"/>
                <w:sz w:val="22"/>
                <w:szCs w:val="22"/>
                <w:lang w:val="en-AU" w:eastAsia="en-AU"/>
              </w:rPr>
              <w:t>(1), 48-63. https://doi.org/10.1016/j.ridd.2014.11.016</w:t>
            </w:r>
          </w:p>
        </w:tc>
        <w:tc>
          <w:tcPr>
            <w:tcW w:w="1218" w:type="dxa"/>
          </w:tcPr>
          <w:p w14:paraId="3BDE1E40" w14:textId="2E6F45B6" w:rsidR="001C567C" w:rsidRPr="00756F5E" w:rsidRDefault="001C567C" w:rsidP="001C567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Strauss et al. (2015)</w:t>
            </w:r>
          </w:p>
        </w:tc>
      </w:tr>
      <w:tr w:rsidR="001C567C" w:rsidRPr="00756F5E" w14:paraId="0F3A6CC0"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7BC7131" w14:textId="7DD22DF5" w:rsidR="001C567C" w:rsidRPr="00756F5E" w:rsidRDefault="001C567C" w:rsidP="001C567C">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Strogilos, V., &amp; Avramidis, E. (2016). Teaching experiences of students with special educational needs in co-taught and non-co-taught classes. </w:t>
            </w:r>
            <w:r w:rsidRPr="009767CD">
              <w:rPr>
                <w:rFonts w:eastAsia="Times New Roman" w:cs="Arial"/>
                <w:i/>
                <w:iCs/>
                <w:sz w:val="22"/>
                <w:szCs w:val="22"/>
                <w:lang w:eastAsia="en-AU"/>
              </w:rPr>
              <w:t>Journal of Research in Special Educational Needs, 16</w:t>
            </w:r>
            <w:r w:rsidRPr="00376175">
              <w:rPr>
                <w:rFonts w:eastAsia="Times New Roman" w:cs="Arial"/>
                <w:sz w:val="22"/>
                <w:szCs w:val="22"/>
                <w:lang w:eastAsia="en-AU"/>
              </w:rPr>
              <w:t>(1), 24-33.</w:t>
            </w:r>
            <w:r>
              <w:rPr>
                <w:rFonts w:eastAsia="Times New Roman" w:cs="Arial"/>
                <w:sz w:val="22"/>
                <w:szCs w:val="22"/>
                <w:lang w:eastAsia="en-AU"/>
              </w:rPr>
              <w:t xml:space="preserve"> </w:t>
            </w:r>
            <w:r w:rsidRPr="009767CD">
              <w:rPr>
                <w:rFonts w:eastAsia="Times New Roman" w:cs="Arial"/>
                <w:sz w:val="22"/>
                <w:szCs w:val="22"/>
                <w:lang w:val="en-AU" w:eastAsia="en-AU"/>
              </w:rPr>
              <w:t>https://doi.org/10.1111/1471-3802.12052</w:t>
            </w:r>
          </w:p>
        </w:tc>
        <w:tc>
          <w:tcPr>
            <w:tcW w:w="1218" w:type="dxa"/>
          </w:tcPr>
          <w:p w14:paraId="034F2B3D" w14:textId="0339FDDA" w:rsidR="001C567C" w:rsidRPr="00756F5E" w:rsidRDefault="001C567C" w:rsidP="001C567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Strogilos and Avramidis (2016)</w:t>
            </w:r>
          </w:p>
        </w:tc>
      </w:tr>
      <w:tr w:rsidR="00206289" w:rsidRPr="00756F5E" w14:paraId="0B730252"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F6AADF6" w14:textId="538FD004" w:rsidR="00206289" w:rsidRPr="00756F5E" w:rsidRDefault="00206289" w:rsidP="00206289">
            <w:pPr>
              <w:suppressAutoHyphens/>
              <w:spacing w:before="40" w:after="40" w:line="200" w:lineRule="atLeast"/>
              <w:ind w:left="463" w:hanging="463"/>
              <w:rPr>
                <w:rFonts w:eastAsia="Times New Roman" w:cs="Arial"/>
                <w:sz w:val="22"/>
                <w:szCs w:val="22"/>
                <w:lang w:eastAsia="en-AU"/>
              </w:rPr>
            </w:pPr>
            <w:r w:rsidRPr="002665A7">
              <w:rPr>
                <w:rFonts w:eastAsia="Times New Roman" w:cs="Arial"/>
                <w:sz w:val="22"/>
                <w:szCs w:val="22"/>
                <w:lang w:eastAsia="en-AU"/>
              </w:rPr>
              <w:t xml:space="preserve">Wood de Wilde, H., Kojovic, N., Robertson, C., Karr, C., Akman, L., Caccia, F., Costes, A., Etienne, M., Franchini, M., Gentaz, E., &amp; Schaer, M. (2024). Remote intensive intervention for young children on the autism spectrum during covid-19: The experience of caregivers and service providers. </w:t>
            </w:r>
            <w:r w:rsidRPr="002665A7">
              <w:rPr>
                <w:rFonts w:eastAsia="Times New Roman" w:cs="Arial"/>
                <w:i/>
                <w:iCs/>
                <w:sz w:val="22"/>
                <w:szCs w:val="22"/>
                <w:lang w:eastAsia="en-AU"/>
              </w:rPr>
              <w:t>Advances in Neurodevelopmental Disorders, 8</w:t>
            </w:r>
            <w:r w:rsidRPr="002665A7">
              <w:rPr>
                <w:rFonts w:eastAsia="Times New Roman" w:cs="Arial"/>
                <w:sz w:val="22"/>
                <w:szCs w:val="22"/>
                <w:lang w:eastAsia="en-AU"/>
              </w:rPr>
              <w:t xml:space="preserve">(2), 338-354. https://doi.org/10.1007/s41252-023-00339-0 </w:t>
            </w:r>
          </w:p>
        </w:tc>
        <w:tc>
          <w:tcPr>
            <w:tcW w:w="1218" w:type="dxa"/>
          </w:tcPr>
          <w:p w14:paraId="4AA0874A" w14:textId="4F2C1DBE" w:rsidR="00206289" w:rsidRPr="00756F5E" w:rsidRDefault="00206289" w:rsidP="0020628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Wood de Wilde et al. (2024)</w:t>
            </w:r>
          </w:p>
        </w:tc>
      </w:tr>
      <w:tr w:rsidR="00206289" w:rsidRPr="00756F5E" w14:paraId="2BCB400F"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62CAE7F" w14:textId="6A7DD843" w:rsidR="00206289" w:rsidRPr="00756F5E" w:rsidRDefault="00206289" w:rsidP="00206289">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Young, A., Healy, S., Silliman-French, L., &amp; Brian, A. (2021). A pilot study of a parent-mediated, web-based motor skill intervention for children with Down syndrome: Project SKIP. </w:t>
            </w:r>
            <w:r w:rsidRPr="00346476">
              <w:rPr>
                <w:rFonts w:eastAsia="Times New Roman" w:cs="Arial"/>
                <w:i/>
                <w:iCs/>
                <w:sz w:val="22"/>
                <w:szCs w:val="22"/>
                <w:lang w:eastAsia="en-AU"/>
              </w:rPr>
              <w:t>Adapted Physical Activity Quarterly, 38(</w:t>
            </w:r>
            <w:r w:rsidRPr="00376175">
              <w:rPr>
                <w:rFonts w:eastAsia="Times New Roman" w:cs="Arial"/>
                <w:sz w:val="22"/>
                <w:szCs w:val="22"/>
                <w:lang w:eastAsia="en-AU"/>
              </w:rPr>
              <w:t>3), 452-473.</w:t>
            </w:r>
            <w:r>
              <w:rPr>
                <w:rFonts w:eastAsia="Times New Roman" w:cs="Arial"/>
                <w:sz w:val="22"/>
                <w:szCs w:val="22"/>
                <w:lang w:eastAsia="en-AU"/>
              </w:rPr>
              <w:t xml:space="preserve"> </w:t>
            </w:r>
            <w:r w:rsidRPr="00346476">
              <w:rPr>
                <w:rFonts w:eastAsia="Times New Roman" w:cs="Arial"/>
                <w:sz w:val="22"/>
                <w:szCs w:val="22"/>
                <w:lang w:val="en-AU" w:eastAsia="en-AU"/>
              </w:rPr>
              <w:t>https://doi.org/10.1123/apaq.2020-0171</w:t>
            </w:r>
          </w:p>
        </w:tc>
        <w:tc>
          <w:tcPr>
            <w:tcW w:w="1218" w:type="dxa"/>
          </w:tcPr>
          <w:p w14:paraId="0B2F2C82" w14:textId="78DE8529" w:rsidR="00206289" w:rsidRPr="00756F5E" w:rsidRDefault="00206289" w:rsidP="0020628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Young et al. (2021)</w:t>
            </w:r>
          </w:p>
        </w:tc>
      </w:tr>
      <w:tr w:rsidR="009A42D2" w:rsidRPr="00756F5E" w14:paraId="38D2FAE8"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shd w:val="clear" w:color="auto" w:fill="DAE2E6"/>
          </w:tcPr>
          <w:p w14:paraId="2F654835" w14:textId="77777777" w:rsidR="009A42D2" w:rsidRPr="00756F5E" w:rsidRDefault="009A42D2" w:rsidP="009A42D2">
            <w:pPr>
              <w:suppressAutoHyphens/>
              <w:spacing w:before="40" w:after="40" w:line="200" w:lineRule="atLeast"/>
              <w:ind w:left="463" w:hanging="463"/>
              <w:rPr>
                <w:rFonts w:eastAsia="Times New Roman" w:cs="Arial"/>
                <w:sz w:val="22"/>
                <w:szCs w:val="22"/>
                <w:lang w:eastAsia="en-AU"/>
              </w:rPr>
            </w:pPr>
            <w:r w:rsidRPr="00756F5E">
              <w:rPr>
                <w:rFonts w:eastAsia="Times New Roman" w:cs="Arial"/>
                <w:b/>
                <w:bCs/>
                <w:sz w:val="22"/>
                <w:szCs w:val="22"/>
                <w:lang w:eastAsia="en-AU"/>
              </w:rPr>
              <w:t>Pre-post test designs, not extracted</w:t>
            </w:r>
          </w:p>
        </w:tc>
        <w:tc>
          <w:tcPr>
            <w:tcW w:w="1218" w:type="dxa"/>
            <w:shd w:val="clear" w:color="auto" w:fill="DAE2E6"/>
          </w:tcPr>
          <w:p w14:paraId="5B8FDB0A" w14:textId="77777777" w:rsidR="009A42D2" w:rsidRPr="00756F5E" w:rsidRDefault="009A42D2" w:rsidP="009A42D2">
            <w:pPr>
              <w:suppressAutoHyphens/>
              <w:spacing w:before="40" w:after="40" w:line="200" w:lineRule="atLeast"/>
              <w:rPr>
                <w:rFonts w:eastAsia="Times New Roman" w:cs="Arial"/>
                <w:sz w:val="22"/>
                <w:szCs w:val="22"/>
                <w:lang w:eastAsia="en-AU"/>
              </w:rPr>
            </w:pPr>
          </w:p>
        </w:tc>
      </w:tr>
      <w:tr w:rsidR="002D375A" w:rsidRPr="00756F5E" w14:paraId="2AFA5FD8"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0F05BD1" w14:textId="0BA77BA5" w:rsidR="002D375A" w:rsidRPr="00756F5E" w:rsidRDefault="002D375A" w:rsidP="002D375A">
            <w:pPr>
              <w:suppressAutoHyphens/>
              <w:spacing w:before="40" w:after="40" w:line="200" w:lineRule="atLeast"/>
              <w:ind w:left="463" w:hanging="463"/>
              <w:rPr>
                <w:rFonts w:eastAsia="Times New Roman" w:cs="Arial"/>
                <w:sz w:val="22"/>
                <w:szCs w:val="22"/>
                <w:lang w:eastAsia="en-AU"/>
              </w:rPr>
            </w:pPr>
            <w:r w:rsidRPr="00BF23DF">
              <w:rPr>
                <w:rFonts w:eastAsia="Times New Roman" w:cs="Arial"/>
                <w:sz w:val="22"/>
                <w:szCs w:val="22"/>
                <w:lang w:eastAsia="en-AU"/>
              </w:rPr>
              <w:t xml:space="preserve">Arthur-Kelly, M., Farrell, G., De Bortoli, T., Lyons, G., Hinchey, F., Ho, F. C., Opartkiattikul, W., Baker, F., &amp; Fairfax, W. (2017). The reported effects of a systematic professional learning program on the knowledge, skills, and concerns of Australian early childhood educators who support young children displaying or at risk of challenging behaviours. </w:t>
            </w:r>
            <w:r w:rsidRPr="00BF23DF">
              <w:rPr>
                <w:rFonts w:eastAsia="Times New Roman" w:cs="Arial"/>
                <w:i/>
                <w:iCs/>
                <w:sz w:val="22"/>
                <w:szCs w:val="22"/>
                <w:lang w:eastAsia="en-AU"/>
              </w:rPr>
              <w:t>International Journal of Disability Development and Education, 64</w:t>
            </w:r>
            <w:r w:rsidRPr="00BF23DF">
              <w:rPr>
                <w:rFonts w:eastAsia="Times New Roman" w:cs="Arial"/>
                <w:sz w:val="22"/>
                <w:szCs w:val="22"/>
                <w:lang w:eastAsia="en-AU"/>
              </w:rPr>
              <w:t xml:space="preserve">(2), 131-149. https://doi.org/10.1080/1034912x.2016.1181258 </w:t>
            </w:r>
          </w:p>
        </w:tc>
        <w:tc>
          <w:tcPr>
            <w:tcW w:w="1218" w:type="dxa"/>
          </w:tcPr>
          <w:p w14:paraId="6FFF29FA" w14:textId="333F2543" w:rsidR="002D375A" w:rsidRPr="00756F5E" w:rsidRDefault="002D375A" w:rsidP="002D37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Arthur-Kelly et al. (2017)</w:t>
            </w:r>
          </w:p>
        </w:tc>
      </w:tr>
      <w:tr w:rsidR="002D375A" w:rsidRPr="00756F5E" w14:paraId="0E1BB210"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23BBD41" w14:textId="18853749" w:rsidR="002D375A" w:rsidRPr="00756F5E" w:rsidRDefault="002D375A" w:rsidP="002D375A">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Azevedo, A., Seabra-Santos, M., Gaspar, M., &amp; Homem, T. (2014). A parent-based intervention programme involving preschoolers with AD/HD behaviours: are children's and mothers' effects sustained over time? </w:t>
            </w:r>
            <w:r w:rsidRPr="007E0CEB">
              <w:rPr>
                <w:rFonts w:eastAsia="Times New Roman" w:cs="Arial"/>
                <w:i/>
                <w:iCs/>
                <w:sz w:val="22"/>
                <w:szCs w:val="22"/>
                <w:lang w:eastAsia="en-AU"/>
              </w:rPr>
              <w:t>European Child &amp; Adolescent Psychiatry, 23</w:t>
            </w:r>
            <w:r w:rsidRPr="00376175">
              <w:rPr>
                <w:rFonts w:eastAsia="Times New Roman" w:cs="Arial"/>
                <w:sz w:val="22"/>
                <w:szCs w:val="22"/>
                <w:lang w:eastAsia="en-AU"/>
              </w:rPr>
              <w:t>(6), 437-450.</w:t>
            </w:r>
            <w:r>
              <w:rPr>
                <w:rFonts w:eastAsia="Times New Roman" w:cs="Arial"/>
                <w:sz w:val="22"/>
                <w:szCs w:val="22"/>
                <w:lang w:eastAsia="en-AU"/>
              </w:rPr>
              <w:t xml:space="preserve"> </w:t>
            </w:r>
            <w:r w:rsidRPr="007E0CEB">
              <w:rPr>
                <w:rFonts w:eastAsia="Times New Roman" w:cs="Arial"/>
                <w:sz w:val="22"/>
                <w:szCs w:val="22"/>
                <w:lang w:val="en-AU" w:eastAsia="en-AU"/>
              </w:rPr>
              <w:t>https://doi.org/10.1007/s00787-013-0470-2</w:t>
            </w:r>
          </w:p>
        </w:tc>
        <w:tc>
          <w:tcPr>
            <w:tcW w:w="1218" w:type="dxa"/>
          </w:tcPr>
          <w:p w14:paraId="28D85403" w14:textId="49A6AAFC" w:rsidR="002D375A" w:rsidRPr="00756F5E" w:rsidRDefault="002D375A" w:rsidP="002D37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Azevedo et al. (2014)</w:t>
            </w:r>
          </w:p>
        </w:tc>
      </w:tr>
      <w:tr w:rsidR="002D375A" w:rsidRPr="00756F5E" w14:paraId="654B2CB5"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78AC16A" w14:textId="19FA599E" w:rsidR="002D375A" w:rsidRPr="00756F5E" w:rsidRDefault="002D375A" w:rsidP="002D375A">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Blanc, R., Latinus, M., Guidotti, M., Adrien, J.-L., Roux, S., Dansart, P., Barthelemy, C., Rambault, A., Bonnet-Brilhault, F., &amp; Malvy, J. (2021). </w:t>
            </w:r>
            <w:r w:rsidRPr="00841B72">
              <w:rPr>
                <w:rFonts w:eastAsia="Times New Roman" w:cs="Arial"/>
                <w:sz w:val="22"/>
                <w:szCs w:val="22"/>
                <w:lang w:val="en-AU" w:eastAsia="en-AU"/>
              </w:rPr>
              <w:t>Early intervention in severe autism: positive outcome using exchange and development therapy</w:t>
            </w:r>
            <w:r w:rsidRPr="00376175">
              <w:rPr>
                <w:rFonts w:eastAsia="Times New Roman" w:cs="Arial"/>
                <w:sz w:val="22"/>
                <w:szCs w:val="22"/>
                <w:lang w:eastAsia="en-AU"/>
              </w:rPr>
              <w:t xml:space="preserve">. </w:t>
            </w:r>
            <w:r w:rsidRPr="00841B72">
              <w:rPr>
                <w:rFonts w:eastAsia="Times New Roman" w:cs="Arial"/>
                <w:i/>
                <w:iCs/>
                <w:sz w:val="22"/>
                <w:szCs w:val="22"/>
                <w:lang w:eastAsia="en-AU"/>
              </w:rPr>
              <w:t>Frontiers in Pediatrics,</w:t>
            </w:r>
            <w:r w:rsidRPr="00376175">
              <w:rPr>
                <w:rFonts w:eastAsia="Times New Roman" w:cs="Arial"/>
                <w:sz w:val="22"/>
                <w:szCs w:val="22"/>
                <w:lang w:eastAsia="en-AU"/>
              </w:rPr>
              <w:t xml:space="preserve"> </w:t>
            </w:r>
            <w:r w:rsidRPr="0042374F">
              <w:rPr>
                <w:rFonts w:eastAsia="Times New Roman" w:cs="Arial"/>
                <w:i/>
                <w:iCs/>
                <w:sz w:val="22"/>
                <w:szCs w:val="22"/>
                <w:lang w:val="en-AU" w:eastAsia="en-AU"/>
              </w:rPr>
              <w:t>9</w:t>
            </w:r>
            <w:r w:rsidRPr="0042374F">
              <w:rPr>
                <w:rFonts w:eastAsia="Times New Roman" w:cs="Arial"/>
                <w:sz w:val="22"/>
                <w:szCs w:val="22"/>
                <w:lang w:val="en-AU" w:eastAsia="en-AU"/>
              </w:rPr>
              <w:t>, 785762.</w:t>
            </w:r>
            <w:r>
              <w:rPr>
                <w:rFonts w:eastAsia="Times New Roman" w:cs="Arial"/>
                <w:sz w:val="22"/>
                <w:szCs w:val="22"/>
                <w:lang w:val="en-AU" w:eastAsia="en-AU"/>
              </w:rPr>
              <w:t xml:space="preserve"> </w:t>
            </w:r>
            <w:r w:rsidRPr="00841B72">
              <w:rPr>
                <w:rFonts w:eastAsia="Times New Roman" w:cs="Arial"/>
                <w:sz w:val="22"/>
                <w:szCs w:val="22"/>
                <w:lang w:val="en-AU" w:eastAsia="en-AU"/>
              </w:rPr>
              <w:t>https://doi.org/10.3389/fped.2021.785762</w:t>
            </w:r>
          </w:p>
        </w:tc>
        <w:tc>
          <w:tcPr>
            <w:tcW w:w="1218" w:type="dxa"/>
          </w:tcPr>
          <w:p w14:paraId="012AE2CB" w14:textId="344CD499" w:rsidR="002D375A" w:rsidRPr="00756F5E" w:rsidRDefault="002D375A" w:rsidP="002D37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Blanc et al. (2021)</w:t>
            </w:r>
          </w:p>
        </w:tc>
      </w:tr>
      <w:tr w:rsidR="002D375A" w:rsidRPr="00756F5E" w14:paraId="46445C11"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FFF06FB" w14:textId="0284AF07" w:rsidR="002D375A" w:rsidRPr="00756F5E" w:rsidRDefault="002D375A" w:rsidP="002D375A">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Blanche, E. I., Chang, M. C., Gutierrez, J., &amp; Gunter, J. S. (2016). </w:t>
            </w:r>
            <w:r w:rsidRPr="00436B0B">
              <w:rPr>
                <w:rFonts w:eastAsia="Times New Roman" w:cs="Arial"/>
                <w:sz w:val="22"/>
                <w:szCs w:val="22"/>
                <w:lang w:eastAsia="en-AU"/>
              </w:rPr>
              <w:t xml:space="preserve">Effectiveness of a sensory-enriched early intervention group program for children with developmental disabilities. </w:t>
            </w:r>
            <w:r w:rsidRPr="00820AED">
              <w:rPr>
                <w:rFonts w:eastAsia="Times New Roman" w:cs="Arial"/>
                <w:i/>
                <w:iCs/>
                <w:sz w:val="22"/>
                <w:szCs w:val="22"/>
                <w:lang w:eastAsia="en-AU"/>
              </w:rPr>
              <w:t>American Journal of Occupational Therapy, 70(</w:t>
            </w:r>
            <w:r w:rsidRPr="00436B0B">
              <w:rPr>
                <w:rFonts w:eastAsia="Times New Roman" w:cs="Arial"/>
                <w:sz w:val="22"/>
                <w:szCs w:val="22"/>
                <w:lang w:eastAsia="en-AU"/>
              </w:rPr>
              <w:t>5), 7005220010p1–7005220010p8. https://doi.org/10.5014/ajot.2016.018481</w:t>
            </w:r>
          </w:p>
        </w:tc>
        <w:tc>
          <w:tcPr>
            <w:tcW w:w="1218" w:type="dxa"/>
          </w:tcPr>
          <w:p w14:paraId="45BB875A" w14:textId="373B50EC" w:rsidR="002D375A" w:rsidRPr="00756F5E" w:rsidRDefault="002D375A" w:rsidP="002D37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Blanche et al. (2016)</w:t>
            </w:r>
          </w:p>
        </w:tc>
      </w:tr>
      <w:tr w:rsidR="002D375A" w:rsidRPr="00756F5E" w14:paraId="00DE4C7A"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78CBFE2" w14:textId="79BAEEDC" w:rsidR="002D375A" w:rsidRPr="00756F5E" w:rsidRDefault="002D375A" w:rsidP="002D375A">
            <w:pPr>
              <w:suppressAutoHyphens/>
              <w:spacing w:before="40" w:after="40" w:line="200" w:lineRule="atLeast"/>
              <w:ind w:left="463" w:hanging="463"/>
              <w:rPr>
                <w:rFonts w:eastAsia="Times New Roman" w:cs="Arial"/>
                <w:sz w:val="22"/>
                <w:szCs w:val="22"/>
                <w:lang w:eastAsia="en-AU"/>
              </w:rPr>
            </w:pPr>
            <w:r w:rsidRPr="005C0C39">
              <w:rPr>
                <w:rFonts w:eastAsia="Times New Roman" w:cs="Arial"/>
                <w:sz w:val="22"/>
                <w:szCs w:val="22"/>
                <w:lang w:val="it-IT" w:eastAsia="en-AU"/>
              </w:rPr>
              <w:t xml:space="preserve">Briet, G., Le Maner-Idrissi, G., Seveno, T., Lemarec, O., &amp; Le Sourn-Bissaoui, S. (2023). </w:t>
            </w:r>
            <w:r w:rsidRPr="004A7F0C">
              <w:rPr>
                <w:rFonts w:eastAsia="Times New Roman" w:cs="Arial"/>
                <w:sz w:val="22"/>
                <w:szCs w:val="22"/>
                <w:lang w:eastAsia="en-AU"/>
              </w:rPr>
              <w:t xml:space="preserve">Developmental follow-up of children with autism spectrum disorder enrolled in inclusive units in france: outcomes and correlates of change. </w:t>
            </w:r>
            <w:r w:rsidRPr="004A7F0C">
              <w:rPr>
                <w:rFonts w:eastAsia="Times New Roman" w:cs="Arial"/>
                <w:i/>
                <w:iCs/>
                <w:sz w:val="22"/>
                <w:szCs w:val="22"/>
                <w:lang w:eastAsia="en-AU"/>
              </w:rPr>
              <w:t>International Journal of Disability, Development &amp; Education, 70</w:t>
            </w:r>
            <w:r w:rsidRPr="004A7F0C">
              <w:rPr>
                <w:rFonts w:eastAsia="Times New Roman" w:cs="Arial"/>
                <w:sz w:val="22"/>
                <w:szCs w:val="22"/>
                <w:lang w:eastAsia="en-AU"/>
              </w:rPr>
              <w:t xml:space="preserve">(5), 604-624. https://doi.org/10.1080/1034912X.2021.1921123 </w:t>
            </w:r>
          </w:p>
        </w:tc>
        <w:tc>
          <w:tcPr>
            <w:tcW w:w="1218" w:type="dxa"/>
          </w:tcPr>
          <w:p w14:paraId="7DAA146B" w14:textId="136A7552" w:rsidR="002D375A" w:rsidRPr="00756F5E" w:rsidRDefault="002D375A" w:rsidP="002D37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Briet et al. (2023)</w:t>
            </w:r>
          </w:p>
        </w:tc>
      </w:tr>
      <w:tr w:rsidR="002D375A" w:rsidRPr="00756F5E" w14:paraId="454888C7"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B28A4AE" w14:textId="762386F4" w:rsidR="002D375A" w:rsidRPr="00756F5E" w:rsidRDefault="002D375A" w:rsidP="002D375A">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Brown, J. A., &amp; Woods, J. J. (2016). Parent-</w:t>
            </w:r>
            <w:r>
              <w:rPr>
                <w:rFonts w:eastAsia="Times New Roman" w:cs="Arial"/>
                <w:sz w:val="22"/>
                <w:szCs w:val="22"/>
                <w:lang w:eastAsia="en-AU"/>
              </w:rPr>
              <w:t>i</w:t>
            </w:r>
            <w:r w:rsidRPr="00376175">
              <w:rPr>
                <w:rFonts w:eastAsia="Times New Roman" w:cs="Arial"/>
                <w:sz w:val="22"/>
                <w:szCs w:val="22"/>
                <w:lang w:eastAsia="en-AU"/>
              </w:rPr>
              <w:t xml:space="preserve">mplemented </w:t>
            </w:r>
            <w:r>
              <w:rPr>
                <w:rFonts w:eastAsia="Times New Roman" w:cs="Arial"/>
                <w:sz w:val="22"/>
                <w:szCs w:val="22"/>
                <w:lang w:eastAsia="en-AU"/>
              </w:rPr>
              <w:t>c</w:t>
            </w:r>
            <w:r w:rsidRPr="00376175">
              <w:rPr>
                <w:rFonts w:eastAsia="Times New Roman" w:cs="Arial"/>
                <w:sz w:val="22"/>
                <w:szCs w:val="22"/>
                <w:lang w:eastAsia="en-AU"/>
              </w:rPr>
              <w:t xml:space="preserve">ommunication </w:t>
            </w:r>
            <w:r>
              <w:rPr>
                <w:rFonts w:eastAsia="Times New Roman" w:cs="Arial"/>
                <w:sz w:val="22"/>
                <w:szCs w:val="22"/>
                <w:lang w:eastAsia="en-AU"/>
              </w:rPr>
              <w:t>i</w:t>
            </w:r>
            <w:r w:rsidRPr="00376175">
              <w:rPr>
                <w:rFonts w:eastAsia="Times New Roman" w:cs="Arial"/>
                <w:sz w:val="22"/>
                <w:szCs w:val="22"/>
                <w:lang w:eastAsia="en-AU"/>
              </w:rPr>
              <w:t xml:space="preserve">ntervention. </w:t>
            </w:r>
            <w:r w:rsidRPr="00A90C5C">
              <w:rPr>
                <w:rFonts w:eastAsia="Times New Roman" w:cs="Arial"/>
                <w:i/>
                <w:iCs/>
                <w:sz w:val="22"/>
                <w:szCs w:val="22"/>
                <w:lang w:eastAsia="en-AU"/>
              </w:rPr>
              <w:t>Topics in Early Childhood Special Education, 36</w:t>
            </w:r>
            <w:r w:rsidRPr="00376175">
              <w:rPr>
                <w:rFonts w:eastAsia="Times New Roman" w:cs="Arial"/>
                <w:sz w:val="22"/>
                <w:szCs w:val="22"/>
                <w:lang w:eastAsia="en-AU"/>
              </w:rPr>
              <w:t>(2), 115-124.</w:t>
            </w:r>
            <w:r>
              <w:rPr>
                <w:rFonts w:eastAsia="Times New Roman" w:cs="Arial"/>
                <w:sz w:val="22"/>
                <w:szCs w:val="22"/>
                <w:lang w:eastAsia="en-AU"/>
              </w:rPr>
              <w:t xml:space="preserve"> </w:t>
            </w:r>
            <w:r w:rsidRPr="00A90C5C">
              <w:rPr>
                <w:rFonts w:eastAsia="Times New Roman" w:cs="Arial"/>
                <w:sz w:val="22"/>
                <w:szCs w:val="22"/>
                <w:lang w:val="en-AU" w:eastAsia="en-AU"/>
              </w:rPr>
              <w:t>https://doi.org/10.1177/0271121416628200</w:t>
            </w:r>
          </w:p>
        </w:tc>
        <w:tc>
          <w:tcPr>
            <w:tcW w:w="1218" w:type="dxa"/>
          </w:tcPr>
          <w:p w14:paraId="1142A88B" w14:textId="4BFD395F" w:rsidR="002D375A" w:rsidRPr="00756F5E" w:rsidRDefault="002D375A" w:rsidP="002D37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Brown and Woods (2016)</w:t>
            </w:r>
          </w:p>
        </w:tc>
      </w:tr>
      <w:tr w:rsidR="00921C5A" w:rsidRPr="00756F5E" w14:paraId="7AAF7FFF"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AB4218C" w14:textId="4C8EDFBB" w:rsidR="00921C5A" w:rsidRPr="00756F5E" w:rsidRDefault="00921C5A" w:rsidP="00921C5A">
            <w:pPr>
              <w:suppressAutoHyphens/>
              <w:spacing w:before="40" w:after="40" w:line="200" w:lineRule="atLeast"/>
              <w:ind w:left="463" w:hanging="463"/>
              <w:rPr>
                <w:rFonts w:eastAsia="Times New Roman" w:cs="Arial"/>
                <w:sz w:val="22"/>
                <w:szCs w:val="22"/>
                <w:lang w:eastAsia="en-AU"/>
              </w:rPr>
            </w:pPr>
            <w:r w:rsidRPr="00931F42">
              <w:rPr>
                <w:rFonts w:eastAsia="Times New Roman" w:cs="Arial"/>
                <w:sz w:val="22"/>
                <w:szCs w:val="22"/>
                <w:lang w:eastAsia="en-AU"/>
              </w:rPr>
              <w:t xml:space="preserve">Carbone, P. S., Norlin, C., &amp; Young, P. C. (2016). Improving early identification and ongoing care of children with autism spectrum disorder. </w:t>
            </w:r>
            <w:r w:rsidRPr="00931F42">
              <w:rPr>
                <w:rFonts w:eastAsia="Times New Roman" w:cs="Arial"/>
                <w:i/>
                <w:iCs/>
                <w:sz w:val="22"/>
                <w:szCs w:val="22"/>
                <w:lang w:eastAsia="en-AU"/>
              </w:rPr>
              <w:t>Pediatrics, 137</w:t>
            </w:r>
            <w:r w:rsidRPr="00931F42">
              <w:rPr>
                <w:rFonts w:eastAsia="Times New Roman" w:cs="Arial"/>
                <w:sz w:val="22"/>
                <w:szCs w:val="22"/>
                <w:lang w:eastAsia="en-AU"/>
              </w:rPr>
              <w:t xml:space="preserve">(6), e20151850. https://doi.org/10.1542/peds.2015-1850 </w:t>
            </w:r>
          </w:p>
        </w:tc>
        <w:tc>
          <w:tcPr>
            <w:tcW w:w="1218" w:type="dxa"/>
          </w:tcPr>
          <w:p w14:paraId="3B77B6E0" w14:textId="2029EA31" w:rsidR="00921C5A" w:rsidRPr="00756F5E" w:rsidRDefault="00921C5A" w:rsidP="00921C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Carbone et al. (2016)</w:t>
            </w:r>
          </w:p>
        </w:tc>
      </w:tr>
      <w:tr w:rsidR="00921C5A" w:rsidRPr="00756F5E" w14:paraId="757B389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39CE448F" w14:textId="3818BB83" w:rsidR="00921C5A" w:rsidRPr="00756F5E" w:rsidRDefault="00921C5A" w:rsidP="00921C5A">
            <w:pPr>
              <w:suppressAutoHyphens/>
              <w:spacing w:before="40" w:after="40" w:line="200" w:lineRule="atLeast"/>
              <w:ind w:left="463" w:hanging="463"/>
              <w:rPr>
                <w:rFonts w:eastAsia="Times New Roman" w:cs="Arial"/>
                <w:sz w:val="22"/>
                <w:szCs w:val="22"/>
                <w:lang w:eastAsia="en-AU"/>
              </w:rPr>
            </w:pPr>
            <w:r w:rsidRPr="005C0C39">
              <w:rPr>
                <w:rFonts w:eastAsia="Times New Roman" w:cs="Arial"/>
                <w:sz w:val="22"/>
                <w:szCs w:val="22"/>
                <w:lang w:val="it-IT" w:eastAsia="en-AU"/>
              </w:rPr>
              <w:t xml:space="preserve">Chiappe, J. C., Dellinger, A. M., Coddington, C., &amp; Selmi, A. (2022). </w:t>
            </w:r>
            <w:r w:rsidRPr="008C7E57">
              <w:rPr>
                <w:rFonts w:eastAsia="Times New Roman" w:cs="Arial"/>
                <w:sz w:val="22"/>
                <w:szCs w:val="22"/>
                <w:lang w:eastAsia="en-AU"/>
              </w:rPr>
              <w:t xml:space="preserve">Family group conferencing in inclusive preschool classrooms during distance learning. </w:t>
            </w:r>
            <w:r w:rsidRPr="008C7E57">
              <w:rPr>
                <w:rFonts w:eastAsia="Times New Roman" w:cs="Arial"/>
                <w:i/>
                <w:iCs/>
                <w:sz w:val="22"/>
                <w:szCs w:val="22"/>
                <w:lang w:eastAsia="en-AU"/>
              </w:rPr>
              <w:t>Issues in Teacher Education, 31</w:t>
            </w:r>
            <w:r w:rsidRPr="008C7E57">
              <w:rPr>
                <w:rFonts w:eastAsia="Times New Roman" w:cs="Arial"/>
                <w:sz w:val="22"/>
                <w:szCs w:val="22"/>
                <w:lang w:eastAsia="en-AU"/>
              </w:rPr>
              <w:t>(2), 50-71. https://search.ebscohost.com/login.aspx?direct=true&amp;AuthType=sso&amp;db=eric&amp;AN=EJ1362765&amp;site=ehost-live&amp;custid=s2775460</w:t>
            </w:r>
          </w:p>
        </w:tc>
        <w:tc>
          <w:tcPr>
            <w:tcW w:w="1218" w:type="dxa"/>
          </w:tcPr>
          <w:p w14:paraId="39290395" w14:textId="27DE5D8C" w:rsidR="00921C5A" w:rsidRPr="00756F5E" w:rsidRDefault="00921C5A" w:rsidP="00921C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Chiappe et al. (2022)</w:t>
            </w:r>
          </w:p>
        </w:tc>
      </w:tr>
      <w:tr w:rsidR="00921C5A" w:rsidRPr="00756F5E" w14:paraId="47B282DC"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337651C" w14:textId="18B77CE2" w:rsidR="00921C5A" w:rsidRPr="00756F5E" w:rsidRDefault="00921C5A" w:rsidP="00921C5A">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Foran, D., Hoerger, M., Philpott, H., Jones, E. W., Hughes, J. C., &amp; Morgan, J. (2015). Using applied behaviour analysis as standard practice in a UK special needs school. </w:t>
            </w:r>
            <w:r w:rsidRPr="001B4F28">
              <w:rPr>
                <w:rFonts w:eastAsia="Times New Roman" w:cs="Arial"/>
                <w:i/>
                <w:iCs/>
                <w:sz w:val="22"/>
                <w:szCs w:val="22"/>
                <w:lang w:eastAsia="en-AU"/>
              </w:rPr>
              <w:t>British Journal of Special Education, 42</w:t>
            </w:r>
            <w:r w:rsidRPr="00376175">
              <w:rPr>
                <w:rFonts w:eastAsia="Times New Roman" w:cs="Arial"/>
                <w:sz w:val="22"/>
                <w:szCs w:val="22"/>
                <w:lang w:eastAsia="en-AU"/>
              </w:rPr>
              <w:t>(1), 34-52.</w:t>
            </w:r>
            <w:r>
              <w:rPr>
                <w:rFonts w:eastAsia="Times New Roman" w:cs="Arial"/>
                <w:sz w:val="22"/>
                <w:szCs w:val="22"/>
                <w:lang w:eastAsia="en-AU"/>
              </w:rPr>
              <w:t xml:space="preserve"> </w:t>
            </w:r>
            <w:r w:rsidRPr="001B4F28">
              <w:rPr>
                <w:rFonts w:eastAsia="Times New Roman" w:cs="Arial"/>
                <w:sz w:val="22"/>
                <w:szCs w:val="22"/>
                <w:lang w:val="en-AU" w:eastAsia="en-AU"/>
              </w:rPr>
              <w:t>https://doi.org/10.1111/1467-8578.12088</w:t>
            </w:r>
          </w:p>
        </w:tc>
        <w:tc>
          <w:tcPr>
            <w:tcW w:w="1218" w:type="dxa"/>
          </w:tcPr>
          <w:p w14:paraId="4F2E8BB5" w14:textId="523EA658" w:rsidR="00921C5A" w:rsidRPr="00756F5E" w:rsidRDefault="00921C5A" w:rsidP="00921C5A">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Foran et al. (2015)</w:t>
            </w:r>
          </w:p>
        </w:tc>
      </w:tr>
      <w:tr w:rsidR="009B10ED" w:rsidRPr="00756F5E" w14:paraId="73FF4258"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652FF2D" w14:textId="4880594E" w:rsidR="009B10ED" w:rsidRPr="00756F5E" w:rsidRDefault="009B10ED" w:rsidP="009B10ED">
            <w:pPr>
              <w:suppressAutoHyphens/>
              <w:spacing w:before="40" w:after="40" w:line="200" w:lineRule="atLeast"/>
              <w:ind w:left="463" w:hanging="463"/>
              <w:rPr>
                <w:rFonts w:eastAsia="Times New Roman" w:cs="Arial"/>
                <w:sz w:val="22"/>
                <w:szCs w:val="22"/>
                <w:lang w:eastAsia="en-AU"/>
              </w:rPr>
            </w:pPr>
            <w:r w:rsidRPr="00197F55">
              <w:rPr>
                <w:rFonts w:eastAsia="Times New Roman" w:cs="Arial"/>
                <w:sz w:val="22"/>
                <w:szCs w:val="22"/>
                <w:lang w:eastAsia="en-AU"/>
              </w:rPr>
              <w:t xml:space="preserve">Gammer, K., &amp; Brown, E. V. D. (2023). Prompting play for preschoolers with intellectual and developmental disability: A pilot investigation of an occupational therapy led virtual workshop series. </w:t>
            </w:r>
            <w:r w:rsidRPr="00197F55">
              <w:rPr>
                <w:rFonts w:eastAsia="Times New Roman" w:cs="Arial"/>
                <w:i/>
                <w:iCs/>
                <w:sz w:val="22"/>
                <w:szCs w:val="22"/>
                <w:lang w:eastAsia="en-AU"/>
              </w:rPr>
              <w:t>Journal of Occupational Therapy, Schools &amp; Early Intervention, 16</w:t>
            </w:r>
            <w:r w:rsidRPr="00197F55">
              <w:rPr>
                <w:rFonts w:eastAsia="Times New Roman" w:cs="Arial"/>
                <w:sz w:val="22"/>
                <w:szCs w:val="22"/>
                <w:lang w:eastAsia="en-AU"/>
              </w:rPr>
              <w:t>(2), 126-137. https://doi.org/10.1080/19411243.2022.2027837</w:t>
            </w:r>
          </w:p>
        </w:tc>
        <w:tc>
          <w:tcPr>
            <w:tcW w:w="1218" w:type="dxa"/>
          </w:tcPr>
          <w:p w14:paraId="59141F3D" w14:textId="7EEEEF48" w:rsidR="009B10ED" w:rsidRPr="00756F5E" w:rsidRDefault="009B10ED" w:rsidP="009B10E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Gammer and Brown (2023)</w:t>
            </w:r>
          </w:p>
        </w:tc>
      </w:tr>
      <w:tr w:rsidR="009B10ED" w:rsidRPr="00756F5E" w14:paraId="534F2440"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2A12C59" w14:textId="5ADBEEC6" w:rsidR="009B10ED" w:rsidRPr="00756F5E" w:rsidRDefault="009B10ED" w:rsidP="009B10ED">
            <w:pPr>
              <w:suppressAutoHyphens/>
              <w:spacing w:before="40" w:after="40" w:line="200" w:lineRule="atLeast"/>
              <w:ind w:left="463" w:hanging="463"/>
              <w:rPr>
                <w:rFonts w:eastAsia="Times New Roman" w:cs="Arial"/>
                <w:sz w:val="22"/>
                <w:szCs w:val="22"/>
                <w:lang w:eastAsia="en-AU"/>
              </w:rPr>
            </w:pPr>
            <w:r w:rsidRPr="005C0C39">
              <w:rPr>
                <w:rFonts w:eastAsia="Times New Roman" w:cs="Arial"/>
                <w:sz w:val="22"/>
                <w:szCs w:val="22"/>
                <w:lang w:val="it-IT" w:eastAsia="en-AU"/>
              </w:rPr>
              <w:t xml:space="preserve">Gentile, M., Messineo, L., La Guardia, D., Arrigo, M., Città, G., Ayala, A., Cusimano, G., Martines, P., Mendolia, G., &amp; Allegra, M. (2022). </w:t>
            </w:r>
            <w:r w:rsidRPr="00D93784">
              <w:rPr>
                <w:rFonts w:eastAsia="Times New Roman" w:cs="Arial"/>
                <w:sz w:val="22"/>
                <w:szCs w:val="22"/>
                <w:lang w:eastAsia="en-AU"/>
              </w:rPr>
              <w:t xml:space="preserve">A parent-mediated telehealth program for children with autism spectrum disorder: Promoting parents' ability to stimulate the children's learning, reduce parenting stress, and boost their sense of parenting empowerment. </w:t>
            </w:r>
            <w:r w:rsidRPr="00D93784">
              <w:rPr>
                <w:rFonts w:eastAsia="Times New Roman" w:cs="Arial"/>
                <w:i/>
                <w:iCs/>
                <w:sz w:val="22"/>
                <w:szCs w:val="22"/>
                <w:lang w:eastAsia="en-AU"/>
              </w:rPr>
              <w:t>Journal of Autism and Developmental Disorders, 52</w:t>
            </w:r>
            <w:r w:rsidRPr="00D93784">
              <w:rPr>
                <w:rFonts w:eastAsia="Times New Roman" w:cs="Arial"/>
                <w:sz w:val="22"/>
                <w:szCs w:val="22"/>
                <w:lang w:eastAsia="en-AU"/>
              </w:rPr>
              <w:t xml:space="preserve">(12), 5285-5300. https://doi.org/10.1007/s10803-022-05482-6 </w:t>
            </w:r>
          </w:p>
        </w:tc>
        <w:tc>
          <w:tcPr>
            <w:tcW w:w="1218" w:type="dxa"/>
          </w:tcPr>
          <w:p w14:paraId="1C2F07E9" w14:textId="4263FAF2" w:rsidR="009B10ED" w:rsidRPr="00756F5E" w:rsidRDefault="009B10ED" w:rsidP="009B10E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Gentile et al. (2022)</w:t>
            </w:r>
          </w:p>
        </w:tc>
      </w:tr>
      <w:tr w:rsidR="009B10ED" w:rsidRPr="00756F5E" w14:paraId="5105E406"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E2E8458" w14:textId="109EE7AA" w:rsidR="009B10ED" w:rsidRPr="00756F5E" w:rsidRDefault="009B10ED" w:rsidP="009B10E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Geoffray, M.-M., Denis, A., Mengarelli, F., Peter, C., Gallifet, N., Beaujeard, V., Grosmaitre, C. J., Malo, V., Grisi, S., Georgieff, N., Magnificat, S., &amp; Touzet, S. (2019). Using </w:t>
            </w:r>
            <w:r>
              <w:rPr>
                <w:rFonts w:eastAsia="Times New Roman" w:cs="Arial"/>
                <w:sz w:val="22"/>
                <w:szCs w:val="22"/>
                <w:lang w:eastAsia="en-AU"/>
              </w:rPr>
              <w:t>ESDM</w:t>
            </w:r>
            <w:r w:rsidRPr="00376175">
              <w:rPr>
                <w:rFonts w:eastAsia="Times New Roman" w:cs="Arial"/>
                <w:sz w:val="22"/>
                <w:szCs w:val="22"/>
                <w:lang w:eastAsia="en-AU"/>
              </w:rPr>
              <w:t xml:space="preserve"> 12 hours per week in children with autism spectrum disorder: </w:t>
            </w:r>
            <w:r>
              <w:rPr>
                <w:rFonts w:eastAsia="Times New Roman" w:cs="Arial"/>
                <w:sz w:val="22"/>
                <w:szCs w:val="22"/>
                <w:lang w:eastAsia="en-AU"/>
              </w:rPr>
              <w:t>F</w:t>
            </w:r>
            <w:r w:rsidRPr="00376175">
              <w:rPr>
                <w:rFonts w:eastAsia="Times New Roman" w:cs="Arial"/>
                <w:sz w:val="22"/>
                <w:szCs w:val="22"/>
                <w:lang w:eastAsia="en-AU"/>
              </w:rPr>
              <w:t xml:space="preserve">easibility and results of an observational study. </w:t>
            </w:r>
            <w:r w:rsidRPr="00D12C07">
              <w:rPr>
                <w:rFonts w:eastAsia="Times New Roman" w:cs="Arial"/>
                <w:i/>
                <w:iCs/>
                <w:sz w:val="22"/>
                <w:szCs w:val="22"/>
                <w:lang w:val="en-AU" w:eastAsia="en-AU"/>
              </w:rPr>
              <w:t>Psychiatria Danubina</w:t>
            </w:r>
            <w:r w:rsidRPr="00D12C07">
              <w:rPr>
                <w:rFonts w:eastAsia="Times New Roman" w:cs="Arial"/>
                <w:sz w:val="22"/>
                <w:szCs w:val="22"/>
                <w:lang w:val="en-AU" w:eastAsia="en-AU"/>
              </w:rPr>
              <w:t>,</w:t>
            </w:r>
            <w:r w:rsidRPr="00D12C07">
              <w:rPr>
                <w:rFonts w:eastAsia="Times New Roman" w:cs="Arial"/>
                <w:i/>
                <w:iCs/>
                <w:sz w:val="22"/>
                <w:szCs w:val="22"/>
                <w:lang w:val="en-AU" w:eastAsia="en-AU"/>
              </w:rPr>
              <w:t xml:space="preserve"> 31</w:t>
            </w:r>
            <w:r w:rsidRPr="00D12C07">
              <w:rPr>
                <w:rFonts w:eastAsia="Times New Roman" w:cs="Arial"/>
                <w:sz w:val="22"/>
                <w:szCs w:val="22"/>
                <w:lang w:val="en-AU" w:eastAsia="en-AU"/>
              </w:rPr>
              <w:t>(3), 333-339. https://doi.org/10.24869/psyd.2019.333</w:t>
            </w:r>
          </w:p>
        </w:tc>
        <w:tc>
          <w:tcPr>
            <w:tcW w:w="1218" w:type="dxa"/>
          </w:tcPr>
          <w:p w14:paraId="7997D651" w14:textId="3B2A1EC1" w:rsidR="009B10ED" w:rsidRPr="00756F5E" w:rsidRDefault="009B10ED" w:rsidP="009B10E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Geoffray et al. (2019)</w:t>
            </w:r>
          </w:p>
        </w:tc>
      </w:tr>
      <w:tr w:rsidR="009B10ED" w:rsidRPr="00756F5E" w14:paraId="5F13DC1F"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A09AB18" w14:textId="1877DC79" w:rsidR="009B10ED" w:rsidRPr="00756F5E" w:rsidRDefault="009B10ED" w:rsidP="009B10ED">
            <w:pPr>
              <w:suppressAutoHyphens/>
              <w:spacing w:before="40" w:after="40" w:line="200" w:lineRule="atLeast"/>
              <w:ind w:left="463" w:hanging="463"/>
              <w:rPr>
                <w:rFonts w:eastAsia="Times New Roman" w:cs="Arial"/>
                <w:sz w:val="22"/>
                <w:szCs w:val="22"/>
                <w:lang w:eastAsia="en-AU"/>
              </w:rPr>
            </w:pPr>
            <w:r w:rsidRPr="005C0C39">
              <w:rPr>
                <w:rFonts w:eastAsia="Times New Roman" w:cs="Arial"/>
                <w:sz w:val="22"/>
                <w:szCs w:val="22"/>
                <w:lang w:val="it-IT" w:eastAsia="en-AU"/>
              </w:rPr>
              <w:t xml:space="preserve">Gregg, D. E., Hart, K. C., Vaquerano, S., Cuervo, S., Suarez, M., &amp; Graziano, P. A. (2021). </w:t>
            </w:r>
            <w:r w:rsidRPr="00376175">
              <w:rPr>
                <w:rFonts w:eastAsia="Times New Roman" w:cs="Arial"/>
                <w:sz w:val="22"/>
                <w:szCs w:val="22"/>
                <w:lang w:eastAsia="en-AU"/>
              </w:rPr>
              <w:t xml:space="preserve">Multidisciplinary early intervention for preschoolers with externalizing behavior problems and language impairment: Results from an open trial. </w:t>
            </w:r>
            <w:r w:rsidRPr="00C96886">
              <w:rPr>
                <w:rFonts w:eastAsia="Times New Roman" w:cs="Arial"/>
                <w:i/>
                <w:iCs/>
                <w:sz w:val="22"/>
                <w:szCs w:val="22"/>
                <w:lang w:eastAsia="en-AU"/>
              </w:rPr>
              <w:t>Journal of Psychopathology and Behavioral Assessment, 43</w:t>
            </w:r>
            <w:r w:rsidRPr="00376175">
              <w:rPr>
                <w:rFonts w:eastAsia="Times New Roman" w:cs="Arial"/>
                <w:sz w:val="22"/>
                <w:szCs w:val="22"/>
                <w:lang w:eastAsia="en-AU"/>
              </w:rPr>
              <w:t>(3), 506-517.</w:t>
            </w:r>
            <w:r>
              <w:rPr>
                <w:rFonts w:eastAsia="Times New Roman" w:cs="Arial"/>
                <w:sz w:val="22"/>
                <w:szCs w:val="22"/>
                <w:lang w:eastAsia="en-AU"/>
              </w:rPr>
              <w:t xml:space="preserve"> </w:t>
            </w:r>
            <w:r w:rsidRPr="00C96886">
              <w:rPr>
                <w:rFonts w:eastAsia="Times New Roman" w:cs="Arial"/>
                <w:sz w:val="22"/>
                <w:szCs w:val="22"/>
                <w:lang w:val="en-AU" w:eastAsia="en-AU"/>
              </w:rPr>
              <w:t>https://doi.org/10.1007/s10862-020-09865-w</w:t>
            </w:r>
          </w:p>
        </w:tc>
        <w:tc>
          <w:tcPr>
            <w:tcW w:w="1218" w:type="dxa"/>
          </w:tcPr>
          <w:p w14:paraId="0FF5ADA9" w14:textId="4951D66A" w:rsidR="009B10ED" w:rsidRPr="00756F5E" w:rsidRDefault="009B10ED" w:rsidP="009B10E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Gregg et al. (2021)</w:t>
            </w:r>
          </w:p>
        </w:tc>
      </w:tr>
      <w:tr w:rsidR="005E4BE8" w:rsidRPr="00756F5E" w14:paraId="0C5C28D2"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7F08627" w14:textId="639B6CC8" w:rsidR="005E4BE8" w:rsidRPr="00756F5E" w:rsidRDefault="005E4BE8" w:rsidP="005E4BE8">
            <w:pPr>
              <w:suppressAutoHyphens/>
              <w:spacing w:before="40" w:after="40" w:line="200" w:lineRule="atLeast"/>
              <w:ind w:left="463" w:hanging="463"/>
              <w:rPr>
                <w:rFonts w:eastAsia="Times New Roman" w:cs="Arial"/>
                <w:sz w:val="22"/>
                <w:szCs w:val="22"/>
                <w:lang w:eastAsia="en-AU"/>
              </w:rPr>
            </w:pPr>
            <w:r w:rsidRPr="002D036D">
              <w:rPr>
                <w:rFonts w:eastAsia="Times New Roman" w:cs="Arial"/>
                <w:sz w:val="22"/>
                <w:szCs w:val="22"/>
                <w:lang w:eastAsia="en-AU"/>
              </w:rPr>
              <w:t xml:space="preserve">Hughes-Scholes, C. H., &amp; Gavidia-Payne, S. (2019). Early childhood intervention program quality: Examining family-centered practice, parental self-efficacy and child and family outcomes. </w:t>
            </w:r>
            <w:r w:rsidRPr="002D036D">
              <w:rPr>
                <w:rFonts w:eastAsia="Times New Roman" w:cs="Arial"/>
                <w:i/>
                <w:iCs/>
                <w:sz w:val="22"/>
                <w:szCs w:val="22"/>
                <w:lang w:eastAsia="en-AU"/>
              </w:rPr>
              <w:t>Early Childhood Education Journal, 47</w:t>
            </w:r>
            <w:r w:rsidRPr="002D036D">
              <w:rPr>
                <w:rFonts w:eastAsia="Times New Roman" w:cs="Arial"/>
                <w:sz w:val="22"/>
                <w:szCs w:val="22"/>
                <w:lang w:eastAsia="en-AU"/>
              </w:rPr>
              <w:t xml:space="preserve">(6), 719-729. https://doi.org/10.1007/s10643-019-00961-5 </w:t>
            </w:r>
          </w:p>
        </w:tc>
        <w:tc>
          <w:tcPr>
            <w:tcW w:w="1218" w:type="dxa"/>
          </w:tcPr>
          <w:p w14:paraId="0157476F" w14:textId="5CA93169" w:rsidR="005E4BE8" w:rsidRPr="00756F5E" w:rsidRDefault="005E4BE8" w:rsidP="005E4BE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Hughes-Scholes and Gavidia-Payne (2019)</w:t>
            </w:r>
          </w:p>
        </w:tc>
      </w:tr>
      <w:tr w:rsidR="005E4BE8" w:rsidRPr="00756F5E" w14:paraId="152FC97D"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696BC4F" w14:textId="6E3272A3" w:rsidR="005E4BE8" w:rsidRPr="00756F5E" w:rsidRDefault="005E4BE8" w:rsidP="005E4BE8">
            <w:pPr>
              <w:suppressAutoHyphens/>
              <w:spacing w:before="40" w:after="40" w:line="200" w:lineRule="atLeast"/>
              <w:ind w:left="463" w:hanging="463"/>
              <w:rPr>
                <w:rFonts w:eastAsia="Times New Roman" w:cs="Arial"/>
                <w:sz w:val="22"/>
                <w:szCs w:val="22"/>
                <w:lang w:eastAsia="en-AU"/>
              </w:rPr>
            </w:pPr>
            <w:r w:rsidRPr="006B0084">
              <w:rPr>
                <w:rFonts w:eastAsia="Times New Roman" w:cs="Arial"/>
                <w:sz w:val="22"/>
                <w:szCs w:val="22"/>
                <w:lang w:eastAsia="en-AU"/>
              </w:rPr>
              <w:t xml:space="preserve">Robbins, S. H., Bucholz, J. L., Varga, M. A., &amp; Green, K. B. (2022). Promoting inclusion in preschool with program-wide positive behaviour supports. </w:t>
            </w:r>
            <w:r w:rsidRPr="006B0084">
              <w:rPr>
                <w:rFonts w:eastAsia="Times New Roman" w:cs="Arial"/>
                <w:i/>
                <w:iCs/>
                <w:sz w:val="22"/>
                <w:szCs w:val="22"/>
                <w:lang w:eastAsia="en-AU"/>
              </w:rPr>
              <w:t>International Journal of Inclusive Education, 26</w:t>
            </w:r>
            <w:r w:rsidRPr="006B0084">
              <w:rPr>
                <w:rFonts w:eastAsia="Times New Roman" w:cs="Arial"/>
                <w:sz w:val="22"/>
                <w:szCs w:val="22"/>
                <w:lang w:eastAsia="en-AU"/>
              </w:rPr>
              <w:t xml:space="preserve">(4), 397-414. https://doi.org/10.1080/13603116.2019.1666169 </w:t>
            </w:r>
          </w:p>
        </w:tc>
        <w:tc>
          <w:tcPr>
            <w:tcW w:w="1218" w:type="dxa"/>
          </w:tcPr>
          <w:p w14:paraId="1FC2F4A3" w14:textId="2064BA92" w:rsidR="005E4BE8" w:rsidRPr="00756F5E" w:rsidRDefault="005E4BE8" w:rsidP="005E4BE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Robbins et al. (2022)</w:t>
            </w:r>
          </w:p>
        </w:tc>
      </w:tr>
      <w:tr w:rsidR="005E4BE8" w:rsidRPr="00756F5E" w14:paraId="4EBD6809"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5AC071D" w14:textId="77777777" w:rsidR="005E4BE8" w:rsidRPr="00212B8C" w:rsidRDefault="005E4BE8" w:rsidP="005E4BE8">
            <w:pPr>
              <w:suppressAutoHyphens/>
              <w:spacing w:before="40" w:after="40" w:line="200" w:lineRule="atLeast"/>
              <w:ind w:left="463" w:hanging="463"/>
              <w:rPr>
                <w:rFonts w:eastAsia="Times New Roman" w:cs="Arial"/>
                <w:sz w:val="22"/>
                <w:szCs w:val="22"/>
                <w:lang w:eastAsia="en-AU"/>
              </w:rPr>
            </w:pPr>
            <w:r w:rsidRPr="00212B8C">
              <w:rPr>
                <w:rFonts w:eastAsia="Times New Roman" w:cs="Arial"/>
                <w:sz w:val="22"/>
                <w:szCs w:val="22"/>
                <w:lang w:eastAsia="en-AU"/>
              </w:rPr>
              <w:t xml:space="preserve">Rooks-Ellis, D. L., Scheibel, G., Mason, C., &amp; Tu, S. (2024). Feasible adaptation of </w:t>
            </w:r>
            <w:r>
              <w:rPr>
                <w:rFonts w:eastAsia="Times New Roman" w:cs="Arial"/>
                <w:sz w:val="22"/>
                <w:szCs w:val="22"/>
                <w:lang w:eastAsia="en-AU"/>
              </w:rPr>
              <w:t>ESDM</w:t>
            </w:r>
            <w:r w:rsidRPr="00212B8C">
              <w:rPr>
                <w:rFonts w:eastAsia="Times New Roman" w:cs="Arial"/>
                <w:sz w:val="22"/>
                <w:szCs w:val="22"/>
                <w:lang w:eastAsia="en-AU"/>
              </w:rPr>
              <w:t xml:space="preserve"> for statewide implementation: A look at potential effects, implementation conditions, and cost. </w:t>
            </w:r>
            <w:r w:rsidRPr="00212B8C">
              <w:rPr>
                <w:rFonts w:eastAsia="Times New Roman" w:cs="Arial"/>
                <w:i/>
                <w:iCs/>
                <w:sz w:val="22"/>
                <w:szCs w:val="22"/>
                <w:lang w:eastAsia="en-AU"/>
              </w:rPr>
              <w:t>Journal of Early Intervention, 46</w:t>
            </w:r>
            <w:r w:rsidRPr="00212B8C">
              <w:rPr>
                <w:rFonts w:eastAsia="Times New Roman" w:cs="Arial"/>
                <w:sz w:val="22"/>
                <w:szCs w:val="22"/>
                <w:lang w:eastAsia="en-AU"/>
              </w:rPr>
              <w:t xml:space="preserve">(2), 255-275. https://doi.org/10.1177/10538151231218958 </w:t>
            </w:r>
          </w:p>
          <w:p w14:paraId="655183B2" w14:textId="5356477B" w:rsidR="005E4BE8" w:rsidRPr="00756F5E" w:rsidRDefault="005E4BE8" w:rsidP="005E4BE8">
            <w:pPr>
              <w:suppressAutoHyphens/>
              <w:spacing w:before="40" w:after="40" w:line="200" w:lineRule="atLeast"/>
              <w:ind w:left="463" w:hanging="463"/>
              <w:rPr>
                <w:rFonts w:eastAsia="Times New Roman" w:cs="Arial"/>
                <w:sz w:val="22"/>
                <w:szCs w:val="22"/>
                <w:lang w:eastAsia="en-AU"/>
              </w:rPr>
            </w:pPr>
            <w:r w:rsidRPr="00212B8C">
              <w:rPr>
                <w:rFonts w:eastAsia="Times New Roman" w:cs="Arial"/>
                <w:sz w:val="22"/>
                <w:szCs w:val="22"/>
                <w:lang w:eastAsia="en-AU"/>
              </w:rPr>
              <w:tab/>
            </w:r>
          </w:p>
        </w:tc>
        <w:tc>
          <w:tcPr>
            <w:tcW w:w="1218" w:type="dxa"/>
          </w:tcPr>
          <w:p w14:paraId="033621DA" w14:textId="30012EB9" w:rsidR="005E4BE8" w:rsidRPr="00756F5E" w:rsidRDefault="005E4BE8" w:rsidP="005E4BE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Rooks-Ellis et al. (2024)</w:t>
            </w:r>
          </w:p>
        </w:tc>
      </w:tr>
      <w:tr w:rsidR="005E4BE8" w:rsidRPr="00756F5E" w14:paraId="11E48FB7"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34CF1D2" w14:textId="386A3E68" w:rsidR="005E4BE8" w:rsidRPr="00756F5E" w:rsidRDefault="005E4BE8" w:rsidP="005E4BE8">
            <w:pPr>
              <w:suppressAutoHyphens/>
              <w:spacing w:before="40" w:after="40" w:line="200" w:lineRule="atLeast"/>
              <w:ind w:left="463" w:hanging="463"/>
              <w:rPr>
                <w:rFonts w:eastAsia="Times New Roman" w:cs="Arial"/>
                <w:sz w:val="22"/>
                <w:szCs w:val="22"/>
                <w:lang w:eastAsia="en-AU"/>
              </w:rPr>
            </w:pPr>
            <w:r w:rsidRPr="00B00609">
              <w:rPr>
                <w:rFonts w:eastAsia="Times New Roman" w:cs="Arial"/>
                <w:sz w:val="22"/>
                <w:szCs w:val="22"/>
                <w:lang w:eastAsia="en-AU"/>
              </w:rPr>
              <w:t xml:space="preserve">Rouhandeh, A. A., Honsberger, C., Shanok, N. A., Lozott, E. B., Levy, T., Kolevzon, A., Buxbaum, J. D., Sotelo, M., Foss-Feig, J., &amp; Siper, P. M. (2024). Brief report: Assessment of a caregiver-implemented intervention for improving social communication skills in toddlers and young children with autism. </w:t>
            </w:r>
            <w:r w:rsidRPr="00B00609">
              <w:rPr>
                <w:rFonts w:eastAsia="Times New Roman" w:cs="Arial"/>
                <w:i/>
                <w:iCs/>
                <w:sz w:val="22"/>
                <w:szCs w:val="22"/>
                <w:lang w:eastAsia="en-AU"/>
              </w:rPr>
              <w:t>Journal of Autism &amp; Developmental Disorders, 54</w:t>
            </w:r>
            <w:r w:rsidRPr="00B00609">
              <w:rPr>
                <w:rFonts w:eastAsia="Times New Roman" w:cs="Arial"/>
                <w:sz w:val="22"/>
                <w:szCs w:val="22"/>
                <w:lang w:eastAsia="en-AU"/>
              </w:rPr>
              <w:t>(2), 794-802. https://doi.org/10.1007/s10803-022-05587-y</w:t>
            </w:r>
          </w:p>
        </w:tc>
        <w:tc>
          <w:tcPr>
            <w:tcW w:w="1218" w:type="dxa"/>
          </w:tcPr>
          <w:p w14:paraId="49E5D9E2" w14:textId="5EE8F565" w:rsidR="005E4BE8" w:rsidRPr="00756F5E" w:rsidRDefault="005E4BE8" w:rsidP="005E4BE8">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Rouhandeh et al. (2024)</w:t>
            </w:r>
          </w:p>
        </w:tc>
      </w:tr>
      <w:tr w:rsidR="00DE2681" w:rsidRPr="00756F5E" w14:paraId="2E6ADBD0"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86A2671" w14:textId="2A1B06D3" w:rsidR="00DE2681" w:rsidRPr="00756F5E" w:rsidRDefault="00DE2681" w:rsidP="00DE2681">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Stone-Heaberlin, M., Hartley, N., Lynch, J. D., Fisher, A. P., &amp; Justice, N. (2023). Implementation of a parent-mediated discrete trial teaching intervention for children with autism spectrum disorder. </w:t>
            </w:r>
            <w:r w:rsidRPr="00B10C63">
              <w:rPr>
                <w:rFonts w:eastAsia="Times New Roman" w:cs="Arial"/>
                <w:i/>
                <w:iCs/>
                <w:sz w:val="22"/>
                <w:szCs w:val="22"/>
                <w:lang w:eastAsia="en-AU"/>
              </w:rPr>
              <w:t>Behavior Analysis in Practice, 16</w:t>
            </w:r>
            <w:r w:rsidRPr="00B10C63">
              <w:rPr>
                <w:rFonts w:eastAsia="Times New Roman" w:cs="Arial"/>
                <w:sz w:val="22"/>
                <w:szCs w:val="22"/>
                <w:lang w:eastAsia="en-AU"/>
              </w:rPr>
              <w:t>(</w:t>
            </w:r>
            <w:r w:rsidRPr="00376175">
              <w:rPr>
                <w:rFonts w:eastAsia="Times New Roman" w:cs="Arial"/>
                <w:sz w:val="22"/>
                <w:szCs w:val="22"/>
                <w:lang w:eastAsia="en-AU"/>
              </w:rPr>
              <w:t>1), 302-306.</w:t>
            </w:r>
            <w:r>
              <w:rPr>
                <w:rFonts w:eastAsia="Times New Roman" w:cs="Arial"/>
                <w:sz w:val="22"/>
                <w:szCs w:val="22"/>
                <w:lang w:eastAsia="en-AU"/>
              </w:rPr>
              <w:t xml:space="preserve"> </w:t>
            </w:r>
            <w:r w:rsidRPr="0097486E">
              <w:rPr>
                <w:rFonts w:eastAsia="Times New Roman" w:cs="Arial"/>
                <w:sz w:val="22"/>
                <w:szCs w:val="22"/>
                <w:lang w:val="en-AU" w:eastAsia="en-AU"/>
              </w:rPr>
              <w:t>https://doi.org/10.1007/s40617-022-00735-3</w:t>
            </w:r>
          </w:p>
        </w:tc>
        <w:tc>
          <w:tcPr>
            <w:tcW w:w="1218" w:type="dxa"/>
          </w:tcPr>
          <w:p w14:paraId="6B51710C" w14:textId="69E18C0A" w:rsidR="00DE2681" w:rsidRPr="00756F5E" w:rsidRDefault="00DE2681" w:rsidP="00DE2681">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Stone-Heaberlin et al. (2023)</w:t>
            </w:r>
          </w:p>
        </w:tc>
      </w:tr>
      <w:tr w:rsidR="00DE2681" w:rsidRPr="00756F5E" w14:paraId="1B23CB64"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47F772E" w14:textId="0CC64F1A" w:rsidR="00DE2681" w:rsidRPr="00756F5E" w:rsidRDefault="00DE2681" w:rsidP="00DE2681">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Tripathi, I., Estabillo, J. A., Moody, C. T., &amp; Laugeson, E. A. (2022). Long-term treatment outcomes of PEERS for preschoolers: A parent-mediated social skills training program for children with autism spectrum disorder. </w:t>
            </w:r>
            <w:r w:rsidRPr="00163067">
              <w:rPr>
                <w:rFonts w:eastAsia="Times New Roman" w:cs="Arial"/>
                <w:i/>
                <w:iCs/>
                <w:sz w:val="22"/>
                <w:szCs w:val="22"/>
                <w:lang w:eastAsia="en-AU"/>
              </w:rPr>
              <w:t>Journal of Autism and Developmental Disorders, 52</w:t>
            </w:r>
            <w:r w:rsidRPr="00376175">
              <w:rPr>
                <w:rFonts w:eastAsia="Times New Roman" w:cs="Arial"/>
                <w:sz w:val="22"/>
                <w:szCs w:val="22"/>
                <w:lang w:eastAsia="en-AU"/>
              </w:rPr>
              <w:t>(6), 2610-2626.</w:t>
            </w:r>
            <w:r>
              <w:rPr>
                <w:rFonts w:eastAsia="Times New Roman" w:cs="Arial"/>
                <w:sz w:val="22"/>
                <w:szCs w:val="22"/>
                <w:lang w:eastAsia="en-AU"/>
              </w:rPr>
              <w:t xml:space="preserve"> </w:t>
            </w:r>
            <w:r w:rsidRPr="00163067">
              <w:rPr>
                <w:rFonts w:eastAsia="Times New Roman" w:cs="Arial"/>
                <w:sz w:val="22"/>
                <w:szCs w:val="22"/>
                <w:lang w:val="en-AU" w:eastAsia="en-AU"/>
              </w:rPr>
              <w:t>https://doi.org/10.1007/s10803-021-05147-w</w:t>
            </w:r>
          </w:p>
        </w:tc>
        <w:tc>
          <w:tcPr>
            <w:tcW w:w="1218" w:type="dxa"/>
          </w:tcPr>
          <w:p w14:paraId="390BF787" w14:textId="2ED54867" w:rsidR="00DE2681" w:rsidRPr="00756F5E" w:rsidRDefault="00DE2681" w:rsidP="00DE2681">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Tripathi et al. (2022)</w:t>
            </w:r>
          </w:p>
        </w:tc>
      </w:tr>
      <w:tr w:rsidR="00DE2681" w:rsidRPr="00756F5E" w14:paraId="01AC0ED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73E6A88" w14:textId="1680F450" w:rsidR="00DE2681" w:rsidRPr="00756F5E" w:rsidRDefault="00DE2681" w:rsidP="00DE2681">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Vismara, L. A., Nyugen, L., &amp; McCormick, C. E. B. (2023). Abbreviating the Early Start Denver Model for community-based family-centered care. </w:t>
            </w:r>
            <w:r w:rsidRPr="003C2260">
              <w:rPr>
                <w:rFonts w:eastAsia="Times New Roman" w:cs="Arial"/>
                <w:i/>
                <w:iCs/>
                <w:sz w:val="22"/>
                <w:szCs w:val="22"/>
                <w:lang w:val="en-AU" w:eastAsia="en-AU"/>
              </w:rPr>
              <w:t xml:space="preserve">Frontiers in </w:t>
            </w:r>
            <w:r>
              <w:rPr>
                <w:rFonts w:eastAsia="Times New Roman" w:cs="Arial"/>
                <w:i/>
                <w:iCs/>
                <w:sz w:val="22"/>
                <w:szCs w:val="22"/>
                <w:lang w:val="en-AU" w:eastAsia="en-AU"/>
              </w:rPr>
              <w:t>P</w:t>
            </w:r>
            <w:r w:rsidRPr="003C2260">
              <w:rPr>
                <w:rFonts w:eastAsia="Times New Roman" w:cs="Arial"/>
                <w:i/>
                <w:iCs/>
                <w:sz w:val="22"/>
                <w:szCs w:val="22"/>
                <w:lang w:val="en-AU" w:eastAsia="en-AU"/>
              </w:rPr>
              <w:t>sychology</w:t>
            </w:r>
            <w:r w:rsidRPr="003C2260">
              <w:rPr>
                <w:rFonts w:eastAsia="Times New Roman" w:cs="Arial"/>
                <w:sz w:val="22"/>
                <w:szCs w:val="22"/>
                <w:lang w:val="en-AU" w:eastAsia="en-AU"/>
              </w:rPr>
              <w:t>,</w:t>
            </w:r>
            <w:r w:rsidRPr="003C2260">
              <w:rPr>
                <w:rFonts w:eastAsia="Times New Roman" w:cs="Arial"/>
                <w:i/>
                <w:iCs/>
                <w:sz w:val="22"/>
                <w:szCs w:val="22"/>
                <w:lang w:val="en-AU" w:eastAsia="en-AU"/>
              </w:rPr>
              <w:t xml:space="preserve"> 14</w:t>
            </w:r>
            <w:r w:rsidRPr="003C2260">
              <w:rPr>
                <w:rFonts w:eastAsia="Times New Roman" w:cs="Arial"/>
                <w:sz w:val="22"/>
                <w:szCs w:val="22"/>
                <w:lang w:val="en-AU" w:eastAsia="en-AU"/>
              </w:rPr>
              <w:t>(4), 1167885. https://doi.org/10.3389/fpsyg.2023.1167885</w:t>
            </w:r>
          </w:p>
        </w:tc>
        <w:tc>
          <w:tcPr>
            <w:tcW w:w="1218" w:type="dxa"/>
          </w:tcPr>
          <w:p w14:paraId="4089CDE1" w14:textId="6C295DAD" w:rsidR="00DE2681" w:rsidRPr="00756F5E" w:rsidRDefault="00DE2681" w:rsidP="00DE2681">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Vismara et al. (2023)</w:t>
            </w:r>
          </w:p>
        </w:tc>
      </w:tr>
      <w:tr w:rsidR="009A42D2" w:rsidRPr="00756F5E" w14:paraId="2AC7030E"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shd w:val="clear" w:color="auto" w:fill="DAE2E6"/>
          </w:tcPr>
          <w:p w14:paraId="40C27A11" w14:textId="77777777" w:rsidR="009A42D2" w:rsidRPr="00756F5E" w:rsidRDefault="009A42D2" w:rsidP="009A42D2">
            <w:pPr>
              <w:suppressAutoHyphens/>
              <w:spacing w:before="40" w:after="40" w:line="200" w:lineRule="atLeast"/>
              <w:ind w:left="463" w:hanging="463"/>
              <w:rPr>
                <w:rFonts w:eastAsia="Times New Roman" w:cs="Arial"/>
                <w:b/>
                <w:sz w:val="22"/>
                <w:szCs w:val="22"/>
                <w:lang w:eastAsia="en-AU"/>
              </w:rPr>
            </w:pPr>
            <w:r w:rsidRPr="00756F5E">
              <w:rPr>
                <w:rFonts w:eastAsia="Times New Roman" w:cs="Arial"/>
                <w:b/>
                <w:bCs/>
                <w:sz w:val="22"/>
                <w:szCs w:val="22"/>
                <w:lang w:eastAsia="en-AU"/>
              </w:rPr>
              <w:t>Single case experimental designs, not extracted</w:t>
            </w:r>
          </w:p>
        </w:tc>
        <w:tc>
          <w:tcPr>
            <w:tcW w:w="1218" w:type="dxa"/>
            <w:shd w:val="clear" w:color="auto" w:fill="DAE2E6"/>
          </w:tcPr>
          <w:p w14:paraId="7FD1B2D8" w14:textId="77777777" w:rsidR="009A42D2" w:rsidRPr="00756F5E" w:rsidRDefault="009A42D2" w:rsidP="009A42D2">
            <w:pPr>
              <w:suppressAutoHyphens/>
              <w:spacing w:before="40" w:after="40" w:line="200" w:lineRule="atLeast"/>
              <w:rPr>
                <w:rFonts w:eastAsia="Times New Roman" w:cs="Arial"/>
                <w:sz w:val="22"/>
                <w:szCs w:val="22"/>
                <w:lang w:eastAsia="en-AU"/>
              </w:rPr>
            </w:pPr>
          </w:p>
        </w:tc>
      </w:tr>
      <w:tr w:rsidR="00CC61CD" w:rsidRPr="00756F5E" w14:paraId="693F47C0"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FCCE9DB" w14:textId="09FBB408" w:rsidR="00CC61CD" w:rsidRPr="00756F5E" w:rsidRDefault="00CC61CD" w:rsidP="00CC61CD">
            <w:pPr>
              <w:suppressAutoHyphens/>
              <w:spacing w:before="40" w:after="40" w:line="200" w:lineRule="atLeast"/>
              <w:ind w:left="463" w:hanging="463"/>
              <w:rPr>
                <w:rFonts w:eastAsia="Times New Roman" w:cs="Arial"/>
                <w:bCs/>
                <w:sz w:val="22"/>
                <w:szCs w:val="22"/>
                <w:lang w:eastAsia="en-AU"/>
              </w:rPr>
            </w:pPr>
            <w:r w:rsidRPr="00C94886">
              <w:rPr>
                <w:rFonts w:eastAsia="Times New Roman" w:cs="Arial"/>
                <w:bCs/>
                <w:sz w:val="22"/>
                <w:szCs w:val="22"/>
                <w:lang w:eastAsia="en-AU"/>
              </w:rPr>
              <w:t xml:space="preserve">Adamo, E. K., Wu, J., Wolery, M., Hemmeter, M. L., Ledford, J. R., &amp; Barton, E. E. (2015). Using video modeling, prompting, and behavior-specific praise to increase moderate-to-vigorous physical activity for young children with down syndrome. </w:t>
            </w:r>
            <w:r w:rsidRPr="00C94886">
              <w:rPr>
                <w:rFonts w:eastAsia="Times New Roman" w:cs="Arial"/>
                <w:bCs/>
                <w:i/>
                <w:iCs/>
                <w:sz w:val="22"/>
                <w:szCs w:val="22"/>
                <w:lang w:eastAsia="en-AU"/>
              </w:rPr>
              <w:t>Journal of Early Intervention, 37</w:t>
            </w:r>
            <w:r w:rsidRPr="00C94886">
              <w:rPr>
                <w:rFonts w:eastAsia="Times New Roman" w:cs="Arial"/>
                <w:bCs/>
                <w:sz w:val="22"/>
                <w:szCs w:val="22"/>
                <w:lang w:eastAsia="en-AU"/>
              </w:rPr>
              <w:t xml:space="preserve">(4), 270-285. https://doi.org/10.1177/1053815115620211 </w:t>
            </w:r>
          </w:p>
        </w:tc>
        <w:tc>
          <w:tcPr>
            <w:tcW w:w="1218" w:type="dxa"/>
          </w:tcPr>
          <w:p w14:paraId="6334521F" w14:textId="183645E4" w:rsidR="00CC61CD" w:rsidRPr="00756F5E" w:rsidRDefault="00CC61CD" w:rsidP="00CC61C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Adamo et al. (2015)</w:t>
            </w:r>
          </w:p>
        </w:tc>
      </w:tr>
      <w:tr w:rsidR="00CC61CD" w:rsidRPr="00756F5E" w14:paraId="12965576"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BB07E72" w14:textId="7523EB08" w:rsidR="00CC61CD" w:rsidRPr="00756F5E" w:rsidRDefault="00CC61CD" w:rsidP="00CC61CD">
            <w:pPr>
              <w:suppressAutoHyphens/>
              <w:spacing w:before="40" w:after="40" w:line="200" w:lineRule="atLeast"/>
              <w:ind w:left="463" w:hanging="463"/>
              <w:rPr>
                <w:rFonts w:eastAsia="Times New Roman" w:cs="Arial"/>
                <w:sz w:val="22"/>
                <w:szCs w:val="22"/>
                <w:lang w:eastAsia="en-AU"/>
              </w:rPr>
            </w:pPr>
            <w:r w:rsidRPr="00D94D41">
              <w:rPr>
                <w:rFonts w:eastAsia="Times New Roman" w:cs="Arial"/>
                <w:sz w:val="22"/>
                <w:szCs w:val="22"/>
                <w:lang w:eastAsia="en-AU"/>
              </w:rPr>
              <w:t xml:space="preserve">Akamoglu, Y., &amp; Meadan, H. (2019). Parent-implemented communication strategies during storybook reading. </w:t>
            </w:r>
            <w:r w:rsidRPr="00D94D41">
              <w:rPr>
                <w:rFonts w:eastAsia="Times New Roman" w:cs="Arial"/>
                <w:i/>
                <w:iCs/>
                <w:sz w:val="22"/>
                <w:szCs w:val="22"/>
                <w:lang w:eastAsia="en-AU"/>
              </w:rPr>
              <w:t>Journal of Early Intervention, 41</w:t>
            </w:r>
            <w:r w:rsidRPr="00D94D41">
              <w:rPr>
                <w:rFonts w:eastAsia="Times New Roman" w:cs="Arial"/>
                <w:sz w:val="22"/>
                <w:szCs w:val="22"/>
                <w:lang w:eastAsia="en-AU"/>
              </w:rPr>
              <w:t xml:space="preserve">(4), 300-320. https://doi.org/10.1177/1053815119855007 </w:t>
            </w:r>
          </w:p>
        </w:tc>
        <w:tc>
          <w:tcPr>
            <w:tcW w:w="1218" w:type="dxa"/>
          </w:tcPr>
          <w:p w14:paraId="7CEFB241" w14:textId="7DFC7C60" w:rsidR="00CC61CD" w:rsidRPr="00756F5E" w:rsidRDefault="00CC61CD" w:rsidP="00CC61C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Akamoglu and Meadan (2019)</w:t>
            </w:r>
          </w:p>
        </w:tc>
      </w:tr>
      <w:tr w:rsidR="00CC61CD" w:rsidRPr="00756F5E" w14:paraId="6972C901"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C594E49" w14:textId="5C24DC83" w:rsidR="00CC61CD" w:rsidRPr="00756F5E" w:rsidRDefault="00CC61CD" w:rsidP="00CC61CD">
            <w:pPr>
              <w:suppressAutoHyphens/>
              <w:spacing w:before="40" w:after="40" w:line="200" w:lineRule="atLeast"/>
              <w:ind w:left="463" w:hanging="463"/>
              <w:rPr>
                <w:rFonts w:eastAsia="Times New Roman" w:cs="Arial"/>
                <w:sz w:val="22"/>
                <w:szCs w:val="22"/>
                <w:lang w:eastAsia="en-AU"/>
              </w:rPr>
            </w:pPr>
            <w:r w:rsidRPr="002B6152">
              <w:rPr>
                <w:rFonts w:eastAsia="Times New Roman" w:cs="Arial"/>
                <w:sz w:val="22"/>
                <w:szCs w:val="22"/>
                <w:lang w:eastAsia="en-AU"/>
              </w:rPr>
              <w:t xml:space="preserve">Akemoğlu, Y., Laroue, D., Kudesey, C., &amp; Stahlman, M. (2022). A module-based telepractice intervention for parents of children with developmental disabilities. </w:t>
            </w:r>
            <w:r w:rsidRPr="002B6152">
              <w:rPr>
                <w:rFonts w:eastAsia="Times New Roman" w:cs="Arial"/>
                <w:i/>
                <w:iCs/>
                <w:sz w:val="22"/>
                <w:szCs w:val="22"/>
                <w:lang w:eastAsia="en-AU"/>
              </w:rPr>
              <w:t>Journal of Autism &amp; Developmental Disorders, 52</w:t>
            </w:r>
            <w:r w:rsidRPr="002B6152">
              <w:rPr>
                <w:rFonts w:eastAsia="Times New Roman" w:cs="Arial"/>
                <w:sz w:val="22"/>
                <w:szCs w:val="22"/>
                <w:lang w:eastAsia="en-AU"/>
              </w:rPr>
              <w:t xml:space="preserve">(12), 5177-5190. https://doi.org/10.1007/s10803-022-05549-4 </w:t>
            </w:r>
          </w:p>
        </w:tc>
        <w:tc>
          <w:tcPr>
            <w:tcW w:w="1218" w:type="dxa"/>
          </w:tcPr>
          <w:p w14:paraId="791D05C1" w14:textId="0D2C651C" w:rsidR="00CC61CD" w:rsidRPr="00756F5E" w:rsidRDefault="00CC61CD" w:rsidP="00CC61C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Akemoğlu et al. (2022)</w:t>
            </w:r>
          </w:p>
        </w:tc>
      </w:tr>
      <w:tr w:rsidR="00CC61CD" w:rsidRPr="00756F5E" w14:paraId="4FDC7FB4"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739609FF" w14:textId="7B2F9CA3" w:rsidR="00CC61CD" w:rsidRPr="00756F5E" w:rsidRDefault="00CC61CD" w:rsidP="00CC61CD">
            <w:pPr>
              <w:suppressAutoHyphens/>
              <w:spacing w:before="40" w:after="40" w:line="200" w:lineRule="atLeast"/>
              <w:ind w:left="463" w:hanging="463"/>
              <w:rPr>
                <w:rFonts w:eastAsia="Times New Roman" w:cs="Arial"/>
                <w:sz w:val="22"/>
                <w:szCs w:val="22"/>
                <w:lang w:eastAsia="en-AU"/>
              </w:rPr>
            </w:pPr>
            <w:r w:rsidRPr="002E61AA">
              <w:rPr>
                <w:rFonts w:eastAsia="Times New Roman" w:cs="Arial"/>
                <w:sz w:val="22"/>
                <w:szCs w:val="22"/>
                <w:lang w:eastAsia="en-AU"/>
              </w:rPr>
              <w:t xml:space="preserve">Akemoglu, Y., Hinton, V., Laroue, D., &amp; Jefferson, V. (2022). A parent-implemented shared reading intervention via telepractice. </w:t>
            </w:r>
            <w:r w:rsidRPr="002E61AA">
              <w:rPr>
                <w:rFonts w:eastAsia="Times New Roman" w:cs="Arial"/>
                <w:i/>
                <w:iCs/>
                <w:sz w:val="22"/>
                <w:szCs w:val="22"/>
                <w:lang w:eastAsia="en-AU"/>
              </w:rPr>
              <w:t>Journal of Early Intervention, 44</w:t>
            </w:r>
            <w:r w:rsidRPr="002E61AA">
              <w:rPr>
                <w:rFonts w:eastAsia="Times New Roman" w:cs="Arial"/>
                <w:sz w:val="22"/>
                <w:szCs w:val="22"/>
                <w:lang w:eastAsia="en-AU"/>
              </w:rPr>
              <w:t>(2), 190-210. https://doi.org/10.1177/10538151211032211</w:t>
            </w:r>
          </w:p>
        </w:tc>
        <w:tc>
          <w:tcPr>
            <w:tcW w:w="1218" w:type="dxa"/>
          </w:tcPr>
          <w:p w14:paraId="5E0A6549" w14:textId="6C9925A1" w:rsidR="00CC61CD" w:rsidRPr="00756F5E" w:rsidRDefault="00CC61CD" w:rsidP="00CC61C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Akemoglu et al. (2022)</w:t>
            </w:r>
          </w:p>
        </w:tc>
      </w:tr>
      <w:tr w:rsidR="00CC61CD" w:rsidRPr="00756F5E" w14:paraId="61F9B028"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91C0297" w14:textId="4A457A9D" w:rsidR="00CC61CD" w:rsidRPr="00756F5E" w:rsidRDefault="00CC61CD" w:rsidP="00CC61CD">
            <w:pPr>
              <w:suppressAutoHyphens/>
              <w:spacing w:before="40" w:after="40" w:line="200" w:lineRule="atLeast"/>
              <w:ind w:left="463" w:hanging="463"/>
              <w:rPr>
                <w:rFonts w:eastAsia="Times New Roman" w:cs="Arial"/>
                <w:sz w:val="22"/>
                <w:szCs w:val="22"/>
                <w:lang w:eastAsia="en-AU"/>
              </w:rPr>
            </w:pPr>
            <w:r w:rsidRPr="0053213D">
              <w:rPr>
                <w:rFonts w:eastAsia="Times New Roman" w:cs="Arial"/>
                <w:sz w:val="22"/>
                <w:szCs w:val="22"/>
                <w:lang w:eastAsia="en-AU"/>
              </w:rPr>
              <w:t xml:space="preserve">Akemoglu, Y., &amp; Tomeny, K. R. (2021). A parent-implemented shared-reading intervention to promote communication skills of preschoolers with autism spectrum disorder. </w:t>
            </w:r>
            <w:r w:rsidRPr="0053213D">
              <w:rPr>
                <w:rFonts w:eastAsia="Times New Roman" w:cs="Arial"/>
                <w:i/>
                <w:iCs/>
                <w:sz w:val="22"/>
                <w:szCs w:val="22"/>
                <w:lang w:eastAsia="en-AU"/>
              </w:rPr>
              <w:t>Journal of Autism &amp; Developmental Disorders, 51(</w:t>
            </w:r>
            <w:r w:rsidRPr="0053213D">
              <w:rPr>
                <w:rFonts w:eastAsia="Times New Roman" w:cs="Arial"/>
                <w:sz w:val="22"/>
                <w:szCs w:val="22"/>
                <w:lang w:eastAsia="en-AU"/>
              </w:rPr>
              <w:t xml:space="preserve">8), 2974-2987. https://doi.org/10.1007/s10803-020-04757-0 </w:t>
            </w:r>
          </w:p>
        </w:tc>
        <w:tc>
          <w:tcPr>
            <w:tcW w:w="1218" w:type="dxa"/>
          </w:tcPr>
          <w:p w14:paraId="229C51C5" w14:textId="667DACE1" w:rsidR="00CC61CD" w:rsidRPr="00756F5E" w:rsidRDefault="00CC61CD" w:rsidP="00CC61C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Akemoglu and Tomeny (2021)</w:t>
            </w:r>
          </w:p>
        </w:tc>
      </w:tr>
      <w:tr w:rsidR="00CA6D24" w:rsidRPr="00756F5E" w14:paraId="66155D30"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2E7D436" w14:textId="7AB4477E" w:rsidR="00CA6D24" w:rsidRPr="00756F5E" w:rsidRDefault="00CA6D24" w:rsidP="00CA6D24">
            <w:pPr>
              <w:suppressAutoHyphens/>
              <w:spacing w:before="40" w:after="40" w:line="200" w:lineRule="atLeast"/>
              <w:ind w:left="463" w:hanging="463"/>
              <w:rPr>
                <w:rFonts w:eastAsia="Times New Roman" w:cs="Arial"/>
                <w:sz w:val="22"/>
                <w:szCs w:val="22"/>
                <w:lang w:eastAsia="en-AU"/>
              </w:rPr>
            </w:pPr>
            <w:r w:rsidRPr="005C0C39">
              <w:rPr>
                <w:rFonts w:eastAsia="Times New Roman" w:cs="Arial"/>
                <w:sz w:val="22"/>
                <w:szCs w:val="22"/>
                <w:lang w:val="it-IT" w:eastAsia="en-AU"/>
              </w:rPr>
              <w:t xml:space="preserve">Ambrose, S. E., Appenzeller, M., &amp; Kaiser, A. P. (2023). </w:t>
            </w:r>
            <w:r w:rsidRPr="001A12FC">
              <w:rPr>
                <w:rFonts w:eastAsia="Times New Roman" w:cs="Arial"/>
                <w:sz w:val="22"/>
                <w:szCs w:val="22"/>
                <w:lang w:eastAsia="en-AU"/>
              </w:rPr>
              <w:t xml:space="preserve">Teaching caregivers to implement the Caregivers Optimizing Achievement of Children with Hearing Loss (COACH) intervention. </w:t>
            </w:r>
            <w:r w:rsidRPr="001A12FC">
              <w:rPr>
                <w:rFonts w:eastAsia="Times New Roman" w:cs="Arial"/>
                <w:i/>
                <w:iCs/>
                <w:sz w:val="22"/>
                <w:szCs w:val="22"/>
                <w:lang w:eastAsia="en-AU"/>
              </w:rPr>
              <w:t>American Journal of Speech-Language Pathology, 32</w:t>
            </w:r>
            <w:r w:rsidRPr="001A12FC">
              <w:rPr>
                <w:rFonts w:eastAsia="Times New Roman" w:cs="Arial"/>
                <w:sz w:val="22"/>
                <w:szCs w:val="22"/>
                <w:lang w:eastAsia="en-AU"/>
              </w:rPr>
              <w:t>(3), 1131-1153. https://doi.org/10.1044/2022_AJSLP-22-00223</w:t>
            </w:r>
          </w:p>
        </w:tc>
        <w:tc>
          <w:tcPr>
            <w:tcW w:w="1218" w:type="dxa"/>
          </w:tcPr>
          <w:p w14:paraId="52C4E1C0" w14:textId="7127A9D3" w:rsidR="00CA6D24" w:rsidRPr="00756F5E" w:rsidRDefault="00CA6D24" w:rsidP="00CA6D2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Ambrose et al. (2023)</w:t>
            </w:r>
          </w:p>
        </w:tc>
      </w:tr>
      <w:tr w:rsidR="00CA6D24" w:rsidRPr="00756F5E" w14:paraId="03C5842D"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CA4DD7E" w14:textId="51AB6FB3" w:rsidR="00CA6D24" w:rsidRPr="00756F5E" w:rsidRDefault="00CA6D24" w:rsidP="00CA6D24">
            <w:pPr>
              <w:suppressAutoHyphens/>
              <w:spacing w:before="40" w:after="40" w:line="200" w:lineRule="atLeast"/>
              <w:ind w:left="463" w:hanging="463"/>
              <w:rPr>
                <w:rFonts w:eastAsia="Times New Roman" w:cs="Arial"/>
                <w:sz w:val="22"/>
                <w:szCs w:val="22"/>
                <w:lang w:eastAsia="en-AU"/>
              </w:rPr>
            </w:pPr>
            <w:r w:rsidRPr="00C70DA1">
              <w:rPr>
                <w:rFonts w:eastAsia="Times New Roman" w:cs="Arial"/>
                <w:sz w:val="22"/>
                <w:szCs w:val="22"/>
                <w:lang w:eastAsia="en-AU"/>
              </w:rPr>
              <w:t>Barton, E. E., &amp; Cohen Lissman, D. (2015). Group parent training combined with follow-up coaching for parents of children with developmental delays</w:t>
            </w:r>
            <w:r w:rsidRPr="00C70DA1">
              <w:rPr>
                <w:rFonts w:eastAsia="Times New Roman" w:cs="Arial"/>
                <w:i/>
                <w:iCs/>
                <w:sz w:val="22"/>
                <w:szCs w:val="22"/>
                <w:lang w:eastAsia="en-AU"/>
              </w:rPr>
              <w:t>. Infants &amp; Young Children: An Interdisciplinary Journal of Early Childhood Intervention, 28</w:t>
            </w:r>
            <w:r w:rsidRPr="00C70DA1">
              <w:rPr>
                <w:rFonts w:eastAsia="Times New Roman" w:cs="Arial"/>
                <w:sz w:val="22"/>
                <w:szCs w:val="22"/>
                <w:lang w:eastAsia="en-AU"/>
              </w:rPr>
              <w:t>(3), 220-236. https://doi.org/10.1097/IYC.0000000000000036</w:t>
            </w:r>
          </w:p>
        </w:tc>
        <w:tc>
          <w:tcPr>
            <w:tcW w:w="1218" w:type="dxa"/>
          </w:tcPr>
          <w:p w14:paraId="3BD2098F" w14:textId="38E90DBB" w:rsidR="00CA6D24" w:rsidRPr="00756F5E" w:rsidRDefault="00CA6D24" w:rsidP="00CA6D2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Barton and Cohen Lissman (2015)</w:t>
            </w:r>
          </w:p>
        </w:tc>
      </w:tr>
      <w:tr w:rsidR="00CA6D24" w:rsidRPr="00756F5E" w14:paraId="463CC43A"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B6C61ED" w14:textId="7730DDF3" w:rsidR="00CA6D24" w:rsidRPr="00756F5E" w:rsidRDefault="00CA6D24" w:rsidP="00CA6D24">
            <w:pPr>
              <w:suppressAutoHyphens/>
              <w:spacing w:before="40" w:after="40" w:line="200" w:lineRule="atLeast"/>
              <w:ind w:left="463" w:hanging="463"/>
              <w:rPr>
                <w:rFonts w:eastAsia="Times New Roman" w:cs="Arial"/>
                <w:sz w:val="22"/>
                <w:szCs w:val="22"/>
                <w:lang w:eastAsia="en-AU"/>
              </w:rPr>
            </w:pPr>
            <w:r w:rsidRPr="005C0C39">
              <w:rPr>
                <w:rFonts w:eastAsia="Times New Roman" w:cs="Arial"/>
                <w:sz w:val="22"/>
                <w:szCs w:val="22"/>
                <w:lang w:val="it-IT" w:eastAsia="en-AU"/>
              </w:rPr>
              <w:t xml:space="preserve">Barton, E. E., Winchester, C., Velez, M. S., Todt, M., Locchetta, B. M., &amp; Skiba, E. (2024). </w:t>
            </w:r>
            <w:r w:rsidRPr="00BA16AF">
              <w:rPr>
                <w:rFonts w:eastAsia="Times New Roman" w:cs="Arial"/>
                <w:sz w:val="22"/>
                <w:szCs w:val="22"/>
                <w:lang w:eastAsia="en-AU"/>
              </w:rPr>
              <w:t xml:space="preserve">Field testing the family behavior support mobile application (FBSapp) during a global pandemic. </w:t>
            </w:r>
            <w:r w:rsidRPr="0018260F">
              <w:rPr>
                <w:rFonts w:eastAsia="Times New Roman" w:cs="Arial"/>
                <w:i/>
                <w:iCs/>
                <w:sz w:val="22"/>
                <w:szCs w:val="22"/>
                <w:lang w:eastAsia="en-AU"/>
              </w:rPr>
              <w:t>Journal of Autism and Developmental Disorders</w:t>
            </w:r>
            <w:r w:rsidRPr="00BA16AF">
              <w:rPr>
                <w:rFonts w:eastAsia="Times New Roman" w:cs="Arial"/>
                <w:sz w:val="22"/>
                <w:szCs w:val="22"/>
                <w:lang w:eastAsia="en-AU"/>
              </w:rPr>
              <w:t>. https://doi.org/10.1007/s10803-024-06373-8</w:t>
            </w:r>
          </w:p>
        </w:tc>
        <w:tc>
          <w:tcPr>
            <w:tcW w:w="1218" w:type="dxa"/>
          </w:tcPr>
          <w:p w14:paraId="17F5A80D" w14:textId="28BFA073" w:rsidR="00CA6D24" w:rsidRPr="00756F5E" w:rsidRDefault="00CA6D24" w:rsidP="00CA6D2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Barton et al. (2024)</w:t>
            </w:r>
          </w:p>
        </w:tc>
      </w:tr>
      <w:tr w:rsidR="00FA62B6" w:rsidRPr="00756F5E" w14:paraId="5F219635"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440C62E" w14:textId="5A7B2847" w:rsidR="00FA62B6" w:rsidRPr="00756F5E" w:rsidRDefault="00FA62B6" w:rsidP="00FA62B6">
            <w:pPr>
              <w:suppressAutoHyphens/>
              <w:spacing w:before="40" w:after="40" w:line="200" w:lineRule="atLeast"/>
              <w:ind w:left="463" w:hanging="463"/>
              <w:rPr>
                <w:rFonts w:eastAsia="Times New Roman" w:cs="Arial"/>
                <w:sz w:val="22"/>
                <w:szCs w:val="22"/>
                <w:lang w:eastAsia="en-AU"/>
              </w:rPr>
            </w:pPr>
            <w:r w:rsidRPr="00FD5CB0">
              <w:rPr>
                <w:rFonts w:eastAsia="Times New Roman" w:cs="Arial"/>
                <w:sz w:val="22"/>
                <w:szCs w:val="22"/>
                <w:lang w:eastAsia="en-AU"/>
              </w:rPr>
              <w:t xml:space="preserve">Bradshaw, J., Koegel, L., &amp; Koegel, R. (2017). Improving functional language and social motivation with a parent-mediated intervention for toddlers with autism spectrum disorder. </w:t>
            </w:r>
            <w:r w:rsidRPr="00FD5CB0">
              <w:rPr>
                <w:rFonts w:eastAsia="Times New Roman" w:cs="Arial"/>
                <w:i/>
                <w:iCs/>
                <w:sz w:val="22"/>
                <w:szCs w:val="22"/>
                <w:lang w:eastAsia="en-AU"/>
              </w:rPr>
              <w:t>Journal of Autism &amp; Developmental Disorders, 47</w:t>
            </w:r>
            <w:r w:rsidRPr="00FD5CB0">
              <w:rPr>
                <w:rFonts w:eastAsia="Times New Roman" w:cs="Arial"/>
                <w:sz w:val="22"/>
                <w:szCs w:val="22"/>
                <w:lang w:eastAsia="en-AU"/>
              </w:rPr>
              <w:t>(8), 2443-2458. https://doi.org/10.1007/s10803-017-3155-8</w:t>
            </w:r>
          </w:p>
        </w:tc>
        <w:tc>
          <w:tcPr>
            <w:tcW w:w="1218" w:type="dxa"/>
          </w:tcPr>
          <w:p w14:paraId="63FF95C5" w14:textId="41C51717" w:rsidR="00FA62B6" w:rsidRPr="00756F5E" w:rsidRDefault="00FA62B6" w:rsidP="00FA62B6">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Bradshaw et al. (2017)</w:t>
            </w:r>
          </w:p>
        </w:tc>
      </w:tr>
      <w:tr w:rsidR="00FA62B6" w:rsidRPr="00756F5E" w14:paraId="539D28A3"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68C61D2" w14:textId="4113AB64" w:rsidR="00FA62B6" w:rsidRPr="00756F5E" w:rsidRDefault="00FA62B6" w:rsidP="00FA62B6">
            <w:pPr>
              <w:suppressAutoHyphens/>
              <w:spacing w:before="40" w:after="40" w:line="200" w:lineRule="atLeast"/>
              <w:ind w:left="463" w:hanging="463"/>
              <w:rPr>
                <w:rFonts w:eastAsia="Times New Roman" w:cs="Arial"/>
                <w:sz w:val="22"/>
                <w:szCs w:val="22"/>
                <w:lang w:eastAsia="en-AU"/>
              </w:rPr>
            </w:pPr>
            <w:r w:rsidRPr="00C64F74">
              <w:rPr>
                <w:rFonts w:eastAsia="Times New Roman" w:cs="Arial"/>
                <w:sz w:val="22"/>
                <w:szCs w:val="22"/>
                <w:lang w:eastAsia="en-AU"/>
              </w:rPr>
              <w:t xml:space="preserve">Brown, J. A., &amp; Woods, J. J. (2015). Effects of a triadic parent-implemented home-based communication intervention for toddlers. </w:t>
            </w:r>
            <w:r w:rsidRPr="00C64F74">
              <w:rPr>
                <w:rFonts w:eastAsia="Times New Roman" w:cs="Arial"/>
                <w:i/>
                <w:iCs/>
                <w:sz w:val="22"/>
                <w:szCs w:val="22"/>
                <w:lang w:eastAsia="en-AU"/>
              </w:rPr>
              <w:t>Journal of Early Intervention, 37</w:t>
            </w:r>
            <w:r w:rsidRPr="00C64F74">
              <w:rPr>
                <w:rFonts w:eastAsia="Times New Roman" w:cs="Arial"/>
                <w:sz w:val="22"/>
                <w:szCs w:val="22"/>
                <w:lang w:eastAsia="en-AU"/>
              </w:rPr>
              <w:t xml:space="preserve">(1), 44-68. https://doi.org/10.1177/1053815115589350 </w:t>
            </w:r>
          </w:p>
        </w:tc>
        <w:tc>
          <w:tcPr>
            <w:tcW w:w="1218" w:type="dxa"/>
          </w:tcPr>
          <w:p w14:paraId="729184B6" w14:textId="2AA2F398" w:rsidR="00FA62B6" w:rsidRPr="00756F5E" w:rsidRDefault="00FA62B6" w:rsidP="00FA62B6">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Brown and Woods (2015)</w:t>
            </w:r>
          </w:p>
        </w:tc>
      </w:tr>
      <w:tr w:rsidR="00FA62B6" w:rsidRPr="00756F5E" w14:paraId="1B51E93E"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F2CCC0E" w14:textId="55161AEE" w:rsidR="00FA62B6" w:rsidRPr="00756F5E" w:rsidRDefault="00FA62B6" w:rsidP="00FA62B6">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Bruinsma, G., Wijnen, F., &amp; Gerrits, E. (2020). Focused stimulation intervention in 4- and 5-year-old children with developmental language disorder: Exploring implementation in clinical practice. </w:t>
            </w:r>
            <w:r w:rsidRPr="0044317F">
              <w:rPr>
                <w:rFonts w:eastAsia="Times New Roman" w:cs="Arial"/>
                <w:i/>
                <w:iCs/>
                <w:sz w:val="22"/>
                <w:szCs w:val="22"/>
                <w:lang w:eastAsia="en-AU"/>
              </w:rPr>
              <w:t>Language, Speech, and Hearing Services in Schools, 51</w:t>
            </w:r>
            <w:r w:rsidRPr="00376175">
              <w:rPr>
                <w:rFonts w:eastAsia="Times New Roman" w:cs="Arial"/>
                <w:sz w:val="22"/>
                <w:szCs w:val="22"/>
                <w:lang w:eastAsia="en-AU"/>
              </w:rPr>
              <w:t>(2), 247-269.</w:t>
            </w:r>
            <w:r>
              <w:rPr>
                <w:rFonts w:eastAsia="Times New Roman" w:cs="Arial"/>
                <w:sz w:val="22"/>
                <w:szCs w:val="22"/>
                <w:lang w:eastAsia="en-AU"/>
              </w:rPr>
              <w:t xml:space="preserve"> </w:t>
            </w:r>
            <w:r w:rsidRPr="0044317F">
              <w:rPr>
                <w:rFonts w:eastAsia="Times New Roman" w:cs="Arial"/>
                <w:sz w:val="22"/>
                <w:szCs w:val="22"/>
                <w:lang w:val="en-AU" w:eastAsia="en-AU"/>
              </w:rPr>
              <w:t>https://doi.org/10.1044/2020_LSHSS-19-00069</w:t>
            </w:r>
          </w:p>
        </w:tc>
        <w:tc>
          <w:tcPr>
            <w:tcW w:w="1218" w:type="dxa"/>
          </w:tcPr>
          <w:p w14:paraId="049D22EF" w14:textId="4C14092E" w:rsidR="00FA62B6" w:rsidRPr="00756F5E" w:rsidRDefault="00FA62B6" w:rsidP="00FA62B6">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Bruinsma et al. (2020)</w:t>
            </w:r>
          </w:p>
        </w:tc>
      </w:tr>
      <w:tr w:rsidR="00FA62B6" w:rsidRPr="00756F5E" w14:paraId="0B6F78B6"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06DAEC4" w14:textId="37B1190E" w:rsidR="00FA62B6" w:rsidRPr="00756F5E" w:rsidRDefault="00FA62B6" w:rsidP="00FA62B6">
            <w:pPr>
              <w:suppressAutoHyphens/>
              <w:spacing w:before="40" w:after="40" w:line="200" w:lineRule="atLeast"/>
              <w:ind w:left="463" w:hanging="463"/>
              <w:rPr>
                <w:rFonts w:eastAsia="Times New Roman" w:cs="Arial"/>
                <w:sz w:val="22"/>
                <w:szCs w:val="22"/>
                <w:lang w:eastAsia="en-AU"/>
              </w:rPr>
            </w:pPr>
            <w:r w:rsidRPr="00275ED3">
              <w:rPr>
                <w:rFonts w:eastAsia="Times New Roman" w:cs="Arial"/>
                <w:sz w:val="22"/>
                <w:szCs w:val="22"/>
                <w:lang w:eastAsia="en-AU"/>
              </w:rPr>
              <w:t xml:space="preserve">Butzman, B. N., Cynthia, L., &amp; Vanier, C. (2022). Aquatic developmental play program for children in early intervention: A case series. </w:t>
            </w:r>
            <w:r w:rsidRPr="00275ED3">
              <w:rPr>
                <w:rFonts w:eastAsia="Times New Roman" w:cs="Arial"/>
                <w:i/>
                <w:iCs/>
                <w:sz w:val="22"/>
                <w:szCs w:val="22"/>
                <w:lang w:eastAsia="en-AU"/>
              </w:rPr>
              <w:t>Open Journal of Occupational Therapy, 10</w:t>
            </w:r>
            <w:r w:rsidRPr="00275ED3">
              <w:rPr>
                <w:rFonts w:eastAsia="Times New Roman" w:cs="Arial"/>
                <w:sz w:val="22"/>
                <w:szCs w:val="22"/>
                <w:lang w:eastAsia="en-AU"/>
              </w:rPr>
              <w:t>(2), 1-18. https://doi.org/10.15453/2168-6408.1833</w:t>
            </w:r>
          </w:p>
        </w:tc>
        <w:tc>
          <w:tcPr>
            <w:tcW w:w="1218" w:type="dxa"/>
          </w:tcPr>
          <w:p w14:paraId="7AD6545D" w14:textId="201B04C8" w:rsidR="00FA62B6" w:rsidRPr="00756F5E" w:rsidRDefault="00FA62B6" w:rsidP="00FA62B6">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Butzman et al. (2022)</w:t>
            </w:r>
          </w:p>
        </w:tc>
      </w:tr>
      <w:tr w:rsidR="0058681B" w:rsidRPr="00756F5E" w14:paraId="6746E450"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E769A6F" w14:textId="47932633" w:rsidR="0058681B" w:rsidRPr="00756F5E" w:rsidRDefault="0058681B" w:rsidP="0058681B">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Choy, S. W.-W., &amp; Mc Guckin, C. (2023). A new school-based play approach for young children's wellbeing: </w:t>
            </w:r>
            <w:r>
              <w:rPr>
                <w:rFonts w:eastAsia="Times New Roman" w:cs="Arial"/>
                <w:sz w:val="22"/>
                <w:szCs w:val="22"/>
                <w:lang w:eastAsia="en-AU"/>
              </w:rPr>
              <w:t>E</w:t>
            </w:r>
            <w:r w:rsidRPr="00376175">
              <w:rPr>
                <w:rFonts w:eastAsia="Times New Roman" w:cs="Arial"/>
                <w:sz w:val="22"/>
                <w:szCs w:val="22"/>
                <w:lang w:eastAsia="en-AU"/>
              </w:rPr>
              <w:t xml:space="preserve">vidence from a 14-week study. </w:t>
            </w:r>
            <w:r w:rsidRPr="00FD5656">
              <w:rPr>
                <w:rFonts w:eastAsia="Times New Roman" w:cs="Arial"/>
                <w:i/>
                <w:iCs/>
                <w:sz w:val="22"/>
                <w:szCs w:val="22"/>
                <w:lang w:eastAsia="en-AU"/>
              </w:rPr>
              <w:t>Irish Educational Studies, 42</w:t>
            </w:r>
            <w:r w:rsidRPr="00376175">
              <w:rPr>
                <w:rFonts w:eastAsia="Times New Roman" w:cs="Arial"/>
                <w:sz w:val="22"/>
                <w:szCs w:val="22"/>
                <w:lang w:eastAsia="en-AU"/>
              </w:rPr>
              <w:t>(4), 635-657.</w:t>
            </w:r>
            <w:r>
              <w:rPr>
                <w:rFonts w:eastAsia="Times New Roman" w:cs="Arial"/>
                <w:sz w:val="22"/>
                <w:szCs w:val="22"/>
                <w:lang w:eastAsia="en-AU"/>
              </w:rPr>
              <w:t xml:space="preserve"> </w:t>
            </w:r>
            <w:r w:rsidRPr="00FD5656">
              <w:rPr>
                <w:rFonts w:eastAsia="Times New Roman" w:cs="Arial"/>
                <w:sz w:val="22"/>
                <w:szCs w:val="22"/>
                <w:lang w:val="en-AU" w:eastAsia="en-AU"/>
              </w:rPr>
              <w:t>https://doi.org/10.1080/03323315.2023.2261440</w:t>
            </w:r>
          </w:p>
        </w:tc>
        <w:tc>
          <w:tcPr>
            <w:tcW w:w="1218" w:type="dxa"/>
          </w:tcPr>
          <w:p w14:paraId="370F76A2" w14:textId="732D5F8C" w:rsidR="0058681B" w:rsidRPr="00756F5E" w:rsidRDefault="0058681B" w:rsidP="0058681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Choy and Mc Guckin (2023)</w:t>
            </w:r>
          </w:p>
        </w:tc>
      </w:tr>
      <w:tr w:rsidR="0058681B" w:rsidRPr="00756F5E" w14:paraId="007F35B0"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5B1CB7F" w14:textId="2EB762B7" w:rsidR="0058681B" w:rsidRPr="00756F5E" w:rsidRDefault="0058681B" w:rsidP="0058681B">
            <w:pPr>
              <w:suppressAutoHyphens/>
              <w:spacing w:before="40" w:after="40" w:line="200" w:lineRule="atLeast"/>
              <w:ind w:left="463" w:hanging="463"/>
              <w:rPr>
                <w:rFonts w:eastAsia="Times New Roman" w:cs="Arial"/>
                <w:sz w:val="22"/>
                <w:szCs w:val="22"/>
                <w:lang w:eastAsia="en-AU"/>
              </w:rPr>
            </w:pPr>
            <w:r w:rsidRPr="008A5E4D">
              <w:rPr>
                <w:rFonts w:eastAsia="Times New Roman" w:cs="Arial"/>
                <w:sz w:val="22"/>
                <w:szCs w:val="22"/>
                <w:lang w:eastAsia="en-AU"/>
              </w:rPr>
              <w:t xml:space="preserve">Ciupe, A., &amp; Salisbury, C. (2020). Examining caregivers' independence in early intervention home visit sessions. </w:t>
            </w:r>
            <w:r w:rsidRPr="008A5E4D">
              <w:rPr>
                <w:rFonts w:eastAsia="Times New Roman" w:cs="Arial"/>
                <w:i/>
                <w:iCs/>
                <w:sz w:val="22"/>
                <w:szCs w:val="22"/>
                <w:lang w:eastAsia="en-AU"/>
              </w:rPr>
              <w:t>Journal of Early Intervention, 42</w:t>
            </w:r>
            <w:r w:rsidRPr="008A5E4D">
              <w:rPr>
                <w:rFonts w:eastAsia="Times New Roman" w:cs="Arial"/>
                <w:sz w:val="22"/>
                <w:szCs w:val="22"/>
                <w:lang w:eastAsia="en-AU"/>
              </w:rPr>
              <w:t>(4), 338-358. https://doi.org/10.1177/1053815120902727</w:t>
            </w:r>
          </w:p>
        </w:tc>
        <w:tc>
          <w:tcPr>
            <w:tcW w:w="1218" w:type="dxa"/>
          </w:tcPr>
          <w:p w14:paraId="30D89956" w14:textId="4C52CCD6" w:rsidR="0058681B" w:rsidRPr="00756F5E" w:rsidRDefault="0058681B" w:rsidP="0058681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Ciupe and Salisbury (2020)</w:t>
            </w:r>
          </w:p>
        </w:tc>
      </w:tr>
      <w:tr w:rsidR="0058681B" w:rsidRPr="00756F5E" w14:paraId="121E8CAB"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B3B5251" w14:textId="6A2DABAF" w:rsidR="0058681B" w:rsidRPr="00756F5E" w:rsidRDefault="0058681B" w:rsidP="0058681B">
            <w:pPr>
              <w:suppressAutoHyphens/>
              <w:spacing w:before="40" w:after="40" w:line="200" w:lineRule="atLeast"/>
              <w:ind w:left="463" w:hanging="463"/>
              <w:rPr>
                <w:rFonts w:eastAsia="Times New Roman" w:cs="Arial"/>
                <w:sz w:val="22"/>
                <w:szCs w:val="22"/>
                <w:lang w:eastAsia="en-AU"/>
              </w:rPr>
            </w:pPr>
            <w:r w:rsidRPr="00A21C7F">
              <w:rPr>
                <w:rFonts w:eastAsia="Times New Roman" w:cs="Arial"/>
                <w:sz w:val="22"/>
                <w:szCs w:val="22"/>
                <w:lang w:eastAsia="en-AU"/>
              </w:rPr>
              <w:t xml:space="preserve">Coleman, H., Hume, K., Fanning, L., &amp; Scott, S. (2022). Examining the feasibility and fit of family implemented TEACCH for toddlers in rural settings. </w:t>
            </w:r>
            <w:r w:rsidRPr="00A21C7F">
              <w:rPr>
                <w:rFonts w:eastAsia="Times New Roman" w:cs="Arial"/>
                <w:i/>
                <w:iCs/>
                <w:sz w:val="22"/>
                <w:szCs w:val="22"/>
                <w:lang w:eastAsia="en-AU"/>
              </w:rPr>
              <w:t>Journal of Early Intervention, 44</w:t>
            </w:r>
            <w:r w:rsidRPr="00A21C7F">
              <w:rPr>
                <w:rFonts w:eastAsia="Times New Roman" w:cs="Arial"/>
                <w:sz w:val="22"/>
                <w:szCs w:val="22"/>
                <w:lang w:eastAsia="en-AU"/>
              </w:rPr>
              <w:t>(1), 58-77. https://doi.org/10.1177/10538151211009306</w:t>
            </w:r>
          </w:p>
        </w:tc>
        <w:tc>
          <w:tcPr>
            <w:tcW w:w="1218" w:type="dxa"/>
          </w:tcPr>
          <w:p w14:paraId="1DD1BBCE" w14:textId="7520387B" w:rsidR="0058681B" w:rsidRPr="00756F5E" w:rsidRDefault="0058681B" w:rsidP="0058681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Coleman et al. (2022)</w:t>
            </w:r>
          </w:p>
        </w:tc>
      </w:tr>
      <w:tr w:rsidR="0058681B" w:rsidRPr="00756F5E" w14:paraId="0E65B8EC"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9072824" w14:textId="7023B3B4" w:rsidR="0058681B" w:rsidRPr="00756F5E" w:rsidRDefault="0058681B" w:rsidP="0058681B">
            <w:pPr>
              <w:suppressAutoHyphens/>
              <w:spacing w:before="40" w:after="40" w:line="200" w:lineRule="atLeast"/>
              <w:ind w:left="463" w:hanging="463"/>
              <w:rPr>
                <w:rFonts w:eastAsia="Times New Roman" w:cs="Arial"/>
                <w:sz w:val="22"/>
                <w:szCs w:val="22"/>
                <w:lang w:eastAsia="en-AU"/>
              </w:rPr>
            </w:pPr>
            <w:r w:rsidRPr="00F338F9">
              <w:rPr>
                <w:rFonts w:eastAsia="Times New Roman" w:cs="Arial"/>
                <w:sz w:val="22"/>
                <w:szCs w:val="22"/>
                <w:lang w:eastAsia="en-AU"/>
              </w:rPr>
              <w:t xml:space="preserve">Coogle, C. G., Ottley, J. R., Storie, S., Rahn, N. L., &amp; Burt, A. K. (2017). eCoaching to enhance special educator practice and child outcomes. </w:t>
            </w:r>
            <w:r w:rsidRPr="00F338F9">
              <w:rPr>
                <w:rFonts w:eastAsia="Times New Roman" w:cs="Arial"/>
                <w:i/>
                <w:iCs/>
                <w:sz w:val="22"/>
                <w:szCs w:val="22"/>
                <w:lang w:eastAsia="en-AU"/>
              </w:rPr>
              <w:t>Infants &amp; Young Children, 30</w:t>
            </w:r>
            <w:r w:rsidRPr="00F338F9">
              <w:rPr>
                <w:rFonts w:eastAsia="Times New Roman" w:cs="Arial"/>
                <w:sz w:val="22"/>
                <w:szCs w:val="22"/>
                <w:lang w:eastAsia="en-AU"/>
              </w:rPr>
              <w:t xml:space="preserve">(1), 58-75. https://doi.org/10.1097/iyc.0000000000000082 </w:t>
            </w:r>
          </w:p>
        </w:tc>
        <w:tc>
          <w:tcPr>
            <w:tcW w:w="1218" w:type="dxa"/>
          </w:tcPr>
          <w:p w14:paraId="629BCF1F" w14:textId="24B1E552" w:rsidR="0058681B" w:rsidRPr="00756F5E" w:rsidRDefault="0058681B" w:rsidP="0058681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Coogle et al. (2017)</w:t>
            </w:r>
          </w:p>
        </w:tc>
      </w:tr>
      <w:tr w:rsidR="0058681B" w:rsidRPr="00756F5E" w14:paraId="40DC888F"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F73F559" w14:textId="57B7480A" w:rsidR="0058681B" w:rsidRPr="00756F5E" w:rsidRDefault="0058681B" w:rsidP="0058681B">
            <w:pPr>
              <w:suppressAutoHyphens/>
              <w:spacing w:before="40" w:after="40" w:line="200" w:lineRule="atLeast"/>
              <w:ind w:left="463" w:hanging="463"/>
              <w:rPr>
                <w:rFonts w:eastAsia="Times New Roman" w:cs="Arial"/>
                <w:sz w:val="22"/>
                <w:szCs w:val="22"/>
                <w:lang w:eastAsia="en-AU"/>
              </w:rPr>
            </w:pPr>
            <w:r w:rsidRPr="00DC127A">
              <w:rPr>
                <w:rFonts w:eastAsia="Times New Roman" w:cs="Arial"/>
                <w:sz w:val="22"/>
                <w:szCs w:val="22"/>
                <w:lang w:eastAsia="en-AU"/>
              </w:rPr>
              <w:t xml:space="preserve">Craig-Unkefer, L., &amp; Loncola Walberg, J. (2015). Creating a common table: Using peer mediated intervention to promote social communication skills with at-risk and autism spectrum disorder populations. </w:t>
            </w:r>
            <w:r w:rsidRPr="00DC127A">
              <w:rPr>
                <w:rFonts w:eastAsia="Times New Roman" w:cs="Arial"/>
                <w:i/>
                <w:iCs/>
                <w:sz w:val="22"/>
                <w:szCs w:val="22"/>
                <w:lang w:eastAsia="en-AU"/>
              </w:rPr>
              <w:t>Journal of the American Academy of Special Education Professionals</w:t>
            </w:r>
            <w:r w:rsidRPr="00DC127A">
              <w:rPr>
                <w:rFonts w:eastAsia="Times New Roman" w:cs="Arial"/>
                <w:sz w:val="22"/>
                <w:szCs w:val="22"/>
                <w:lang w:eastAsia="en-AU"/>
              </w:rPr>
              <w:t xml:space="preserve">, 59-82. https://search.ebscohost.com/login.aspx?direct=true&amp;AuthType=sso&amp;db=eric&amp;AN=EJ1134274&amp;site=ehost-live&amp;custid=s2775460 </w:t>
            </w:r>
          </w:p>
        </w:tc>
        <w:tc>
          <w:tcPr>
            <w:tcW w:w="1218" w:type="dxa"/>
          </w:tcPr>
          <w:p w14:paraId="4E983956" w14:textId="2D538BE3" w:rsidR="0058681B" w:rsidRPr="00756F5E" w:rsidRDefault="0058681B" w:rsidP="0058681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Craig-Unkefer and Loncola Walberg (2015)</w:t>
            </w:r>
          </w:p>
        </w:tc>
      </w:tr>
      <w:tr w:rsidR="00413B6B" w:rsidRPr="00756F5E" w14:paraId="3458DAD7"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76FBA80" w14:textId="792A5EA6" w:rsidR="00413B6B" w:rsidRPr="00756F5E" w:rsidRDefault="00413B6B" w:rsidP="00413B6B">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D'Agostino, S., Douglas, S. N., &amp; Horton, E. (2020). Inclusive preschool practitioners' implementation of naturalistic developmental behavioral intervention using telehealth training. </w:t>
            </w:r>
            <w:r w:rsidRPr="007F7D2A">
              <w:rPr>
                <w:rFonts w:eastAsia="Times New Roman" w:cs="Arial"/>
                <w:i/>
                <w:iCs/>
                <w:sz w:val="22"/>
                <w:szCs w:val="22"/>
                <w:lang w:eastAsia="en-AU"/>
              </w:rPr>
              <w:t>Journal of Autism and Developmental Disorders, 50</w:t>
            </w:r>
            <w:r w:rsidRPr="00376175">
              <w:rPr>
                <w:rFonts w:eastAsia="Times New Roman" w:cs="Arial"/>
                <w:sz w:val="22"/>
                <w:szCs w:val="22"/>
                <w:lang w:eastAsia="en-AU"/>
              </w:rPr>
              <w:t>(3), 864-880.</w:t>
            </w:r>
            <w:r>
              <w:rPr>
                <w:rFonts w:eastAsia="Times New Roman" w:cs="Arial"/>
                <w:sz w:val="22"/>
                <w:szCs w:val="22"/>
                <w:lang w:eastAsia="en-AU"/>
              </w:rPr>
              <w:t xml:space="preserve"> </w:t>
            </w:r>
            <w:r w:rsidRPr="007F7D2A">
              <w:rPr>
                <w:rFonts w:eastAsia="Times New Roman" w:cs="Arial"/>
                <w:sz w:val="22"/>
                <w:szCs w:val="22"/>
                <w:lang w:eastAsia="en-AU"/>
              </w:rPr>
              <w:t>https://doi.org/10.1007/s10803-019-04319-z</w:t>
            </w:r>
          </w:p>
        </w:tc>
        <w:tc>
          <w:tcPr>
            <w:tcW w:w="1218" w:type="dxa"/>
          </w:tcPr>
          <w:p w14:paraId="4452B790" w14:textId="697E08AD" w:rsidR="00413B6B" w:rsidRPr="00756F5E" w:rsidRDefault="00413B6B" w:rsidP="00413B6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D'Agostino et al. (2020)</w:t>
            </w:r>
          </w:p>
        </w:tc>
      </w:tr>
      <w:tr w:rsidR="00413B6B" w:rsidRPr="00756F5E" w14:paraId="5B456AA2"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FD0478A" w14:textId="178DA1C7" w:rsidR="00413B6B" w:rsidRPr="00756F5E" w:rsidRDefault="00413B6B" w:rsidP="00413B6B">
            <w:pPr>
              <w:suppressAutoHyphens/>
              <w:spacing w:before="40" w:after="40" w:line="200" w:lineRule="atLeast"/>
              <w:ind w:left="463" w:hanging="463"/>
              <w:rPr>
                <w:rFonts w:eastAsia="Times New Roman" w:cs="Arial"/>
                <w:sz w:val="22"/>
                <w:szCs w:val="22"/>
                <w:lang w:eastAsia="en-AU"/>
              </w:rPr>
            </w:pPr>
            <w:r w:rsidRPr="00525F8E">
              <w:rPr>
                <w:rFonts w:eastAsia="Times New Roman" w:cs="Arial"/>
                <w:sz w:val="22"/>
                <w:szCs w:val="22"/>
                <w:lang w:eastAsia="en-AU"/>
              </w:rPr>
              <w:t xml:space="preserve">Douglas, S. N., Bowles, R., Plavnick, J., Sun, T., M. Dunkel-Jackson, S., &amp; Bagawan, A. (2024). Iterative pilot testing of the POWR intervention: Online training to support paraeducator implementation of augmentative and alternative communication strategies. </w:t>
            </w:r>
            <w:r w:rsidRPr="00525F8E">
              <w:rPr>
                <w:rFonts w:eastAsia="Times New Roman" w:cs="Arial"/>
                <w:i/>
                <w:iCs/>
                <w:sz w:val="22"/>
                <w:szCs w:val="22"/>
                <w:lang w:eastAsia="en-AU"/>
              </w:rPr>
              <w:t>Journal of Special Education Technology, 39</w:t>
            </w:r>
            <w:r w:rsidRPr="00525F8E">
              <w:rPr>
                <w:rFonts w:eastAsia="Times New Roman" w:cs="Arial"/>
                <w:sz w:val="22"/>
                <w:szCs w:val="22"/>
                <w:lang w:eastAsia="en-AU"/>
              </w:rPr>
              <w:t>(1), 79-93. https://doi.org/10.1177/01626434231180591</w:t>
            </w:r>
          </w:p>
        </w:tc>
        <w:tc>
          <w:tcPr>
            <w:tcW w:w="1218" w:type="dxa"/>
          </w:tcPr>
          <w:p w14:paraId="04556662" w14:textId="2F840205" w:rsidR="00413B6B" w:rsidRPr="00756F5E" w:rsidRDefault="00413B6B" w:rsidP="00413B6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Douglas et al. (2024)</w:t>
            </w:r>
          </w:p>
        </w:tc>
      </w:tr>
      <w:tr w:rsidR="00413B6B" w:rsidRPr="00756F5E" w14:paraId="66B91F8D"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118A910" w14:textId="35C107A5" w:rsidR="00413B6B" w:rsidRPr="00756F5E" w:rsidRDefault="00413B6B" w:rsidP="00413B6B">
            <w:pPr>
              <w:suppressAutoHyphens/>
              <w:spacing w:before="40" w:after="40" w:line="200" w:lineRule="atLeast"/>
              <w:ind w:left="463" w:hanging="463"/>
              <w:rPr>
                <w:rFonts w:eastAsia="Times New Roman" w:cs="Arial"/>
                <w:sz w:val="22"/>
                <w:szCs w:val="22"/>
                <w:lang w:eastAsia="en-AU"/>
              </w:rPr>
            </w:pPr>
            <w:r w:rsidRPr="0085577C">
              <w:rPr>
                <w:rFonts w:eastAsia="Times New Roman" w:cs="Arial"/>
                <w:sz w:val="22"/>
                <w:szCs w:val="22"/>
                <w:lang w:eastAsia="en-AU"/>
              </w:rPr>
              <w:t xml:space="preserve">Ely, M. S., &amp; Ostrosky, M. M. (2022). Single case design: Changing practices of early intervention professionals serving children with visual impairments. </w:t>
            </w:r>
            <w:r w:rsidRPr="0085577C">
              <w:rPr>
                <w:rFonts w:eastAsia="Times New Roman" w:cs="Arial"/>
                <w:i/>
                <w:iCs/>
                <w:sz w:val="22"/>
                <w:szCs w:val="22"/>
                <w:lang w:eastAsia="en-AU"/>
              </w:rPr>
              <w:t>Early Childhood Education Journal, 50</w:t>
            </w:r>
            <w:r w:rsidRPr="0085577C">
              <w:rPr>
                <w:rFonts w:eastAsia="Times New Roman" w:cs="Arial"/>
                <w:sz w:val="22"/>
                <w:szCs w:val="22"/>
                <w:lang w:eastAsia="en-AU"/>
              </w:rPr>
              <w:t>(2), 937–947. https://doi.org/10.1007/s10643-021-01222-0</w:t>
            </w:r>
          </w:p>
        </w:tc>
        <w:tc>
          <w:tcPr>
            <w:tcW w:w="1218" w:type="dxa"/>
          </w:tcPr>
          <w:p w14:paraId="7A1A86FA" w14:textId="494F0F7F" w:rsidR="00413B6B" w:rsidRPr="00756F5E" w:rsidRDefault="00413B6B" w:rsidP="00413B6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Ely and Ostrosky (2022)</w:t>
            </w:r>
          </w:p>
        </w:tc>
      </w:tr>
      <w:tr w:rsidR="00413B6B" w:rsidRPr="00756F5E" w14:paraId="57E6C5E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6FC524A" w14:textId="79124AB5" w:rsidR="00413B6B" w:rsidRPr="00756F5E" w:rsidRDefault="00413B6B" w:rsidP="00413B6B">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Erturk, B., Hansen, S. G., Machalicek, W., &amp; Kunze, M. (2021). Parent-implemented early social communication intervention for young children with autism spectrum disorder. </w:t>
            </w:r>
            <w:r w:rsidRPr="00BB460B">
              <w:rPr>
                <w:rFonts w:eastAsia="Times New Roman" w:cs="Arial"/>
                <w:i/>
                <w:iCs/>
                <w:sz w:val="22"/>
                <w:szCs w:val="22"/>
                <w:lang w:eastAsia="en-AU"/>
              </w:rPr>
              <w:t>Journal of Behavioral Education, 30</w:t>
            </w:r>
            <w:r w:rsidRPr="00376175">
              <w:rPr>
                <w:rFonts w:eastAsia="Times New Roman" w:cs="Arial"/>
                <w:sz w:val="22"/>
                <w:szCs w:val="22"/>
                <w:lang w:eastAsia="en-AU"/>
              </w:rPr>
              <w:t>(4), 641-663.</w:t>
            </w:r>
            <w:r>
              <w:rPr>
                <w:rFonts w:eastAsia="Times New Roman" w:cs="Arial"/>
                <w:sz w:val="22"/>
                <w:szCs w:val="22"/>
                <w:lang w:eastAsia="en-AU"/>
              </w:rPr>
              <w:t xml:space="preserve"> </w:t>
            </w:r>
            <w:r w:rsidRPr="00BB460B">
              <w:rPr>
                <w:rFonts w:eastAsia="Times New Roman" w:cs="Arial"/>
                <w:sz w:val="22"/>
                <w:szCs w:val="22"/>
                <w:lang w:val="en-AU" w:eastAsia="en-AU"/>
              </w:rPr>
              <w:t>https://doi.org/10.1007/s10864-020-09387-1</w:t>
            </w:r>
          </w:p>
        </w:tc>
        <w:tc>
          <w:tcPr>
            <w:tcW w:w="1218" w:type="dxa"/>
          </w:tcPr>
          <w:p w14:paraId="78EDDA90" w14:textId="4DC8FE36" w:rsidR="00413B6B" w:rsidRPr="00756F5E" w:rsidRDefault="00413B6B" w:rsidP="00413B6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Erturk et al. (2021)</w:t>
            </w:r>
          </w:p>
        </w:tc>
      </w:tr>
      <w:tr w:rsidR="002841B9" w:rsidRPr="00756F5E" w14:paraId="7B762472"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B4388BC" w14:textId="32CD2C38" w:rsidR="002841B9" w:rsidRPr="00756F5E" w:rsidRDefault="002841B9" w:rsidP="002841B9">
            <w:pPr>
              <w:suppressAutoHyphens/>
              <w:spacing w:before="40" w:after="40" w:line="200" w:lineRule="atLeast"/>
              <w:ind w:left="463" w:hanging="463"/>
              <w:rPr>
                <w:rFonts w:eastAsia="Times New Roman" w:cs="Arial"/>
                <w:sz w:val="22"/>
                <w:szCs w:val="22"/>
                <w:lang w:eastAsia="en-AU"/>
              </w:rPr>
            </w:pPr>
            <w:r w:rsidRPr="0058453A">
              <w:rPr>
                <w:rFonts w:eastAsia="Times New Roman" w:cs="Arial"/>
                <w:sz w:val="22"/>
                <w:szCs w:val="22"/>
                <w:lang w:eastAsia="en-AU"/>
              </w:rPr>
              <w:t xml:space="preserve">Fedewa, M. P., Watkins, L., Carden, K., &amp; Grbac, G. (2024). Effects of a teacher-facilitated peer-mediated intervention on social play of preschoolers with autism. </w:t>
            </w:r>
            <w:r w:rsidRPr="0058453A">
              <w:rPr>
                <w:rFonts w:eastAsia="Times New Roman" w:cs="Arial"/>
                <w:i/>
                <w:iCs/>
                <w:sz w:val="22"/>
                <w:szCs w:val="22"/>
                <w:lang w:eastAsia="en-AU"/>
              </w:rPr>
              <w:t>Journal of Autism and Developmental Disorders</w:t>
            </w:r>
            <w:r w:rsidRPr="0058453A">
              <w:rPr>
                <w:rFonts w:eastAsia="Times New Roman" w:cs="Arial"/>
                <w:sz w:val="22"/>
                <w:szCs w:val="22"/>
                <w:lang w:eastAsia="en-AU"/>
              </w:rPr>
              <w:t xml:space="preserve">, Advance online publication. https://doi.org/10.1007/s10803-024-06320-7 </w:t>
            </w:r>
          </w:p>
        </w:tc>
        <w:tc>
          <w:tcPr>
            <w:tcW w:w="1218" w:type="dxa"/>
          </w:tcPr>
          <w:p w14:paraId="78E16F42" w14:textId="04262894" w:rsidR="002841B9" w:rsidRPr="00756F5E" w:rsidRDefault="002841B9" w:rsidP="002841B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Fedewa et al. (2024)</w:t>
            </w:r>
          </w:p>
        </w:tc>
      </w:tr>
      <w:tr w:rsidR="00E75F49" w:rsidRPr="00756F5E" w14:paraId="734536A4"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7E6111C9" w14:textId="6A3ABA78" w:rsidR="00E75F49" w:rsidRPr="00756F5E" w:rsidRDefault="00E75F49" w:rsidP="00E75F49">
            <w:pPr>
              <w:suppressAutoHyphens/>
              <w:spacing w:before="40" w:after="40" w:line="200" w:lineRule="atLeast"/>
              <w:ind w:left="463" w:hanging="463"/>
              <w:rPr>
                <w:rFonts w:eastAsia="Times New Roman" w:cs="Arial"/>
                <w:sz w:val="22"/>
                <w:szCs w:val="22"/>
                <w:lang w:eastAsia="en-AU"/>
              </w:rPr>
            </w:pPr>
            <w:r w:rsidRPr="005769A6">
              <w:rPr>
                <w:rFonts w:eastAsia="Times New Roman" w:cs="Arial"/>
                <w:sz w:val="22"/>
                <w:szCs w:val="22"/>
                <w:lang w:eastAsia="en-AU"/>
              </w:rPr>
              <w:t xml:space="preserve">Golloher, A. (2020). Adapted shared reading: A study of its effectiveness in inclusive preschool classrooms. </w:t>
            </w:r>
            <w:r w:rsidRPr="005769A6">
              <w:rPr>
                <w:rFonts w:eastAsia="Times New Roman" w:cs="Arial"/>
                <w:i/>
                <w:iCs/>
                <w:sz w:val="22"/>
                <w:szCs w:val="22"/>
                <w:lang w:eastAsia="en-AU"/>
              </w:rPr>
              <w:t>Journal of Special Education Apprenticeship, 9</w:t>
            </w:r>
            <w:r w:rsidRPr="005769A6">
              <w:rPr>
                <w:rFonts w:eastAsia="Times New Roman" w:cs="Arial"/>
                <w:sz w:val="22"/>
                <w:szCs w:val="22"/>
                <w:lang w:eastAsia="en-AU"/>
              </w:rPr>
              <w:t>(2), 1-20. https://doi.org/10.58729/2167-3454.1107</w:t>
            </w:r>
          </w:p>
        </w:tc>
        <w:tc>
          <w:tcPr>
            <w:tcW w:w="1218" w:type="dxa"/>
          </w:tcPr>
          <w:p w14:paraId="6CF44D45" w14:textId="6A1076DE" w:rsidR="00E75F49" w:rsidRPr="00756F5E" w:rsidRDefault="00E75F49" w:rsidP="00E75F4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Golloher (2020)</w:t>
            </w:r>
          </w:p>
        </w:tc>
      </w:tr>
      <w:tr w:rsidR="00E75F49" w:rsidRPr="00756F5E" w14:paraId="2872D95D"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14E250B" w14:textId="14AD045C" w:rsidR="00E75F49" w:rsidRPr="00756F5E" w:rsidRDefault="00E75F49" w:rsidP="00E75F49">
            <w:pPr>
              <w:suppressAutoHyphens/>
              <w:spacing w:before="40" w:after="40" w:line="200" w:lineRule="atLeast"/>
              <w:ind w:left="463" w:hanging="463"/>
              <w:rPr>
                <w:rFonts w:eastAsia="Times New Roman" w:cs="Arial"/>
                <w:sz w:val="22"/>
                <w:szCs w:val="22"/>
                <w:lang w:eastAsia="en-AU"/>
              </w:rPr>
            </w:pPr>
            <w:r w:rsidRPr="000B4EF7">
              <w:rPr>
                <w:rFonts w:eastAsia="Times New Roman" w:cs="Arial"/>
                <w:sz w:val="22"/>
                <w:szCs w:val="22"/>
                <w:lang w:eastAsia="en-AU"/>
              </w:rPr>
              <w:t xml:space="preserve">Hamberger, R. J., Evmenova, A. S., Grygas Coogle, C., &amp; Regan, K. S. (2022). Parent coaching in natural communication opportunities through bug-in-ear technology. </w:t>
            </w:r>
            <w:r w:rsidRPr="000B4EF7">
              <w:rPr>
                <w:rFonts w:eastAsia="Times New Roman" w:cs="Arial"/>
                <w:i/>
                <w:iCs/>
                <w:sz w:val="22"/>
                <w:szCs w:val="22"/>
                <w:lang w:eastAsia="en-AU"/>
              </w:rPr>
              <w:t>Topics in Early Childhood Special Education, 42</w:t>
            </w:r>
            <w:r w:rsidRPr="000B4EF7">
              <w:rPr>
                <w:rFonts w:eastAsia="Times New Roman" w:cs="Arial"/>
                <w:sz w:val="22"/>
                <w:szCs w:val="22"/>
                <w:lang w:eastAsia="en-AU"/>
              </w:rPr>
              <w:t>(3), 234-245. https://doi.org/10.1177/02711214221119031</w:t>
            </w:r>
          </w:p>
        </w:tc>
        <w:tc>
          <w:tcPr>
            <w:tcW w:w="1218" w:type="dxa"/>
          </w:tcPr>
          <w:p w14:paraId="6DEFED63" w14:textId="4C8CEB81" w:rsidR="00E75F49" w:rsidRPr="00756F5E" w:rsidRDefault="00E75F49" w:rsidP="00E75F4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Hamberger et al. (2022)</w:t>
            </w:r>
          </w:p>
        </w:tc>
      </w:tr>
      <w:tr w:rsidR="00E75F49" w:rsidRPr="00756F5E" w14:paraId="4FF7546F"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9099BED" w14:textId="55338289" w:rsidR="00E75F49" w:rsidRPr="00756F5E" w:rsidRDefault="00E75F49" w:rsidP="00E75F49">
            <w:pPr>
              <w:suppressAutoHyphens/>
              <w:spacing w:before="40" w:after="40" w:line="200" w:lineRule="atLeast"/>
              <w:ind w:left="463" w:hanging="463"/>
              <w:rPr>
                <w:rFonts w:eastAsia="Times New Roman" w:cs="Arial"/>
                <w:sz w:val="22"/>
                <w:szCs w:val="22"/>
                <w:lang w:eastAsia="en-AU"/>
              </w:rPr>
            </w:pPr>
            <w:r w:rsidRPr="0059239F">
              <w:rPr>
                <w:rFonts w:eastAsia="Times New Roman" w:cs="Arial"/>
                <w:sz w:val="22"/>
                <w:szCs w:val="22"/>
                <w:lang w:eastAsia="en-AU"/>
              </w:rPr>
              <w:t xml:space="preserve">Hampton, L. H., Stern, Y. S., Fipp-Rosenfield, H., Bearss, K., &amp; Roberts, M. Y. (2022). Parent-implemented positive behavior support strategies for young children on the autism spectrum: A pilot investigation. </w:t>
            </w:r>
            <w:r w:rsidRPr="0059239F">
              <w:rPr>
                <w:rFonts w:eastAsia="Times New Roman" w:cs="Arial"/>
                <w:i/>
                <w:iCs/>
                <w:sz w:val="22"/>
                <w:szCs w:val="22"/>
                <w:lang w:eastAsia="en-AU"/>
              </w:rPr>
              <w:t>Journal of Speech Language and Hearing Research, 65</w:t>
            </w:r>
            <w:r w:rsidRPr="0059239F">
              <w:rPr>
                <w:rFonts w:eastAsia="Times New Roman" w:cs="Arial"/>
                <w:sz w:val="22"/>
                <w:szCs w:val="22"/>
                <w:lang w:eastAsia="en-AU"/>
              </w:rPr>
              <w:t>(5), 1921-1938. https://doi.org/10.1044/2022_jslhr-21-00361</w:t>
            </w:r>
          </w:p>
        </w:tc>
        <w:tc>
          <w:tcPr>
            <w:tcW w:w="1218" w:type="dxa"/>
          </w:tcPr>
          <w:p w14:paraId="60AFB673" w14:textId="3423B755" w:rsidR="00E75F49" w:rsidRPr="00756F5E" w:rsidRDefault="00E75F49" w:rsidP="00E75F4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Hampton et al. (2022)</w:t>
            </w:r>
          </w:p>
        </w:tc>
      </w:tr>
      <w:tr w:rsidR="00E75F49" w:rsidRPr="00756F5E" w14:paraId="1E1FE680"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E6F0D6D" w14:textId="593D117E" w:rsidR="00E75F49" w:rsidRPr="00756F5E" w:rsidRDefault="00E75F49" w:rsidP="00E75F49">
            <w:pPr>
              <w:suppressAutoHyphens/>
              <w:spacing w:before="40" w:after="40" w:line="200" w:lineRule="atLeast"/>
              <w:ind w:left="463" w:hanging="463"/>
              <w:rPr>
                <w:rFonts w:eastAsia="Times New Roman" w:cs="Arial"/>
                <w:sz w:val="22"/>
                <w:szCs w:val="22"/>
                <w:lang w:eastAsia="en-AU"/>
              </w:rPr>
            </w:pPr>
            <w:r w:rsidRPr="00A728A6">
              <w:rPr>
                <w:rFonts w:eastAsia="Times New Roman" w:cs="Arial"/>
                <w:sz w:val="22"/>
                <w:szCs w:val="22"/>
                <w:lang w:eastAsia="en-AU"/>
              </w:rPr>
              <w:t>Hansen, S. G., Mowbray, M., Raulston, T., Carnett, A., &amp; Tullis, C. (2023). Effects of a peer-mediated joint attention intervention in an inclusive preschool setting</w:t>
            </w:r>
            <w:r w:rsidRPr="00A728A6">
              <w:rPr>
                <w:rFonts w:eastAsia="Times New Roman" w:cs="Arial"/>
                <w:i/>
                <w:iCs/>
                <w:sz w:val="22"/>
                <w:szCs w:val="22"/>
                <w:lang w:eastAsia="en-AU"/>
              </w:rPr>
              <w:t>. Focus on Autism &amp; Other Developmental Disabilities, 38</w:t>
            </w:r>
            <w:r w:rsidRPr="00A728A6">
              <w:rPr>
                <w:rFonts w:eastAsia="Times New Roman" w:cs="Arial"/>
                <w:sz w:val="22"/>
                <w:szCs w:val="22"/>
                <w:lang w:eastAsia="en-AU"/>
              </w:rPr>
              <w:t xml:space="preserve">(2), 71-79. https://doi.org/10.1177/10883576221108111 </w:t>
            </w:r>
          </w:p>
        </w:tc>
        <w:tc>
          <w:tcPr>
            <w:tcW w:w="1218" w:type="dxa"/>
          </w:tcPr>
          <w:p w14:paraId="6562E609" w14:textId="16D4F1E8" w:rsidR="00E75F49" w:rsidRPr="00756F5E" w:rsidRDefault="00E75F49" w:rsidP="00E75F49">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Hansen et al. (2023)</w:t>
            </w:r>
          </w:p>
        </w:tc>
      </w:tr>
      <w:tr w:rsidR="009E6454" w:rsidRPr="00756F5E" w14:paraId="237E3654"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8DA804F" w14:textId="7AF96395" w:rsidR="009E6454" w:rsidRPr="00756F5E" w:rsidRDefault="009E6454" w:rsidP="009E6454">
            <w:pPr>
              <w:suppressAutoHyphens/>
              <w:spacing w:before="40" w:after="40" w:line="200" w:lineRule="atLeast"/>
              <w:ind w:left="463" w:hanging="463"/>
              <w:rPr>
                <w:rFonts w:eastAsia="Times New Roman" w:cs="Arial"/>
                <w:sz w:val="22"/>
                <w:szCs w:val="22"/>
                <w:lang w:eastAsia="en-AU"/>
              </w:rPr>
            </w:pPr>
            <w:r w:rsidRPr="00903D46">
              <w:rPr>
                <w:rFonts w:eastAsia="Times New Roman" w:cs="Arial"/>
                <w:sz w:val="22"/>
                <w:szCs w:val="22"/>
                <w:lang w:eastAsia="en-AU"/>
              </w:rPr>
              <w:t xml:space="preserve">Hansen, S. G., Raulston, T. J., Machalicek, W., Frantz, R., Drew, C., Erturk, B., &amp; Squires, J. (2019). Peer-mediated joint attention intervention in the preschool classroom. </w:t>
            </w:r>
            <w:r w:rsidRPr="00903D46">
              <w:rPr>
                <w:rFonts w:eastAsia="Times New Roman" w:cs="Arial"/>
                <w:i/>
                <w:iCs/>
                <w:sz w:val="22"/>
                <w:szCs w:val="22"/>
                <w:lang w:eastAsia="en-AU"/>
              </w:rPr>
              <w:t>Journal of Special Education, 53</w:t>
            </w:r>
            <w:r w:rsidRPr="00903D46">
              <w:rPr>
                <w:rFonts w:eastAsia="Times New Roman" w:cs="Arial"/>
                <w:sz w:val="22"/>
                <w:szCs w:val="22"/>
                <w:lang w:eastAsia="en-AU"/>
              </w:rPr>
              <w:t>(2), 96-107. https://doi.org/10.1177/0022466918807464</w:t>
            </w:r>
          </w:p>
        </w:tc>
        <w:tc>
          <w:tcPr>
            <w:tcW w:w="1218" w:type="dxa"/>
          </w:tcPr>
          <w:p w14:paraId="01793F4E" w14:textId="4C6E47D0" w:rsidR="009E6454" w:rsidRPr="00756F5E" w:rsidRDefault="009E6454" w:rsidP="009E645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Hansen et al. (2019)</w:t>
            </w:r>
          </w:p>
        </w:tc>
      </w:tr>
      <w:tr w:rsidR="009E6454" w:rsidRPr="00756F5E" w14:paraId="788B6D3D"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BF707B0" w14:textId="3DC5CAB5" w:rsidR="009E6454" w:rsidRPr="00756F5E" w:rsidRDefault="009E6454" w:rsidP="009E6454">
            <w:pPr>
              <w:suppressAutoHyphens/>
              <w:spacing w:before="40" w:after="40" w:line="200" w:lineRule="atLeast"/>
              <w:ind w:left="463" w:hanging="463"/>
              <w:rPr>
                <w:rFonts w:eastAsia="Times New Roman" w:cs="Arial"/>
                <w:sz w:val="22"/>
                <w:szCs w:val="22"/>
                <w:lang w:eastAsia="en-AU"/>
              </w:rPr>
            </w:pPr>
            <w:r w:rsidRPr="00602083">
              <w:rPr>
                <w:rFonts w:eastAsia="Times New Roman" w:cs="Arial"/>
                <w:sz w:val="22"/>
                <w:szCs w:val="22"/>
                <w:lang w:eastAsia="en-AU"/>
              </w:rPr>
              <w:t xml:space="preserve">Hartzell, R., Gann, C., Liaupsin, C., &amp; Clem, S. (2015). Increasing social engagement in an inclusive environment. </w:t>
            </w:r>
            <w:r w:rsidRPr="00122EB7">
              <w:rPr>
                <w:rFonts w:eastAsia="Times New Roman" w:cs="Arial"/>
                <w:i/>
                <w:iCs/>
                <w:sz w:val="22"/>
                <w:szCs w:val="22"/>
                <w:lang w:eastAsia="en-AU"/>
              </w:rPr>
              <w:t>Education and Training in Autism and Developmental Disabilities, 50</w:t>
            </w:r>
            <w:r w:rsidRPr="00602083">
              <w:rPr>
                <w:rFonts w:eastAsia="Times New Roman" w:cs="Arial"/>
                <w:sz w:val="22"/>
                <w:szCs w:val="22"/>
                <w:lang w:eastAsia="en-AU"/>
              </w:rPr>
              <w:t xml:space="preserve">(3), 264-277. https://www.jstor.org/stable/24827509 </w:t>
            </w:r>
          </w:p>
        </w:tc>
        <w:tc>
          <w:tcPr>
            <w:tcW w:w="1218" w:type="dxa"/>
          </w:tcPr>
          <w:p w14:paraId="0EEEC1BF" w14:textId="67FE5AEB" w:rsidR="009E6454" w:rsidRPr="00756F5E" w:rsidRDefault="009E6454" w:rsidP="009E645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Hartzell et al. (2015)</w:t>
            </w:r>
          </w:p>
        </w:tc>
      </w:tr>
      <w:tr w:rsidR="009E6454" w:rsidRPr="00756F5E" w14:paraId="3C05FBB1"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7EAA77C" w14:textId="23F2C90E" w:rsidR="009E6454" w:rsidRPr="00756F5E" w:rsidRDefault="009E6454" w:rsidP="009E6454">
            <w:pPr>
              <w:suppressAutoHyphens/>
              <w:spacing w:before="40" w:after="40" w:line="200" w:lineRule="atLeast"/>
              <w:ind w:left="463" w:hanging="463"/>
              <w:rPr>
                <w:rFonts w:eastAsia="Times New Roman" w:cs="Arial"/>
                <w:sz w:val="22"/>
                <w:szCs w:val="22"/>
                <w:lang w:eastAsia="en-AU"/>
              </w:rPr>
            </w:pPr>
            <w:r w:rsidRPr="00B752D8">
              <w:rPr>
                <w:rFonts w:eastAsia="Times New Roman" w:cs="Arial"/>
                <w:sz w:val="22"/>
                <w:szCs w:val="22"/>
                <w:lang w:eastAsia="en-AU"/>
              </w:rPr>
              <w:t xml:space="preserve">Harvey, H., Dunlap, G., &amp; McKay, K. (2021). Primary and secondary effects of prevent-teach-reinforce for young children. </w:t>
            </w:r>
            <w:r w:rsidRPr="00B752D8">
              <w:rPr>
                <w:rFonts w:eastAsia="Times New Roman" w:cs="Arial"/>
                <w:i/>
                <w:iCs/>
                <w:sz w:val="22"/>
                <w:szCs w:val="22"/>
                <w:lang w:eastAsia="en-AU"/>
              </w:rPr>
              <w:t>Topics in Early Childhood Special Education, 41</w:t>
            </w:r>
            <w:r w:rsidRPr="00B752D8">
              <w:rPr>
                <w:rFonts w:eastAsia="Times New Roman" w:cs="Arial"/>
                <w:sz w:val="22"/>
                <w:szCs w:val="22"/>
                <w:lang w:eastAsia="en-AU"/>
              </w:rPr>
              <w:t>(2), 100-114. https://doi.org/10.1177/0271121419844315</w:t>
            </w:r>
          </w:p>
        </w:tc>
        <w:tc>
          <w:tcPr>
            <w:tcW w:w="1218" w:type="dxa"/>
          </w:tcPr>
          <w:p w14:paraId="2028104C" w14:textId="3417F634" w:rsidR="009E6454" w:rsidRPr="00756F5E" w:rsidRDefault="009E6454" w:rsidP="009E645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Harvey et al. (2021)</w:t>
            </w:r>
          </w:p>
        </w:tc>
      </w:tr>
      <w:tr w:rsidR="009E6454" w:rsidRPr="00756F5E" w14:paraId="28F016CB"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C958519" w14:textId="164CF3BF" w:rsidR="009E6454" w:rsidRPr="00756F5E" w:rsidRDefault="009E6454" w:rsidP="009E6454">
            <w:pPr>
              <w:suppressAutoHyphens/>
              <w:spacing w:before="40" w:after="40" w:line="200" w:lineRule="atLeast"/>
              <w:ind w:left="463" w:hanging="463"/>
              <w:rPr>
                <w:rFonts w:eastAsia="Times New Roman" w:cs="Arial"/>
                <w:sz w:val="22"/>
                <w:szCs w:val="22"/>
                <w:lang w:eastAsia="en-AU"/>
              </w:rPr>
            </w:pPr>
            <w:r w:rsidRPr="0054506F">
              <w:rPr>
                <w:rFonts w:eastAsia="Times New Roman" w:cs="Arial"/>
                <w:sz w:val="22"/>
                <w:szCs w:val="22"/>
                <w:lang w:eastAsia="en-AU"/>
              </w:rPr>
              <w:t xml:space="preserve">Hernandez Ruiz, E., &amp; Braden, B. B. (2021). Improving a parent coaching model of music interventions for young autistic children. </w:t>
            </w:r>
            <w:r w:rsidRPr="0054506F">
              <w:rPr>
                <w:rFonts w:eastAsia="Times New Roman" w:cs="Arial"/>
                <w:i/>
                <w:iCs/>
                <w:sz w:val="22"/>
                <w:szCs w:val="22"/>
                <w:lang w:eastAsia="en-AU"/>
              </w:rPr>
              <w:t>Journal of Music Therapy, 58</w:t>
            </w:r>
            <w:r w:rsidRPr="0054506F">
              <w:rPr>
                <w:rFonts w:eastAsia="Times New Roman" w:cs="Arial"/>
                <w:sz w:val="22"/>
                <w:szCs w:val="22"/>
                <w:lang w:eastAsia="en-AU"/>
              </w:rPr>
              <w:t xml:space="preserve">(3), 278-309. https://doi.org/10.1093/jmt/thab008 </w:t>
            </w:r>
          </w:p>
        </w:tc>
        <w:tc>
          <w:tcPr>
            <w:tcW w:w="1218" w:type="dxa"/>
          </w:tcPr>
          <w:p w14:paraId="1F1FFB15" w14:textId="212FAB79" w:rsidR="009E6454" w:rsidRPr="00756F5E" w:rsidRDefault="009E6454" w:rsidP="009E6454">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Hernandez Ruiz and Braden (2021)</w:t>
            </w:r>
          </w:p>
        </w:tc>
      </w:tr>
      <w:tr w:rsidR="00311BB1" w:rsidRPr="00756F5E" w14:paraId="21E0E3DF"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DA72C23" w14:textId="6052B8B3" w:rsidR="00311BB1" w:rsidRPr="00756F5E" w:rsidRDefault="00311BB1" w:rsidP="00311BB1">
            <w:pPr>
              <w:suppressAutoHyphens/>
              <w:spacing w:before="40" w:after="40" w:line="200" w:lineRule="atLeast"/>
              <w:ind w:left="463" w:hanging="463"/>
              <w:rPr>
                <w:rFonts w:eastAsia="Times New Roman" w:cs="Arial"/>
                <w:sz w:val="22"/>
                <w:szCs w:val="22"/>
                <w:lang w:eastAsia="en-AU"/>
              </w:rPr>
            </w:pPr>
            <w:r w:rsidRPr="00ED22C4">
              <w:rPr>
                <w:rFonts w:eastAsia="Times New Roman" w:cs="Arial"/>
                <w:sz w:val="22"/>
                <w:szCs w:val="22"/>
                <w:lang w:eastAsia="en-AU"/>
              </w:rPr>
              <w:t xml:space="preserve">Kemp, C., Stephenson, J., Cooper, M., &amp; Hodge, K. (2019). The use of peer mediation and educator facilitation to promote turn taking in young children with autism spectrum disorder in inclusive childcare. </w:t>
            </w:r>
            <w:r w:rsidRPr="00ED22C4">
              <w:rPr>
                <w:rFonts w:eastAsia="Times New Roman" w:cs="Arial"/>
                <w:i/>
                <w:iCs/>
                <w:sz w:val="22"/>
                <w:szCs w:val="22"/>
                <w:lang w:eastAsia="en-AU"/>
              </w:rPr>
              <w:t>Infants &amp; Young Children: An Interdisciplinary Journal of Early Childhood Intervention</w:t>
            </w:r>
            <w:r w:rsidRPr="0044473F">
              <w:rPr>
                <w:rFonts w:eastAsia="Times New Roman" w:cs="Arial"/>
                <w:i/>
                <w:iCs/>
                <w:sz w:val="22"/>
                <w:szCs w:val="22"/>
                <w:lang w:eastAsia="en-AU"/>
              </w:rPr>
              <w:t>, 32</w:t>
            </w:r>
            <w:r w:rsidRPr="00ED22C4">
              <w:rPr>
                <w:rFonts w:eastAsia="Times New Roman" w:cs="Arial"/>
                <w:sz w:val="22"/>
                <w:szCs w:val="22"/>
                <w:lang w:eastAsia="en-AU"/>
              </w:rPr>
              <w:t xml:space="preserve">(3), 151-171. https://doi.org/10.1097/IYC.0000000000000146 </w:t>
            </w:r>
          </w:p>
        </w:tc>
        <w:tc>
          <w:tcPr>
            <w:tcW w:w="1218" w:type="dxa"/>
          </w:tcPr>
          <w:p w14:paraId="3154EBA5" w14:textId="60848491" w:rsidR="00311BB1" w:rsidRPr="00756F5E" w:rsidRDefault="00311BB1" w:rsidP="00311BB1">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Kemp et al. (2019)</w:t>
            </w:r>
          </w:p>
        </w:tc>
      </w:tr>
      <w:tr w:rsidR="00311BB1" w:rsidRPr="00756F5E" w14:paraId="27C3E128"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4B92AE10" w14:textId="56DE8AD6" w:rsidR="00311BB1" w:rsidRPr="00756F5E" w:rsidRDefault="00311BB1" w:rsidP="00311BB1">
            <w:pPr>
              <w:suppressAutoHyphens/>
              <w:spacing w:before="40" w:after="40" w:line="200" w:lineRule="atLeast"/>
              <w:ind w:left="463" w:hanging="463"/>
              <w:rPr>
                <w:rFonts w:eastAsia="Times New Roman" w:cs="Arial"/>
                <w:sz w:val="22"/>
                <w:szCs w:val="22"/>
                <w:lang w:eastAsia="en-AU"/>
              </w:rPr>
            </w:pPr>
            <w:r w:rsidRPr="0011676A">
              <w:rPr>
                <w:rFonts w:eastAsia="Times New Roman" w:cs="Arial"/>
                <w:sz w:val="22"/>
                <w:szCs w:val="22"/>
                <w:lang w:eastAsia="en-AU"/>
              </w:rPr>
              <w:t xml:space="preserve">Kunze, M., Wei, Q., Bacon-Yates, A., Pompan, E., Lockwood, H., &amp; Witthuhn, N. (2024). Promoting reciprocal relationships with flexibility, coaching, and teaching (PRRFCT match): A virtual parent-mediated intervention package for young children with developmental disabilities. </w:t>
            </w:r>
            <w:r w:rsidRPr="000E549C">
              <w:rPr>
                <w:rFonts w:eastAsia="Times New Roman" w:cs="Arial"/>
                <w:i/>
                <w:iCs/>
                <w:sz w:val="22"/>
                <w:szCs w:val="22"/>
                <w:lang w:eastAsia="en-AU"/>
              </w:rPr>
              <w:t>Journal of Autism and Developmental Disorders</w:t>
            </w:r>
            <w:r>
              <w:rPr>
                <w:rFonts w:eastAsia="Times New Roman" w:cs="Arial"/>
                <w:sz w:val="22"/>
                <w:szCs w:val="22"/>
                <w:lang w:eastAsia="en-AU"/>
              </w:rPr>
              <w:t>.</w:t>
            </w:r>
            <w:r w:rsidRPr="0011676A">
              <w:rPr>
                <w:rFonts w:eastAsia="Times New Roman" w:cs="Arial"/>
                <w:sz w:val="22"/>
                <w:szCs w:val="22"/>
                <w:lang w:eastAsia="en-AU"/>
              </w:rPr>
              <w:t xml:space="preserve"> Advance online publication. https://doi.org/10.1007/s10803-024-06386-3 </w:t>
            </w:r>
          </w:p>
        </w:tc>
        <w:tc>
          <w:tcPr>
            <w:tcW w:w="1218" w:type="dxa"/>
          </w:tcPr>
          <w:p w14:paraId="552C83AA" w14:textId="32811D9E" w:rsidR="00311BB1" w:rsidRPr="00756F5E" w:rsidRDefault="00311BB1" w:rsidP="00311BB1">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Kunze et al. (2024)</w:t>
            </w:r>
          </w:p>
        </w:tc>
      </w:tr>
      <w:tr w:rsidR="00311BB1" w:rsidRPr="00756F5E" w14:paraId="14D3DF0B"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0A1918D" w14:textId="1E5A0321" w:rsidR="00311BB1" w:rsidRPr="00756F5E" w:rsidRDefault="00311BB1" w:rsidP="00311BB1">
            <w:pPr>
              <w:suppressAutoHyphens/>
              <w:spacing w:before="40" w:after="40" w:line="200" w:lineRule="atLeast"/>
              <w:ind w:left="463" w:hanging="463"/>
              <w:rPr>
                <w:rFonts w:eastAsia="Times New Roman" w:cs="Arial"/>
                <w:sz w:val="22"/>
                <w:szCs w:val="22"/>
                <w:lang w:eastAsia="en-AU"/>
              </w:rPr>
            </w:pPr>
            <w:r w:rsidRPr="00646174">
              <w:rPr>
                <w:rFonts w:eastAsia="Times New Roman" w:cs="Arial"/>
                <w:sz w:val="22"/>
                <w:szCs w:val="22"/>
                <w:lang w:eastAsia="en-AU"/>
              </w:rPr>
              <w:t xml:space="preserve">Lane, J. D., Ledford, J. R., Shepley, C., Mataras, T. K., Ayres, K. M., &amp; Davis, A. B. (2016). A brief coaching intervention for teaching naturalistic strategies to parents. </w:t>
            </w:r>
            <w:r w:rsidRPr="00646174">
              <w:rPr>
                <w:rFonts w:eastAsia="Times New Roman" w:cs="Arial"/>
                <w:i/>
                <w:iCs/>
                <w:sz w:val="22"/>
                <w:szCs w:val="22"/>
                <w:lang w:eastAsia="en-AU"/>
              </w:rPr>
              <w:t>Journal of Early Intervention, 38</w:t>
            </w:r>
            <w:r w:rsidRPr="00646174">
              <w:rPr>
                <w:rFonts w:eastAsia="Times New Roman" w:cs="Arial"/>
                <w:sz w:val="22"/>
                <w:szCs w:val="22"/>
                <w:lang w:eastAsia="en-AU"/>
              </w:rPr>
              <w:t>(3), 135-150. https://doi.org/10.1177/1053815116663178</w:t>
            </w:r>
          </w:p>
        </w:tc>
        <w:tc>
          <w:tcPr>
            <w:tcW w:w="1218" w:type="dxa"/>
          </w:tcPr>
          <w:p w14:paraId="715995C7" w14:textId="14E8F2E8" w:rsidR="00311BB1" w:rsidRPr="00756F5E" w:rsidRDefault="00311BB1" w:rsidP="00311BB1">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Lane et al. (2016)</w:t>
            </w:r>
          </w:p>
        </w:tc>
      </w:tr>
      <w:tr w:rsidR="00311BB1" w:rsidRPr="00756F5E" w14:paraId="75D7ADB9"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F20641E" w14:textId="7A96A1AA" w:rsidR="00311BB1" w:rsidRPr="00756F5E" w:rsidRDefault="00311BB1" w:rsidP="00311BB1">
            <w:pPr>
              <w:suppressAutoHyphens/>
              <w:spacing w:before="40" w:after="40" w:line="200" w:lineRule="atLeast"/>
              <w:ind w:left="463" w:hanging="463"/>
              <w:rPr>
                <w:rFonts w:eastAsia="Times New Roman" w:cs="Arial"/>
                <w:sz w:val="22"/>
                <w:szCs w:val="22"/>
                <w:lang w:eastAsia="en-AU"/>
              </w:rPr>
            </w:pPr>
            <w:r w:rsidRPr="00065B1C">
              <w:rPr>
                <w:rFonts w:eastAsia="Times New Roman" w:cs="Arial"/>
                <w:sz w:val="22"/>
                <w:szCs w:val="22"/>
                <w:lang w:eastAsia="en-AU"/>
              </w:rPr>
              <w:t xml:space="preserve">Lane, J., Shepley, C., &amp; Lieberman-Betz, R. (2016). Promoting expressive language in young children with or at-risk for autism spectrum disorder in a preschool classroom. </w:t>
            </w:r>
            <w:r w:rsidRPr="0045175A">
              <w:rPr>
                <w:rFonts w:eastAsia="Times New Roman" w:cs="Arial"/>
                <w:i/>
                <w:iCs/>
                <w:sz w:val="22"/>
                <w:szCs w:val="22"/>
                <w:lang w:eastAsia="en-AU"/>
              </w:rPr>
              <w:t>Journal of Autism &amp; Developmental Disorders, 46</w:t>
            </w:r>
            <w:r w:rsidRPr="00065B1C">
              <w:rPr>
                <w:rFonts w:eastAsia="Times New Roman" w:cs="Arial"/>
                <w:sz w:val="22"/>
                <w:szCs w:val="22"/>
                <w:lang w:eastAsia="en-AU"/>
              </w:rPr>
              <w:t>(10), 3216-3231. https://doi.org/10.1007/s10803-016-2856-8</w:t>
            </w:r>
          </w:p>
        </w:tc>
        <w:tc>
          <w:tcPr>
            <w:tcW w:w="1218" w:type="dxa"/>
          </w:tcPr>
          <w:p w14:paraId="38AD9270" w14:textId="7FC4E0A1" w:rsidR="00311BB1" w:rsidRPr="00756F5E" w:rsidRDefault="00311BB1" w:rsidP="00311BB1">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Lane et al. (2016)</w:t>
            </w:r>
          </w:p>
        </w:tc>
      </w:tr>
      <w:tr w:rsidR="00CB263D" w:rsidRPr="00756F5E" w14:paraId="5E37158E"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E3086A5" w14:textId="3EEA73A7" w:rsidR="00CB263D" w:rsidRPr="00756F5E" w:rsidRDefault="00CB263D" w:rsidP="00CB263D">
            <w:pPr>
              <w:suppressAutoHyphens/>
              <w:spacing w:before="40" w:after="40" w:line="200" w:lineRule="atLeast"/>
              <w:ind w:left="463" w:hanging="463"/>
              <w:rPr>
                <w:rFonts w:eastAsia="Times New Roman" w:cs="Arial"/>
                <w:sz w:val="22"/>
                <w:szCs w:val="22"/>
                <w:lang w:eastAsia="en-AU"/>
              </w:rPr>
            </w:pPr>
            <w:r w:rsidRPr="00C22162">
              <w:rPr>
                <w:rFonts w:eastAsia="Times New Roman" w:cs="Arial"/>
                <w:sz w:val="22"/>
                <w:szCs w:val="22"/>
                <w:lang w:eastAsia="en-AU"/>
              </w:rPr>
              <w:t xml:space="preserve">Ledford, J., &amp; Wehby, J. (2015). Teaching children with autism in small groups with students who are at-risk for academic problems: Effects on academic and social behaviors. </w:t>
            </w:r>
            <w:r w:rsidRPr="00C22162">
              <w:rPr>
                <w:rFonts w:eastAsia="Times New Roman" w:cs="Arial"/>
                <w:i/>
                <w:iCs/>
                <w:sz w:val="22"/>
                <w:szCs w:val="22"/>
                <w:lang w:eastAsia="en-AU"/>
              </w:rPr>
              <w:t>Journal of Autism &amp; Developmental Disorders, 45</w:t>
            </w:r>
            <w:r w:rsidRPr="00C22162">
              <w:rPr>
                <w:rFonts w:eastAsia="Times New Roman" w:cs="Arial"/>
                <w:sz w:val="22"/>
                <w:szCs w:val="22"/>
                <w:lang w:eastAsia="en-AU"/>
              </w:rPr>
              <w:t>(6), 1624-1635. https://doi.org/10.1007/s10803-014-2317-1</w:t>
            </w:r>
          </w:p>
        </w:tc>
        <w:tc>
          <w:tcPr>
            <w:tcW w:w="1218" w:type="dxa"/>
          </w:tcPr>
          <w:p w14:paraId="56AA4C1F" w14:textId="4363AE8D" w:rsidR="00CB263D" w:rsidRPr="00756F5E" w:rsidRDefault="00CB263D" w:rsidP="00CB263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Ledford and Wehby (2015)</w:t>
            </w:r>
          </w:p>
        </w:tc>
      </w:tr>
      <w:tr w:rsidR="00CB263D" w:rsidRPr="00756F5E" w14:paraId="54CBE41B"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242CFB1" w14:textId="622C2BBD" w:rsidR="00CB263D" w:rsidRPr="00756F5E" w:rsidRDefault="00CB263D" w:rsidP="00CB263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McDonald, N. M., Hyde, C., Choi, A. B., Gulsrud, A. C., Kasari, C., Nelson, C. A., &amp; Jeste, S. S. (2020). Improving developmental abilities in infants with tuberous sclerosis complex: A pilot behavioral intervention study. </w:t>
            </w:r>
            <w:r w:rsidRPr="00C50532">
              <w:rPr>
                <w:rFonts w:eastAsia="Times New Roman" w:cs="Arial"/>
                <w:i/>
                <w:iCs/>
                <w:sz w:val="22"/>
                <w:szCs w:val="22"/>
                <w:lang w:eastAsia="en-AU"/>
              </w:rPr>
              <w:t>Infants &amp; Young Children, 33</w:t>
            </w:r>
            <w:r w:rsidRPr="00C50532">
              <w:rPr>
                <w:rFonts w:eastAsia="Times New Roman" w:cs="Arial"/>
                <w:sz w:val="22"/>
                <w:szCs w:val="22"/>
                <w:lang w:eastAsia="en-AU"/>
              </w:rPr>
              <w:t>(</w:t>
            </w:r>
            <w:r w:rsidRPr="00376175">
              <w:rPr>
                <w:rFonts w:eastAsia="Times New Roman" w:cs="Arial"/>
                <w:sz w:val="22"/>
                <w:szCs w:val="22"/>
                <w:lang w:eastAsia="en-AU"/>
              </w:rPr>
              <w:t>2), 108-118.</w:t>
            </w:r>
            <w:r>
              <w:rPr>
                <w:rFonts w:eastAsia="Times New Roman" w:cs="Arial"/>
                <w:sz w:val="22"/>
                <w:szCs w:val="22"/>
                <w:lang w:eastAsia="en-AU"/>
              </w:rPr>
              <w:t xml:space="preserve"> </w:t>
            </w:r>
            <w:r w:rsidRPr="004679C4">
              <w:rPr>
                <w:rFonts w:eastAsia="Times New Roman" w:cs="Arial"/>
                <w:sz w:val="22"/>
                <w:szCs w:val="22"/>
                <w:lang w:val="en-AU" w:eastAsia="en-AU"/>
              </w:rPr>
              <w:t>https://doi.org/10.1097/IYC.0000000000000160</w:t>
            </w:r>
          </w:p>
        </w:tc>
        <w:tc>
          <w:tcPr>
            <w:tcW w:w="1218" w:type="dxa"/>
          </w:tcPr>
          <w:p w14:paraId="58266A61" w14:textId="5396EDAA" w:rsidR="00CB263D" w:rsidRPr="00756F5E" w:rsidRDefault="00CB263D" w:rsidP="00CB263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McDonald et al. (2020)</w:t>
            </w:r>
          </w:p>
        </w:tc>
      </w:tr>
      <w:tr w:rsidR="00CB263D" w:rsidRPr="00756F5E" w14:paraId="1C2D3ECA"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CFABAA0" w14:textId="60288433" w:rsidR="00CB263D" w:rsidRPr="00756F5E" w:rsidRDefault="00CB263D" w:rsidP="00CB263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Meadan, H., Angell, M. E., Stoner, J. B., &amp; Daczewitz, M. E. (2014). Parent-implemented social-pragmatic communication intervention: A pilot study. </w:t>
            </w:r>
            <w:r w:rsidRPr="005A22CC">
              <w:rPr>
                <w:rFonts w:eastAsia="Times New Roman" w:cs="Arial"/>
                <w:i/>
                <w:iCs/>
                <w:sz w:val="22"/>
                <w:szCs w:val="22"/>
                <w:lang w:eastAsia="en-AU"/>
              </w:rPr>
              <w:t>Focus on Autism and Other Developmental Disabilities, 29</w:t>
            </w:r>
            <w:r w:rsidRPr="00376175">
              <w:rPr>
                <w:rFonts w:eastAsia="Times New Roman" w:cs="Arial"/>
                <w:sz w:val="22"/>
                <w:szCs w:val="22"/>
                <w:lang w:eastAsia="en-AU"/>
              </w:rPr>
              <w:t>(2), 95-110.</w:t>
            </w:r>
            <w:r>
              <w:rPr>
                <w:rFonts w:eastAsia="Times New Roman" w:cs="Arial"/>
                <w:sz w:val="22"/>
                <w:szCs w:val="22"/>
                <w:lang w:eastAsia="en-AU"/>
              </w:rPr>
              <w:t xml:space="preserve"> </w:t>
            </w:r>
            <w:r w:rsidRPr="007514C2">
              <w:rPr>
                <w:rFonts w:eastAsia="Times New Roman" w:cs="Arial"/>
                <w:sz w:val="22"/>
                <w:szCs w:val="22"/>
                <w:lang w:val="en-AU" w:eastAsia="en-AU"/>
              </w:rPr>
              <w:t>https://doi.org/10.1177/1088357613517504</w:t>
            </w:r>
          </w:p>
        </w:tc>
        <w:tc>
          <w:tcPr>
            <w:tcW w:w="1218" w:type="dxa"/>
          </w:tcPr>
          <w:p w14:paraId="29D6454C" w14:textId="0D647285" w:rsidR="00CB263D" w:rsidRPr="00756F5E" w:rsidRDefault="00CB263D" w:rsidP="00CB263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Meadan et al. (2014)</w:t>
            </w:r>
          </w:p>
        </w:tc>
      </w:tr>
      <w:tr w:rsidR="00CB263D" w:rsidRPr="00756F5E" w14:paraId="23D52178"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ECE9E7B" w14:textId="618A118F" w:rsidR="00CB263D" w:rsidRPr="00756F5E" w:rsidRDefault="00CB263D" w:rsidP="00CB263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Osborne, K., Ledford, J. R., Martin, J., &amp; Thorne, K. (2019). Component analysis of stay, play, talk interventions with and without self-monitored group contingencies and recorded reminders. </w:t>
            </w:r>
            <w:r w:rsidRPr="009352F1">
              <w:rPr>
                <w:rFonts w:eastAsia="Times New Roman" w:cs="Arial"/>
                <w:i/>
                <w:iCs/>
                <w:sz w:val="22"/>
                <w:szCs w:val="22"/>
                <w:lang w:eastAsia="en-AU"/>
              </w:rPr>
              <w:t>Topics in Early Childhood Special Education, 39</w:t>
            </w:r>
            <w:r w:rsidRPr="00376175">
              <w:rPr>
                <w:rFonts w:eastAsia="Times New Roman" w:cs="Arial"/>
                <w:sz w:val="22"/>
                <w:szCs w:val="22"/>
                <w:lang w:eastAsia="en-AU"/>
              </w:rPr>
              <w:t>(1), 5-18.</w:t>
            </w:r>
            <w:r>
              <w:rPr>
                <w:rFonts w:eastAsia="Times New Roman" w:cs="Arial"/>
                <w:sz w:val="22"/>
                <w:szCs w:val="22"/>
                <w:lang w:eastAsia="en-AU"/>
              </w:rPr>
              <w:t xml:space="preserve"> </w:t>
            </w:r>
            <w:r w:rsidRPr="009352F1">
              <w:rPr>
                <w:rFonts w:eastAsia="Times New Roman" w:cs="Arial"/>
                <w:sz w:val="22"/>
                <w:szCs w:val="22"/>
                <w:lang w:val="en-AU" w:eastAsia="en-AU"/>
              </w:rPr>
              <w:t>https://doi.org/10.1177/0271121418815236</w:t>
            </w:r>
          </w:p>
        </w:tc>
        <w:tc>
          <w:tcPr>
            <w:tcW w:w="1218" w:type="dxa"/>
          </w:tcPr>
          <w:p w14:paraId="27A29905" w14:textId="08D09277" w:rsidR="00CB263D" w:rsidRPr="00756F5E" w:rsidRDefault="00CB263D" w:rsidP="00CB263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Osborne et al. (2019)</w:t>
            </w:r>
          </w:p>
        </w:tc>
      </w:tr>
      <w:tr w:rsidR="00BD552D" w:rsidRPr="00756F5E" w14:paraId="25CB4132"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271CB77" w14:textId="515B2E2D" w:rsidR="00BD552D" w:rsidRPr="00756F5E" w:rsidRDefault="00BD552D" w:rsidP="00BD552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Rakap, S., Balikci, S., Aydin, B., &amp; Kalkan, S. (2023). Promoting inclusion through embedded instruction: Enhancing preschool teachers' implementation of learning opportunities for children with disabilities. </w:t>
            </w:r>
            <w:r w:rsidRPr="00926BB4">
              <w:rPr>
                <w:rFonts w:eastAsia="Times New Roman" w:cs="Arial"/>
                <w:i/>
                <w:iCs/>
                <w:sz w:val="22"/>
                <w:szCs w:val="22"/>
                <w:lang w:eastAsia="en-AU"/>
              </w:rPr>
              <w:t>Journal of Developmental and Physical Disabilities.</w:t>
            </w:r>
            <w:r>
              <w:rPr>
                <w:rFonts w:eastAsia="Times New Roman" w:cs="Arial"/>
                <w:sz w:val="22"/>
                <w:szCs w:val="22"/>
                <w:lang w:eastAsia="en-AU"/>
              </w:rPr>
              <w:t xml:space="preserve"> </w:t>
            </w:r>
            <w:r w:rsidRPr="00926BB4">
              <w:rPr>
                <w:rFonts w:eastAsia="Times New Roman" w:cs="Arial"/>
                <w:sz w:val="22"/>
                <w:szCs w:val="22"/>
                <w:lang w:val="en-AU" w:eastAsia="en-AU"/>
              </w:rPr>
              <w:t>https://doi.org/10.1007/s10882-023-09932-6</w:t>
            </w:r>
          </w:p>
        </w:tc>
        <w:tc>
          <w:tcPr>
            <w:tcW w:w="1218" w:type="dxa"/>
          </w:tcPr>
          <w:p w14:paraId="22976A07" w14:textId="320763D8" w:rsidR="00BD552D" w:rsidRPr="00756F5E" w:rsidRDefault="00BD552D" w:rsidP="00BD552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Rakap et al. (2023)</w:t>
            </w:r>
          </w:p>
        </w:tc>
      </w:tr>
      <w:tr w:rsidR="00BD552D" w:rsidRPr="00756F5E" w14:paraId="6090FB78"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190ECEA" w14:textId="608E13BC" w:rsidR="00BD552D" w:rsidRPr="00756F5E" w:rsidRDefault="00BD552D" w:rsidP="00BD552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Rollins, P. R., Campbell, M., Hoffman, R. T., &amp; Self, K. (2016). A community-based early intervention program for toddlers with autism spectrum disorders. </w:t>
            </w:r>
            <w:r w:rsidRPr="00E75C9A">
              <w:rPr>
                <w:rFonts w:eastAsia="Times New Roman" w:cs="Arial"/>
                <w:i/>
                <w:iCs/>
                <w:sz w:val="22"/>
                <w:szCs w:val="22"/>
                <w:lang w:eastAsia="en-AU"/>
              </w:rPr>
              <w:t>Autism, 20</w:t>
            </w:r>
            <w:r w:rsidRPr="00376175">
              <w:rPr>
                <w:rFonts w:eastAsia="Times New Roman" w:cs="Arial"/>
                <w:sz w:val="22"/>
                <w:szCs w:val="22"/>
                <w:lang w:eastAsia="en-AU"/>
              </w:rPr>
              <w:t>(2), 219-232.</w:t>
            </w:r>
            <w:r>
              <w:rPr>
                <w:rFonts w:eastAsia="Times New Roman" w:cs="Arial"/>
                <w:sz w:val="22"/>
                <w:szCs w:val="22"/>
                <w:lang w:eastAsia="en-AU"/>
              </w:rPr>
              <w:t xml:space="preserve"> </w:t>
            </w:r>
            <w:r w:rsidRPr="00E75C9A">
              <w:rPr>
                <w:rFonts w:eastAsia="Times New Roman" w:cs="Arial"/>
                <w:sz w:val="22"/>
                <w:szCs w:val="22"/>
                <w:lang w:val="en-AU" w:eastAsia="en-AU"/>
              </w:rPr>
              <w:t>https://doi.org/10.1177/1362361315577217</w:t>
            </w:r>
          </w:p>
        </w:tc>
        <w:tc>
          <w:tcPr>
            <w:tcW w:w="1218" w:type="dxa"/>
          </w:tcPr>
          <w:p w14:paraId="2FDD8701" w14:textId="4597EAF7" w:rsidR="00BD552D" w:rsidRPr="00756F5E" w:rsidRDefault="00BD552D" w:rsidP="00BD552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Rollins et al. (2016)</w:t>
            </w:r>
          </w:p>
        </w:tc>
      </w:tr>
      <w:tr w:rsidR="00BD552D" w:rsidRPr="00756F5E" w14:paraId="203F3730"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350C0239" w14:textId="701DCD22" w:rsidR="00BD552D" w:rsidRPr="00756F5E" w:rsidRDefault="00BD552D" w:rsidP="00BD552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Romano, M., Schnurr, M., Barton, E. E., Woods, J., &amp; Weigel, C. (2023). Using peer coaches as community-based competency drivers in Part C early intervention.</w:t>
            </w:r>
            <w:r w:rsidRPr="00DA328D">
              <w:rPr>
                <w:rFonts w:eastAsia="Times New Roman" w:cs="Arial"/>
                <w:i/>
                <w:iCs/>
                <w:sz w:val="22"/>
                <w:szCs w:val="22"/>
                <w:lang w:eastAsia="en-AU"/>
              </w:rPr>
              <w:t xml:space="preserve"> Topics in Early Childhood Special Education, 43</w:t>
            </w:r>
            <w:r w:rsidRPr="00376175">
              <w:rPr>
                <w:rFonts w:eastAsia="Times New Roman" w:cs="Arial"/>
                <w:sz w:val="22"/>
                <w:szCs w:val="22"/>
                <w:lang w:eastAsia="en-AU"/>
              </w:rPr>
              <w:t>(2), 89-102.</w:t>
            </w:r>
            <w:r>
              <w:rPr>
                <w:rFonts w:eastAsia="Times New Roman" w:cs="Arial"/>
                <w:sz w:val="22"/>
                <w:szCs w:val="22"/>
                <w:lang w:eastAsia="en-AU"/>
              </w:rPr>
              <w:t xml:space="preserve"> </w:t>
            </w:r>
            <w:r w:rsidRPr="00DA328D">
              <w:rPr>
                <w:rFonts w:eastAsia="Times New Roman" w:cs="Arial"/>
                <w:sz w:val="22"/>
                <w:szCs w:val="22"/>
                <w:lang w:val="en-AU" w:eastAsia="en-AU"/>
              </w:rPr>
              <w:t>https://doi.org/10.1177/02711214211007572</w:t>
            </w:r>
          </w:p>
        </w:tc>
        <w:tc>
          <w:tcPr>
            <w:tcW w:w="1218" w:type="dxa"/>
          </w:tcPr>
          <w:p w14:paraId="28BE1BDA" w14:textId="42539586" w:rsidR="00BD552D" w:rsidRPr="00756F5E" w:rsidRDefault="00BD552D" w:rsidP="00BD552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Romano et al. (2023)</w:t>
            </w:r>
          </w:p>
        </w:tc>
      </w:tr>
      <w:tr w:rsidR="00BD552D" w:rsidRPr="00756F5E" w14:paraId="2AB749B6"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343500BC" w14:textId="1B9C1F68" w:rsidR="00BD552D" w:rsidRPr="00756F5E" w:rsidRDefault="00BD552D" w:rsidP="00BD552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Rooks-Ellis, D. L., Howorth, S. K., Boulette, S., Kunze, M., &amp; Sulinski, E. (2020). Effects of a parent training using telehealth: Equity and access to early intervention for rural families. </w:t>
            </w:r>
            <w:r w:rsidRPr="00D73559">
              <w:rPr>
                <w:rFonts w:eastAsia="Times New Roman" w:cs="Arial"/>
                <w:i/>
                <w:iCs/>
                <w:sz w:val="22"/>
                <w:szCs w:val="22"/>
                <w:lang w:eastAsia="en-AU"/>
              </w:rPr>
              <w:t>Journal of Childhood, Education &amp; Society, 1</w:t>
            </w:r>
            <w:r w:rsidRPr="00376175">
              <w:rPr>
                <w:rFonts w:eastAsia="Times New Roman" w:cs="Arial"/>
                <w:sz w:val="22"/>
                <w:szCs w:val="22"/>
                <w:lang w:eastAsia="en-AU"/>
              </w:rPr>
              <w:t>(2), 141-166.</w:t>
            </w:r>
            <w:r>
              <w:rPr>
                <w:rFonts w:eastAsia="Times New Roman" w:cs="Arial"/>
                <w:sz w:val="22"/>
                <w:szCs w:val="22"/>
                <w:lang w:eastAsia="en-AU"/>
              </w:rPr>
              <w:t xml:space="preserve"> </w:t>
            </w:r>
            <w:r w:rsidRPr="00D73559">
              <w:rPr>
                <w:rFonts w:eastAsia="Times New Roman" w:cs="Arial"/>
                <w:sz w:val="22"/>
                <w:szCs w:val="22"/>
                <w:lang w:val="en-AU" w:eastAsia="en-AU"/>
              </w:rPr>
              <w:t>https://doi.org/10.37291/2717638X.20201242</w:t>
            </w:r>
          </w:p>
        </w:tc>
        <w:tc>
          <w:tcPr>
            <w:tcW w:w="1218" w:type="dxa"/>
          </w:tcPr>
          <w:p w14:paraId="7069ED08" w14:textId="4F6D9792" w:rsidR="00BD552D" w:rsidRPr="00756F5E" w:rsidRDefault="00BD552D" w:rsidP="00BD552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Rooks-Ellis et al. (2020)</w:t>
            </w:r>
          </w:p>
        </w:tc>
      </w:tr>
      <w:tr w:rsidR="00005EFD" w:rsidRPr="00756F5E" w14:paraId="6F07FB8C"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5493A40E" w14:textId="0E2ADC30" w:rsidR="00005EFD" w:rsidRPr="00756F5E" w:rsidRDefault="00005EFD" w:rsidP="00005EFD">
            <w:pPr>
              <w:suppressAutoHyphens/>
              <w:spacing w:before="40" w:after="40" w:line="200" w:lineRule="atLeast"/>
              <w:ind w:left="463" w:hanging="463"/>
              <w:rPr>
                <w:rFonts w:eastAsia="Times New Roman" w:cs="Arial"/>
                <w:sz w:val="22"/>
                <w:szCs w:val="22"/>
                <w:lang w:eastAsia="en-AU"/>
              </w:rPr>
            </w:pPr>
            <w:r w:rsidRPr="005C0C39">
              <w:rPr>
                <w:rFonts w:eastAsia="Times New Roman" w:cs="Arial"/>
                <w:sz w:val="22"/>
                <w:szCs w:val="22"/>
                <w:lang w:val="it-IT" w:eastAsia="en-AU"/>
              </w:rPr>
              <w:t xml:space="preserve">Ruppel, K. W., Hanley, G. P., Landa, R. K., &amp; Rajaraman, A. (2021). </w:t>
            </w:r>
            <w:r w:rsidRPr="00376175">
              <w:rPr>
                <w:rFonts w:eastAsia="Times New Roman" w:cs="Arial"/>
                <w:sz w:val="22"/>
                <w:szCs w:val="22"/>
                <w:lang w:eastAsia="en-AU"/>
              </w:rPr>
              <w:t xml:space="preserve">An evaluation of "balance": A home-based, parent-implemented program addressing emerging problem behavior. </w:t>
            </w:r>
            <w:r w:rsidRPr="00DB40A9">
              <w:rPr>
                <w:rFonts w:eastAsia="Times New Roman" w:cs="Arial"/>
                <w:i/>
                <w:iCs/>
                <w:sz w:val="22"/>
                <w:szCs w:val="22"/>
                <w:lang w:eastAsia="en-AU"/>
              </w:rPr>
              <w:t>Behavior Analysis in Practice, 14</w:t>
            </w:r>
            <w:r w:rsidRPr="00376175">
              <w:rPr>
                <w:rFonts w:eastAsia="Times New Roman" w:cs="Arial"/>
                <w:sz w:val="22"/>
                <w:szCs w:val="22"/>
                <w:lang w:eastAsia="en-AU"/>
              </w:rPr>
              <w:t>(2), 324-341.</w:t>
            </w:r>
            <w:r>
              <w:rPr>
                <w:rFonts w:eastAsia="Times New Roman" w:cs="Arial"/>
                <w:sz w:val="22"/>
                <w:szCs w:val="22"/>
                <w:lang w:eastAsia="en-AU"/>
              </w:rPr>
              <w:t xml:space="preserve"> </w:t>
            </w:r>
            <w:r w:rsidRPr="00DB40A9">
              <w:rPr>
                <w:rFonts w:eastAsia="Times New Roman" w:cs="Arial"/>
                <w:sz w:val="22"/>
                <w:szCs w:val="22"/>
                <w:lang w:val="en-AU" w:eastAsia="en-AU"/>
              </w:rPr>
              <w:t>https://doi.org/10.1007/s40617-020-00490-3</w:t>
            </w:r>
          </w:p>
        </w:tc>
        <w:tc>
          <w:tcPr>
            <w:tcW w:w="1218" w:type="dxa"/>
          </w:tcPr>
          <w:p w14:paraId="3F099E3A" w14:textId="1D4DD782" w:rsidR="00005EFD" w:rsidRPr="00756F5E" w:rsidRDefault="00005EFD" w:rsidP="00005EF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Ruppel et al. (2021)</w:t>
            </w:r>
          </w:p>
        </w:tc>
      </w:tr>
      <w:tr w:rsidR="00005EFD" w:rsidRPr="00756F5E" w14:paraId="05EA74F3"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04A19F4" w14:textId="4E51674C" w:rsidR="00005EFD" w:rsidRPr="00756F5E" w:rsidRDefault="00005EFD" w:rsidP="00005EF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Stanton-Chapman, T. L., &amp; Brown, T. S. (2015). A strategy to increase the social interactions of 3-year-old children with disabilities in an inclusive classroom. </w:t>
            </w:r>
            <w:r w:rsidRPr="005E64E4">
              <w:rPr>
                <w:rFonts w:eastAsia="Times New Roman" w:cs="Arial"/>
                <w:i/>
                <w:iCs/>
                <w:sz w:val="22"/>
                <w:szCs w:val="22"/>
                <w:lang w:eastAsia="en-AU"/>
              </w:rPr>
              <w:t>Topics in Early Childhood Special Education, 35</w:t>
            </w:r>
            <w:r w:rsidRPr="00376175">
              <w:rPr>
                <w:rFonts w:eastAsia="Times New Roman" w:cs="Arial"/>
                <w:sz w:val="22"/>
                <w:szCs w:val="22"/>
                <w:lang w:eastAsia="en-AU"/>
              </w:rPr>
              <w:t>(1), 4-14.</w:t>
            </w:r>
            <w:r>
              <w:rPr>
                <w:rFonts w:eastAsia="Times New Roman" w:cs="Arial"/>
                <w:sz w:val="22"/>
                <w:szCs w:val="22"/>
                <w:lang w:eastAsia="en-AU"/>
              </w:rPr>
              <w:t xml:space="preserve"> </w:t>
            </w:r>
            <w:r w:rsidRPr="005E64E4">
              <w:rPr>
                <w:rFonts w:eastAsia="Times New Roman" w:cs="Arial"/>
                <w:sz w:val="22"/>
                <w:szCs w:val="22"/>
                <w:lang w:val="en-AU" w:eastAsia="en-AU"/>
              </w:rPr>
              <w:t>https://doi.org/10.1177/0271121414554210</w:t>
            </w:r>
          </w:p>
        </w:tc>
        <w:tc>
          <w:tcPr>
            <w:tcW w:w="1218" w:type="dxa"/>
          </w:tcPr>
          <w:p w14:paraId="55D2754A" w14:textId="23F4BCFB" w:rsidR="00005EFD" w:rsidRPr="00756F5E" w:rsidRDefault="00005EFD" w:rsidP="00005EF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Stanton-Chapman and Brown (2015)</w:t>
            </w:r>
          </w:p>
        </w:tc>
      </w:tr>
      <w:tr w:rsidR="00005EFD" w:rsidRPr="00756F5E" w14:paraId="11E674EF"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0E953252" w14:textId="7F02B203" w:rsidR="00005EFD" w:rsidRPr="00756F5E" w:rsidRDefault="00005EFD" w:rsidP="00005EF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Stanton-Chapman, T. L., Walker, V., &amp; Jamison, K. R. (2014). </w:t>
            </w:r>
            <w:r w:rsidRPr="0037764D">
              <w:rPr>
                <w:rFonts w:eastAsia="Times New Roman" w:cs="Arial"/>
                <w:sz w:val="22"/>
                <w:szCs w:val="22"/>
                <w:lang w:val="en-AU" w:eastAsia="en-AU"/>
              </w:rPr>
              <w:t xml:space="preserve">Building social competence in preschool: The effects of a social skills intervention targeting children enrolled in head start. </w:t>
            </w:r>
            <w:r w:rsidRPr="0037764D">
              <w:rPr>
                <w:rFonts w:eastAsia="Times New Roman" w:cs="Arial"/>
                <w:i/>
                <w:iCs/>
                <w:sz w:val="22"/>
                <w:szCs w:val="22"/>
                <w:lang w:val="en-AU" w:eastAsia="en-AU"/>
              </w:rPr>
              <w:t>Journal of Early Childhood Teacher Education</w:t>
            </w:r>
            <w:r w:rsidRPr="0037764D">
              <w:rPr>
                <w:rFonts w:eastAsia="Times New Roman" w:cs="Arial"/>
                <w:sz w:val="22"/>
                <w:szCs w:val="22"/>
                <w:lang w:val="en-AU" w:eastAsia="en-AU"/>
              </w:rPr>
              <w:t>,</w:t>
            </w:r>
            <w:r w:rsidRPr="0037764D">
              <w:rPr>
                <w:rFonts w:eastAsia="Times New Roman" w:cs="Arial"/>
                <w:i/>
                <w:iCs/>
                <w:sz w:val="22"/>
                <w:szCs w:val="22"/>
                <w:lang w:val="en-AU" w:eastAsia="en-AU"/>
              </w:rPr>
              <w:t xml:space="preserve"> 35</w:t>
            </w:r>
            <w:r w:rsidRPr="0037764D">
              <w:rPr>
                <w:rFonts w:eastAsia="Times New Roman" w:cs="Arial"/>
                <w:sz w:val="22"/>
                <w:szCs w:val="22"/>
                <w:lang w:val="en-AU" w:eastAsia="en-AU"/>
              </w:rPr>
              <w:t>(2), 185-200. https://doi.org/10.1080/10901027.2013.874385</w:t>
            </w:r>
          </w:p>
        </w:tc>
        <w:tc>
          <w:tcPr>
            <w:tcW w:w="1218" w:type="dxa"/>
          </w:tcPr>
          <w:p w14:paraId="0CB8356E" w14:textId="25740C36" w:rsidR="00005EFD" w:rsidRPr="00756F5E" w:rsidRDefault="00005EFD" w:rsidP="00005EF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Stanton-Chapman et al. (2014)</w:t>
            </w:r>
          </w:p>
        </w:tc>
      </w:tr>
      <w:tr w:rsidR="00005EFD" w:rsidRPr="00756F5E" w14:paraId="69B7B9F4"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5120C299" w14:textId="12E17C90" w:rsidR="00005EFD" w:rsidRPr="00756F5E" w:rsidRDefault="00005EFD" w:rsidP="00005EF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Sutton, B. M., Westerveld, M. F., &amp; Webster, A. A. (2022). Classroom teachers' implementation of the social stations intervention to improve the verbal initiations and responses of students with autism. </w:t>
            </w:r>
            <w:r w:rsidRPr="0068105E">
              <w:rPr>
                <w:rFonts w:eastAsia="Times New Roman" w:cs="Arial"/>
                <w:i/>
                <w:iCs/>
                <w:sz w:val="22"/>
                <w:szCs w:val="22"/>
                <w:lang w:eastAsia="en-AU"/>
              </w:rPr>
              <w:t>Journal of Autism and Developmental Disorders, 52</w:t>
            </w:r>
            <w:r w:rsidRPr="00376175">
              <w:rPr>
                <w:rFonts w:eastAsia="Times New Roman" w:cs="Arial"/>
                <w:sz w:val="22"/>
                <w:szCs w:val="22"/>
                <w:lang w:eastAsia="en-AU"/>
              </w:rPr>
              <w:t>(3), 1268-1282.</w:t>
            </w:r>
            <w:r>
              <w:rPr>
                <w:rFonts w:eastAsia="Times New Roman" w:cs="Arial"/>
                <w:sz w:val="22"/>
                <w:szCs w:val="22"/>
                <w:lang w:eastAsia="en-AU"/>
              </w:rPr>
              <w:t xml:space="preserve"> </w:t>
            </w:r>
            <w:r w:rsidRPr="0068105E">
              <w:rPr>
                <w:rFonts w:eastAsia="Times New Roman" w:cs="Arial"/>
                <w:sz w:val="22"/>
                <w:szCs w:val="22"/>
                <w:lang w:val="en-AU" w:eastAsia="en-AU"/>
              </w:rPr>
              <w:t>https://doi.org/10.1007/s10803-021-05042-4</w:t>
            </w:r>
          </w:p>
        </w:tc>
        <w:tc>
          <w:tcPr>
            <w:tcW w:w="1218" w:type="dxa"/>
          </w:tcPr>
          <w:p w14:paraId="70D65640" w14:textId="6F7461DF" w:rsidR="00005EFD" w:rsidRPr="00756F5E" w:rsidRDefault="00005EFD" w:rsidP="00005EF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Sutton et al. (2022)</w:t>
            </w:r>
          </w:p>
        </w:tc>
      </w:tr>
      <w:tr w:rsidR="00C546CD" w:rsidRPr="00756F5E" w14:paraId="29BC0C74"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4865A446" w14:textId="2B723C12" w:rsidR="00C546CD" w:rsidRPr="00756F5E" w:rsidRDefault="00C546CD" w:rsidP="00C546C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Tal-Atzili, O., &amp; Salls, J. (2017). Qigong Sensory Training pilot study: A tactile home program for children with or at-risk for autism. </w:t>
            </w:r>
            <w:r w:rsidRPr="00E462CE">
              <w:rPr>
                <w:rFonts w:eastAsia="Times New Roman" w:cs="Arial"/>
                <w:i/>
                <w:iCs/>
                <w:sz w:val="22"/>
                <w:szCs w:val="22"/>
                <w:lang w:eastAsia="en-AU"/>
              </w:rPr>
              <w:t>Journal of Occupational Therapy Schools and Early Intervention, 10</w:t>
            </w:r>
            <w:r w:rsidRPr="00E462CE">
              <w:rPr>
                <w:rFonts w:eastAsia="Times New Roman" w:cs="Arial"/>
                <w:sz w:val="22"/>
                <w:szCs w:val="22"/>
                <w:lang w:eastAsia="en-AU"/>
              </w:rPr>
              <w:t>(</w:t>
            </w:r>
            <w:r w:rsidRPr="00376175">
              <w:rPr>
                <w:rFonts w:eastAsia="Times New Roman" w:cs="Arial"/>
                <w:sz w:val="22"/>
                <w:szCs w:val="22"/>
                <w:lang w:eastAsia="en-AU"/>
              </w:rPr>
              <w:t>4), 366-388.</w:t>
            </w:r>
            <w:r>
              <w:rPr>
                <w:rFonts w:eastAsia="Times New Roman" w:cs="Arial"/>
                <w:sz w:val="22"/>
                <w:szCs w:val="22"/>
                <w:lang w:eastAsia="en-AU"/>
              </w:rPr>
              <w:t xml:space="preserve"> </w:t>
            </w:r>
            <w:r w:rsidRPr="00E462CE">
              <w:rPr>
                <w:rFonts w:eastAsia="Times New Roman" w:cs="Arial"/>
                <w:sz w:val="22"/>
                <w:szCs w:val="22"/>
                <w:lang w:val="en-AU" w:eastAsia="en-AU"/>
              </w:rPr>
              <w:t>https://doi.org/10.1080/19411243.2017.1325819</w:t>
            </w:r>
          </w:p>
        </w:tc>
        <w:tc>
          <w:tcPr>
            <w:tcW w:w="1218" w:type="dxa"/>
          </w:tcPr>
          <w:p w14:paraId="7E5BFB13" w14:textId="58775468" w:rsidR="00C546CD" w:rsidRPr="00756F5E" w:rsidRDefault="00C546CD" w:rsidP="00C546C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Tal-Atzili and Salls (2017)</w:t>
            </w:r>
          </w:p>
        </w:tc>
      </w:tr>
      <w:tr w:rsidR="00C546CD" w:rsidRPr="00756F5E" w14:paraId="2D0011C8"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E367E0E" w14:textId="74EDF9C3" w:rsidR="00C546CD" w:rsidRPr="00756F5E" w:rsidRDefault="00C546CD" w:rsidP="00C546C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Tupou, J., Waddington, H., &amp; Sigafoos, J. (2020). </w:t>
            </w:r>
            <w:r w:rsidRPr="006E2EE2">
              <w:rPr>
                <w:rFonts w:eastAsia="Times New Roman" w:cs="Arial"/>
                <w:sz w:val="22"/>
                <w:szCs w:val="22"/>
                <w:lang w:val="en-AU" w:eastAsia="en-AU"/>
              </w:rPr>
              <w:t xml:space="preserve">Evaluation of a brief teacher coaching program for delivering an early intervention program to preschoolers with autism spectrum disorder. </w:t>
            </w:r>
            <w:r w:rsidRPr="006E2EE2">
              <w:rPr>
                <w:rFonts w:eastAsia="Times New Roman" w:cs="Arial"/>
                <w:i/>
                <w:iCs/>
                <w:sz w:val="22"/>
                <w:szCs w:val="22"/>
                <w:lang w:val="en-AU" w:eastAsia="en-AU"/>
              </w:rPr>
              <w:t>Infants &amp; Young Children</w:t>
            </w:r>
            <w:r w:rsidRPr="006E2EE2">
              <w:rPr>
                <w:rFonts w:eastAsia="Times New Roman" w:cs="Arial"/>
                <w:sz w:val="22"/>
                <w:szCs w:val="22"/>
                <w:lang w:val="en-AU" w:eastAsia="en-AU"/>
              </w:rPr>
              <w:t>,</w:t>
            </w:r>
            <w:r w:rsidRPr="006E2EE2">
              <w:rPr>
                <w:rFonts w:eastAsia="Times New Roman" w:cs="Arial"/>
                <w:i/>
                <w:iCs/>
                <w:sz w:val="22"/>
                <w:szCs w:val="22"/>
                <w:lang w:val="en-AU" w:eastAsia="en-AU"/>
              </w:rPr>
              <w:t xml:space="preserve"> 33</w:t>
            </w:r>
            <w:r w:rsidRPr="006E2EE2">
              <w:rPr>
                <w:rFonts w:eastAsia="Times New Roman" w:cs="Arial"/>
                <w:sz w:val="22"/>
                <w:szCs w:val="22"/>
                <w:lang w:val="en-AU" w:eastAsia="en-AU"/>
              </w:rPr>
              <w:t>(4), 259-282.</w:t>
            </w:r>
            <w:r>
              <w:rPr>
                <w:rFonts w:eastAsia="Times New Roman" w:cs="Arial"/>
                <w:sz w:val="22"/>
                <w:szCs w:val="22"/>
                <w:lang w:val="en-AU" w:eastAsia="en-AU"/>
              </w:rPr>
              <w:t xml:space="preserve"> </w:t>
            </w:r>
            <w:r w:rsidRPr="006E2EE2">
              <w:rPr>
                <w:rFonts w:eastAsia="Times New Roman" w:cs="Arial"/>
                <w:sz w:val="22"/>
                <w:szCs w:val="22"/>
                <w:lang w:val="en-AU" w:eastAsia="en-AU"/>
              </w:rPr>
              <w:t>https://doi.org/10.1097/iyc.0000000000000174</w:t>
            </w:r>
          </w:p>
        </w:tc>
        <w:tc>
          <w:tcPr>
            <w:tcW w:w="1218" w:type="dxa"/>
          </w:tcPr>
          <w:p w14:paraId="7B8EB699" w14:textId="6893A1D4" w:rsidR="00C546CD" w:rsidRPr="00756F5E" w:rsidRDefault="00C546CD" w:rsidP="00C546C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Tupou et al. (2020)</w:t>
            </w:r>
          </w:p>
        </w:tc>
      </w:tr>
      <w:tr w:rsidR="00C546CD" w:rsidRPr="00756F5E" w14:paraId="592CF8A3"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76B6E56B" w14:textId="02B422C1" w:rsidR="00C546CD" w:rsidRPr="00756F5E" w:rsidRDefault="00C546CD" w:rsidP="00C546CD">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Tupou, J., Waddington, H., van der Meer, L., &amp; Sigafoos, J. (2022). Effects of a low-intensity Early Start Denver Model-based intervention delivered in an inclusive preschool setting. </w:t>
            </w:r>
            <w:r w:rsidRPr="00C72605">
              <w:rPr>
                <w:rFonts w:eastAsia="Times New Roman" w:cs="Arial"/>
                <w:i/>
                <w:iCs/>
                <w:sz w:val="22"/>
                <w:szCs w:val="22"/>
                <w:lang w:eastAsia="en-AU"/>
              </w:rPr>
              <w:t>International Journal of Developmental Disabilities, 68</w:t>
            </w:r>
            <w:r w:rsidRPr="00376175">
              <w:rPr>
                <w:rFonts w:eastAsia="Times New Roman" w:cs="Arial"/>
                <w:sz w:val="22"/>
                <w:szCs w:val="22"/>
                <w:lang w:eastAsia="en-AU"/>
              </w:rPr>
              <w:t>(2), 107-121.</w:t>
            </w:r>
            <w:r>
              <w:rPr>
                <w:rFonts w:eastAsia="Times New Roman" w:cs="Arial"/>
                <w:sz w:val="22"/>
                <w:szCs w:val="22"/>
                <w:lang w:eastAsia="en-AU"/>
              </w:rPr>
              <w:t xml:space="preserve"> </w:t>
            </w:r>
            <w:r w:rsidRPr="00C72605">
              <w:rPr>
                <w:rFonts w:eastAsia="Times New Roman" w:cs="Arial"/>
                <w:sz w:val="22"/>
                <w:szCs w:val="22"/>
                <w:lang w:val="en-AU" w:eastAsia="en-AU"/>
              </w:rPr>
              <w:t>https://doi.org/10.1080/20473869.2019.1707434</w:t>
            </w:r>
          </w:p>
        </w:tc>
        <w:tc>
          <w:tcPr>
            <w:tcW w:w="1218" w:type="dxa"/>
          </w:tcPr>
          <w:p w14:paraId="618C29D0" w14:textId="53A5E655" w:rsidR="00C546CD" w:rsidRPr="00756F5E" w:rsidRDefault="00C546CD" w:rsidP="00C546CD">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Tupou et al. (2022)</w:t>
            </w:r>
          </w:p>
        </w:tc>
      </w:tr>
      <w:tr w:rsidR="0085541C" w:rsidRPr="00756F5E" w14:paraId="24B6CE24"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D4B6A85" w14:textId="1E8228C5" w:rsidR="0085541C" w:rsidRPr="00756F5E" w:rsidRDefault="0085541C" w:rsidP="0085541C">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van Noorden, L. E., Sigafoos, J., &amp; Waddington, H. L. (2022). </w:t>
            </w:r>
            <w:r w:rsidRPr="002E259A">
              <w:rPr>
                <w:rFonts w:eastAsia="Times New Roman" w:cs="Arial"/>
                <w:sz w:val="22"/>
                <w:szCs w:val="22"/>
                <w:lang w:val="en-AU" w:eastAsia="en-AU"/>
              </w:rPr>
              <w:t xml:space="preserve">Evaluating a two-tiered parent coaching intervention for young autistic children using the Early Start Denver Model. </w:t>
            </w:r>
            <w:r w:rsidRPr="002E259A">
              <w:rPr>
                <w:rFonts w:eastAsia="Times New Roman" w:cs="Arial"/>
                <w:i/>
                <w:iCs/>
                <w:sz w:val="22"/>
                <w:szCs w:val="22"/>
                <w:lang w:val="en-AU" w:eastAsia="en-AU"/>
              </w:rPr>
              <w:t>Advances in Neurodevelopmental Disorders</w:t>
            </w:r>
            <w:r w:rsidRPr="002E259A">
              <w:rPr>
                <w:rFonts w:eastAsia="Times New Roman" w:cs="Arial"/>
                <w:sz w:val="22"/>
                <w:szCs w:val="22"/>
                <w:lang w:val="en-AU" w:eastAsia="en-AU"/>
              </w:rPr>
              <w:t>,</w:t>
            </w:r>
            <w:r w:rsidRPr="002E259A">
              <w:rPr>
                <w:rFonts w:eastAsia="Times New Roman" w:cs="Arial"/>
                <w:i/>
                <w:iCs/>
                <w:sz w:val="22"/>
                <w:szCs w:val="22"/>
                <w:lang w:val="en-AU" w:eastAsia="en-AU"/>
              </w:rPr>
              <w:t xml:space="preserve"> 6</w:t>
            </w:r>
            <w:r w:rsidRPr="002E259A">
              <w:rPr>
                <w:rFonts w:eastAsia="Times New Roman" w:cs="Arial"/>
                <w:sz w:val="22"/>
                <w:szCs w:val="22"/>
                <w:lang w:val="en-AU" w:eastAsia="en-AU"/>
              </w:rPr>
              <w:t>(4), 473-493. https://doi.org/10.1007/s41252-022-00264-8</w:t>
            </w:r>
          </w:p>
        </w:tc>
        <w:tc>
          <w:tcPr>
            <w:tcW w:w="1218" w:type="dxa"/>
          </w:tcPr>
          <w:p w14:paraId="414239F9" w14:textId="22B407BD" w:rsidR="0085541C" w:rsidRPr="00756F5E" w:rsidRDefault="0085541C" w:rsidP="0085541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van Noorden et al. (2022)</w:t>
            </w:r>
          </w:p>
        </w:tc>
      </w:tr>
      <w:tr w:rsidR="0085541C" w:rsidRPr="00756F5E" w14:paraId="149339A7"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140EF5E6" w14:textId="6F999A94" w:rsidR="0085541C" w:rsidRPr="00756F5E" w:rsidRDefault="0085541C" w:rsidP="0085541C">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Vismara, L. A., McCormick, C. E. B., Shields, R., &amp; Hessl, D. (2019). </w:t>
            </w:r>
            <w:r w:rsidRPr="00406968">
              <w:rPr>
                <w:rFonts w:eastAsia="Times New Roman" w:cs="Arial"/>
                <w:sz w:val="22"/>
                <w:szCs w:val="22"/>
                <w:lang w:val="en-AU" w:eastAsia="en-AU"/>
              </w:rPr>
              <w:t xml:space="preserve">Extending the parent-delivered Early Start Denver Model to young children with Fragile X Syndrome. </w:t>
            </w:r>
            <w:r w:rsidRPr="00406968">
              <w:rPr>
                <w:rFonts w:eastAsia="Times New Roman" w:cs="Arial"/>
                <w:i/>
                <w:iCs/>
                <w:sz w:val="22"/>
                <w:szCs w:val="22"/>
                <w:lang w:val="en-AU" w:eastAsia="en-AU"/>
              </w:rPr>
              <w:t>Journal of Autism &amp; Developmental Disorders</w:t>
            </w:r>
            <w:r w:rsidRPr="00406968">
              <w:rPr>
                <w:rFonts w:eastAsia="Times New Roman" w:cs="Arial"/>
                <w:sz w:val="22"/>
                <w:szCs w:val="22"/>
                <w:lang w:val="en-AU" w:eastAsia="en-AU"/>
              </w:rPr>
              <w:t>,</w:t>
            </w:r>
            <w:r w:rsidRPr="00406968">
              <w:rPr>
                <w:rFonts w:eastAsia="Times New Roman" w:cs="Arial"/>
                <w:i/>
                <w:iCs/>
                <w:sz w:val="22"/>
                <w:szCs w:val="22"/>
                <w:lang w:val="en-AU" w:eastAsia="en-AU"/>
              </w:rPr>
              <w:t xml:space="preserve"> 49</w:t>
            </w:r>
            <w:r w:rsidRPr="00406968">
              <w:rPr>
                <w:rFonts w:eastAsia="Times New Roman" w:cs="Arial"/>
                <w:sz w:val="22"/>
                <w:szCs w:val="22"/>
                <w:lang w:val="en-AU" w:eastAsia="en-AU"/>
              </w:rPr>
              <w:t>(3), 1250-1266. https://doi.org/10.1007/s10803-018-3833-1</w:t>
            </w:r>
          </w:p>
        </w:tc>
        <w:tc>
          <w:tcPr>
            <w:tcW w:w="1218" w:type="dxa"/>
          </w:tcPr>
          <w:p w14:paraId="1CFC4296" w14:textId="72CC0418" w:rsidR="0085541C" w:rsidRPr="00756F5E" w:rsidRDefault="0085541C" w:rsidP="0085541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Vismara et al. (2019)</w:t>
            </w:r>
          </w:p>
        </w:tc>
      </w:tr>
      <w:tr w:rsidR="0085541C" w:rsidRPr="00756F5E" w14:paraId="5008B35F"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F17883E" w14:textId="17C5EEF4" w:rsidR="0085541C" w:rsidRPr="00756F5E" w:rsidRDefault="0085541C" w:rsidP="0085541C">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Waddington, H., Curtis, S., van Noorden, L., Sigafoos, J., van der Meer, L., &amp; Whitehouse, A. (2024). </w:t>
            </w:r>
            <w:r w:rsidRPr="00333622">
              <w:rPr>
                <w:rFonts w:eastAsia="Times New Roman" w:cs="Arial"/>
                <w:sz w:val="22"/>
                <w:szCs w:val="22"/>
                <w:lang w:val="en-AU" w:eastAsia="en-AU"/>
              </w:rPr>
              <w:t xml:space="preserve">Evaluation of low-intensity therapist-delivered intervention in addition to parent coaching for young children with autism spectrum disorder. </w:t>
            </w:r>
            <w:r w:rsidRPr="00333622">
              <w:rPr>
                <w:rFonts w:eastAsia="Times New Roman" w:cs="Arial"/>
                <w:i/>
                <w:iCs/>
                <w:sz w:val="22"/>
                <w:szCs w:val="22"/>
                <w:lang w:val="en-AU" w:eastAsia="en-AU"/>
              </w:rPr>
              <w:t>International Journal of Disability, Development &amp; Education</w:t>
            </w:r>
            <w:r w:rsidRPr="00333622">
              <w:rPr>
                <w:rFonts w:eastAsia="Times New Roman" w:cs="Arial"/>
                <w:sz w:val="22"/>
                <w:szCs w:val="22"/>
                <w:lang w:val="en-AU" w:eastAsia="en-AU"/>
              </w:rPr>
              <w:t>,</w:t>
            </w:r>
            <w:r w:rsidRPr="00333622">
              <w:rPr>
                <w:rFonts w:eastAsia="Times New Roman" w:cs="Arial"/>
                <w:i/>
                <w:iCs/>
                <w:sz w:val="22"/>
                <w:szCs w:val="22"/>
                <w:lang w:val="en-AU" w:eastAsia="en-AU"/>
              </w:rPr>
              <w:t xml:space="preserve"> 71</w:t>
            </w:r>
            <w:r w:rsidRPr="00333622">
              <w:rPr>
                <w:rFonts w:eastAsia="Times New Roman" w:cs="Arial"/>
                <w:sz w:val="22"/>
                <w:szCs w:val="22"/>
                <w:lang w:val="en-AU" w:eastAsia="en-AU"/>
              </w:rPr>
              <w:t>(3), 352-372. https://doi.org/10.1080/1034912X.2022.2120601</w:t>
            </w:r>
          </w:p>
        </w:tc>
        <w:tc>
          <w:tcPr>
            <w:tcW w:w="1218" w:type="dxa"/>
          </w:tcPr>
          <w:p w14:paraId="74D2A4C9" w14:textId="1F6CBF37" w:rsidR="0085541C" w:rsidRPr="00756F5E" w:rsidRDefault="0085541C" w:rsidP="0085541C">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Waddington et al. (2024)</w:t>
            </w:r>
          </w:p>
        </w:tc>
      </w:tr>
      <w:tr w:rsidR="00631593" w:rsidRPr="00756F5E" w14:paraId="0B374E03"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78D62331" w14:textId="29F059C7" w:rsidR="00631593" w:rsidRPr="00756F5E" w:rsidRDefault="00631593" w:rsidP="00631593">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Watkins, L., O'Reilly, M., Kuhn, M., &amp; Ledbetter-Cho, K. (2019). An interest-based intervention package to increase peer social interaction in young children with autism spectrum disorder. </w:t>
            </w:r>
            <w:r w:rsidRPr="005916EE">
              <w:rPr>
                <w:rFonts w:eastAsia="Times New Roman" w:cs="Arial"/>
                <w:i/>
                <w:iCs/>
                <w:sz w:val="22"/>
                <w:szCs w:val="22"/>
                <w:lang w:eastAsia="en-AU"/>
              </w:rPr>
              <w:t>Journal of Applied Behavior Analysis, 52</w:t>
            </w:r>
            <w:r w:rsidRPr="00376175">
              <w:rPr>
                <w:rFonts w:eastAsia="Times New Roman" w:cs="Arial"/>
                <w:sz w:val="22"/>
                <w:szCs w:val="22"/>
                <w:lang w:eastAsia="en-AU"/>
              </w:rPr>
              <w:t>(1), 132-149.</w:t>
            </w:r>
            <w:r>
              <w:rPr>
                <w:rFonts w:eastAsia="Times New Roman" w:cs="Arial"/>
                <w:sz w:val="22"/>
                <w:szCs w:val="22"/>
                <w:lang w:eastAsia="en-AU"/>
              </w:rPr>
              <w:t xml:space="preserve"> </w:t>
            </w:r>
            <w:r w:rsidRPr="005916EE">
              <w:rPr>
                <w:rFonts w:eastAsia="Times New Roman" w:cs="Arial"/>
                <w:sz w:val="22"/>
                <w:szCs w:val="22"/>
                <w:lang w:val="en-AU" w:eastAsia="en-AU"/>
              </w:rPr>
              <w:t>https://doi.org/https://dx.doi.org/10.1002/jaba.514</w:t>
            </w:r>
          </w:p>
        </w:tc>
        <w:tc>
          <w:tcPr>
            <w:tcW w:w="1218" w:type="dxa"/>
          </w:tcPr>
          <w:p w14:paraId="4A110D48" w14:textId="04B0F4FF" w:rsidR="00631593" w:rsidRPr="00756F5E" w:rsidRDefault="00631593" w:rsidP="00631593">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Watkins et al. (2019)</w:t>
            </w:r>
          </w:p>
        </w:tc>
      </w:tr>
      <w:tr w:rsidR="00631593" w:rsidRPr="00756F5E" w14:paraId="55779C07"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63B88E2C" w14:textId="13B39BFA" w:rsidR="00631593" w:rsidRPr="00756F5E" w:rsidRDefault="00631593" w:rsidP="00631593">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Windsor, K. S., Woods, J., Kaiser, A. P., Snyder, P., &amp; Salisbury, C. (2019). Caregiver-implemented intervention for communication and motor outcomes for infants and toddlers. </w:t>
            </w:r>
            <w:r w:rsidRPr="004E24E0">
              <w:rPr>
                <w:rFonts w:eastAsia="Times New Roman" w:cs="Arial"/>
                <w:i/>
                <w:iCs/>
                <w:sz w:val="22"/>
                <w:szCs w:val="22"/>
                <w:lang w:val="en-AU" w:eastAsia="en-AU"/>
              </w:rPr>
              <w:t>Topics in Early Childhood Special Education</w:t>
            </w:r>
            <w:r w:rsidRPr="004E24E0">
              <w:rPr>
                <w:rFonts w:eastAsia="Times New Roman" w:cs="Arial"/>
                <w:sz w:val="22"/>
                <w:szCs w:val="22"/>
                <w:lang w:val="en-AU" w:eastAsia="en-AU"/>
              </w:rPr>
              <w:t>,</w:t>
            </w:r>
            <w:r w:rsidRPr="004E24E0">
              <w:rPr>
                <w:rFonts w:eastAsia="Times New Roman" w:cs="Arial"/>
                <w:i/>
                <w:iCs/>
                <w:sz w:val="22"/>
                <w:szCs w:val="22"/>
                <w:lang w:val="en-AU" w:eastAsia="en-AU"/>
              </w:rPr>
              <w:t xml:space="preserve"> 39</w:t>
            </w:r>
            <w:r w:rsidRPr="004E24E0">
              <w:rPr>
                <w:rFonts w:eastAsia="Times New Roman" w:cs="Arial"/>
                <w:sz w:val="22"/>
                <w:szCs w:val="22"/>
                <w:lang w:val="en-AU" w:eastAsia="en-AU"/>
              </w:rPr>
              <w:t>(2), 73-87. https://doi.org/10.1177/0271121418815250</w:t>
            </w:r>
          </w:p>
        </w:tc>
        <w:tc>
          <w:tcPr>
            <w:tcW w:w="1218" w:type="dxa"/>
          </w:tcPr>
          <w:p w14:paraId="3A3319F5" w14:textId="6C738848" w:rsidR="00631593" w:rsidRPr="00756F5E" w:rsidRDefault="00631593" w:rsidP="00631593">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Windsor et al. (2019)</w:t>
            </w:r>
          </w:p>
        </w:tc>
      </w:tr>
      <w:tr w:rsidR="00631593" w:rsidRPr="00756F5E" w14:paraId="1C0F2E42"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8A99215" w14:textId="5FC29FD4" w:rsidR="00631593" w:rsidRPr="00756F5E" w:rsidRDefault="00631593" w:rsidP="00631593">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Winstead, O., Lane, J. D., Spriggs, A. D., &amp; Allday, R. A. (2019). </w:t>
            </w:r>
            <w:r w:rsidRPr="00205978">
              <w:rPr>
                <w:rFonts w:eastAsia="Times New Roman" w:cs="Arial"/>
                <w:sz w:val="22"/>
                <w:szCs w:val="22"/>
                <w:lang w:val="en-AU" w:eastAsia="en-AU"/>
              </w:rPr>
              <w:t xml:space="preserve">Providing small group instruction to children with disabilities and same-age peers. </w:t>
            </w:r>
            <w:r w:rsidRPr="00205978">
              <w:rPr>
                <w:rFonts w:eastAsia="Times New Roman" w:cs="Arial"/>
                <w:i/>
                <w:iCs/>
                <w:sz w:val="22"/>
                <w:szCs w:val="22"/>
                <w:lang w:val="en-AU" w:eastAsia="en-AU"/>
              </w:rPr>
              <w:t>Journal of Early Intervention</w:t>
            </w:r>
            <w:r w:rsidRPr="00205978">
              <w:rPr>
                <w:rFonts w:eastAsia="Times New Roman" w:cs="Arial"/>
                <w:sz w:val="22"/>
                <w:szCs w:val="22"/>
                <w:lang w:val="en-AU" w:eastAsia="en-AU"/>
              </w:rPr>
              <w:t>,</w:t>
            </w:r>
            <w:r w:rsidRPr="00205978">
              <w:rPr>
                <w:rFonts w:eastAsia="Times New Roman" w:cs="Arial"/>
                <w:i/>
                <w:iCs/>
                <w:sz w:val="22"/>
                <w:szCs w:val="22"/>
                <w:lang w:val="en-AU" w:eastAsia="en-AU"/>
              </w:rPr>
              <w:t xml:space="preserve"> 41</w:t>
            </w:r>
            <w:r w:rsidRPr="00205978">
              <w:rPr>
                <w:rFonts w:eastAsia="Times New Roman" w:cs="Arial"/>
                <w:sz w:val="22"/>
                <w:szCs w:val="22"/>
                <w:lang w:val="en-AU" w:eastAsia="en-AU"/>
              </w:rPr>
              <w:t>(3), 202-219. https://doi.org/10.1177/1053815119832985</w:t>
            </w:r>
          </w:p>
        </w:tc>
        <w:tc>
          <w:tcPr>
            <w:tcW w:w="1218" w:type="dxa"/>
          </w:tcPr>
          <w:p w14:paraId="4C560BCA" w14:textId="487A6261" w:rsidR="00631593" w:rsidRPr="00756F5E" w:rsidRDefault="00631593" w:rsidP="00631593">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Winstead et al. (2019)</w:t>
            </w:r>
          </w:p>
        </w:tc>
      </w:tr>
      <w:tr w:rsidR="00631593" w:rsidRPr="00756F5E" w14:paraId="08DB661C"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0D6E66B5" w14:textId="1A1CFF54" w:rsidR="00631593" w:rsidRPr="00756F5E" w:rsidRDefault="00631593" w:rsidP="00631593">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Yang, H.-W., Meadan, H., &amp; Ostrosky, M. M. (2021). </w:t>
            </w:r>
            <w:r w:rsidRPr="00AD742B">
              <w:rPr>
                <w:rFonts w:eastAsia="Times New Roman" w:cs="Arial"/>
                <w:sz w:val="22"/>
                <w:szCs w:val="22"/>
                <w:lang w:val="en-AU" w:eastAsia="en-AU"/>
              </w:rPr>
              <w:t>A parent-implemented gross motor intervention for young children with disabilities</w:t>
            </w:r>
            <w:r w:rsidRPr="00376175">
              <w:rPr>
                <w:rFonts w:eastAsia="Times New Roman" w:cs="Arial"/>
                <w:sz w:val="22"/>
                <w:szCs w:val="22"/>
                <w:lang w:eastAsia="en-AU"/>
              </w:rPr>
              <w:t xml:space="preserve">. </w:t>
            </w:r>
            <w:r w:rsidRPr="00FF30C5">
              <w:rPr>
                <w:rFonts w:eastAsia="Times New Roman" w:cs="Arial"/>
                <w:i/>
                <w:iCs/>
                <w:sz w:val="22"/>
                <w:szCs w:val="22"/>
                <w:lang w:eastAsia="en-AU"/>
              </w:rPr>
              <w:t>Journal of Early Intervention, 43</w:t>
            </w:r>
            <w:r w:rsidRPr="00376175">
              <w:rPr>
                <w:rFonts w:eastAsia="Times New Roman" w:cs="Arial"/>
                <w:sz w:val="22"/>
                <w:szCs w:val="22"/>
                <w:lang w:eastAsia="en-AU"/>
              </w:rPr>
              <w:t>(3), 275-290.</w:t>
            </w:r>
            <w:r>
              <w:rPr>
                <w:rFonts w:eastAsia="Times New Roman" w:cs="Arial"/>
                <w:sz w:val="22"/>
                <w:szCs w:val="22"/>
                <w:lang w:eastAsia="en-AU"/>
              </w:rPr>
              <w:t xml:space="preserve"> </w:t>
            </w:r>
            <w:r w:rsidRPr="00FF30C5">
              <w:rPr>
                <w:rFonts w:eastAsia="Times New Roman" w:cs="Arial"/>
                <w:sz w:val="22"/>
                <w:szCs w:val="22"/>
                <w:lang w:val="en-AU" w:eastAsia="en-AU"/>
              </w:rPr>
              <w:t>https://doi.org/10.1177/1053815121993570</w:t>
            </w:r>
          </w:p>
        </w:tc>
        <w:tc>
          <w:tcPr>
            <w:tcW w:w="1218" w:type="dxa"/>
          </w:tcPr>
          <w:p w14:paraId="5F66E13A" w14:textId="657BF60E" w:rsidR="00631593" w:rsidRPr="00756F5E" w:rsidRDefault="00631593" w:rsidP="00631593">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Yang et al. (2021)</w:t>
            </w:r>
          </w:p>
        </w:tc>
      </w:tr>
      <w:tr w:rsidR="00631593" w:rsidRPr="00756F5E" w14:paraId="34D0ECDE"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63E8F332" w14:textId="5F9B6E4C" w:rsidR="00631593" w:rsidRPr="00756F5E" w:rsidRDefault="00631593" w:rsidP="00631593">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Yllades, V. A., Ganz, J. B., Wattanawongwan, S., Dunn, C., &amp; Pierson, L. M. (2022). </w:t>
            </w:r>
            <w:r w:rsidRPr="00E37E4B">
              <w:rPr>
                <w:rFonts w:eastAsia="Times New Roman" w:cs="Arial"/>
                <w:sz w:val="22"/>
                <w:szCs w:val="22"/>
                <w:lang w:val="en-AU" w:eastAsia="en-AU"/>
              </w:rPr>
              <w:t xml:space="preserve">Parent coaching via telepractice for children from latinx backgrounds with autism spectrum disorder. </w:t>
            </w:r>
            <w:r w:rsidRPr="00E37E4B">
              <w:rPr>
                <w:rFonts w:eastAsia="Times New Roman" w:cs="Arial"/>
                <w:i/>
                <w:iCs/>
                <w:sz w:val="22"/>
                <w:szCs w:val="22"/>
                <w:lang w:val="en-AU" w:eastAsia="en-AU"/>
              </w:rPr>
              <w:t>Journal of Special Education Technology</w:t>
            </w:r>
            <w:r w:rsidRPr="00E37E4B">
              <w:rPr>
                <w:rFonts w:eastAsia="Times New Roman" w:cs="Arial"/>
                <w:sz w:val="22"/>
                <w:szCs w:val="22"/>
                <w:lang w:val="en-AU" w:eastAsia="en-AU"/>
              </w:rPr>
              <w:t>,</w:t>
            </w:r>
            <w:r w:rsidRPr="00E37E4B">
              <w:rPr>
                <w:rFonts w:eastAsia="Times New Roman" w:cs="Arial"/>
                <w:i/>
                <w:iCs/>
                <w:sz w:val="22"/>
                <w:szCs w:val="22"/>
                <w:lang w:val="en-AU" w:eastAsia="en-AU"/>
              </w:rPr>
              <w:t xml:space="preserve"> 37</w:t>
            </w:r>
            <w:r w:rsidRPr="00E37E4B">
              <w:rPr>
                <w:rFonts w:eastAsia="Times New Roman" w:cs="Arial"/>
                <w:sz w:val="22"/>
                <w:szCs w:val="22"/>
                <w:lang w:val="en-AU" w:eastAsia="en-AU"/>
              </w:rPr>
              <w:t>(4), 469-481. https://doi.org/10.1177/01626434211033604</w:t>
            </w:r>
          </w:p>
        </w:tc>
        <w:tc>
          <w:tcPr>
            <w:tcW w:w="1218" w:type="dxa"/>
          </w:tcPr>
          <w:p w14:paraId="7AC6B9C0" w14:textId="68E33312" w:rsidR="00631593" w:rsidRPr="00756F5E" w:rsidRDefault="00631593" w:rsidP="00631593">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Yllades et al. (2022)</w:t>
            </w:r>
          </w:p>
        </w:tc>
      </w:tr>
      <w:tr w:rsidR="009A42D2" w:rsidRPr="00756F5E" w14:paraId="6BA84622"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shd w:val="clear" w:color="auto" w:fill="DAE2E6"/>
          </w:tcPr>
          <w:p w14:paraId="4E1BCCB3" w14:textId="77777777" w:rsidR="009A42D2" w:rsidRPr="00756F5E" w:rsidRDefault="009A42D2" w:rsidP="009A42D2">
            <w:pPr>
              <w:suppressAutoHyphens/>
              <w:spacing w:before="40" w:after="40" w:line="200" w:lineRule="atLeast"/>
              <w:ind w:left="463" w:hanging="463"/>
              <w:rPr>
                <w:rFonts w:eastAsia="Times New Roman" w:cs="Arial"/>
                <w:b/>
                <w:bCs/>
                <w:sz w:val="22"/>
                <w:szCs w:val="22"/>
                <w:lang w:eastAsia="en-AU"/>
              </w:rPr>
            </w:pPr>
            <w:r w:rsidRPr="00756F5E">
              <w:rPr>
                <w:rFonts w:eastAsia="Times New Roman" w:cs="Arial"/>
                <w:b/>
                <w:bCs/>
                <w:sz w:val="22"/>
                <w:szCs w:val="22"/>
                <w:lang w:eastAsia="en-AU"/>
              </w:rPr>
              <w:t>Mixed Methods, qualitative data extracted</w:t>
            </w:r>
          </w:p>
        </w:tc>
        <w:tc>
          <w:tcPr>
            <w:tcW w:w="1218" w:type="dxa"/>
            <w:shd w:val="clear" w:color="auto" w:fill="DAE2E6"/>
          </w:tcPr>
          <w:p w14:paraId="1B88D6E1" w14:textId="77777777" w:rsidR="009A42D2" w:rsidRPr="00756F5E" w:rsidRDefault="009A42D2" w:rsidP="009A42D2">
            <w:pPr>
              <w:suppressAutoHyphens/>
              <w:spacing w:before="40" w:after="40" w:line="200" w:lineRule="atLeast"/>
              <w:rPr>
                <w:rFonts w:eastAsia="Times New Roman" w:cs="Arial"/>
                <w:b/>
                <w:bCs/>
                <w:sz w:val="22"/>
                <w:szCs w:val="22"/>
                <w:lang w:eastAsia="en-AU"/>
              </w:rPr>
            </w:pPr>
          </w:p>
        </w:tc>
      </w:tr>
      <w:tr w:rsidR="005449BB" w:rsidRPr="00756F5E" w14:paraId="560EEFF1"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319782BC" w14:textId="67A0C7B6" w:rsidR="005449BB" w:rsidRPr="00756F5E" w:rsidRDefault="005449BB" w:rsidP="005449BB">
            <w:pPr>
              <w:suppressAutoHyphens/>
              <w:spacing w:before="40" w:after="40" w:line="200" w:lineRule="atLeast"/>
              <w:ind w:left="463" w:hanging="463"/>
              <w:rPr>
                <w:rFonts w:eastAsia="Times New Roman" w:cs="Arial"/>
                <w:sz w:val="22"/>
                <w:szCs w:val="22"/>
                <w:lang w:eastAsia="en-AU"/>
              </w:rPr>
            </w:pPr>
            <w:r w:rsidRPr="00C10B09">
              <w:rPr>
                <w:rFonts w:eastAsia="Times New Roman" w:cs="Arial"/>
                <w:sz w:val="22"/>
                <w:szCs w:val="22"/>
                <w:lang w:eastAsia="en-AU"/>
              </w:rPr>
              <w:t xml:space="preserve">Adams, D., Keen, D., Heussler, H., Wicks, R., &amp; Roberts, J. (2019). Family outcomes for families of 4-5-year-old children on the autism spectrum who have received early childhood intervention in Australia. </w:t>
            </w:r>
            <w:r w:rsidRPr="00C10B09">
              <w:rPr>
                <w:rFonts w:eastAsia="Times New Roman" w:cs="Arial"/>
                <w:i/>
                <w:iCs/>
                <w:sz w:val="22"/>
                <w:szCs w:val="22"/>
                <w:lang w:eastAsia="en-AU"/>
              </w:rPr>
              <w:t>Infants and Young Children, 32</w:t>
            </w:r>
            <w:r w:rsidRPr="00C10B09">
              <w:rPr>
                <w:rFonts w:eastAsia="Times New Roman" w:cs="Arial"/>
                <w:sz w:val="22"/>
                <w:szCs w:val="22"/>
                <w:lang w:eastAsia="en-AU"/>
              </w:rPr>
              <w:t xml:space="preserve">(3), 186-200. https://doi.org/10.1097/IYC.0000000000000143 </w:t>
            </w:r>
          </w:p>
        </w:tc>
        <w:tc>
          <w:tcPr>
            <w:tcW w:w="1218" w:type="dxa"/>
          </w:tcPr>
          <w:p w14:paraId="1C7F2DDB" w14:textId="1E1A83D6" w:rsidR="005449BB" w:rsidRPr="00756F5E" w:rsidRDefault="005449BB" w:rsidP="005449B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Adams et al. (2019)</w:t>
            </w:r>
          </w:p>
        </w:tc>
      </w:tr>
      <w:tr w:rsidR="005449BB" w:rsidRPr="00756F5E" w14:paraId="23987A3D"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1617D209" w14:textId="12A5BBF1" w:rsidR="005449BB" w:rsidRPr="00756F5E" w:rsidRDefault="005449BB" w:rsidP="005449BB">
            <w:pPr>
              <w:suppressAutoHyphens/>
              <w:spacing w:before="40" w:after="40" w:line="200" w:lineRule="atLeast"/>
              <w:ind w:left="463" w:hanging="463"/>
              <w:rPr>
                <w:rFonts w:eastAsia="Times New Roman" w:cs="Arial"/>
                <w:sz w:val="22"/>
                <w:szCs w:val="22"/>
                <w:lang w:eastAsia="en-AU"/>
              </w:rPr>
            </w:pPr>
            <w:r w:rsidRPr="000F3428">
              <w:rPr>
                <w:rFonts w:eastAsia="Times New Roman" w:cs="Arial"/>
                <w:sz w:val="22"/>
                <w:szCs w:val="22"/>
                <w:lang w:eastAsia="en-AU"/>
              </w:rPr>
              <w:t xml:space="preserve">Garnett, R., Davidson, B., &amp; Eadie, P. (2022). Parent perceptions of a group telepractice communication intervention for autism. </w:t>
            </w:r>
            <w:r w:rsidRPr="000F3428">
              <w:rPr>
                <w:rFonts w:eastAsia="Times New Roman" w:cs="Arial"/>
                <w:i/>
                <w:iCs/>
                <w:sz w:val="22"/>
                <w:szCs w:val="22"/>
                <w:lang w:eastAsia="en-AU"/>
              </w:rPr>
              <w:t>Autism &amp; Developmental Language Impairments, 7</w:t>
            </w:r>
            <w:r w:rsidRPr="000F3428">
              <w:rPr>
                <w:rFonts w:eastAsia="Times New Roman" w:cs="Arial"/>
                <w:sz w:val="22"/>
                <w:szCs w:val="22"/>
                <w:lang w:eastAsia="en-AU"/>
              </w:rPr>
              <w:t>(2), 1-23. https://doi.org/10.1177/23969415211070127</w:t>
            </w:r>
          </w:p>
        </w:tc>
        <w:tc>
          <w:tcPr>
            <w:tcW w:w="1218" w:type="dxa"/>
          </w:tcPr>
          <w:p w14:paraId="2AE162CF" w14:textId="7B27BDC6" w:rsidR="005449BB" w:rsidRPr="00756F5E" w:rsidRDefault="005449BB" w:rsidP="005449B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Garnett et al. (2022)</w:t>
            </w:r>
          </w:p>
        </w:tc>
      </w:tr>
      <w:tr w:rsidR="005449BB" w:rsidRPr="00756F5E" w14:paraId="16BA6C0B"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B96443D" w14:textId="3EA86218" w:rsidR="005449BB" w:rsidRPr="00756F5E" w:rsidRDefault="005449BB" w:rsidP="005449BB">
            <w:pPr>
              <w:suppressAutoHyphens/>
              <w:spacing w:before="40" w:after="40" w:line="200" w:lineRule="atLeast"/>
              <w:ind w:left="463" w:hanging="463"/>
              <w:rPr>
                <w:rFonts w:eastAsia="Times New Roman" w:cs="Arial"/>
                <w:sz w:val="22"/>
                <w:szCs w:val="22"/>
                <w:lang w:eastAsia="en-AU"/>
              </w:rPr>
            </w:pPr>
            <w:r w:rsidRPr="009E1DD2">
              <w:rPr>
                <w:rFonts w:eastAsia="Times New Roman" w:cs="Arial"/>
                <w:sz w:val="22"/>
                <w:szCs w:val="22"/>
                <w:lang w:eastAsia="en-AU"/>
              </w:rPr>
              <w:t xml:space="preserve">Pickard, K., Guerra, K., Hendrix, N., Khowaja, M., &amp; Nicholson, C. (2024). Preliminary outcomes and adaptation of an NDBI for </w:t>
            </w:r>
            <w:r>
              <w:rPr>
                <w:rFonts w:eastAsia="Times New Roman" w:cs="Arial"/>
                <w:sz w:val="22"/>
                <w:szCs w:val="22"/>
                <w:lang w:eastAsia="en-AU"/>
              </w:rPr>
              <w:t>S</w:t>
            </w:r>
            <w:r w:rsidRPr="009E1DD2">
              <w:rPr>
                <w:rFonts w:eastAsia="Times New Roman" w:cs="Arial"/>
                <w:sz w:val="22"/>
                <w:szCs w:val="22"/>
                <w:lang w:eastAsia="en-AU"/>
              </w:rPr>
              <w:t xml:space="preserve">panish-speaking families. </w:t>
            </w:r>
            <w:r w:rsidRPr="009E1DD2">
              <w:rPr>
                <w:rFonts w:eastAsia="Times New Roman" w:cs="Arial"/>
                <w:i/>
                <w:iCs/>
                <w:sz w:val="22"/>
                <w:szCs w:val="22"/>
                <w:lang w:eastAsia="en-AU"/>
              </w:rPr>
              <w:t>Journal of Early Intervention, 46</w:t>
            </w:r>
            <w:r w:rsidRPr="009E1DD2">
              <w:rPr>
                <w:rFonts w:eastAsia="Times New Roman" w:cs="Arial"/>
                <w:sz w:val="22"/>
                <w:szCs w:val="22"/>
                <w:lang w:eastAsia="en-AU"/>
              </w:rPr>
              <w:t>(2), 217-238. https://doi.org/10.1177/10538151231217475</w:t>
            </w:r>
          </w:p>
        </w:tc>
        <w:tc>
          <w:tcPr>
            <w:tcW w:w="1218" w:type="dxa"/>
          </w:tcPr>
          <w:p w14:paraId="3EC495FA" w14:textId="5CC814A6" w:rsidR="005449BB" w:rsidRPr="00756F5E" w:rsidRDefault="005449BB" w:rsidP="005449BB">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Pickard et al. (2024)</w:t>
            </w:r>
          </w:p>
        </w:tc>
      </w:tr>
      <w:tr w:rsidR="009A42D2" w:rsidRPr="00756F5E" w14:paraId="138CFCB2"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shd w:val="clear" w:color="auto" w:fill="DAE2E6"/>
          </w:tcPr>
          <w:p w14:paraId="08CF9BC5" w14:textId="77777777" w:rsidR="009A42D2" w:rsidRPr="00756F5E" w:rsidRDefault="009A42D2" w:rsidP="009A42D2">
            <w:pPr>
              <w:suppressAutoHyphens/>
              <w:spacing w:before="40" w:after="40" w:line="200" w:lineRule="atLeast"/>
              <w:ind w:left="463" w:hanging="463"/>
              <w:rPr>
                <w:rFonts w:eastAsia="Times New Roman" w:cs="Arial"/>
                <w:b/>
                <w:bCs/>
                <w:sz w:val="22"/>
                <w:szCs w:val="22"/>
                <w:lang w:eastAsia="en-AU"/>
              </w:rPr>
            </w:pPr>
            <w:r w:rsidRPr="00756F5E">
              <w:rPr>
                <w:rFonts w:eastAsia="Times New Roman" w:cs="Arial"/>
                <w:b/>
                <w:bCs/>
                <w:sz w:val="22"/>
                <w:szCs w:val="22"/>
                <w:lang w:eastAsia="en-AU"/>
              </w:rPr>
              <w:t>Non-experimental studies</w:t>
            </w:r>
          </w:p>
        </w:tc>
        <w:tc>
          <w:tcPr>
            <w:tcW w:w="1218" w:type="dxa"/>
            <w:shd w:val="clear" w:color="auto" w:fill="DAE2E6"/>
          </w:tcPr>
          <w:p w14:paraId="1F9789C5" w14:textId="77777777" w:rsidR="009A42D2" w:rsidRPr="00756F5E" w:rsidRDefault="009A42D2" w:rsidP="009A42D2">
            <w:pPr>
              <w:suppressAutoHyphens/>
              <w:spacing w:before="40" w:after="40" w:line="200" w:lineRule="atLeast"/>
              <w:rPr>
                <w:rFonts w:eastAsia="Times New Roman" w:cs="Arial"/>
                <w:b/>
                <w:bCs/>
                <w:sz w:val="22"/>
                <w:szCs w:val="22"/>
                <w:lang w:eastAsia="en-AU"/>
              </w:rPr>
            </w:pPr>
          </w:p>
        </w:tc>
      </w:tr>
      <w:tr w:rsidR="00B24A63" w:rsidRPr="00756F5E" w14:paraId="0A1A262B"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Pr>
          <w:p w14:paraId="22C6FFFF" w14:textId="0F91A859" w:rsidR="00B24A63" w:rsidRPr="00756F5E" w:rsidRDefault="00B24A63" w:rsidP="00B24A63">
            <w:pPr>
              <w:suppressAutoHyphens/>
              <w:spacing w:before="40" w:after="40" w:line="200" w:lineRule="atLeast"/>
              <w:ind w:left="463" w:hanging="463"/>
              <w:rPr>
                <w:rFonts w:eastAsia="Times New Roman" w:cs="Arial"/>
                <w:sz w:val="22"/>
                <w:szCs w:val="22"/>
                <w:lang w:eastAsia="en-AU"/>
              </w:rPr>
            </w:pPr>
            <w:r w:rsidRPr="005C0C39">
              <w:rPr>
                <w:rFonts w:eastAsia="Times New Roman" w:cs="Arial"/>
                <w:sz w:val="22"/>
                <w:szCs w:val="22"/>
                <w:lang w:val="it-IT" w:eastAsia="en-AU"/>
              </w:rPr>
              <w:t xml:space="preserve">Aaron, C., Chiarello, L. A., Palisano, R. J., Gracely, E., O'Neil, M., &amp; Kolobe, T. (2014). </w:t>
            </w:r>
            <w:r w:rsidRPr="005828EC">
              <w:rPr>
                <w:rFonts w:eastAsia="Times New Roman" w:cs="Arial"/>
                <w:sz w:val="22"/>
                <w:szCs w:val="22"/>
                <w:lang w:eastAsia="en-AU"/>
              </w:rPr>
              <w:t xml:space="preserve">Relationships among family participation, team support, and intensity of early intervention services. </w:t>
            </w:r>
            <w:r w:rsidRPr="005828EC">
              <w:rPr>
                <w:rFonts w:eastAsia="Times New Roman" w:cs="Arial"/>
                <w:i/>
                <w:iCs/>
                <w:sz w:val="22"/>
                <w:szCs w:val="22"/>
                <w:lang w:eastAsia="en-AU"/>
              </w:rPr>
              <w:t>Physical &amp; Occupational Therapy in Pediatrics, 34</w:t>
            </w:r>
            <w:r w:rsidRPr="005828EC">
              <w:rPr>
                <w:rFonts w:eastAsia="Times New Roman" w:cs="Arial"/>
                <w:sz w:val="22"/>
                <w:szCs w:val="22"/>
                <w:lang w:eastAsia="en-AU"/>
              </w:rPr>
              <w:t>(4), 343-355. https://doi.org/10.3109/01942638.2014.899286</w:t>
            </w:r>
          </w:p>
        </w:tc>
        <w:tc>
          <w:tcPr>
            <w:tcW w:w="1218" w:type="dxa"/>
          </w:tcPr>
          <w:p w14:paraId="4757B07A" w14:textId="61F4084B" w:rsidR="00B24A63" w:rsidRPr="00756F5E" w:rsidRDefault="00B24A63" w:rsidP="00B24A63">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Aaron et al. (2014)</w:t>
            </w:r>
          </w:p>
        </w:tc>
      </w:tr>
      <w:tr w:rsidR="00B24A63" w:rsidRPr="00756F5E" w14:paraId="3B42448A" w14:textId="77777777" w:rsidTr="00567CC0">
        <w:trPr>
          <w:cnfStyle w:val="000000010000" w:firstRow="0" w:lastRow="0" w:firstColumn="0" w:lastColumn="0" w:oddVBand="0" w:evenVBand="0" w:oddHBand="0" w:evenHBand="1" w:firstRowFirstColumn="0" w:firstRowLastColumn="0" w:lastRowFirstColumn="0" w:lastRowLastColumn="0"/>
          <w:trHeight w:val="340"/>
        </w:trPr>
        <w:tc>
          <w:tcPr>
            <w:tcW w:w="8138" w:type="dxa"/>
          </w:tcPr>
          <w:p w14:paraId="2836FE0A" w14:textId="69EF0B4C" w:rsidR="00B24A63" w:rsidRPr="00756F5E" w:rsidRDefault="00B24A63" w:rsidP="00B24A63">
            <w:pPr>
              <w:suppressAutoHyphens/>
              <w:spacing w:before="40" w:after="40" w:line="200" w:lineRule="atLeast"/>
              <w:ind w:left="463" w:hanging="463"/>
              <w:rPr>
                <w:rFonts w:eastAsia="Times New Roman" w:cs="Arial"/>
                <w:sz w:val="22"/>
                <w:szCs w:val="22"/>
                <w:lang w:eastAsia="en-AU"/>
              </w:rPr>
            </w:pPr>
            <w:r w:rsidRPr="00D52EB7">
              <w:rPr>
                <w:rFonts w:eastAsia="Times New Roman" w:cs="Arial"/>
                <w:sz w:val="22"/>
                <w:szCs w:val="22"/>
                <w:lang w:eastAsia="en-AU"/>
              </w:rPr>
              <w:t xml:space="preserve">Ruble, L. A., Love, A. M. A., Wong, V., Grisham-Brown, J. L., &amp; McGrew, J. H. (2020). Implementation fidelity and common elements of high quality teaching sequences for students with autism spectrum disorder in COMPASS. </w:t>
            </w:r>
            <w:r w:rsidRPr="00D52EB7">
              <w:rPr>
                <w:rFonts w:eastAsia="Times New Roman" w:cs="Arial"/>
                <w:i/>
                <w:iCs/>
                <w:sz w:val="22"/>
                <w:szCs w:val="22"/>
                <w:lang w:eastAsia="en-AU"/>
              </w:rPr>
              <w:t>Research in Autism Spectrum Disorders, 71</w:t>
            </w:r>
            <w:r w:rsidRPr="00D52EB7">
              <w:rPr>
                <w:rFonts w:eastAsia="Times New Roman" w:cs="Arial"/>
                <w:sz w:val="22"/>
                <w:szCs w:val="22"/>
                <w:lang w:eastAsia="en-AU"/>
              </w:rPr>
              <w:t>(1), 101493. https://doi.org/10.1016/j.rasd.2019.101493</w:t>
            </w:r>
          </w:p>
        </w:tc>
        <w:tc>
          <w:tcPr>
            <w:tcW w:w="1218" w:type="dxa"/>
          </w:tcPr>
          <w:p w14:paraId="60BC84DF" w14:textId="12914B96" w:rsidR="00B24A63" w:rsidRPr="00756F5E" w:rsidRDefault="00B24A63" w:rsidP="00B24A63">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Ruble et al. (2020)</w:t>
            </w:r>
          </w:p>
        </w:tc>
      </w:tr>
      <w:tr w:rsidR="00B24A63" w:rsidRPr="00756F5E" w14:paraId="51118790" w14:textId="77777777" w:rsidTr="00567CC0">
        <w:trPr>
          <w:cnfStyle w:val="000000100000" w:firstRow="0" w:lastRow="0" w:firstColumn="0" w:lastColumn="0" w:oddVBand="0" w:evenVBand="0" w:oddHBand="1" w:evenHBand="0" w:firstRowFirstColumn="0" w:firstRowLastColumn="0" w:lastRowFirstColumn="0" w:lastRowLastColumn="0"/>
          <w:trHeight w:val="340"/>
        </w:trPr>
        <w:tc>
          <w:tcPr>
            <w:tcW w:w="8138" w:type="dxa"/>
            <w:tcBorders>
              <w:bottom w:val="single" w:sz="4" w:space="0" w:color="auto"/>
            </w:tcBorders>
          </w:tcPr>
          <w:p w14:paraId="784C40B0" w14:textId="7FDA7814" w:rsidR="00B24A63" w:rsidRPr="00756F5E" w:rsidRDefault="00B24A63" w:rsidP="00B24A63">
            <w:pPr>
              <w:suppressAutoHyphens/>
              <w:spacing w:before="40" w:after="40" w:line="200" w:lineRule="atLeast"/>
              <w:ind w:left="463" w:hanging="463"/>
              <w:rPr>
                <w:rFonts w:eastAsia="Times New Roman" w:cs="Arial"/>
                <w:sz w:val="22"/>
                <w:szCs w:val="22"/>
                <w:lang w:eastAsia="en-AU"/>
              </w:rPr>
            </w:pPr>
            <w:r w:rsidRPr="00376175">
              <w:rPr>
                <w:rFonts w:eastAsia="Times New Roman" w:cs="Arial"/>
                <w:sz w:val="22"/>
                <w:szCs w:val="22"/>
                <w:lang w:eastAsia="en-AU"/>
              </w:rPr>
              <w:t xml:space="preserve">Vibert, B. A., Dufek, S., Klein, C. B., Choi, Y. B., Winter, J., Lord, C., &amp; Kim, S. H. (2020). Quantifying caregiver change across early autism interventions using the Measure of NDBI Strategy Implementation: Caregiver Change (MONSI-CC). </w:t>
            </w:r>
            <w:r w:rsidRPr="00F74D43">
              <w:rPr>
                <w:rFonts w:eastAsia="Times New Roman" w:cs="Arial"/>
                <w:i/>
                <w:iCs/>
                <w:sz w:val="22"/>
                <w:szCs w:val="22"/>
                <w:lang w:eastAsia="en-AU"/>
              </w:rPr>
              <w:t>Journal of Autism and Developmental Disorders, 50</w:t>
            </w:r>
            <w:r w:rsidRPr="00376175">
              <w:rPr>
                <w:rFonts w:eastAsia="Times New Roman" w:cs="Arial"/>
                <w:sz w:val="22"/>
                <w:szCs w:val="22"/>
                <w:lang w:eastAsia="en-AU"/>
              </w:rPr>
              <w:t>(4), 1364-1379.</w:t>
            </w:r>
            <w:r>
              <w:rPr>
                <w:rFonts w:eastAsia="Times New Roman" w:cs="Arial"/>
                <w:sz w:val="22"/>
                <w:szCs w:val="22"/>
                <w:lang w:eastAsia="en-AU"/>
              </w:rPr>
              <w:t xml:space="preserve"> </w:t>
            </w:r>
            <w:r w:rsidRPr="009279C4">
              <w:rPr>
                <w:rFonts w:eastAsia="Times New Roman" w:cs="Arial"/>
                <w:sz w:val="22"/>
                <w:szCs w:val="22"/>
                <w:lang w:val="en-AU" w:eastAsia="en-AU"/>
              </w:rPr>
              <w:t>https://doi.org/10.1007/s10803-019-04342-0</w:t>
            </w:r>
          </w:p>
        </w:tc>
        <w:tc>
          <w:tcPr>
            <w:tcW w:w="1218" w:type="dxa"/>
            <w:tcBorders>
              <w:bottom w:val="single" w:sz="4" w:space="0" w:color="auto"/>
            </w:tcBorders>
          </w:tcPr>
          <w:p w14:paraId="205AA8FC" w14:textId="7B3D8AE0" w:rsidR="00B24A63" w:rsidRPr="00756F5E" w:rsidRDefault="00B24A63" w:rsidP="00B24A63">
            <w:pPr>
              <w:suppressAutoHyphens/>
              <w:spacing w:before="40" w:after="40" w:line="200" w:lineRule="atLeast"/>
              <w:rPr>
                <w:rFonts w:eastAsia="Times New Roman" w:cs="Arial"/>
                <w:sz w:val="22"/>
                <w:szCs w:val="22"/>
                <w:lang w:eastAsia="en-AU"/>
              </w:rPr>
            </w:pPr>
            <w:r w:rsidRPr="00376175">
              <w:rPr>
                <w:rFonts w:eastAsia="Times New Roman" w:cs="Arial"/>
                <w:noProof/>
                <w:sz w:val="22"/>
                <w:szCs w:val="22"/>
                <w:lang w:eastAsia="en-AU"/>
              </w:rPr>
              <w:t>Vibert et al. (2020)</w:t>
            </w:r>
          </w:p>
        </w:tc>
      </w:tr>
    </w:tbl>
    <w:p w14:paraId="67C1F6C1" w14:textId="77777777" w:rsidR="00C90615" w:rsidRPr="00C90615" w:rsidRDefault="00C90615" w:rsidP="0030178D">
      <w:pPr>
        <w:rPr>
          <w:rFonts w:cs="Arial"/>
          <w:b/>
          <w:bCs/>
          <w:color w:val="0C2C74"/>
          <w:sz w:val="40"/>
          <w:szCs w:val="40"/>
        </w:rPr>
      </w:pPr>
    </w:p>
    <w:p w14:paraId="5D938181" w14:textId="70667D15" w:rsidR="00921921" w:rsidRDefault="00921921">
      <w:pPr>
        <w:spacing w:before="0" w:after="0"/>
      </w:pPr>
      <w:r>
        <w:br w:type="page"/>
      </w:r>
    </w:p>
    <w:p w14:paraId="6F247F04" w14:textId="77777777" w:rsidR="00C96389" w:rsidRDefault="00AA161E" w:rsidP="00C96389">
      <w:pPr>
        <w:pStyle w:val="SectionHeader"/>
      </w:pPr>
      <w:bookmarkStart w:id="140" w:name="_Toc177730871"/>
      <w:r>
        <w:t>Appendix A</w:t>
      </w:r>
      <w:bookmarkEnd w:id="140"/>
    </w:p>
    <w:p w14:paraId="4AF013D9" w14:textId="77777777" w:rsidR="00C96389" w:rsidRDefault="00C96389" w:rsidP="00C96389">
      <w:r w:rsidRPr="00C96389">
        <w:t xml:space="preserve">An excel spreadsheet of the 224 identified publications is attached as a separate file. </w:t>
      </w:r>
    </w:p>
    <w:p w14:paraId="36B2EEFB" w14:textId="77777777" w:rsidR="009E480E" w:rsidRPr="009E480E" w:rsidRDefault="009E480E" w:rsidP="009E480E">
      <w:pPr>
        <w:rPr>
          <w:b/>
          <w:bCs/>
        </w:rPr>
      </w:pPr>
      <w:r w:rsidRPr="009E480E">
        <w:rPr>
          <w:b/>
          <w:bCs/>
        </w:rPr>
        <w:t>Structured search on databases</w:t>
      </w:r>
    </w:p>
    <w:p w14:paraId="0986D905" w14:textId="77777777" w:rsidR="009E480E" w:rsidRDefault="009E480E" w:rsidP="009E480E">
      <w:r>
        <w:t xml:space="preserve">Keywords and thesaurus terms related to the following groups were combined through the Boolean operator AND: </w:t>
      </w:r>
    </w:p>
    <w:p w14:paraId="15405362" w14:textId="77777777" w:rsidR="009E480E" w:rsidRDefault="009E480E" w:rsidP="009E480E">
      <w:r>
        <w:t>Population (e.g., line 1-4)</w:t>
      </w:r>
    </w:p>
    <w:p w14:paraId="5FCBA3C7" w14:textId="1263E4E3" w:rsidR="009E480E" w:rsidRDefault="009E480E" w:rsidP="009E480E">
      <w:r>
        <w:t>Disorder (e.g., line 6-9)</w:t>
      </w:r>
    </w:p>
    <w:p w14:paraId="2256E695" w14:textId="77777777" w:rsidR="009E480E" w:rsidRDefault="009E480E" w:rsidP="009E480E">
      <w:r>
        <w:t>Intervention (e.g., line 11)</w:t>
      </w:r>
    </w:p>
    <w:p w14:paraId="7AD89B12" w14:textId="77777777" w:rsidR="009E480E" w:rsidRDefault="009E480E" w:rsidP="009E480E">
      <w:r>
        <w:t>Qualifiers of intervention according to ECIA principles (e.g., line 12-13)</w:t>
      </w:r>
    </w:p>
    <w:p w14:paraId="62C2038A" w14:textId="77777777" w:rsidR="009E480E" w:rsidRDefault="009E480E" w:rsidP="009E480E">
      <w:r>
        <w:t>Outcome (e.g., line 15)</w:t>
      </w:r>
    </w:p>
    <w:p w14:paraId="480EA4AB" w14:textId="77777777" w:rsidR="009E480E" w:rsidRDefault="009E480E" w:rsidP="009E480E">
      <w:r>
        <w:t>Setting of intervention (e.g., line 16-17)</w:t>
      </w:r>
    </w:p>
    <w:p w14:paraId="74CFFE4C" w14:textId="77777777" w:rsidR="009E480E" w:rsidRDefault="009E480E" w:rsidP="009E480E">
      <w:r>
        <w:t xml:space="preserve">Keywords related to the primary documents describing the ECI approach for each jurisdiction’s framework (e.g., line 19) were also combined with the above search by the Boolean operator OR. </w:t>
      </w:r>
    </w:p>
    <w:p w14:paraId="273D3A82" w14:textId="77777777" w:rsidR="009E480E" w:rsidRDefault="009E480E" w:rsidP="009E480E">
      <w:r>
        <w:t>The same systematic search was also conducted independently on PubMed excluding the results already identified in MEDLINE. The search terms and history for MEDLINE is reported below.</w:t>
      </w:r>
    </w:p>
    <w:p w14:paraId="72FA47DA" w14:textId="56BF8BD1" w:rsidR="009E480E" w:rsidRDefault="009E480E" w:rsidP="009E480E">
      <w:pPr>
        <w:rPr>
          <w:b/>
          <w:bCs/>
        </w:rPr>
      </w:pPr>
      <w:r>
        <w:rPr>
          <w:b/>
          <w:bCs/>
        </w:rPr>
        <w:t>Medicine Search Strategy</w:t>
      </w:r>
    </w:p>
    <w:p w14:paraId="68E172D2" w14:textId="58893966" w:rsidR="00186D66" w:rsidRDefault="00856841" w:rsidP="00856841">
      <w:pPr>
        <w:pStyle w:val="Caption"/>
        <w:rPr>
          <w:b/>
          <w:bCs/>
        </w:rPr>
      </w:pPr>
      <w:bookmarkStart w:id="141" w:name="_Ref177725211"/>
      <w:bookmarkStart w:id="142" w:name="_Toc177727340"/>
      <w:r w:rsidRPr="00856841">
        <w:rPr>
          <w:b/>
          <w:bCs/>
        </w:rPr>
        <w:t xml:space="preserve">Table </w:t>
      </w:r>
      <w:r w:rsidRPr="00856841">
        <w:rPr>
          <w:b/>
          <w:bCs/>
        </w:rPr>
        <w:fldChar w:fldCharType="begin"/>
      </w:r>
      <w:r w:rsidRPr="00856841">
        <w:rPr>
          <w:b/>
          <w:bCs/>
        </w:rPr>
        <w:instrText xml:space="preserve"> SEQ Table \* ARABIC </w:instrText>
      </w:r>
      <w:r w:rsidRPr="00856841">
        <w:rPr>
          <w:b/>
          <w:bCs/>
        </w:rPr>
        <w:fldChar w:fldCharType="separate"/>
      </w:r>
      <w:r w:rsidR="00303407">
        <w:rPr>
          <w:b/>
          <w:bCs/>
          <w:noProof/>
        </w:rPr>
        <w:t>22</w:t>
      </w:r>
      <w:r w:rsidRPr="00856841">
        <w:rPr>
          <w:b/>
          <w:bCs/>
        </w:rPr>
        <w:fldChar w:fldCharType="end"/>
      </w:r>
      <w:bookmarkEnd w:id="141"/>
      <w:r w:rsidRPr="00856841">
        <w:rPr>
          <w:b/>
          <w:bCs/>
        </w:rPr>
        <w:t>.</w:t>
      </w:r>
      <w:r>
        <w:t xml:space="preserve"> </w:t>
      </w:r>
      <w:r w:rsidRPr="00371E01">
        <w:t>Medline search strategy</w:t>
      </w:r>
      <w:bookmarkEnd w:id="142"/>
    </w:p>
    <w:tbl>
      <w:tblPr>
        <w:tblW w:w="5000" w:type="pct"/>
        <w:tblLayout w:type="fixed"/>
        <w:tblLook w:val="04A0" w:firstRow="1" w:lastRow="0" w:firstColumn="1" w:lastColumn="0" w:noHBand="0" w:noVBand="1"/>
      </w:tblPr>
      <w:tblGrid>
        <w:gridCol w:w="608"/>
        <w:gridCol w:w="7127"/>
        <w:gridCol w:w="1291"/>
      </w:tblGrid>
      <w:tr w:rsidR="00186D66" w:rsidRPr="009E0618" w14:paraId="16CB6367" w14:textId="77777777" w:rsidTr="000660C3">
        <w:trPr>
          <w:trHeight w:val="549"/>
        </w:trPr>
        <w:tc>
          <w:tcPr>
            <w:tcW w:w="640" w:type="dxa"/>
            <w:shd w:val="clear" w:color="auto" w:fill="082A75"/>
          </w:tcPr>
          <w:p w14:paraId="64F15D5F"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w:t>
            </w:r>
          </w:p>
        </w:tc>
        <w:tc>
          <w:tcPr>
            <w:tcW w:w="7724" w:type="dxa"/>
            <w:shd w:val="clear" w:color="auto" w:fill="082A75"/>
          </w:tcPr>
          <w:p w14:paraId="1A9803C5"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Search terms</w:t>
            </w:r>
          </w:p>
        </w:tc>
        <w:tc>
          <w:tcPr>
            <w:tcW w:w="1382" w:type="dxa"/>
            <w:shd w:val="clear" w:color="auto" w:fill="082A75"/>
          </w:tcPr>
          <w:p w14:paraId="54D55284"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Records returned</w:t>
            </w:r>
          </w:p>
        </w:tc>
      </w:tr>
      <w:tr w:rsidR="00186D66" w:rsidRPr="009E0618" w14:paraId="1547C31B" w14:textId="77777777" w:rsidTr="000660C3">
        <w:trPr>
          <w:trHeight w:val="340"/>
        </w:trPr>
        <w:tc>
          <w:tcPr>
            <w:tcW w:w="640" w:type="dxa"/>
          </w:tcPr>
          <w:p w14:paraId="13B12AE8"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w:t>
            </w:r>
          </w:p>
        </w:tc>
        <w:tc>
          <w:tcPr>
            <w:tcW w:w="7724" w:type="dxa"/>
          </w:tcPr>
          <w:p w14:paraId="0EC7BA82" w14:textId="77777777" w:rsidR="00186D66" w:rsidRPr="009E0618" w:rsidRDefault="00186D66" w:rsidP="000660C3">
            <w:pPr>
              <w:spacing w:after="0" w:line="276" w:lineRule="auto"/>
              <w:rPr>
                <w:rFonts w:asciiTheme="minorHAnsi" w:eastAsia="MS Mincho" w:hAnsiTheme="minorHAnsi" w:cstheme="minorHAnsi"/>
                <w:sz w:val="20"/>
                <w:szCs w:val="20"/>
                <w:lang w:val="en-US"/>
              </w:rPr>
            </w:pPr>
            <w:r w:rsidRPr="009E0618">
              <w:rPr>
                <w:rFonts w:asciiTheme="minorHAnsi" w:eastAsia="MS Mincho" w:hAnsiTheme="minorHAnsi" w:cstheme="minorHAnsi"/>
                <w:sz w:val="20"/>
                <w:szCs w:val="20"/>
                <w:lang w:val="en-US"/>
              </w:rPr>
              <w:t xml:space="preserve">(newborn* or new-born* or baby or babies or neonat* or neo-nat* or infan* or toddler* or pre-school* or preschool* or one-year-old* or one-years-old* or two-year-old* or two-years-old* or three-year-old* or three-years-old* or four-year-old* or four-years-old* or five-year-old* or five-years-old* or 1-year-old* or 1-years-old* or 2-year-old* or 2-years-old* or 3-year-old* or 3-years-old* or 4-year-old* or 4-years-old* or 5-year-old* or 5-years-old* or aged-one or aged-1 or aged-two or aged-2 or aged-three or aged-3 or aged-four or aged-4 or aged-five or aged-5 or less-than-5-years or less-than-five-years or younger-than-5-years or younger-than-five-years or five-year-old* or five-years-old* or six-year-old* or six-years-old* or seven-year-old* or seven-years-old* or eight-year-old* or eight-years-old* or nine-year-old* or nine-years-old* or 5-year-old* or 5-years-old* or 6-year-old* or 6-years-old* or 7-year-old* or 7-years-old* or 8-year-old* or 8-years-old* or aged-five or aged-5 or aged-six or aged-6 or aged-seven or aged-7 or aged-eight or aged-8 or five-years-of-age or 5-years-of-age or six-years-of-age or 6-years-of-age or seven-years-of-age or 7-years-of-age or eight-years-of-age or 8-years-of-age).tw,kf,hw. </w:t>
            </w:r>
          </w:p>
        </w:tc>
        <w:tc>
          <w:tcPr>
            <w:tcW w:w="1382" w:type="dxa"/>
          </w:tcPr>
          <w:p w14:paraId="1F4AD7DC" w14:textId="77777777" w:rsidR="00186D66" w:rsidRPr="009E0618" w:rsidRDefault="00186D66" w:rsidP="000660C3">
            <w:pPr>
              <w:spacing w:after="0" w:line="276" w:lineRule="auto"/>
              <w:rPr>
                <w:rFonts w:asciiTheme="minorHAnsi" w:eastAsia="MS Mincho" w:hAnsiTheme="minorHAnsi" w:cstheme="minorHAnsi"/>
                <w:sz w:val="20"/>
                <w:szCs w:val="20"/>
                <w:lang w:val="en-US"/>
              </w:rPr>
            </w:pPr>
            <w:r w:rsidRPr="009E0618">
              <w:rPr>
                <w:rFonts w:asciiTheme="minorHAnsi" w:eastAsia="MS Mincho" w:hAnsiTheme="minorHAnsi" w:cstheme="minorHAnsi"/>
                <w:sz w:val="20"/>
                <w:szCs w:val="20"/>
                <w:lang w:val="en-US"/>
              </w:rPr>
              <w:t>2,298,899</w:t>
            </w:r>
          </w:p>
        </w:tc>
      </w:tr>
      <w:tr w:rsidR="00186D66" w:rsidRPr="009E0618" w14:paraId="4CDE2D9B" w14:textId="77777777" w:rsidTr="000660C3">
        <w:trPr>
          <w:trHeight w:val="340"/>
        </w:trPr>
        <w:tc>
          <w:tcPr>
            <w:tcW w:w="640" w:type="dxa"/>
          </w:tcPr>
          <w:p w14:paraId="7D148E6A"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w:t>
            </w:r>
          </w:p>
        </w:tc>
        <w:tc>
          <w:tcPr>
            <w:tcW w:w="7724" w:type="dxa"/>
          </w:tcPr>
          <w:p w14:paraId="18A86DC6"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exp *parents/ or *Caregivers/ or exp *Legal Guardians/ or exp *family/ or (parent* or father* or mother* or paternal* or maternal* or caregiver* or care-giver* or caretaker* or care-taker* or guardian* or family or families).tw,kf.</w:t>
            </w:r>
            <w:r w:rsidRPr="009E0618">
              <w:rPr>
                <w:rFonts w:asciiTheme="minorHAnsi" w:eastAsia="MS Mincho" w:hAnsiTheme="minorHAnsi" w:cstheme="minorHAnsi"/>
                <w:sz w:val="20"/>
                <w:szCs w:val="20"/>
              </w:rPr>
              <w:tab/>
            </w:r>
          </w:p>
        </w:tc>
        <w:tc>
          <w:tcPr>
            <w:tcW w:w="1382" w:type="dxa"/>
          </w:tcPr>
          <w:p w14:paraId="108802C0"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2,147,268</w:t>
            </w:r>
          </w:p>
        </w:tc>
      </w:tr>
      <w:tr w:rsidR="00186D66" w:rsidRPr="009E0618" w14:paraId="4B797561" w14:textId="77777777" w:rsidTr="000660C3">
        <w:trPr>
          <w:trHeight w:val="340"/>
        </w:trPr>
        <w:tc>
          <w:tcPr>
            <w:tcW w:w="640" w:type="dxa"/>
          </w:tcPr>
          <w:p w14:paraId="02887372"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3</w:t>
            </w:r>
          </w:p>
        </w:tc>
        <w:tc>
          <w:tcPr>
            <w:tcW w:w="7724" w:type="dxa"/>
          </w:tcPr>
          <w:p w14:paraId="47C1919D"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lang w:val="en-US"/>
              </w:rPr>
              <w:t>exp medical staff/ or exp nurses/ or exp nursing staff/ or personnel, hospital/ or Physical Therapists/ or Occupational Therapists/ or Schools, Nursery/ or (physiotherap* or psychologist* or clinician* or doctor? or nurs* or physician* or therapist* or paediatrician* or pediatrician* or educator* or teacher* or special-school*).tw,kf.</w:t>
            </w:r>
            <w:r w:rsidRPr="009E0618">
              <w:rPr>
                <w:rFonts w:asciiTheme="minorHAnsi" w:eastAsia="MS Mincho" w:hAnsiTheme="minorHAnsi" w:cstheme="minorHAnsi"/>
                <w:sz w:val="20"/>
                <w:szCs w:val="20"/>
                <w:lang w:val="en-US"/>
              </w:rPr>
              <w:tab/>
            </w:r>
          </w:p>
        </w:tc>
        <w:tc>
          <w:tcPr>
            <w:tcW w:w="1382" w:type="dxa"/>
          </w:tcPr>
          <w:p w14:paraId="67FC0C87" w14:textId="77777777" w:rsidR="00186D66" w:rsidRPr="009E0618" w:rsidRDefault="00186D66" w:rsidP="000660C3">
            <w:pPr>
              <w:spacing w:after="0" w:line="276" w:lineRule="auto"/>
              <w:rPr>
                <w:rFonts w:asciiTheme="minorHAnsi" w:eastAsia="MS Mincho" w:hAnsiTheme="minorHAnsi" w:cstheme="minorHAnsi"/>
                <w:sz w:val="20"/>
                <w:szCs w:val="20"/>
                <w:lang w:val="en-US"/>
              </w:rPr>
            </w:pPr>
            <w:r w:rsidRPr="009E0618">
              <w:rPr>
                <w:rFonts w:asciiTheme="minorHAnsi" w:eastAsia="MS Mincho" w:hAnsiTheme="minorHAnsi" w:cstheme="minorHAnsi"/>
                <w:sz w:val="20"/>
                <w:szCs w:val="20"/>
                <w:lang w:val="en-US"/>
              </w:rPr>
              <w:t>1,647,682</w:t>
            </w:r>
          </w:p>
        </w:tc>
      </w:tr>
      <w:tr w:rsidR="00186D66" w:rsidRPr="009E0618" w14:paraId="65D6DF58" w14:textId="77777777" w:rsidTr="000660C3">
        <w:trPr>
          <w:trHeight w:val="340"/>
        </w:trPr>
        <w:tc>
          <w:tcPr>
            <w:tcW w:w="640" w:type="dxa"/>
          </w:tcPr>
          <w:p w14:paraId="0D98D804"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4</w:t>
            </w:r>
          </w:p>
        </w:tc>
        <w:tc>
          <w:tcPr>
            <w:tcW w:w="7724" w:type="dxa"/>
          </w:tcPr>
          <w:p w14:paraId="3BA3D9C2"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lang w:val="en-US"/>
              </w:rPr>
              <w:t>((hospital? or health* or medical or clinical) adj3 service*).tw,kf.</w:t>
            </w:r>
            <w:r w:rsidRPr="009E0618">
              <w:rPr>
                <w:rFonts w:asciiTheme="minorHAnsi" w:eastAsia="MS Mincho" w:hAnsiTheme="minorHAnsi" w:cstheme="minorHAnsi"/>
                <w:sz w:val="20"/>
                <w:szCs w:val="20"/>
                <w:lang w:val="en-US"/>
              </w:rPr>
              <w:tab/>
            </w:r>
          </w:p>
        </w:tc>
        <w:tc>
          <w:tcPr>
            <w:tcW w:w="1382" w:type="dxa"/>
          </w:tcPr>
          <w:p w14:paraId="17E5CC2F" w14:textId="77777777" w:rsidR="00186D66" w:rsidRPr="009E0618" w:rsidRDefault="00186D66" w:rsidP="000660C3">
            <w:pPr>
              <w:spacing w:after="0" w:line="276" w:lineRule="auto"/>
              <w:rPr>
                <w:rFonts w:asciiTheme="minorHAnsi" w:eastAsia="MS Mincho" w:hAnsiTheme="minorHAnsi" w:cstheme="minorHAnsi"/>
                <w:sz w:val="20"/>
                <w:szCs w:val="20"/>
                <w:lang w:val="en-US"/>
              </w:rPr>
            </w:pPr>
            <w:r w:rsidRPr="009E0618">
              <w:rPr>
                <w:rFonts w:asciiTheme="minorHAnsi" w:eastAsia="MS Mincho" w:hAnsiTheme="minorHAnsi" w:cstheme="minorHAnsi"/>
                <w:sz w:val="20"/>
                <w:szCs w:val="20"/>
                <w:lang w:val="en-US"/>
              </w:rPr>
              <w:t>291,419</w:t>
            </w:r>
          </w:p>
        </w:tc>
      </w:tr>
      <w:tr w:rsidR="00186D66" w:rsidRPr="009E0618" w14:paraId="2F042E4D" w14:textId="77777777" w:rsidTr="000660C3">
        <w:trPr>
          <w:trHeight w:val="340"/>
        </w:trPr>
        <w:tc>
          <w:tcPr>
            <w:tcW w:w="640" w:type="dxa"/>
          </w:tcPr>
          <w:p w14:paraId="7F431C9D"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5</w:t>
            </w:r>
          </w:p>
        </w:tc>
        <w:tc>
          <w:tcPr>
            <w:tcW w:w="7724" w:type="dxa"/>
          </w:tcPr>
          <w:p w14:paraId="4CADB795" w14:textId="77777777" w:rsidR="00186D66" w:rsidRPr="009E0618" w:rsidRDefault="00186D66" w:rsidP="000660C3">
            <w:pPr>
              <w:spacing w:after="0" w:line="276" w:lineRule="auto"/>
              <w:rPr>
                <w:rFonts w:asciiTheme="minorHAnsi" w:eastAsia="MS Mincho" w:hAnsiTheme="minorHAnsi" w:cstheme="minorHAnsi"/>
                <w:sz w:val="20"/>
                <w:szCs w:val="20"/>
                <w:lang w:val="en-US"/>
              </w:rPr>
            </w:pPr>
            <w:r w:rsidRPr="009E0618">
              <w:rPr>
                <w:rFonts w:asciiTheme="minorHAnsi" w:eastAsia="MS Mincho" w:hAnsiTheme="minorHAnsi" w:cstheme="minorHAnsi"/>
                <w:sz w:val="20"/>
                <w:szCs w:val="20"/>
                <w:lang w:val="en-US"/>
              </w:rPr>
              <w:t>1 or 2 or 3 or 4</w:t>
            </w:r>
            <w:r w:rsidRPr="009E0618">
              <w:rPr>
                <w:rFonts w:asciiTheme="minorHAnsi" w:eastAsia="MS Mincho" w:hAnsiTheme="minorHAnsi" w:cstheme="minorHAnsi"/>
                <w:sz w:val="20"/>
                <w:szCs w:val="20"/>
                <w:lang w:val="en-US"/>
              </w:rPr>
              <w:tab/>
            </w:r>
          </w:p>
        </w:tc>
        <w:tc>
          <w:tcPr>
            <w:tcW w:w="1382" w:type="dxa"/>
          </w:tcPr>
          <w:p w14:paraId="3F68B568" w14:textId="77777777" w:rsidR="00186D66" w:rsidRPr="009E0618" w:rsidRDefault="00186D66" w:rsidP="000660C3">
            <w:pPr>
              <w:spacing w:after="0" w:line="276" w:lineRule="auto"/>
              <w:rPr>
                <w:rFonts w:asciiTheme="minorHAnsi" w:eastAsia="MS Mincho" w:hAnsiTheme="minorHAnsi" w:cstheme="minorHAnsi"/>
                <w:sz w:val="20"/>
                <w:szCs w:val="20"/>
                <w:lang w:val="en-US"/>
              </w:rPr>
            </w:pPr>
            <w:r w:rsidRPr="009E0618">
              <w:rPr>
                <w:rFonts w:asciiTheme="minorHAnsi" w:eastAsia="MS Mincho" w:hAnsiTheme="minorHAnsi" w:cstheme="minorHAnsi"/>
                <w:sz w:val="20"/>
                <w:szCs w:val="20"/>
                <w:lang w:val="en-US"/>
              </w:rPr>
              <w:t>5,506,956</w:t>
            </w:r>
          </w:p>
        </w:tc>
      </w:tr>
      <w:tr w:rsidR="00186D66" w:rsidRPr="009E0618" w14:paraId="3035E512" w14:textId="77777777" w:rsidTr="000660C3">
        <w:trPr>
          <w:trHeight w:val="340"/>
        </w:trPr>
        <w:tc>
          <w:tcPr>
            <w:tcW w:w="640" w:type="dxa"/>
          </w:tcPr>
          <w:p w14:paraId="4E70F971"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6</w:t>
            </w:r>
          </w:p>
        </w:tc>
        <w:tc>
          <w:tcPr>
            <w:tcW w:w="7724" w:type="dxa"/>
          </w:tcPr>
          <w:p w14:paraId="5F1E4A1A"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*Neurodevelopmental Disorders/ or *developmental disabilities/ or *intellectual disability/ or exp *learning disabilities/ or *"attention deficit and disruptive behavior disorders"/ or *attention deficit disorder with hyperactivity/ or *autism spectrum disorder/ or *asperger syndrome/ or *autistic disorder/ or *cerebral palsy/ or *Down Syndrome/ or *congenital abnormalities/ or *genetic diseases, inborn/</w:t>
            </w:r>
            <w:r w:rsidRPr="009E0618">
              <w:rPr>
                <w:rFonts w:asciiTheme="minorHAnsi" w:eastAsia="MS Mincho" w:hAnsiTheme="minorHAnsi" w:cstheme="minorHAnsi"/>
                <w:sz w:val="20"/>
                <w:szCs w:val="20"/>
              </w:rPr>
              <w:tab/>
            </w:r>
          </w:p>
        </w:tc>
        <w:tc>
          <w:tcPr>
            <w:tcW w:w="1382" w:type="dxa"/>
          </w:tcPr>
          <w:p w14:paraId="280DB06C"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218,082</w:t>
            </w:r>
          </w:p>
        </w:tc>
      </w:tr>
      <w:tr w:rsidR="00186D66" w:rsidRPr="009E0618" w14:paraId="3DBAACB0" w14:textId="77777777" w:rsidTr="000660C3">
        <w:trPr>
          <w:trHeight w:val="340"/>
        </w:trPr>
        <w:tc>
          <w:tcPr>
            <w:tcW w:w="640" w:type="dxa"/>
          </w:tcPr>
          <w:p w14:paraId="1EA1A21B"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7</w:t>
            </w:r>
          </w:p>
        </w:tc>
        <w:tc>
          <w:tcPr>
            <w:tcW w:w="7724" w:type="dxa"/>
          </w:tcPr>
          <w:p w14:paraId="39D4B2FC"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Disabled Children/</w:t>
            </w:r>
            <w:r w:rsidRPr="009E0618">
              <w:rPr>
                <w:rFonts w:asciiTheme="minorHAnsi" w:eastAsia="MS Mincho" w:hAnsiTheme="minorHAnsi" w:cstheme="minorHAnsi"/>
                <w:sz w:val="20"/>
                <w:szCs w:val="20"/>
              </w:rPr>
              <w:tab/>
            </w:r>
          </w:p>
        </w:tc>
        <w:tc>
          <w:tcPr>
            <w:tcW w:w="1382" w:type="dxa"/>
          </w:tcPr>
          <w:p w14:paraId="2FE34AD5"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7,132</w:t>
            </w:r>
          </w:p>
        </w:tc>
      </w:tr>
      <w:tr w:rsidR="00186D66" w:rsidRPr="009E0618" w14:paraId="45DBC55A" w14:textId="77777777" w:rsidTr="000660C3">
        <w:trPr>
          <w:trHeight w:val="340"/>
        </w:trPr>
        <w:tc>
          <w:tcPr>
            <w:tcW w:w="640" w:type="dxa"/>
          </w:tcPr>
          <w:p w14:paraId="3D7FB793"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8</w:t>
            </w:r>
          </w:p>
        </w:tc>
        <w:tc>
          <w:tcPr>
            <w:tcW w:w="7724" w:type="dxa"/>
          </w:tcPr>
          <w:p w14:paraId="67B261DC"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Vulnerable Populations/</w:t>
            </w:r>
            <w:r w:rsidRPr="009E0618">
              <w:rPr>
                <w:rFonts w:asciiTheme="minorHAnsi" w:eastAsia="MS Mincho" w:hAnsiTheme="minorHAnsi" w:cstheme="minorHAnsi"/>
                <w:sz w:val="20"/>
                <w:szCs w:val="20"/>
              </w:rPr>
              <w:tab/>
            </w:r>
          </w:p>
        </w:tc>
        <w:tc>
          <w:tcPr>
            <w:tcW w:w="1382" w:type="dxa"/>
          </w:tcPr>
          <w:p w14:paraId="41611E7F"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13,082</w:t>
            </w:r>
          </w:p>
        </w:tc>
      </w:tr>
      <w:tr w:rsidR="00186D66" w:rsidRPr="009E0618" w14:paraId="1A7AB5F6" w14:textId="77777777" w:rsidTr="000660C3">
        <w:trPr>
          <w:trHeight w:val="340"/>
        </w:trPr>
        <w:tc>
          <w:tcPr>
            <w:tcW w:w="640" w:type="dxa"/>
          </w:tcPr>
          <w:p w14:paraId="1B2EF805"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9</w:t>
            </w:r>
          </w:p>
        </w:tc>
        <w:tc>
          <w:tcPr>
            <w:tcW w:w="7724" w:type="dxa"/>
          </w:tcPr>
          <w:p w14:paraId="73EDA7FD"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(developmental-delay or developmental-disabilit* or neurodevelopment* or neuropsychologic* or intellectual-disabilit* or learning-disabilit* or developmental-concern* or vulnerable or at-risk or disabled or autism or cerebral-palsy or Down-syndrome or adhd or attention-deficit-hyperactivity-disorder* or genetic-disorder* or genetic-disease* or congenital-abnormalit* or congenital-impairment* or congenital-disorder* or congenital-disease*).tw,kf.</w:t>
            </w:r>
            <w:r w:rsidRPr="009E0618">
              <w:rPr>
                <w:rFonts w:asciiTheme="minorHAnsi" w:eastAsia="MS Mincho" w:hAnsiTheme="minorHAnsi" w:cstheme="minorHAnsi"/>
                <w:sz w:val="20"/>
                <w:szCs w:val="20"/>
              </w:rPr>
              <w:tab/>
            </w:r>
          </w:p>
        </w:tc>
        <w:tc>
          <w:tcPr>
            <w:tcW w:w="1382" w:type="dxa"/>
          </w:tcPr>
          <w:p w14:paraId="7F527C62"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711,212</w:t>
            </w:r>
          </w:p>
        </w:tc>
      </w:tr>
      <w:tr w:rsidR="00186D66" w:rsidRPr="009E0618" w14:paraId="4F22354C" w14:textId="77777777" w:rsidTr="000660C3">
        <w:trPr>
          <w:trHeight w:val="340"/>
        </w:trPr>
        <w:tc>
          <w:tcPr>
            <w:tcW w:w="640" w:type="dxa"/>
          </w:tcPr>
          <w:p w14:paraId="70A369AB"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10</w:t>
            </w:r>
          </w:p>
        </w:tc>
        <w:tc>
          <w:tcPr>
            <w:tcW w:w="7724" w:type="dxa"/>
          </w:tcPr>
          <w:p w14:paraId="4819B404"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6 or 7 or 8 or 9</w:t>
            </w:r>
            <w:r w:rsidRPr="009E0618">
              <w:rPr>
                <w:rFonts w:asciiTheme="minorHAnsi" w:eastAsia="MS Mincho" w:hAnsiTheme="minorHAnsi" w:cstheme="minorHAnsi"/>
                <w:sz w:val="20"/>
                <w:szCs w:val="20"/>
              </w:rPr>
              <w:tab/>
            </w:r>
          </w:p>
        </w:tc>
        <w:tc>
          <w:tcPr>
            <w:tcW w:w="1382" w:type="dxa"/>
          </w:tcPr>
          <w:p w14:paraId="1D1BD0B3" w14:textId="77777777" w:rsidR="00186D66" w:rsidRPr="009E0618" w:rsidRDefault="00186D66" w:rsidP="000660C3">
            <w:pPr>
              <w:spacing w:after="0" w:line="276" w:lineRule="auto"/>
              <w:rPr>
                <w:rFonts w:asciiTheme="minorHAnsi" w:eastAsia="MS Mincho" w:hAnsiTheme="minorHAnsi" w:cstheme="minorHAnsi"/>
                <w:sz w:val="20"/>
                <w:szCs w:val="20"/>
              </w:rPr>
            </w:pPr>
          </w:p>
        </w:tc>
      </w:tr>
      <w:tr w:rsidR="00186D66" w:rsidRPr="009E0618" w14:paraId="3F1059BF" w14:textId="77777777" w:rsidTr="000660C3">
        <w:trPr>
          <w:trHeight w:val="340"/>
        </w:trPr>
        <w:tc>
          <w:tcPr>
            <w:tcW w:w="640" w:type="dxa"/>
          </w:tcPr>
          <w:p w14:paraId="6E638F61"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11</w:t>
            </w:r>
          </w:p>
        </w:tc>
        <w:tc>
          <w:tcPr>
            <w:tcW w:w="7724" w:type="dxa"/>
          </w:tcPr>
          <w:p w14:paraId="7C807638"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(intervention* or evaluat* or program* or effective* or efficac* or chang* or success* or fail* or high* or low or lower or lowest or increase* or reduc* or harm* or implement* or model* or framework* or frame-work* or tool* or indicator* or approach* or outcome* or goal? or aim? or purpose? or principle?).tw,kf,hw.</w:t>
            </w:r>
            <w:r w:rsidRPr="009E0618">
              <w:rPr>
                <w:rFonts w:asciiTheme="minorHAnsi" w:eastAsia="MS Mincho" w:hAnsiTheme="minorHAnsi" w:cstheme="minorHAnsi"/>
                <w:sz w:val="20"/>
                <w:szCs w:val="20"/>
              </w:rPr>
              <w:tab/>
              <w:t>23976316</w:t>
            </w:r>
          </w:p>
        </w:tc>
        <w:tc>
          <w:tcPr>
            <w:tcW w:w="1382" w:type="dxa"/>
          </w:tcPr>
          <w:p w14:paraId="67443774"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815,630</w:t>
            </w:r>
          </w:p>
        </w:tc>
      </w:tr>
      <w:tr w:rsidR="00186D66" w:rsidRPr="009E0618" w14:paraId="0B1969B4" w14:textId="77777777" w:rsidTr="000660C3">
        <w:trPr>
          <w:trHeight w:val="340"/>
        </w:trPr>
        <w:tc>
          <w:tcPr>
            <w:tcW w:w="640" w:type="dxa"/>
          </w:tcPr>
          <w:p w14:paraId="714FD0D8"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12</w:t>
            </w:r>
          </w:p>
        </w:tc>
        <w:tc>
          <w:tcPr>
            <w:tcW w:w="7724" w:type="dxa"/>
          </w:tcPr>
          <w:p w14:paraId="1E0BF438"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(family-centred or family-centered or strength-based or culturally-appropriate or culturally-responsive or cultural-awareness or inclusive or participatory or teamwork or team-work or multi-disciplinary or multidisciplinary or collaborat* or capacity-building or skills-building or Parent-coaching or Parent-mediated or transdisciplinary or trans-disciplinary or interdisciplinary or inter-disciplinary or key-worker* or team-around-the-child or coaching or informed-decision-making or clinical-expertise or cultural-competence or clinical-competence).tw,kf,hw.</w:t>
            </w:r>
            <w:r w:rsidRPr="009E0618">
              <w:rPr>
                <w:rFonts w:asciiTheme="minorHAnsi" w:eastAsia="MS Mincho" w:hAnsiTheme="minorHAnsi" w:cstheme="minorHAnsi"/>
                <w:sz w:val="20"/>
                <w:szCs w:val="20"/>
              </w:rPr>
              <w:tab/>
            </w:r>
          </w:p>
        </w:tc>
        <w:tc>
          <w:tcPr>
            <w:tcW w:w="1382" w:type="dxa"/>
          </w:tcPr>
          <w:p w14:paraId="4BA4C4A9"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595,635</w:t>
            </w:r>
          </w:p>
        </w:tc>
      </w:tr>
      <w:tr w:rsidR="00186D66" w:rsidRPr="009E0618" w14:paraId="38AAE561" w14:textId="77777777" w:rsidTr="000660C3">
        <w:trPr>
          <w:trHeight w:val="340"/>
        </w:trPr>
        <w:tc>
          <w:tcPr>
            <w:tcW w:w="640" w:type="dxa"/>
          </w:tcPr>
          <w:p w14:paraId="68F8DDDA"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13</w:t>
            </w:r>
          </w:p>
        </w:tc>
        <w:tc>
          <w:tcPr>
            <w:tcW w:w="7724" w:type="dxa"/>
          </w:tcPr>
          <w:p w14:paraId="2E63EEA1"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lang w:val="en-US"/>
              </w:rPr>
              <w:t>patient care team/</w:t>
            </w:r>
            <w:r w:rsidRPr="009E0618">
              <w:rPr>
                <w:rFonts w:asciiTheme="minorHAnsi" w:eastAsia="MS Mincho" w:hAnsiTheme="minorHAnsi" w:cstheme="minorHAnsi"/>
                <w:sz w:val="20"/>
                <w:szCs w:val="20"/>
                <w:lang w:val="en-US"/>
              </w:rPr>
              <w:tab/>
            </w:r>
          </w:p>
        </w:tc>
        <w:tc>
          <w:tcPr>
            <w:tcW w:w="1382" w:type="dxa"/>
          </w:tcPr>
          <w:p w14:paraId="4AC668AF" w14:textId="77777777" w:rsidR="00186D66" w:rsidRPr="009E0618" w:rsidRDefault="00186D66" w:rsidP="000660C3">
            <w:pPr>
              <w:spacing w:after="0" w:line="276" w:lineRule="auto"/>
              <w:rPr>
                <w:rFonts w:asciiTheme="minorHAnsi" w:eastAsia="MS Mincho" w:hAnsiTheme="minorHAnsi" w:cstheme="minorHAnsi"/>
                <w:sz w:val="20"/>
                <w:szCs w:val="20"/>
                <w:lang w:val="en-US"/>
              </w:rPr>
            </w:pPr>
            <w:r w:rsidRPr="009E0618">
              <w:rPr>
                <w:rFonts w:asciiTheme="minorHAnsi" w:eastAsia="MS Mincho" w:hAnsiTheme="minorHAnsi" w:cstheme="minorHAnsi"/>
                <w:sz w:val="20"/>
                <w:szCs w:val="20"/>
                <w:lang w:val="en-US"/>
              </w:rPr>
              <w:t>70,157</w:t>
            </w:r>
          </w:p>
        </w:tc>
      </w:tr>
      <w:tr w:rsidR="00186D66" w:rsidRPr="009E0618" w14:paraId="25E8FA51" w14:textId="77777777" w:rsidTr="000660C3">
        <w:trPr>
          <w:trHeight w:val="340"/>
        </w:trPr>
        <w:tc>
          <w:tcPr>
            <w:tcW w:w="640" w:type="dxa"/>
          </w:tcPr>
          <w:p w14:paraId="0F2E91FC"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14</w:t>
            </w:r>
          </w:p>
        </w:tc>
        <w:tc>
          <w:tcPr>
            <w:tcW w:w="7724" w:type="dxa"/>
          </w:tcPr>
          <w:p w14:paraId="08A31890"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lang w:val="en-US"/>
              </w:rPr>
              <w:t>12 or 13</w:t>
            </w:r>
            <w:r w:rsidRPr="009E0618">
              <w:rPr>
                <w:rFonts w:asciiTheme="minorHAnsi" w:eastAsia="MS Mincho" w:hAnsiTheme="minorHAnsi" w:cstheme="minorHAnsi"/>
                <w:sz w:val="20"/>
                <w:szCs w:val="20"/>
                <w:lang w:val="en-US"/>
              </w:rPr>
              <w:tab/>
            </w:r>
          </w:p>
        </w:tc>
        <w:tc>
          <w:tcPr>
            <w:tcW w:w="1382" w:type="dxa"/>
          </w:tcPr>
          <w:p w14:paraId="73F1FFA3" w14:textId="77777777" w:rsidR="00186D66" w:rsidRPr="009E0618" w:rsidRDefault="00186D66" w:rsidP="000660C3">
            <w:pPr>
              <w:spacing w:after="0" w:line="276" w:lineRule="auto"/>
              <w:rPr>
                <w:rFonts w:asciiTheme="minorHAnsi" w:eastAsia="MS Mincho" w:hAnsiTheme="minorHAnsi" w:cstheme="minorHAnsi"/>
                <w:sz w:val="20"/>
                <w:szCs w:val="20"/>
                <w:lang w:val="en-US"/>
              </w:rPr>
            </w:pPr>
            <w:r w:rsidRPr="009E0618">
              <w:rPr>
                <w:rFonts w:asciiTheme="minorHAnsi" w:eastAsia="MS Mincho" w:hAnsiTheme="minorHAnsi" w:cstheme="minorHAnsi"/>
                <w:sz w:val="20"/>
                <w:szCs w:val="20"/>
                <w:lang w:val="en-US"/>
              </w:rPr>
              <w:t>637,397</w:t>
            </w:r>
          </w:p>
        </w:tc>
      </w:tr>
      <w:tr w:rsidR="00186D66" w:rsidRPr="009E0618" w14:paraId="00BD9547" w14:textId="77777777" w:rsidTr="000660C3">
        <w:trPr>
          <w:trHeight w:val="340"/>
        </w:trPr>
        <w:tc>
          <w:tcPr>
            <w:tcW w:w="640" w:type="dxa"/>
          </w:tcPr>
          <w:p w14:paraId="75D7B0B1"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15</w:t>
            </w:r>
          </w:p>
        </w:tc>
        <w:tc>
          <w:tcPr>
            <w:tcW w:w="7724" w:type="dxa"/>
          </w:tcPr>
          <w:p w14:paraId="6EA26A23"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(Outcome* or diagnosis or identification or timeliness or development or prevention or activity or participation or relationship* or inclusion or wellbeing or well-being or connectedness or confidence or professional-development or training or values or quality or standard? or equity or accountability or skill? or competenc* or knowledge or disposition* or social-interaction* or cognitive-development or eating or feeding or motor-skill* or language or communication or self-care or sensory-process* or function* or performance).tw,kf,hw.</w:t>
            </w:r>
            <w:r w:rsidRPr="009E0618">
              <w:rPr>
                <w:rFonts w:asciiTheme="minorHAnsi" w:eastAsia="MS Mincho" w:hAnsiTheme="minorHAnsi" w:cstheme="minorHAnsi"/>
                <w:sz w:val="20"/>
                <w:szCs w:val="20"/>
              </w:rPr>
              <w:tab/>
            </w:r>
          </w:p>
        </w:tc>
        <w:tc>
          <w:tcPr>
            <w:tcW w:w="1382" w:type="dxa"/>
          </w:tcPr>
          <w:p w14:paraId="67CEB9DF" w14:textId="77777777" w:rsidR="00186D66" w:rsidRPr="009E0618" w:rsidRDefault="00186D66" w:rsidP="000660C3">
            <w:pPr>
              <w:spacing w:after="0" w:line="276" w:lineRule="auto"/>
              <w:rPr>
                <w:rFonts w:asciiTheme="minorHAnsi" w:eastAsia="MS Mincho" w:hAnsiTheme="minorHAnsi" w:cstheme="minorHAnsi"/>
                <w:sz w:val="20"/>
                <w:szCs w:val="20"/>
              </w:rPr>
            </w:pPr>
          </w:p>
        </w:tc>
      </w:tr>
      <w:tr w:rsidR="00186D66" w:rsidRPr="009E0618" w14:paraId="0AF8A4E1" w14:textId="77777777" w:rsidTr="000660C3">
        <w:trPr>
          <w:trHeight w:val="340"/>
        </w:trPr>
        <w:tc>
          <w:tcPr>
            <w:tcW w:w="640" w:type="dxa"/>
          </w:tcPr>
          <w:p w14:paraId="0414828A"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16</w:t>
            </w:r>
          </w:p>
        </w:tc>
        <w:tc>
          <w:tcPr>
            <w:tcW w:w="7724" w:type="dxa"/>
          </w:tcPr>
          <w:p w14:paraId="21E08F06"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(early-child* or early-intervention* or early-learning).tw,kf.</w:t>
            </w:r>
            <w:r w:rsidRPr="009E0618">
              <w:rPr>
                <w:rFonts w:asciiTheme="minorHAnsi" w:eastAsia="MS Mincho" w:hAnsiTheme="minorHAnsi" w:cstheme="minorHAnsi"/>
                <w:sz w:val="20"/>
                <w:szCs w:val="20"/>
              </w:rPr>
              <w:tab/>
              <w:t>68191</w:t>
            </w:r>
          </w:p>
        </w:tc>
        <w:tc>
          <w:tcPr>
            <w:tcW w:w="1382" w:type="dxa"/>
          </w:tcPr>
          <w:p w14:paraId="3EDBA293"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19,428,935</w:t>
            </w:r>
          </w:p>
        </w:tc>
      </w:tr>
      <w:tr w:rsidR="00186D66" w:rsidRPr="009E0618" w14:paraId="069906A5" w14:textId="77777777" w:rsidTr="000660C3">
        <w:trPr>
          <w:trHeight w:val="340"/>
        </w:trPr>
        <w:tc>
          <w:tcPr>
            <w:tcW w:w="640" w:type="dxa"/>
          </w:tcPr>
          <w:p w14:paraId="7FDA01D5"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17</w:t>
            </w:r>
          </w:p>
        </w:tc>
        <w:tc>
          <w:tcPr>
            <w:tcW w:w="7724" w:type="dxa"/>
          </w:tcPr>
          <w:p w14:paraId="69854E20"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early intervention, educational/ or maternal-child health services/ or exp education, special/</w:t>
            </w:r>
          </w:p>
        </w:tc>
        <w:tc>
          <w:tcPr>
            <w:tcW w:w="1382" w:type="dxa"/>
          </w:tcPr>
          <w:p w14:paraId="3A13044E"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20,056</w:t>
            </w:r>
          </w:p>
        </w:tc>
      </w:tr>
      <w:tr w:rsidR="00186D66" w:rsidRPr="009E0618" w14:paraId="129EFD23" w14:textId="77777777" w:rsidTr="000660C3">
        <w:trPr>
          <w:trHeight w:val="340"/>
        </w:trPr>
        <w:tc>
          <w:tcPr>
            <w:tcW w:w="640" w:type="dxa"/>
          </w:tcPr>
          <w:p w14:paraId="37A0A768"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18</w:t>
            </w:r>
          </w:p>
        </w:tc>
        <w:tc>
          <w:tcPr>
            <w:tcW w:w="7724" w:type="dxa"/>
          </w:tcPr>
          <w:p w14:paraId="294314DA"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16 or 17</w:t>
            </w:r>
            <w:r w:rsidRPr="009E0618">
              <w:rPr>
                <w:rFonts w:asciiTheme="minorHAnsi" w:eastAsia="MS Mincho" w:hAnsiTheme="minorHAnsi" w:cstheme="minorHAnsi"/>
                <w:sz w:val="20"/>
                <w:szCs w:val="20"/>
              </w:rPr>
              <w:tab/>
            </w:r>
          </w:p>
        </w:tc>
        <w:tc>
          <w:tcPr>
            <w:tcW w:w="1382" w:type="dxa"/>
          </w:tcPr>
          <w:p w14:paraId="0D83C165"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86,237</w:t>
            </w:r>
          </w:p>
        </w:tc>
      </w:tr>
      <w:tr w:rsidR="00186D66" w:rsidRPr="009E0618" w14:paraId="3C5F05E1" w14:textId="77777777" w:rsidTr="000660C3">
        <w:trPr>
          <w:trHeight w:val="340"/>
        </w:trPr>
        <w:tc>
          <w:tcPr>
            <w:tcW w:w="640" w:type="dxa"/>
          </w:tcPr>
          <w:p w14:paraId="7861D917"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19</w:t>
            </w:r>
          </w:p>
        </w:tc>
        <w:tc>
          <w:tcPr>
            <w:tcW w:w="7724" w:type="dxa"/>
          </w:tcPr>
          <w:p w14:paraId="5CD23C18"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 xml:space="preserve">(ECIA-Best-Practice-Framework or ECIA-guideline* or Early-Childhood-Intervention-System or Eurlyaid or European-Agency-for-Special-Needs-and-Inclusive-Education or DEC-Recommended-Practices-in-Early-Intervention or DEC-recommended-practices-in-early-education or Special-Education-Needs-and-Disability-Code-of-Practice or He-Pikorua-practice-framework).tw,kf. </w:t>
            </w:r>
          </w:p>
        </w:tc>
        <w:tc>
          <w:tcPr>
            <w:tcW w:w="1382" w:type="dxa"/>
          </w:tcPr>
          <w:p w14:paraId="08583E69"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w:t>
            </w:r>
          </w:p>
        </w:tc>
      </w:tr>
      <w:tr w:rsidR="00186D66" w:rsidRPr="009E0618" w14:paraId="28645D95" w14:textId="77777777" w:rsidTr="000660C3">
        <w:trPr>
          <w:trHeight w:val="340"/>
        </w:trPr>
        <w:tc>
          <w:tcPr>
            <w:tcW w:w="640" w:type="dxa"/>
          </w:tcPr>
          <w:p w14:paraId="24716A5F"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20</w:t>
            </w:r>
          </w:p>
        </w:tc>
        <w:tc>
          <w:tcPr>
            <w:tcW w:w="7724" w:type="dxa"/>
          </w:tcPr>
          <w:p w14:paraId="2E0A8BFD"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5 and 10 and 11 and 14 and 15 and 18</w:t>
            </w:r>
            <w:r w:rsidRPr="009E0618">
              <w:rPr>
                <w:rFonts w:asciiTheme="minorHAnsi" w:eastAsia="MS Mincho" w:hAnsiTheme="minorHAnsi" w:cstheme="minorHAnsi"/>
                <w:sz w:val="20"/>
                <w:szCs w:val="20"/>
              </w:rPr>
              <w:tab/>
            </w:r>
          </w:p>
        </w:tc>
        <w:tc>
          <w:tcPr>
            <w:tcW w:w="1382" w:type="dxa"/>
          </w:tcPr>
          <w:p w14:paraId="65A93BB4"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1,338</w:t>
            </w:r>
          </w:p>
        </w:tc>
      </w:tr>
      <w:tr w:rsidR="00186D66" w:rsidRPr="009E0618" w14:paraId="51072F8C" w14:textId="77777777" w:rsidTr="000660C3">
        <w:trPr>
          <w:trHeight w:val="340"/>
        </w:trPr>
        <w:tc>
          <w:tcPr>
            <w:tcW w:w="640" w:type="dxa"/>
          </w:tcPr>
          <w:p w14:paraId="2D66D3E7"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21</w:t>
            </w:r>
          </w:p>
        </w:tc>
        <w:tc>
          <w:tcPr>
            <w:tcW w:w="7724" w:type="dxa"/>
          </w:tcPr>
          <w:p w14:paraId="5CDC164A"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limit 20 to yr="2014 -Current"</w:t>
            </w:r>
            <w:r w:rsidRPr="009E0618">
              <w:rPr>
                <w:rFonts w:asciiTheme="minorHAnsi" w:eastAsia="MS Mincho" w:hAnsiTheme="minorHAnsi" w:cstheme="minorHAnsi"/>
                <w:sz w:val="20"/>
                <w:szCs w:val="20"/>
              </w:rPr>
              <w:tab/>
            </w:r>
          </w:p>
        </w:tc>
        <w:tc>
          <w:tcPr>
            <w:tcW w:w="1382" w:type="dxa"/>
          </w:tcPr>
          <w:p w14:paraId="024FF8C4"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820</w:t>
            </w:r>
          </w:p>
        </w:tc>
      </w:tr>
      <w:tr w:rsidR="00186D66" w:rsidRPr="009E0618" w14:paraId="1361D42D" w14:textId="77777777" w:rsidTr="000660C3">
        <w:trPr>
          <w:trHeight w:val="340"/>
        </w:trPr>
        <w:tc>
          <w:tcPr>
            <w:tcW w:w="640" w:type="dxa"/>
          </w:tcPr>
          <w:p w14:paraId="1BB7FE7B"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22</w:t>
            </w:r>
          </w:p>
        </w:tc>
        <w:tc>
          <w:tcPr>
            <w:tcW w:w="7724" w:type="dxa"/>
          </w:tcPr>
          <w:p w14:paraId="7CAA7F62"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limit 21 to (case reports or comment or editorial or letter or preprint)</w:t>
            </w:r>
            <w:r w:rsidRPr="009E0618">
              <w:rPr>
                <w:rFonts w:asciiTheme="minorHAnsi" w:eastAsia="MS Mincho" w:hAnsiTheme="minorHAnsi" w:cstheme="minorHAnsi"/>
                <w:sz w:val="20"/>
                <w:szCs w:val="20"/>
              </w:rPr>
              <w:tab/>
            </w:r>
          </w:p>
        </w:tc>
        <w:tc>
          <w:tcPr>
            <w:tcW w:w="1382" w:type="dxa"/>
          </w:tcPr>
          <w:p w14:paraId="33E5D67A"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29</w:t>
            </w:r>
          </w:p>
        </w:tc>
      </w:tr>
      <w:tr w:rsidR="00186D66" w:rsidRPr="009E0618" w14:paraId="21863422" w14:textId="77777777" w:rsidTr="000660C3">
        <w:trPr>
          <w:trHeight w:val="340"/>
        </w:trPr>
        <w:tc>
          <w:tcPr>
            <w:tcW w:w="640" w:type="dxa"/>
          </w:tcPr>
          <w:p w14:paraId="2B156B43"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23</w:t>
            </w:r>
          </w:p>
        </w:tc>
        <w:tc>
          <w:tcPr>
            <w:tcW w:w="7724" w:type="dxa"/>
          </w:tcPr>
          <w:p w14:paraId="6FC0A38E"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21 not 22</w:t>
            </w:r>
            <w:r w:rsidRPr="009E0618">
              <w:rPr>
                <w:rFonts w:asciiTheme="minorHAnsi" w:eastAsia="MS Mincho" w:hAnsiTheme="minorHAnsi" w:cstheme="minorHAnsi"/>
                <w:sz w:val="20"/>
                <w:szCs w:val="20"/>
              </w:rPr>
              <w:tab/>
            </w:r>
          </w:p>
        </w:tc>
        <w:tc>
          <w:tcPr>
            <w:tcW w:w="1382" w:type="dxa"/>
          </w:tcPr>
          <w:p w14:paraId="4C4F83F5"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791</w:t>
            </w:r>
          </w:p>
        </w:tc>
      </w:tr>
      <w:tr w:rsidR="00186D66" w:rsidRPr="009E0618" w14:paraId="5EECB68E" w14:textId="77777777" w:rsidTr="000660C3">
        <w:trPr>
          <w:trHeight w:val="340"/>
        </w:trPr>
        <w:tc>
          <w:tcPr>
            <w:tcW w:w="640" w:type="dxa"/>
          </w:tcPr>
          <w:p w14:paraId="348AC5EF"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24</w:t>
            </w:r>
          </w:p>
        </w:tc>
        <w:tc>
          <w:tcPr>
            <w:tcW w:w="7724" w:type="dxa"/>
          </w:tcPr>
          <w:p w14:paraId="4AD82389"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19 or 23</w:t>
            </w:r>
            <w:r w:rsidRPr="009E0618">
              <w:rPr>
                <w:rFonts w:asciiTheme="minorHAnsi" w:eastAsia="MS Mincho" w:hAnsiTheme="minorHAnsi" w:cstheme="minorHAnsi"/>
                <w:sz w:val="20"/>
                <w:szCs w:val="20"/>
              </w:rPr>
              <w:tab/>
            </w:r>
          </w:p>
        </w:tc>
        <w:tc>
          <w:tcPr>
            <w:tcW w:w="1382" w:type="dxa"/>
          </w:tcPr>
          <w:p w14:paraId="60D82412" w14:textId="77777777" w:rsidR="00186D66" w:rsidRPr="009E0618" w:rsidRDefault="00186D66" w:rsidP="000660C3">
            <w:pPr>
              <w:spacing w:after="0" w:line="276" w:lineRule="auto"/>
              <w:rPr>
                <w:rFonts w:asciiTheme="minorHAnsi" w:eastAsia="MS Mincho" w:hAnsiTheme="minorHAnsi" w:cstheme="minorHAnsi"/>
                <w:sz w:val="20"/>
                <w:szCs w:val="20"/>
              </w:rPr>
            </w:pPr>
            <w:r w:rsidRPr="009E0618">
              <w:rPr>
                <w:rFonts w:asciiTheme="minorHAnsi" w:eastAsia="MS Mincho" w:hAnsiTheme="minorHAnsi" w:cstheme="minorHAnsi"/>
                <w:sz w:val="20"/>
                <w:szCs w:val="20"/>
              </w:rPr>
              <w:t>793</w:t>
            </w:r>
          </w:p>
        </w:tc>
      </w:tr>
    </w:tbl>
    <w:p w14:paraId="6A414498" w14:textId="77777777" w:rsidR="00186D66" w:rsidRPr="009E480E" w:rsidRDefault="00186D66" w:rsidP="009E480E">
      <w:pPr>
        <w:rPr>
          <w:b/>
          <w:bCs/>
        </w:rPr>
      </w:pPr>
    </w:p>
    <w:p w14:paraId="3ECBDEDE" w14:textId="77777777" w:rsidR="004C0496" w:rsidRPr="004C0496" w:rsidRDefault="004C0496" w:rsidP="004C0496">
      <w:pPr>
        <w:rPr>
          <w:b/>
          <w:bCs/>
        </w:rPr>
      </w:pPr>
      <w:r w:rsidRPr="004C0496">
        <w:rPr>
          <w:b/>
          <w:bCs/>
        </w:rPr>
        <w:t>Structured search on Google Scholar</w:t>
      </w:r>
    </w:p>
    <w:p w14:paraId="6C7181C1" w14:textId="3A0D3ED1" w:rsidR="000C5F79" w:rsidRDefault="004C0496" w:rsidP="004C0496">
      <w:r>
        <w:t xml:space="preserve">Seven independent searches were performed on Google Scholar on 5th of June 2024, using keywords related to the guidelines and/or practice framework of each of the seven jurisdictions. Keywords used in Google Scholar are listed in </w:t>
      </w:r>
      <w:r>
        <w:fldChar w:fldCharType="begin"/>
      </w:r>
      <w:r>
        <w:instrText xml:space="preserve"> REF _Ref177725211 \h </w:instrText>
      </w:r>
      <w:r>
        <w:fldChar w:fldCharType="separate"/>
      </w:r>
      <w:r w:rsidR="00303407" w:rsidRPr="00856841">
        <w:rPr>
          <w:b/>
          <w:bCs/>
        </w:rPr>
        <w:t xml:space="preserve">Table </w:t>
      </w:r>
      <w:r w:rsidR="00303407">
        <w:rPr>
          <w:b/>
          <w:bCs/>
          <w:noProof/>
        </w:rPr>
        <w:t>22</w:t>
      </w:r>
      <w:r>
        <w:fldChar w:fldCharType="end"/>
      </w:r>
      <w:r>
        <w:t xml:space="preserve">. Results for each independent search were limited to 200 and to the year in which the specific guideline was published, as listed in </w:t>
      </w:r>
      <w:r>
        <w:fldChar w:fldCharType="begin"/>
      </w:r>
      <w:r>
        <w:instrText xml:space="preserve"> REF _Ref177725211 \h </w:instrText>
      </w:r>
      <w:r>
        <w:fldChar w:fldCharType="separate"/>
      </w:r>
      <w:r w:rsidR="00303407" w:rsidRPr="00856841">
        <w:rPr>
          <w:b/>
          <w:bCs/>
        </w:rPr>
        <w:t xml:space="preserve">Table </w:t>
      </w:r>
      <w:r w:rsidR="00303407">
        <w:rPr>
          <w:b/>
          <w:bCs/>
          <w:noProof/>
        </w:rPr>
        <w:t>22</w:t>
      </w:r>
      <w:r>
        <w:fldChar w:fldCharType="end"/>
      </w:r>
      <w:r>
        <w:t>.</w:t>
      </w:r>
    </w:p>
    <w:p w14:paraId="598BBA1B" w14:textId="77416232" w:rsidR="000C5F79" w:rsidRPr="001A1DD7" w:rsidRDefault="000C5F79" w:rsidP="000C5F79">
      <w:pPr>
        <w:pStyle w:val="Caption"/>
        <w:rPr>
          <w:rFonts w:ascii="Calibri" w:eastAsia="MS Mincho" w:hAnsi="Calibri" w:cs="Calibri"/>
          <w:b/>
          <w:szCs w:val="22"/>
          <w:lang w:eastAsia="en-AU"/>
        </w:rPr>
      </w:pPr>
      <w:bookmarkStart w:id="143" w:name="_Toc177727341"/>
      <w:r w:rsidRPr="000C5F79">
        <w:rPr>
          <w:b/>
          <w:bCs/>
        </w:rPr>
        <w:t xml:space="preserve">Table </w:t>
      </w:r>
      <w:r w:rsidRPr="000C5F79">
        <w:rPr>
          <w:b/>
          <w:bCs/>
        </w:rPr>
        <w:fldChar w:fldCharType="begin"/>
      </w:r>
      <w:r w:rsidRPr="000C5F79">
        <w:rPr>
          <w:b/>
          <w:bCs/>
        </w:rPr>
        <w:instrText xml:space="preserve"> SEQ Table \* ARABIC </w:instrText>
      </w:r>
      <w:r w:rsidRPr="000C5F79">
        <w:rPr>
          <w:b/>
          <w:bCs/>
        </w:rPr>
        <w:fldChar w:fldCharType="separate"/>
      </w:r>
      <w:r w:rsidR="00303407">
        <w:rPr>
          <w:b/>
          <w:bCs/>
          <w:noProof/>
        </w:rPr>
        <w:t>23</w:t>
      </w:r>
      <w:r w:rsidRPr="000C5F79">
        <w:rPr>
          <w:b/>
          <w:bCs/>
        </w:rPr>
        <w:fldChar w:fldCharType="end"/>
      </w:r>
      <w:r w:rsidRPr="000C5F79">
        <w:rPr>
          <w:b/>
          <w:bCs/>
        </w:rPr>
        <w:t>.</w:t>
      </w:r>
      <w:r>
        <w:t xml:space="preserve"> </w:t>
      </w:r>
      <w:r w:rsidRPr="00512CD7">
        <w:t>Google scholar searches</w:t>
      </w:r>
      <w:bookmarkEnd w:id="143"/>
    </w:p>
    <w:tbl>
      <w:tblPr>
        <w:tblW w:w="5091" w:type="pct"/>
        <w:tblLayout w:type="fixed"/>
        <w:tblLook w:val="04A0" w:firstRow="1" w:lastRow="0" w:firstColumn="1" w:lastColumn="0" w:noHBand="0" w:noVBand="1"/>
      </w:tblPr>
      <w:tblGrid>
        <w:gridCol w:w="2165"/>
        <w:gridCol w:w="5441"/>
        <w:gridCol w:w="1584"/>
      </w:tblGrid>
      <w:tr w:rsidR="000C5F79" w:rsidRPr="009E0618" w14:paraId="228878EC" w14:textId="77777777" w:rsidTr="000660C3">
        <w:trPr>
          <w:trHeight w:val="340"/>
        </w:trPr>
        <w:tc>
          <w:tcPr>
            <w:tcW w:w="2331" w:type="dxa"/>
            <w:shd w:val="clear" w:color="auto" w:fill="082A75"/>
          </w:tcPr>
          <w:p w14:paraId="606F7459"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Region</w:t>
            </w:r>
          </w:p>
        </w:tc>
        <w:tc>
          <w:tcPr>
            <w:tcW w:w="5891" w:type="dxa"/>
            <w:shd w:val="clear" w:color="auto" w:fill="082A75"/>
          </w:tcPr>
          <w:p w14:paraId="2ECF72AB"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Keywords</w:t>
            </w:r>
          </w:p>
        </w:tc>
        <w:tc>
          <w:tcPr>
            <w:tcW w:w="1701" w:type="dxa"/>
            <w:shd w:val="clear" w:color="auto" w:fill="082A75"/>
          </w:tcPr>
          <w:p w14:paraId="676ED905"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Limited to year</w:t>
            </w:r>
          </w:p>
        </w:tc>
      </w:tr>
      <w:tr w:rsidR="000C5F79" w:rsidRPr="009E0618" w14:paraId="2B4F7F68" w14:textId="77777777" w:rsidTr="000660C3">
        <w:trPr>
          <w:trHeight w:val="340"/>
        </w:trPr>
        <w:tc>
          <w:tcPr>
            <w:tcW w:w="2331" w:type="dxa"/>
          </w:tcPr>
          <w:p w14:paraId="6893C2FC"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 xml:space="preserve">Australia </w:t>
            </w:r>
          </w:p>
        </w:tc>
        <w:tc>
          <w:tcPr>
            <w:tcW w:w="5891" w:type="dxa"/>
          </w:tcPr>
          <w:p w14:paraId="07AC21CE"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 xml:space="preserve">“Early Childhood Intervention Australia National Guidelines Best Practice in Early Childhood Intervention”|“ECIA National Guidelines: Best Practice in Early Childhood Intervention” </w:t>
            </w:r>
          </w:p>
        </w:tc>
        <w:tc>
          <w:tcPr>
            <w:tcW w:w="1701" w:type="dxa"/>
          </w:tcPr>
          <w:p w14:paraId="719990A8"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2016</w:t>
            </w:r>
          </w:p>
        </w:tc>
      </w:tr>
      <w:tr w:rsidR="000C5F79" w:rsidRPr="009E0618" w14:paraId="1D551663" w14:textId="77777777" w:rsidTr="000660C3">
        <w:trPr>
          <w:trHeight w:val="340"/>
        </w:trPr>
        <w:tc>
          <w:tcPr>
            <w:tcW w:w="2331" w:type="dxa"/>
          </w:tcPr>
          <w:p w14:paraId="23D794B8"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Europe</w:t>
            </w:r>
          </w:p>
        </w:tc>
        <w:tc>
          <w:tcPr>
            <w:tcW w:w="5891" w:type="dxa"/>
          </w:tcPr>
          <w:p w14:paraId="20712BD1"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"Early Childhood Intervention System"|"Eurlyaid"|"European Agency for Special Education Needs"|“EU Quality framework for ECEC”</w:t>
            </w:r>
          </w:p>
        </w:tc>
        <w:tc>
          <w:tcPr>
            <w:tcW w:w="1701" w:type="dxa"/>
          </w:tcPr>
          <w:p w14:paraId="30AAA3A7"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1993</w:t>
            </w:r>
          </w:p>
        </w:tc>
      </w:tr>
      <w:tr w:rsidR="000C5F79" w:rsidRPr="009E0618" w14:paraId="4D152F4C" w14:textId="77777777" w:rsidTr="000660C3">
        <w:trPr>
          <w:trHeight w:val="340"/>
        </w:trPr>
        <w:tc>
          <w:tcPr>
            <w:tcW w:w="2331" w:type="dxa"/>
          </w:tcPr>
          <w:p w14:paraId="644889D6"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 xml:space="preserve">UK </w:t>
            </w:r>
          </w:p>
        </w:tc>
        <w:tc>
          <w:tcPr>
            <w:tcW w:w="5891" w:type="dxa"/>
          </w:tcPr>
          <w:p w14:paraId="4DDCC795"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“Special Education Needs and Disability Code of Practice”</w:t>
            </w:r>
          </w:p>
        </w:tc>
        <w:tc>
          <w:tcPr>
            <w:tcW w:w="1701" w:type="dxa"/>
          </w:tcPr>
          <w:p w14:paraId="29E18E19"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2015</w:t>
            </w:r>
          </w:p>
        </w:tc>
      </w:tr>
      <w:tr w:rsidR="000C5F79" w:rsidRPr="009E0618" w14:paraId="2924C637" w14:textId="77777777" w:rsidTr="000660C3">
        <w:trPr>
          <w:trHeight w:val="340"/>
        </w:trPr>
        <w:tc>
          <w:tcPr>
            <w:tcW w:w="2331" w:type="dxa"/>
          </w:tcPr>
          <w:p w14:paraId="40C444C3"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US</w:t>
            </w:r>
          </w:p>
        </w:tc>
        <w:tc>
          <w:tcPr>
            <w:tcW w:w="5891" w:type="dxa"/>
          </w:tcPr>
          <w:p w14:paraId="448EB1A0"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 xml:space="preserve">“DEC recommended practices in early intervention”|“DEC recommended practices in early childhood special education” </w:t>
            </w:r>
          </w:p>
        </w:tc>
        <w:tc>
          <w:tcPr>
            <w:tcW w:w="1701" w:type="dxa"/>
          </w:tcPr>
          <w:p w14:paraId="31411739"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2014</w:t>
            </w:r>
          </w:p>
        </w:tc>
      </w:tr>
      <w:tr w:rsidR="000C5F79" w:rsidRPr="009E0618" w14:paraId="25D0FAD7" w14:textId="77777777" w:rsidTr="000660C3">
        <w:trPr>
          <w:trHeight w:val="340"/>
        </w:trPr>
        <w:tc>
          <w:tcPr>
            <w:tcW w:w="2331" w:type="dxa"/>
          </w:tcPr>
          <w:p w14:paraId="02D50406"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 xml:space="preserve">New Zealand </w:t>
            </w:r>
          </w:p>
        </w:tc>
        <w:tc>
          <w:tcPr>
            <w:tcW w:w="5891" w:type="dxa"/>
          </w:tcPr>
          <w:p w14:paraId="41081E11"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“He Pikorua”|“He Pikorua practice framework”</w:t>
            </w:r>
          </w:p>
        </w:tc>
        <w:tc>
          <w:tcPr>
            <w:tcW w:w="1701" w:type="dxa"/>
          </w:tcPr>
          <w:p w14:paraId="6F763B61"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2020</w:t>
            </w:r>
          </w:p>
        </w:tc>
      </w:tr>
      <w:tr w:rsidR="000C5F79" w:rsidRPr="009E0618" w14:paraId="49EBD5F6" w14:textId="77777777" w:rsidTr="000660C3">
        <w:trPr>
          <w:trHeight w:val="340"/>
        </w:trPr>
        <w:tc>
          <w:tcPr>
            <w:tcW w:w="2331" w:type="dxa"/>
          </w:tcPr>
          <w:p w14:paraId="5D33D4A8"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 xml:space="preserve">Aboriginal and Torres Straits Islander </w:t>
            </w:r>
          </w:p>
        </w:tc>
        <w:tc>
          <w:tcPr>
            <w:tcW w:w="5891" w:type="dxa"/>
          </w:tcPr>
          <w:p w14:paraId="287226F8"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 xml:space="preserve">“National Aboriginal and Torres Strait Islander Early Childhood Strategy”|“Connected beginnings” </w:t>
            </w:r>
          </w:p>
        </w:tc>
        <w:tc>
          <w:tcPr>
            <w:tcW w:w="1701" w:type="dxa"/>
          </w:tcPr>
          <w:p w14:paraId="3E4DCE30" w14:textId="77777777" w:rsidR="000C5F79" w:rsidRPr="009E0618" w:rsidRDefault="000C5F79" w:rsidP="000660C3">
            <w:pPr>
              <w:spacing w:after="0" w:line="276" w:lineRule="auto"/>
              <w:rPr>
                <w:rFonts w:ascii="Calibri" w:eastAsia="MS Mincho" w:hAnsi="Calibri" w:cs="Times New Roman"/>
                <w:sz w:val="20"/>
                <w:szCs w:val="20"/>
              </w:rPr>
            </w:pPr>
            <w:r w:rsidRPr="009E0618">
              <w:rPr>
                <w:rFonts w:ascii="Calibri" w:eastAsia="MS Mincho" w:hAnsi="Calibri" w:cs="Times New Roman"/>
                <w:sz w:val="20"/>
                <w:szCs w:val="20"/>
              </w:rPr>
              <w:t xml:space="preserve">2019 </w:t>
            </w:r>
          </w:p>
        </w:tc>
      </w:tr>
    </w:tbl>
    <w:p w14:paraId="7B1D786F" w14:textId="276F1B27" w:rsidR="00921921" w:rsidRDefault="00921921" w:rsidP="004C0496">
      <w:r>
        <w:br w:type="page"/>
      </w:r>
    </w:p>
    <w:p w14:paraId="5BBF5E4B" w14:textId="4FA91369" w:rsidR="00CA2032" w:rsidRPr="007870C7" w:rsidRDefault="00921921" w:rsidP="007870C7">
      <w:r>
        <w:rPr>
          <w:noProof/>
        </w:rPr>
        <w:drawing>
          <wp:anchor distT="0" distB="0" distL="114300" distR="114300" simplePos="0" relativeHeight="251681792" behindDoc="0" locked="1" layoutInCell="1" allowOverlap="1" wp14:anchorId="245A721F" wp14:editId="1F29E6DD">
            <wp:simplePos x="0" y="0"/>
            <wp:positionH relativeFrom="column">
              <wp:posOffset>-917575</wp:posOffset>
            </wp:positionH>
            <wp:positionV relativeFrom="page">
              <wp:posOffset>1270</wp:posOffset>
            </wp:positionV>
            <wp:extent cx="7566660" cy="10690225"/>
            <wp:effectExtent l="0" t="0" r="2540" b="3175"/>
            <wp:wrapNone/>
            <wp:docPr id="1303987383" name="Picture 57" descr="Contact Us:&#10;&#10;official-ecireview@unimelb.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87383" name="Picture 57" descr="Contact Us:&#10;&#10;official-ecireview@unimelb.edu.au"/>
                    <pic:cNvPicPr/>
                  </pic:nvPicPr>
                  <pic:blipFill>
                    <a:blip r:embed="rId695" cstate="print">
                      <a:extLst>
                        <a:ext uri="{28A0092B-C50C-407E-A947-70E740481C1C}">
                          <a14:useLocalDpi xmlns:a14="http://schemas.microsoft.com/office/drawing/2010/main" val="0"/>
                        </a:ext>
                      </a:extLst>
                    </a:blip>
                    <a:stretch>
                      <a:fillRect/>
                    </a:stretch>
                  </pic:blipFill>
                  <pic:spPr>
                    <a:xfrm>
                      <a:off x="0" y="0"/>
                      <a:ext cx="7566660" cy="10690225"/>
                    </a:xfrm>
                    <a:prstGeom prst="rect">
                      <a:avLst/>
                    </a:prstGeom>
                  </pic:spPr>
                </pic:pic>
              </a:graphicData>
            </a:graphic>
            <wp14:sizeRelH relativeFrom="page">
              <wp14:pctWidth>0</wp14:pctWidth>
            </wp14:sizeRelH>
            <wp14:sizeRelV relativeFrom="page">
              <wp14:pctHeight>0</wp14:pctHeight>
            </wp14:sizeRelV>
          </wp:anchor>
        </w:drawing>
      </w:r>
    </w:p>
    <w:sectPr w:rsidR="00CA2032" w:rsidRPr="007870C7" w:rsidSect="000A756A">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3792D" w14:textId="77777777" w:rsidR="005C36EC" w:rsidRDefault="005C36EC" w:rsidP="009D5041">
      <w:pPr>
        <w:spacing w:before="0" w:after="0"/>
      </w:pPr>
      <w:r>
        <w:separator/>
      </w:r>
    </w:p>
  </w:endnote>
  <w:endnote w:type="continuationSeparator" w:id="0">
    <w:p w14:paraId="299FF6BC" w14:textId="77777777" w:rsidR="005C36EC" w:rsidRDefault="005C36EC" w:rsidP="009D5041">
      <w:pPr>
        <w:spacing w:before="0" w:after="0"/>
      </w:pPr>
      <w:r>
        <w:continuationSeparator/>
      </w:r>
    </w:p>
  </w:endnote>
  <w:endnote w:type="continuationNotice" w:id="1">
    <w:p w14:paraId="60C00823" w14:textId="77777777" w:rsidR="005C36EC" w:rsidRDefault="005C36E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Open Sans Light">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2000541"/>
      <w:docPartObj>
        <w:docPartGallery w:val="Page Numbers (Bottom of Page)"/>
        <w:docPartUnique/>
      </w:docPartObj>
    </w:sdtPr>
    <w:sdtContent>
      <w:p w14:paraId="32562A53" w14:textId="210377FE" w:rsidR="009D5041" w:rsidRDefault="009D50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0155C">
          <w:rPr>
            <w:rStyle w:val="PageNumber"/>
            <w:noProof/>
          </w:rPr>
          <w:t>104</w:t>
        </w:r>
        <w:r>
          <w:rPr>
            <w:rStyle w:val="PageNumber"/>
          </w:rPr>
          <w:fldChar w:fldCharType="end"/>
        </w:r>
      </w:p>
    </w:sdtContent>
  </w:sdt>
  <w:p w14:paraId="5B88B60D" w14:textId="77777777" w:rsidR="009D5041" w:rsidRDefault="009D5041" w:rsidP="009D50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4538000"/>
      <w:docPartObj>
        <w:docPartGallery w:val="Page Numbers (Bottom of Page)"/>
        <w:docPartUnique/>
      </w:docPartObj>
    </w:sdtPr>
    <w:sdtContent>
      <w:p w14:paraId="33AD433E" w14:textId="18CBF080" w:rsidR="009D5041" w:rsidRDefault="009D50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02E282" w14:textId="15B18190" w:rsidR="009D5041" w:rsidRPr="009D5041" w:rsidRDefault="008236E3" w:rsidP="009D5041">
    <w:pPr>
      <w:pStyle w:val="Footer"/>
      <w:ind w:right="360"/>
      <w:rPr>
        <w:color w:val="002060"/>
        <w:sz w:val="20"/>
        <w:szCs w:val="20"/>
      </w:rPr>
    </w:pPr>
    <w:r w:rsidRPr="008236E3">
      <w:rPr>
        <w:color w:val="002060"/>
        <w:sz w:val="20"/>
        <w:szCs w:val="20"/>
      </w:rPr>
      <w:t>ECI Desktop Review of Best Practice</w:t>
    </w:r>
    <w:r w:rsidR="00BC372A">
      <w:rPr>
        <w:color w:val="002060"/>
        <w:sz w:val="20"/>
        <w:szCs w:val="20"/>
      </w:rPr>
      <w:t xml:space="preserve"> </w:t>
    </w:r>
    <w:r w:rsidR="009D5041" w:rsidRPr="009D5041">
      <w:rPr>
        <w:color w:val="002060"/>
        <w:sz w:val="20"/>
        <w:szCs w:val="20"/>
      </w:rPr>
      <w:t>| Full Report</w:t>
    </w:r>
  </w:p>
  <w:p w14:paraId="3C259DF4" w14:textId="77777777" w:rsidR="009D5041" w:rsidRDefault="009D50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2AEE6" w14:textId="77777777" w:rsidR="005C36EC" w:rsidRDefault="005C36EC" w:rsidP="009D5041">
      <w:pPr>
        <w:spacing w:before="0" w:after="0"/>
      </w:pPr>
      <w:r>
        <w:separator/>
      </w:r>
    </w:p>
  </w:footnote>
  <w:footnote w:type="continuationSeparator" w:id="0">
    <w:p w14:paraId="6F11EBA6" w14:textId="77777777" w:rsidR="005C36EC" w:rsidRDefault="005C36EC" w:rsidP="009D5041">
      <w:pPr>
        <w:spacing w:before="0" w:after="0"/>
      </w:pPr>
      <w:r>
        <w:continuationSeparator/>
      </w:r>
    </w:p>
  </w:footnote>
  <w:footnote w:type="continuationNotice" w:id="1">
    <w:p w14:paraId="57100575" w14:textId="77777777" w:rsidR="005C36EC" w:rsidRDefault="005C36EC">
      <w:pPr>
        <w:spacing w:before="0" w:after="0"/>
      </w:pPr>
    </w:p>
  </w:footnote>
  <w:footnote w:id="2">
    <w:p w14:paraId="0BE11FED" w14:textId="010FF2C8" w:rsidR="00BF3C21" w:rsidRDefault="00BF3C21">
      <w:pPr>
        <w:pStyle w:val="FootnoteText"/>
      </w:pPr>
      <w:r>
        <w:rPr>
          <w:rStyle w:val="FootnoteReference"/>
        </w:rPr>
        <w:footnoteRef/>
      </w:r>
      <w:r>
        <w:t xml:space="preserve"> </w:t>
      </w:r>
      <w:r w:rsidRPr="00BF3C21">
        <w:t>The policies summarised here are national policies. State / territory policies are not listed.</w:t>
      </w:r>
    </w:p>
  </w:footnote>
  <w:footnote w:id="3">
    <w:p w14:paraId="704B813B" w14:textId="396DAD4B" w:rsidR="00A242D8" w:rsidRDefault="00A242D8">
      <w:pPr>
        <w:pStyle w:val="FootnoteText"/>
      </w:pPr>
      <w:r>
        <w:rPr>
          <w:rStyle w:val="FootnoteReference"/>
        </w:rPr>
        <w:footnoteRef/>
      </w:r>
      <w:r>
        <w:t xml:space="preserve"> </w:t>
      </w:r>
      <w:r w:rsidRPr="00A242D8">
        <w:t>https://www.dss.gov.au/disability-and-carers-programs-services-for-people-with-disability/early-childhood-targeted-action-plan-early-childhood-tap</w:t>
      </w:r>
    </w:p>
  </w:footnote>
  <w:footnote w:id="4">
    <w:p w14:paraId="56ACC5CF" w14:textId="63E5B12F" w:rsidR="006D3C73" w:rsidRDefault="006D3C73">
      <w:pPr>
        <w:pStyle w:val="FootnoteText"/>
      </w:pPr>
      <w:r>
        <w:rPr>
          <w:rStyle w:val="FootnoteReference"/>
        </w:rPr>
        <w:footnoteRef/>
      </w:r>
      <w:r>
        <w:t xml:space="preserve"> </w:t>
      </w:r>
      <w:r w:rsidRPr="006D3C73">
        <w:t>https://www.ndisreview.gov.au/</w:t>
      </w:r>
    </w:p>
  </w:footnote>
  <w:footnote w:id="5">
    <w:p w14:paraId="76010CF6" w14:textId="77777777" w:rsidR="00344947" w:rsidRPr="00D83AFE" w:rsidRDefault="00344947" w:rsidP="00344947">
      <w:pPr>
        <w:pStyle w:val="FootnoteText"/>
        <w:rPr>
          <w:rFonts w:ascii="Source Sans Pro" w:hAnsi="Source Sans Pro"/>
          <w:lang w:val="en-US"/>
        </w:rPr>
      </w:pPr>
      <w:r>
        <w:rPr>
          <w:rStyle w:val="FootnoteReference"/>
        </w:rPr>
        <w:footnoteRef/>
      </w:r>
      <w:r>
        <w:t xml:space="preserve"> </w:t>
      </w:r>
      <w:hyperlink r:id="rId1" w:history="1">
        <w:r w:rsidRPr="00C26DBD">
          <w:rPr>
            <w:rStyle w:val="Hyperlink"/>
            <w:rFonts w:ascii="Source Sans Pro" w:hAnsi="Source Sans Pro"/>
          </w:rPr>
          <w:t>https://www.dss.gov.au/disability-and-carers/national-autism-strategy</w:t>
        </w:r>
      </w:hyperlink>
    </w:p>
  </w:footnote>
  <w:footnote w:id="6">
    <w:p w14:paraId="215B365A" w14:textId="77777777" w:rsidR="00344947" w:rsidRPr="007B2615" w:rsidRDefault="00344947" w:rsidP="00344947">
      <w:pPr>
        <w:pStyle w:val="FootnoteText"/>
      </w:pPr>
      <w:r>
        <w:rPr>
          <w:rStyle w:val="FootnoteReference"/>
        </w:rPr>
        <w:footnoteRef/>
      </w:r>
      <w:r>
        <w:t xml:space="preserve"> </w:t>
      </w:r>
      <w:hyperlink r:id="rId2" w:history="1">
        <w:r w:rsidRPr="005B47CF">
          <w:rPr>
            <w:rStyle w:val="Hyperlink"/>
          </w:rPr>
          <w:t>https://www.health.gov.au/resources/publications/national-fetal-alcohol-spectrum-disorder-fasd-strategic-action-plan-2018-2028</w:t>
        </w:r>
      </w:hyperlink>
    </w:p>
  </w:footnote>
  <w:footnote w:id="7">
    <w:p w14:paraId="4340CD46" w14:textId="77777777" w:rsidR="00344947" w:rsidRPr="00C26DBD" w:rsidRDefault="00344947" w:rsidP="00344947">
      <w:pPr>
        <w:pStyle w:val="FootnoteText"/>
        <w:rPr>
          <w:rFonts w:ascii="Source Sans Pro" w:hAnsi="Source Sans Pro"/>
          <w:lang w:val="en-US"/>
        </w:rPr>
      </w:pPr>
      <w:r>
        <w:rPr>
          <w:rStyle w:val="FootnoteReference"/>
        </w:rPr>
        <w:footnoteRef/>
      </w:r>
      <w:r>
        <w:t xml:space="preserve"> </w:t>
      </w:r>
      <w:hyperlink r:id="rId3" w:history="1">
        <w:r w:rsidRPr="00C26DBD">
          <w:rPr>
            <w:rStyle w:val="Hyperlink"/>
            <w:rFonts w:ascii="Source Sans Pro" w:hAnsi="Source Sans Pro"/>
          </w:rPr>
          <w:t>https://www.health.gov.au/resources/publications/national-fetal-alcohol-spectrum-disorder-fasd-strategic-action-plan-2018-2028-three-year-implementation-review</w:t>
        </w:r>
      </w:hyperlink>
    </w:p>
  </w:footnote>
  <w:footnote w:id="8">
    <w:p w14:paraId="280FC136" w14:textId="77777777" w:rsidR="00344947" w:rsidRPr="00C26DBD" w:rsidRDefault="00344947" w:rsidP="00344947">
      <w:pPr>
        <w:pStyle w:val="FootnoteText"/>
        <w:rPr>
          <w:rFonts w:ascii="Source Sans Pro" w:hAnsi="Source Sans Pro"/>
          <w:lang w:val="en-US"/>
        </w:rPr>
      </w:pPr>
      <w:r w:rsidRPr="00C26DBD">
        <w:rPr>
          <w:rStyle w:val="FootnoteReference"/>
          <w:rFonts w:ascii="Source Sans Pro" w:hAnsi="Source Sans Pro"/>
        </w:rPr>
        <w:footnoteRef/>
      </w:r>
      <w:r w:rsidRPr="00C26DBD">
        <w:rPr>
          <w:rFonts w:ascii="Source Sans Pro" w:hAnsi="Source Sans Pro"/>
        </w:rPr>
        <w:t xml:space="preserve"> </w:t>
      </w:r>
      <w:hyperlink r:id="rId4" w:history="1">
        <w:r w:rsidRPr="00C26DBD">
          <w:rPr>
            <w:rStyle w:val="Hyperlink"/>
            <w:rFonts w:ascii="Source Sans Pro" w:hAnsi="Source Sans Pro"/>
          </w:rPr>
          <w:t>https://disability.royalcommission.gov.au/publications/final-report</w:t>
        </w:r>
      </w:hyperlink>
    </w:p>
  </w:footnote>
  <w:footnote w:id="9">
    <w:p w14:paraId="112E8FC7" w14:textId="4EE0F6EB" w:rsidR="003E5760" w:rsidRDefault="003E5760">
      <w:pPr>
        <w:pStyle w:val="FootnoteText"/>
      </w:pPr>
      <w:r>
        <w:rPr>
          <w:rStyle w:val="FootnoteReference"/>
        </w:rPr>
        <w:footnoteRef/>
      </w:r>
      <w:r>
        <w:t xml:space="preserve"> </w:t>
      </w:r>
      <w:r w:rsidRPr="003E5760">
        <w:t>https://www.dss.gov.au/disability-and-carers-disability-royal-commission-support-services/australian-government-response-to-the-disability-royal-commission</w:t>
      </w:r>
    </w:p>
  </w:footnote>
  <w:footnote w:id="10">
    <w:p w14:paraId="1E33E007" w14:textId="77777777" w:rsidR="00344947" w:rsidRPr="00D83AFE" w:rsidRDefault="00344947" w:rsidP="00344947">
      <w:pPr>
        <w:pStyle w:val="FootnoteText"/>
        <w:rPr>
          <w:lang w:val="en-US"/>
        </w:rPr>
      </w:pPr>
      <w:r w:rsidRPr="00D83AFE">
        <w:rPr>
          <w:rStyle w:val="FootnoteReference"/>
          <w:rFonts w:ascii="Source Sans Pro" w:hAnsi="Source Sans Pro"/>
        </w:rPr>
        <w:footnoteRef/>
      </w:r>
      <w:r w:rsidRPr="00D83AFE">
        <w:rPr>
          <w:rFonts w:ascii="Source Sans Pro" w:hAnsi="Source Sans Pro"/>
        </w:rPr>
        <w:t xml:space="preserve"> </w:t>
      </w:r>
      <w:hyperlink r:id="rId5" w:history="1">
        <w:r w:rsidRPr="00D83AFE">
          <w:rPr>
            <w:rStyle w:val="Hyperlink"/>
            <w:rFonts w:ascii="Source Sans Pro" w:hAnsi="Source Sans Pro"/>
          </w:rPr>
          <w:t>https://www.dss.gov.au/families-and-children-programs-services-early-years-strategy/early-years-strategy-2024-2034</w:t>
        </w:r>
      </w:hyperlink>
    </w:p>
  </w:footnote>
  <w:footnote w:id="11">
    <w:p w14:paraId="47263C31" w14:textId="77777777" w:rsidR="00344947" w:rsidRPr="00D83AFE" w:rsidRDefault="00344947" w:rsidP="00344947">
      <w:pPr>
        <w:pStyle w:val="FootnoteText"/>
        <w:rPr>
          <w:lang w:val="en-US"/>
        </w:rPr>
      </w:pPr>
      <w:r>
        <w:rPr>
          <w:rStyle w:val="FootnoteReference"/>
        </w:rPr>
        <w:footnoteRef/>
      </w:r>
      <w:r>
        <w:t xml:space="preserve"> </w:t>
      </w:r>
      <w:hyperlink r:id="rId6" w:history="1">
        <w:r w:rsidRPr="00DE2211">
          <w:rPr>
            <w:rStyle w:val="Hyperlink"/>
          </w:rPr>
          <w:t>https://www.education.gov.au/review-inform-better-and-fairer-education-system/review-inform-better-and-fairer-education-system-reports</w:t>
        </w:r>
      </w:hyperlink>
    </w:p>
  </w:footnote>
  <w:footnote w:id="12">
    <w:p w14:paraId="20E000DD" w14:textId="77777777" w:rsidR="00344947" w:rsidRPr="00196491" w:rsidRDefault="00344947" w:rsidP="00344947">
      <w:pPr>
        <w:pStyle w:val="FootnoteText"/>
        <w:rPr>
          <w:lang w:val="en-US"/>
        </w:rPr>
      </w:pPr>
      <w:r>
        <w:rPr>
          <w:rStyle w:val="FootnoteReference"/>
        </w:rPr>
        <w:footnoteRef/>
      </w:r>
      <w:r>
        <w:t xml:space="preserve"> </w:t>
      </w:r>
      <w:hyperlink r:id="rId7" w:history="1">
        <w:r w:rsidRPr="00DE2211">
          <w:rPr>
            <w:rStyle w:val="Hyperlink"/>
          </w:rPr>
          <w:t>https://www.accc.gov.au/inquiries-and-consultations/childcare-inquiry-2023</w:t>
        </w:r>
      </w:hyperlink>
    </w:p>
  </w:footnote>
  <w:footnote w:id="13">
    <w:p w14:paraId="4C8DE8B0" w14:textId="77777777" w:rsidR="00344947" w:rsidRPr="00196491" w:rsidRDefault="00344947" w:rsidP="00344947">
      <w:pPr>
        <w:pStyle w:val="FootnoteText"/>
        <w:rPr>
          <w:lang w:val="en-US"/>
        </w:rPr>
      </w:pPr>
      <w:r>
        <w:rPr>
          <w:rStyle w:val="FootnoteReference"/>
        </w:rPr>
        <w:footnoteRef/>
      </w:r>
      <w:r>
        <w:t xml:space="preserve"> </w:t>
      </w:r>
      <w:hyperlink r:id="rId8" w:history="1">
        <w:r w:rsidRPr="00DE2211">
          <w:rPr>
            <w:rStyle w:val="Hyperlink"/>
          </w:rPr>
          <w:t>https://www.education.gov.au/early-childhood/resources/inclusion-support-program-review-final-report</w:t>
        </w:r>
      </w:hyperlink>
    </w:p>
  </w:footnote>
  <w:footnote w:id="14">
    <w:p w14:paraId="7B248FEF" w14:textId="77777777" w:rsidR="00344947" w:rsidRPr="00196491" w:rsidRDefault="00344947" w:rsidP="00344947">
      <w:pPr>
        <w:pStyle w:val="FootnoteText"/>
        <w:rPr>
          <w:lang w:val="en-US"/>
        </w:rPr>
      </w:pPr>
      <w:r>
        <w:rPr>
          <w:rStyle w:val="FootnoteReference"/>
        </w:rPr>
        <w:footnoteRef/>
      </w:r>
      <w:r>
        <w:t xml:space="preserve"> </w:t>
      </w:r>
      <w:hyperlink r:id="rId9" w:anchor="report" w:history="1">
        <w:r w:rsidRPr="00DE2211">
          <w:rPr>
            <w:rStyle w:val="Hyperlink"/>
          </w:rPr>
          <w:t>https://www.pc.gov.au/inquiries/completed/childhood#report</w:t>
        </w:r>
      </w:hyperlink>
    </w:p>
  </w:footnote>
  <w:footnote w:id="15">
    <w:p w14:paraId="44B2C886" w14:textId="77777777" w:rsidR="00344947" w:rsidRPr="00196491" w:rsidRDefault="00344947" w:rsidP="00344947">
      <w:pPr>
        <w:pStyle w:val="FootnoteText"/>
        <w:rPr>
          <w:lang w:val="en-US"/>
        </w:rPr>
      </w:pPr>
      <w:r>
        <w:rPr>
          <w:rStyle w:val="FootnoteReference"/>
        </w:rPr>
        <w:footnoteRef/>
      </w:r>
      <w:r>
        <w:t xml:space="preserve"> </w:t>
      </w:r>
      <w:hyperlink r:id="rId10" w:history="1">
        <w:r w:rsidRPr="00DE2211">
          <w:rPr>
            <w:rStyle w:val="Hyperlink"/>
          </w:rPr>
          <w:t>https://www.acecqa.gov.au/sites/default/files/2023-01/EYLF-2022-V2.0.pdf</w:t>
        </w:r>
      </w:hyperlink>
    </w:p>
  </w:footnote>
  <w:footnote w:id="16">
    <w:p w14:paraId="19C38A88" w14:textId="77777777" w:rsidR="00344947" w:rsidRPr="0045392B" w:rsidRDefault="00344947" w:rsidP="00344947">
      <w:pPr>
        <w:pStyle w:val="FootnoteText"/>
        <w:rPr>
          <w:rFonts w:ascii="Source Sans Pro" w:hAnsi="Source Sans Pro"/>
          <w:sz w:val="22"/>
          <w:szCs w:val="22"/>
          <w:lang w:val="en-US"/>
        </w:rPr>
      </w:pPr>
      <w:r>
        <w:rPr>
          <w:rStyle w:val="FootnoteReference"/>
        </w:rPr>
        <w:footnoteRef/>
      </w:r>
      <w:r>
        <w:t xml:space="preserve"> </w:t>
      </w:r>
      <w:hyperlink r:id="rId11" w:history="1">
        <w:r w:rsidRPr="0045392B">
          <w:rPr>
            <w:rFonts w:ascii="Source Sans Pro" w:hAnsi="Source Sans Pro" w:cs="Arial"/>
            <w:color w:val="0000FF"/>
            <w:sz w:val="22"/>
            <w:szCs w:val="22"/>
            <w:u w:val="single"/>
          </w:rPr>
          <w:t>http://www.aracy.org.au/documents/item/182</w:t>
        </w:r>
      </w:hyperlink>
    </w:p>
  </w:footnote>
  <w:footnote w:id="17">
    <w:p w14:paraId="7DA652AD" w14:textId="77777777" w:rsidR="00344947" w:rsidRPr="006B3648" w:rsidRDefault="00344947" w:rsidP="00344947">
      <w:pPr>
        <w:spacing w:after="0"/>
        <w:rPr>
          <w:rFonts w:cs="Arial"/>
          <w:sz w:val="20"/>
          <w:szCs w:val="20"/>
        </w:rPr>
      </w:pPr>
      <w:r>
        <w:rPr>
          <w:rStyle w:val="FootnoteReference"/>
        </w:rPr>
        <w:footnoteRef/>
      </w:r>
      <w:r>
        <w:t xml:space="preserve"> </w:t>
      </w:r>
      <w:r w:rsidRPr="006B3648">
        <w:rPr>
          <w:rFonts w:cs="Arial"/>
          <w:sz w:val="20"/>
          <w:szCs w:val="20"/>
        </w:rPr>
        <w:t xml:space="preserve">Department of Educations, Skills and Employment (2020). </w:t>
      </w:r>
      <w:r w:rsidRPr="00196491">
        <w:rPr>
          <w:rFonts w:cs="Arial"/>
          <w:i/>
          <w:iCs/>
          <w:sz w:val="20"/>
          <w:szCs w:val="20"/>
        </w:rPr>
        <w:t>The Alice Springs (Mparntwe) Education Declaration.</w:t>
      </w:r>
      <w:r w:rsidRPr="006B3648">
        <w:rPr>
          <w:rFonts w:cs="Arial"/>
          <w:sz w:val="20"/>
          <w:szCs w:val="20"/>
        </w:rPr>
        <w:t xml:space="preserve"> Canberra, ACT: Department of Educations, Skills and Employment.</w:t>
      </w:r>
      <w:r>
        <w:rPr>
          <w:rFonts w:cs="Arial"/>
          <w:sz w:val="20"/>
          <w:szCs w:val="20"/>
        </w:rPr>
        <w:t xml:space="preserve"> </w:t>
      </w:r>
      <w:hyperlink r:id="rId12" w:history="1">
        <w:r w:rsidRPr="006B3648">
          <w:rPr>
            <w:rFonts w:cs="Arial"/>
            <w:color w:val="467886" w:themeColor="hyperlink"/>
            <w:sz w:val="20"/>
            <w:szCs w:val="20"/>
            <w:u w:val="single"/>
          </w:rPr>
          <w:t>https://www.education.gov.au/alice-springs-mparntwe-education-declaration/resources/alice-springs-mparntwe-education-declaration</w:t>
        </w:r>
      </w:hyperlink>
    </w:p>
  </w:footnote>
  <w:footnote w:id="18">
    <w:p w14:paraId="70BEBDCA" w14:textId="77777777" w:rsidR="00344947" w:rsidRPr="00196491" w:rsidRDefault="00344947" w:rsidP="00344947">
      <w:pPr>
        <w:pStyle w:val="FootnoteText"/>
        <w:rPr>
          <w:lang w:val="en-US"/>
        </w:rPr>
      </w:pPr>
      <w:r>
        <w:rPr>
          <w:rStyle w:val="FootnoteReference"/>
        </w:rPr>
        <w:footnoteRef/>
      </w:r>
      <w:r>
        <w:t xml:space="preserve"> </w:t>
      </w:r>
      <w:hyperlink r:id="rId13" w:history="1">
        <w:r w:rsidRPr="00DE2211">
          <w:rPr>
            <w:rStyle w:val="Hyperlink"/>
          </w:rPr>
          <w:t>https://www.dss.gov.au/sites/default/files/documents/12_2021/dess5016-national-framework-protecting-childrenaccessible.pdf</w:t>
        </w:r>
      </w:hyperlink>
    </w:p>
  </w:footnote>
  <w:footnote w:id="19">
    <w:p w14:paraId="6083F3D4" w14:textId="77777777" w:rsidR="00344947" w:rsidRPr="00BC0854" w:rsidRDefault="00344947" w:rsidP="00344947">
      <w:pPr>
        <w:shd w:val="clear" w:color="auto" w:fill="FFFFFF"/>
        <w:spacing w:after="0"/>
        <w:outlineLvl w:val="1"/>
        <w:rPr>
          <w:rFonts w:eastAsia="Times New Roman" w:cs="Arial"/>
          <w:color w:val="2E2E2E"/>
          <w:sz w:val="20"/>
          <w:szCs w:val="20"/>
          <w:lang w:eastAsia="en-AU"/>
        </w:rPr>
      </w:pPr>
      <w:r>
        <w:rPr>
          <w:rStyle w:val="FootnoteReference"/>
        </w:rPr>
        <w:footnoteRef/>
      </w:r>
      <w:r>
        <w:t xml:space="preserve"> </w:t>
      </w:r>
      <w:hyperlink r:id="rId14" w:history="1">
        <w:r w:rsidRPr="00BC0854">
          <w:rPr>
            <w:rStyle w:val="Hyperlink"/>
            <w:rFonts w:eastAsia="Times New Roman" w:cs="Arial"/>
            <w:sz w:val="20"/>
            <w:szCs w:val="20"/>
            <w:lang w:eastAsia="en-AU"/>
          </w:rPr>
          <w:t>https://childsafe.humanrights.gov.au/sites/default/files/2019-02/National_Principles_for_Child_Safe_Organisations2019.pdf</w:t>
        </w:r>
      </w:hyperlink>
    </w:p>
  </w:footnote>
  <w:footnote w:id="20">
    <w:p w14:paraId="412DF930" w14:textId="77777777" w:rsidR="00344947" w:rsidRPr="00575B1F" w:rsidRDefault="00344947" w:rsidP="00344947">
      <w:pPr>
        <w:spacing w:after="0"/>
        <w:rPr>
          <w:color w:val="467886" w:themeColor="hyperlink"/>
          <w:sz w:val="22"/>
          <w:szCs w:val="22"/>
          <w:u w:val="single"/>
        </w:rPr>
      </w:pPr>
      <w:r w:rsidRPr="006B3648">
        <w:rPr>
          <w:rStyle w:val="FootnoteReference"/>
          <w:sz w:val="20"/>
          <w:szCs w:val="20"/>
        </w:rPr>
        <w:footnoteRef/>
      </w:r>
      <w:r w:rsidRPr="006B3648">
        <w:rPr>
          <w:sz w:val="20"/>
          <w:szCs w:val="20"/>
        </w:rPr>
        <w:t xml:space="preserve"> Australian Government (2021).</w:t>
      </w:r>
      <w:r w:rsidRPr="006B3648">
        <w:rPr>
          <w:b/>
          <w:bCs/>
          <w:sz w:val="20"/>
          <w:szCs w:val="20"/>
        </w:rPr>
        <w:t xml:space="preserve"> </w:t>
      </w:r>
      <w:r w:rsidRPr="004C115E">
        <w:rPr>
          <w:i/>
          <w:iCs/>
          <w:sz w:val="20"/>
          <w:szCs w:val="20"/>
        </w:rPr>
        <w:t>The National Children’s Mental Health and Wellbeing Strategy</w:t>
      </w:r>
      <w:r w:rsidRPr="006B3648">
        <w:rPr>
          <w:b/>
          <w:bCs/>
          <w:sz w:val="20"/>
          <w:szCs w:val="20"/>
        </w:rPr>
        <w:t xml:space="preserve">. </w:t>
      </w:r>
      <w:r w:rsidRPr="006B3648">
        <w:rPr>
          <w:sz w:val="20"/>
          <w:szCs w:val="20"/>
        </w:rPr>
        <w:t>Canberra, ACT: Australian Government.</w:t>
      </w:r>
      <w:r>
        <w:rPr>
          <w:sz w:val="20"/>
          <w:szCs w:val="20"/>
        </w:rPr>
        <w:t xml:space="preserve"> </w:t>
      </w:r>
      <w:hyperlink r:id="rId15" w:history="1">
        <w:r w:rsidRPr="006B3648">
          <w:rPr>
            <w:rStyle w:val="Hyperlink"/>
            <w:sz w:val="20"/>
            <w:szCs w:val="20"/>
          </w:rPr>
          <w:t>https://www.mentalhealthcommission.gov.au/mental-health-reform/childrens-mental-health-and-wellbeing-strategy</w:t>
        </w:r>
      </w:hyperlink>
    </w:p>
  </w:footnote>
  <w:footnote w:id="21">
    <w:p w14:paraId="1BBD72DE" w14:textId="77777777" w:rsidR="00344947" w:rsidRPr="00196491" w:rsidRDefault="00344947" w:rsidP="00344947">
      <w:pPr>
        <w:pStyle w:val="FootnoteText"/>
        <w:rPr>
          <w:lang w:val="en-US"/>
        </w:rPr>
      </w:pPr>
      <w:r>
        <w:rPr>
          <w:rStyle w:val="FootnoteReference"/>
        </w:rPr>
        <w:footnoteRef/>
      </w:r>
      <w:r>
        <w:t xml:space="preserve"> </w:t>
      </w:r>
      <w:hyperlink r:id="rId16" w:history="1">
        <w:r w:rsidRPr="00DE2211">
          <w:rPr>
            <w:rStyle w:val="Hyperlink"/>
          </w:rPr>
          <w:t>https://www.closingthegap.gov.au/national-agreement</w:t>
        </w:r>
      </w:hyperlink>
    </w:p>
  </w:footnote>
  <w:footnote w:id="22">
    <w:p w14:paraId="4DEC6C9D" w14:textId="77777777" w:rsidR="00344947" w:rsidRPr="007E3105" w:rsidRDefault="00344947" w:rsidP="00344947">
      <w:pPr>
        <w:pStyle w:val="FootnoteText"/>
        <w:rPr>
          <w:lang w:val="en-US"/>
        </w:rPr>
      </w:pPr>
      <w:r>
        <w:rPr>
          <w:rStyle w:val="FootnoteReference"/>
        </w:rPr>
        <w:footnoteRef/>
      </w:r>
      <w:r>
        <w:t xml:space="preserve"> </w:t>
      </w:r>
      <w:hyperlink r:id="rId17" w:history="1">
        <w:r w:rsidRPr="00D74AAB">
          <w:rPr>
            <w:rStyle w:val="Hyperlink"/>
          </w:rPr>
          <w:t>https://www.education.gov.au/early-childhood/national-quality-framework</w:t>
        </w:r>
      </w:hyperlink>
    </w:p>
  </w:footnote>
  <w:footnote w:id="23">
    <w:p w14:paraId="020FA532" w14:textId="77777777" w:rsidR="00344947" w:rsidRPr="00B64AD2" w:rsidRDefault="00344947" w:rsidP="00344947">
      <w:pPr>
        <w:pStyle w:val="FootnoteText"/>
        <w:rPr>
          <w:lang w:val="en-US"/>
        </w:rPr>
      </w:pPr>
      <w:r>
        <w:rPr>
          <w:rStyle w:val="FootnoteReference"/>
        </w:rPr>
        <w:footnoteRef/>
      </w:r>
      <w:r>
        <w:t xml:space="preserve"> </w:t>
      </w:r>
      <w:hyperlink r:id="rId18" w:history="1">
        <w:r w:rsidRPr="00D74AAB">
          <w:rPr>
            <w:rStyle w:val="Hyperlink"/>
          </w:rPr>
          <w:t>https://www.acecqa.gov.au/</w:t>
        </w:r>
      </w:hyperlink>
    </w:p>
  </w:footnote>
  <w:footnote w:id="24">
    <w:p w14:paraId="2D4120B1" w14:textId="77777777" w:rsidR="00344947" w:rsidRPr="0018774F" w:rsidRDefault="00344947" w:rsidP="00344947">
      <w:pPr>
        <w:pStyle w:val="NormalWeb"/>
        <w:shd w:val="clear" w:color="auto" w:fill="FFFFFF"/>
        <w:spacing w:before="0" w:beforeAutospacing="0" w:after="0" w:afterAutospacing="0"/>
        <w:rPr>
          <w:rFonts w:ascii="Arial" w:hAnsi="Arial" w:cs="Arial"/>
          <w:color w:val="313131"/>
          <w:sz w:val="20"/>
          <w:szCs w:val="20"/>
        </w:rPr>
      </w:pPr>
      <w:r>
        <w:rPr>
          <w:rStyle w:val="FootnoteReference"/>
        </w:rPr>
        <w:footnoteRef/>
      </w:r>
      <w:r>
        <w:t xml:space="preserve"> </w:t>
      </w:r>
      <w:hyperlink r:id="rId19" w:history="1">
        <w:r w:rsidRPr="0018774F">
          <w:rPr>
            <w:rStyle w:val="Hyperlink"/>
            <w:rFonts w:ascii="Arial" w:hAnsi="Arial" w:cs="Arial"/>
            <w:sz w:val="20"/>
            <w:szCs w:val="20"/>
          </w:rPr>
          <w:t>https://www.safetyandquality.gov.au/publications-and-resources/resource-library/national-safety-and-quality-health-service-standards-second-edition</w:t>
        </w:r>
      </w:hyperlink>
    </w:p>
  </w:footnote>
  <w:footnote w:id="25">
    <w:p w14:paraId="3690029E" w14:textId="77777777" w:rsidR="00344947" w:rsidRPr="0018774F" w:rsidRDefault="00344947" w:rsidP="00344947">
      <w:pPr>
        <w:spacing w:after="0"/>
        <w:rPr>
          <w:sz w:val="20"/>
          <w:szCs w:val="20"/>
          <w:lang w:eastAsia="en-AU"/>
        </w:rPr>
      </w:pPr>
      <w:r>
        <w:rPr>
          <w:rStyle w:val="FootnoteReference"/>
        </w:rPr>
        <w:footnoteRef/>
      </w:r>
      <w:r>
        <w:t xml:space="preserve"> </w:t>
      </w:r>
      <w:hyperlink r:id="rId20" w:history="1">
        <w:r w:rsidRPr="0018774F">
          <w:rPr>
            <w:rStyle w:val="Hyperlink"/>
            <w:sz w:val="20"/>
            <w:szCs w:val="20"/>
            <w:lang w:eastAsia="en-AU"/>
          </w:rPr>
          <w:t>https://www.safetyandquality.gov.au/our-work/partnering-consumers/australian-charter-healthcare-rights</w:t>
        </w:r>
      </w:hyperlink>
    </w:p>
  </w:footnote>
  <w:footnote w:id="26">
    <w:p w14:paraId="4DC1297C" w14:textId="77777777" w:rsidR="00344947" w:rsidRPr="00840E1E" w:rsidRDefault="00344947" w:rsidP="00344947">
      <w:pPr>
        <w:pStyle w:val="FootnoteText"/>
      </w:pPr>
      <w:r>
        <w:rPr>
          <w:rStyle w:val="FootnoteReference"/>
        </w:rPr>
        <w:footnoteRef/>
      </w:r>
      <w:r>
        <w:t xml:space="preserve"> </w:t>
      </w:r>
      <w:hyperlink r:id="rId21" w:history="1">
        <w:r w:rsidRPr="00D74AAB">
          <w:rPr>
            <w:rStyle w:val="Hyperlink"/>
          </w:rPr>
          <w:t>https://www.dss.gov.au/disability-and-carers/programs-services/for-people-with-disability/ndis-quality-and-safeguarding-framework-</w:t>
        </w:r>
      </w:hyperlink>
      <w:r w:rsidRPr="00840E1E">
        <w:t>0</w:t>
      </w:r>
    </w:p>
  </w:footnote>
  <w:footnote w:id="27">
    <w:p w14:paraId="06615BD5" w14:textId="77777777" w:rsidR="00344947" w:rsidRPr="00196491" w:rsidRDefault="00344947" w:rsidP="00344947">
      <w:pPr>
        <w:pStyle w:val="FootnoteText"/>
        <w:rPr>
          <w:lang w:val="en-US"/>
        </w:rPr>
      </w:pPr>
      <w:r>
        <w:rPr>
          <w:rStyle w:val="FootnoteReference"/>
        </w:rPr>
        <w:footnoteRef/>
      </w:r>
      <w:r>
        <w:t xml:space="preserve"> </w:t>
      </w:r>
      <w:hyperlink r:id="rId22" w:history="1">
        <w:r w:rsidRPr="00DE2211">
          <w:rPr>
            <w:rStyle w:val="Hyperlink"/>
          </w:rPr>
          <w:t>https://www.ndiscommission.gov.au/</w:t>
        </w:r>
      </w:hyperlink>
    </w:p>
  </w:footnote>
  <w:footnote w:id="28">
    <w:p w14:paraId="600CAF6D" w14:textId="77777777" w:rsidR="00344947" w:rsidRPr="004830E0" w:rsidRDefault="00344947" w:rsidP="00344947">
      <w:pPr>
        <w:pStyle w:val="FootnoteText"/>
        <w:rPr>
          <w:lang w:val="en-US"/>
        </w:rPr>
      </w:pPr>
      <w:r>
        <w:rPr>
          <w:rStyle w:val="FootnoteReference"/>
        </w:rPr>
        <w:footnoteRef/>
      </w:r>
      <w:r>
        <w:t xml:space="preserve"> </w:t>
      </w:r>
      <w:hyperlink r:id="rId23" w:history="1">
        <w:r w:rsidRPr="00D74AAB">
          <w:rPr>
            <w:rStyle w:val="Hyperlink"/>
          </w:rPr>
          <w:t>https://www.autismcrc.com.au/best-practice/supporting-children</w:t>
        </w:r>
      </w:hyperlink>
    </w:p>
  </w:footnote>
  <w:footnote w:id="29">
    <w:p w14:paraId="61B2D983" w14:textId="77777777" w:rsidR="00344947" w:rsidRPr="00AD7999" w:rsidRDefault="00344947" w:rsidP="00344947">
      <w:pPr>
        <w:rPr>
          <w:sz w:val="20"/>
          <w:szCs w:val="20"/>
        </w:rPr>
      </w:pPr>
      <w:r>
        <w:rPr>
          <w:rStyle w:val="FootnoteReference"/>
        </w:rPr>
        <w:footnoteRef/>
      </w:r>
      <w:r>
        <w:t xml:space="preserve"> </w:t>
      </w:r>
      <w:hyperlink r:id="rId24" w:history="1">
        <w:r w:rsidRPr="00CB7CA1">
          <w:rPr>
            <w:rStyle w:val="Hyperlink"/>
            <w:sz w:val="20"/>
            <w:szCs w:val="20"/>
          </w:rPr>
          <w:t>https://www.crenewbornmedicine.org.au/media/dhgapqa3/02072024_preterm_followup_guideline.pdf</w:t>
        </w:r>
      </w:hyperlink>
    </w:p>
  </w:footnote>
  <w:footnote w:id="30">
    <w:p w14:paraId="0C1B5DB8" w14:textId="1BDF8120" w:rsidR="005D629B" w:rsidRDefault="005D629B">
      <w:pPr>
        <w:pStyle w:val="FootnoteText"/>
      </w:pPr>
      <w:r>
        <w:rPr>
          <w:rStyle w:val="FootnoteReference"/>
        </w:rPr>
        <w:footnoteRef/>
      </w:r>
      <w:r>
        <w:t xml:space="preserve"> </w:t>
      </w:r>
      <w:hyperlink r:id="rId25" w:tgtFrame="_blank" w:history="1">
        <w:r w:rsidRPr="00A41301">
          <w:rPr>
            <w:rStyle w:val="normaltextrun"/>
            <w:rFonts w:cs="Arial"/>
            <w:color w:val="000000"/>
            <w:u w:val="single"/>
          </w:rPr>
          <w:t>https://www.un.org/sustainabledevelopment/sustainable-development-goals/</w:t>
        </w:r>
      </w:hyperlink>
    </w:p>
  </w:footnote>
  <w:footnote w:id="31">
    <w:p w14:paraId="1AF7DF20" w14:textId="77777777" w:rsidR="006E5D5D" w:rsidRDefault="006E5D5D" w:rsidP="006E5D5D">
      <w:pPr>
        <w:pStyle w:val="FootnoteText"/>
      </w:pPr>
      <w:r>
        <w:rPr>
          <w:rStyle w:val="FootnoteReference"/>
        </w:rPr>
        <w:footnoteRef/>
      </w:r>
      <w:r>
        <w:t xml:space="preserve"> </w:t>
      </w:r>
      <w:hyperlink r:id="rId26" w:tgtFrame="_blank" w:history="1">
        <w:r w:rsidRPr="00DD53E1">
          <w:rPr>
            <w:rStyle w:val="normaltextrun"/>
            <w:rFonts w:asciiTheme="minorHAnsi" w:hAnsiTheme="minorHAnsi" w:cstheme="minorHAnsi"/>
            <w:color w:val="000000"/>
            <w:u w:val="single"/>
          </w:rPr>
          <w:t>https://en.wikipedia.org/wiki/Autism_rights_movement</w:t>
        </w:r>
      </w:hyperlink>
      <w:r w:rsidRPr="00DD53E1">
        <w:rPr>
          <w:rStyle w:val="normaltextrun"/>
          <w:rFonts w:asciiTheme="minorHAnsi" w:hAnsiTheme="minorHAnsi" w:cstheme="minorHAnsi"/>
          <w:color w:val="000000"/>
        </w:rPr>
        <w:t>)</w:t>
      </w:r>
    </w:p>
  </w:footnote>
  <w:footnote w:id="32">
    <w:p w14:paraId="650662B4" w14:textId="77777777" w:rsidR="00737946" w:rsidRPr="00B235F2" w:rsidRDefault="00737946" w:rsidP="00737946">
      <w:pPr>
        <w:pStyle w:val="NormalWeb"/>
        <w:spacing w:before="0" w:beforeAutospacing="0" w:after="240" w:afterAutospacing="0"/>
        <w:textAlignment w:val="baseline"/>
        <w:rPr>
          <w:rFonts w:ascii="Arial" w:hAnsi="Arial" w:cs="Arial"/>
          <w:sz w:val="20"/>
          <w:szCs w:val="20"/>
        </w:rPr>
      </w:pPr>
      <w:r w:rsidRPr="00B235F2">
        <w:rPr>
          <w:rStyle w:val="FootnoteReference"/>
          <w:rFonts w:ascii="Arial" w:eastAsiaTheme="majorEastAsia" w:hAnsi="Arial" w:cs="Arial"/>
          <w:sz w:val="20"/>
          <w:szCs w:val="20"/>
        </w:rPr>
        <w:footnoteRef/>
      </w:r>
      <w:r w:rsidRPr="00B235F2">
        <w:rPr>
          <w:rFonts w:ascii="Arial" w:hAnsi="Arial" w:cs="Arial"/>
          <w:sz w:val="20"/>
          <w:szCs w:val="20"/>
        </w:rPr>
        <w:t xml:space="preserve"> </w:t>
      </w:r>
      <w:hyperlink r:id="rId27" w:history="1">
        <w:r w:rsidRPr="00B71039">
          <w:rPr>
            <w:rFonts w:ascii="Arial" w:hAnsi="Arial" w:cs="Arial"/>
            <w:color w:val="0000FF"/>
            <w:sz w:val="20"/>
            <w:szCs w:val="20"/>
            <w:u w:val="single"/>
          </w:rPr>
          <w:t>https://www.premier.vic.gov.au/early-support-for-children-with-autism/</w:t>
        </w:r>
      </w:hyperlink>
      <w:r w:rsidRPr="00B71039">
        <w:rPr>
          <w:rFonts w:ascii="Arial" w:hAnsi="Arial" w:cs="Arial"/>
          <w:color w:val="0000FF"/>
          <w:sz w:val="20"/>
          <w:szCs w:val="20"/>
          <w:u w:val="single"/>
        </w:rPr>
        <w:t xml:space="preserve"> </w:t>
      </w:r>
      <w:r w:rsidRPr="00B235F2">
        <w:rPr>
          <w:rFonts w:ascii="Arial" w:hAnsi="Arial" w:cs="Arial"/>
          <w:color w:val="242424"/>
          <w:sz w:val="20"/>
          <w:szCs w:val="20"/>
        </w:rPr>
        <w:t>This tool is also available for parents in the form of a free app (</w:t>
      </w:r>
      <w:hyperlink r:id="rId28" w:history="1">
        <w:r w:rsidRPr="000A50BC">
          <w:rPr>
            <w:rStyle w:val="Hyperlink"/>
            <w:rFonts w:ascii="Arial" w:hAnsi="Arial" w:cs="Arial"/>
            <w:sz w:val="20"/>
            <w:szCs w:val="20"/>
          </w:rPr>
          <w:t>www.asdetect.org</w:t>
        </w:r>
      </w:hyperlink>
      <w:r w:rsidRPr="00B235F2">
        <w:rPr>
          <w:rStyle w:val="Hyperlink"/>
          <w:rFonts w:ascii="Arial" w:hAnsi="Arial" w:cs="Arial"/>
          <w:sz w:val="20"/>
          <w:szCs w:val="20"/>
        </w:rPr>
        <w:t>) t</w:t>
      </w:r>
      <w:r w:rsidRPr="00B235F2">
        <w:rPr>
          <w:rFonts w:ascii="Arial" w:hAnsi="Arial" w:cs="Arial"/>
          <w:color w:val="242424"/>
          <w:sz w:val="20"/>
          <w:szCs w:val="20"/>
        </w:rPr>
        <w:t>hat empowers parents and caregivers to assess the social attention and communication behaviours of their children younger than 2½ years</w:t>
      </w:r>
      <w:r>
        <w:rPr>
          <w:rFonts w:ascii="Arial" w:hAnsi="Arial" w:cs="Arial"/>
          <w:color w:val="242424"/>
          <w:sz w:val="20"/>
          <w:szCs w:val="20"/>
        </w:rPr>
        <w:t>.</w:t>
      </w:r>
    </w:p>
  </w:footnote>
  <w:footnote w:id="33">
    <w:p w14:paraId="267CE0A1" w14:textId="4ABD8A41" w:rsidR="00BD1C41" w:rsidRPr="00273BA7" w:rsidRDefault="00BD1C41" w:rsidP="00ED240E">
      <w:pPr>
        <w:rPr>
          <w:rFonts w:ascii="Source Sans Pro" w:hAnsi="Source Sans Pro"/>
        </w:rPr>
      </w:pPr>
      <w:r>
        <w:rPr>
          <w:rStyle w:val="FootnoteReference"/>
        </w:rPr>
        <w:footnoteRef/>
      </w:r>
      <w:r>
        <w:t xml:space="preserve"> </w:t>
      </w:r>
      <w:r w:rsidRPr="00273BA7">
        <w:rPr>
          <w:sz w:val="20"/>
          <w:szCs w:val="20"/>
        </w:rPr>
        <w:t xml:space="preserve">Under the NDIS ECEI approach, parents have three options to manage their NDIS funding - self-managed, plan-managed and NDIA-managed. In the self-management option, the NDIA provides parents with the funding so they can purchase the supports that choose need directly. In the plan-managed option, the NDIA provides funding in the plan to pay for a Plan Manager who pays providers on behalf of the parents, helps them keep track of funds, and takes care of financial reporting. In the NDIA-managed option, the NDIA pays the providers on behalf of the parents. </w:t>
      </w:r>
    </w:p>
  </w:footnote>
  <w:footnote w:id="34">
    <w:p w14:paraId="22B60C05" w14:textId="280C6F63" w:rsidR="003E17FD" w:rsidRDefault="003E17FD">
      <w:pPr>
        <w:pStyle w:val="FootnoteText"/>
      </w:pPr>
      <w:r>
        <w:rPr>
          <w:rStyle w:val="FootnoteReference"/>
        </w:rPr>
        <w:footnoteRef/>
      </w:r>
      <w:r>
        <w:t xml:space="preserve"> </w:t>
      </w:r>
      <w:r w:rsidRPr="003E17FD">
        <w:t>This section draws on accounts by Moore (2016) and Moore et al. (2019).</w:t>
      </w:r>
    </w:p>
  </w:footnote>
  <w:footnote w:id="35">
    <w:p w14:paraId="39111DF3" w14:textId="5A8A16BF" w:rsidR="00110AD8" w:rsidRDefault="00110AD8">
      <w:pPr>
        <w:pStyle w:val="FootnoteText"/>
      </w:pPr>
      <w:r>
        <w:rPr>
          <w:rStyle w:val="FootnoteReference"/>
        </w:rPr>
        <w:footnoteRef/>
      </w:r>
      <w:r>
        <w:t xml:space="preserve">  </w:t>
      </w:r>
      <w:hyperlink r:id="rId29" w:history="1">
        <w:r w:rsidRPr="00FE6686">
          <w:rPr>
            <w:rStyle w:val="Hyperlink"/>
            <w:rFonts w:ascii="Source Sans Pro" w:hAnsi="Source Sans Pro"/>
          </w:rPr>
          <w:t>https://www.cdc.gov/child-development/about/developmental-disability-basics.html</w:t>
        </w:r>
      </w:hyperlink>
    </w:p>
  </w:footnote>
  <w:footnote w:id="36">
    <w:p w14:paraId="3673719A" w14:textId="77777777" w:rsidR="008207C4" w:rsidRPr="006E6ADC" w:rsidRDefault="008207C4" w:rsidP="008207C4">
      <w:pPr>
        <w:pStyle w:val="FootnoteText"/>
        <w:rPr>
          <w:lang w:val="en-US"/>
        </w:rPr>
      </w:pPr>
      <w:r>
        <w:rPr>
          <w:rStyle w:val="FootnoteReference"/>
        </w:rPr>
        <w:footnoteRef/>
      </w:r>
      <w:r>
        <w:t xml:space="preserve"> </w:t>
      </w:r>
      <w:hyperlink r:id="rId30" w:history="1">
        <w:r w:rsidRPr="000A50BC">
          <w:rPr>
            <w:rStyle w:val="Hyperlink"/>
          </w:rPr>
          <w:t>https://ectacenter.org/outcomes.asp</w:t>
        </w:r>
      </w:hyperlink>
    </w:p>
  </w:footnote>
  <w:footnote w:id="37">
    <w:p w14:paraId="2FB72DEF" w14:textId="0A5FFB5C" w:rsidR="00633F8E" w:rsidRDefault="00633F8E">
      <w:pPr>
        <w:pStyle w:val="FootnoteText"/>
      </w:pPr>
      <w:r>
        <w:rPr>
          <w:rStyle w:val="FootnoteReference"/>
        </w:rPr>
        <w:footnoteRef/>
      </w:r>
      <w:r>
        <w:t xml:space="preserve"> </w:t>
      </w:r>
      <w:hyperlink r:id="rId31" w:history="1">
        <w:r w:rsidRPr="00737A86">
          <w:rPr>
            <w:rStyle w:val="Hyperlink"/>
            <w:lang w:val="en-US"/>
          </w:rPr>
          <w:t>https://www.ecia.org.au/Resources/Inclusion/Inclusion-Toolkit</w:t>
        </w:r>
      </w:hyperlink>
      <w:r>
        <w:rPr>
          <w:lang w:val="en-US"/>
        </w:rPr>
        <w:t xml:space="preserve"> </w:t>
      </w:r>
    </w:p>
  </w:footnote>
  <w:footnote w:id="38">
    <w:p w14:paraId="7FD0BE64" w14:textId="0F90154B" w:rsidR="00E24E4C" w:rsidRDefault="00E24E4C">
      <w:pPr>
        <w:pStyle w:val="FootnoteText"/>
      </w:pPr>
      <w:r>
        <w:rPr>
          <w:rStyle w:val="FootnoteReference"/>
        </w:rPr>
        <w:footnoteRef/>
      </w:r>
      <w:r>
        <w:t xml:space="preserve"> </w:t>
      </w:r>
      <w:hyperlink r:id="rId32" w:history="1">
        <w:r w:rsidRPr="00DB6DE8">
          <w:rPr>
            <w:rStyle w:val="Hyperlink"/>
            <w:lang w:val="en-US"/>
          </w:rPr>
          <w:t>http://ectacenter.org/decrp/type-checklists.asp</w:t>
        </w:r>
      </w:hyperlink>
    </w:p>
  </w:footnote>
  <w:footnote w:id="39">
    <w:p w14:paraId="02C273EC" w14:textId="77777777" w:rsidR="00112965" w:rsidRPr="00C52AA6" w:rsidRDefault="00112965" w:rsidP="00112965">
      <w:pPr>
        <w:pStyle w:val="FootnoteText"/>
        <w:rPr>
          <w:lang w:val="en-US"/>
        </w:rPr>
      </w:pPr>
      <w:r>
        <w:rPr>
          <w:rStyle w:val="FootnoteReference"/>
        </w:rPr>
        <w:footnoteRef/>
      </w:r>
      <w:r>
        <w:t xml:space="preserve"> </w:t>
      </w:r>
      <w:hyperlink r:id="rId33" w:history="1">
        <w:r w:rsidRPr="00A840AC">
          <w:rPr>
            <w:rStyle w:val="Hyperlink"/>
          </w:rPr>
          <w:t>https://www.snaicc.org.au/resources/stronger-safer-together-a-reflective-practice-resource-and-toolkit-for-services-providing-intensive-and-targeted-support-for-aboriginal-and-torres-strait-islander-families/</w:t>
        </w:r>
      </w:hyperlink>
    </w:p>
  </w:footnote>
  <w:footnote w:id="40">
    <w:p w14:paraId="78E5DA15" w14:textId="77777777" w:rsidR="00112965" w:rsidRPr="005D3602" w:rsidRDefault="00112965" w:rsidP="00112965">
      <w:pPr>
        <w:spacing w:after="0"/>
        <w:rPr>
          <w:lang w:val="en-US"/>
        </w:rPr>
      </w:pPr>
      <w:r>
        <w:rPr>
          <w:rStyle w:val="FootnoteReference"/>
        </w:rPr>
        <w:footnoteRef/>
      </w:r>
      <w:r>
        <w:t xml:space="preserve"> </w:t>
      </w:r>
      <w:hyperlink r:id="rId34" w:history="1">
        <w:r w:rsidRPr="00A840AC">
          <w:rPr>
            <w:rStyle w:val="Hyperlink"/>
            <w:sz w:val="22"/>
            <w:szCs w:val="22"/>
          </w:rPr>
          <w:t>https://www.snaicc.org.au/resources/family-matters-national-reflective-practice-tool/</w:t>
        </w:r>
      </w:hyperlink>
    </w:p>
  </w:footnote>
  <w:footnote w:id="41">
    <w:p w14:paraId="3B9AB36B" w14:textId="06ADE62D" w:rsidR="001619F0" w:rsidRDefault="001619F0">
      <w:pPr>
        <w:pStyle w:val="FootnoteText"/>
      </w:pPr>
      <w:r>
        <w:rPr>
          <w:rStyle w:val="FootnoteReference"/>
        </w:rPr>
        <w:footnoteRef/>
      </w:r>
      <w:r>
        <w:t xml:space="preserve"> </w:t>
      </w:r>
      <w:hyperlink r:id="rId35" w:history="1">
        <w:r w:rsidRPr="00BA60CA">
          <w:rPr>
            <w:rStyle w:val="Hyperlink"/>
            <w:rFonts w:cs="Arial"/>
            <w:lang w:val="en-US"/>
          </w:rPr>
          <w:t>https://jbi.global/critical-appraisal-tools</w:t>
        </w:r>
      </w:hyperlink>
    </w:p>
  </w:footnote>
  <w:footnote w:id="42">
    <w:p w14:paraId="3E09C395" w14:textId="3292DDCD" w:rsidR="006F0406" w:rsidRDefault="006F0406">
      <w:pPr>
        <w:pStyle w:val="FootnoteText"/>
      </w:pPr>
      <w:r>
        <w:rPr>
          <w:rStyle w:val="FootnoteReference"/>
        </w:rPr>
        <w:footnoteRef/>
      </w:r>
      <w:r>
        <w:t xml:space="preserve"> </w:t>
      </w:r>
      <w:hyperlink r:id="rId36" w:history="1">
        <w:r w:rsidRPr="00CA2032">
          <w:rPr>
            <w:rStyle w:val="Hyperlink"/>
            <w:rFonts w:cs="Arial"/>
            <w:lang w:val="en-US"/>
          </w:rPr>
          <w:t>https://www.canchild.ca/en/research-in-practice/current-studies/mpoc-2-0-measure-of-processes-of-care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10AC"/>
    <w:multiLevelType w:val="hybridMultilevel"/>
    <w:tmpl w:val="F5822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03B61"/>
    <w:multiLevelType w:val="hybridMultilevel"/>
    <w:tmpl w:val="871E1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FC9D87"/>
    <w:multiLevelType w:val="hybridMultilevel"/>
    <w:tmpl w:val="FFFFFFFF"/>
    <w:lvl w:ilvl="0" w:tplc="092C5562">
      <w:start w:val="1"/>
      <w:numFmt w:val="bullet"/>
      <w:lvlText w:val=""/>
      <w:lvlJc w:val="left"/>
      <w:pPr>
        <w:ind w:left="720" w:hanging="360"/>
      </w:pPr>
      <w:rPr>
        <w:rFonts w:ascii="Wingdings" w:hAnsi="Wingdings" w:hint="default"/>
      </w:rPr>
    </w:lvl>
    <w:lvl w:ilvl="1" w:tplc="25AC982C">
      <w:start w:val="1"/>
      <w:numFmt w:val="bullet"/>
      <w:lvlText w:val="o"/>
      <w:lvlJc w:val="left"/>
      <w:pPr>
        <w:ind w:left="1440" w:hanging="360"/>
      </w:pPr>
      <w:rPr>
        <w:rFonts w:ascii="Courier New" w:hAnsi="Courier New" w:hint="default"/>
      </w:rPr>
    </w:lvl>
    <w:lvl w:ilvl="2" w:tplc="75C22F3E">
      <w:start w:val="1"/>
      <w:numFmt w:val="bullet"/>
      <w:lvlText w:val=""/>
      <w:lvlJc w:val="left"/>
      <w:pPr>
        <w:ind w:left="2160" w:hanging="360"/>
      </w:pPr>
      <w:rPr>
        <w:rFonts w:ascii="Wingdings" w:hAnsi="Wingdings" w:hint="default"/>
      </w:rPr>
    </w:lvl>
    <w:lvl w:ilvl="3" w:tplc="C93A57F4">
      <w:start w:val="1"/>
      <w:numFmt w:val="bullet"/>
      <w:lvlText w:val=""/>
      <w:lvlJc w:val="left"/>
      <w:pPr>
        <w:ind w:left="2880" w:hanging="360"/>
      </w:pPr>
      <w:rPr>
        <w:rFonts w:ascii="Symbol" w:hAnsi="Symbol" w:hint="default"/>
      </w:rPr>
    </w:lvl>
    <w:lvl w:ilvl="4" w:tplc="92681428">
      <w:start w:val="1"/>
      <w:numFmt w:val="bullet"/>
      <w:lvlText w:val="o"/>
      <w:lvlJc w:val="left"/>
      <w:pPr>
        <w:ind w:left="3600" w:hanging="360"/>
      </w:pPr>
      <w:rPr>
        <w:rFonts w:ascii="Courier New" w:hAnsi="Courier New" w:hint="default"/>
      </w:rPr>
    </w:lvl>
    <w:lvl w:ilvl="5" w:tplc="8AD22A26">
      <w:start w:val="1"/>
      <w:numFmt w:val="bullet"/>
      <w:lvlText w:val=""/>
      <w:lvlJc w:val="left"/>
      <w:pPr>
        <w:ind w:left="4320" w:hanging="360"/>
      </w:pPr>
      <w:rPr>
        <w:rFonts w:ascii="Wingdings" w:hAnsi="Wingdings" w:hint="default"/>
      </w:rPr>
    </w:lvl>
    <w:lvl w:ilvl="6" w:tplc="4E78AA9C">
      <w:start w:val="1"/>
      <w:numFmt w:val="bullet"/>
      <w:lvlText w:val=""/>
      <w:lvlJc w:val="left"/>
      <w:pPr>
        <w:ind w:left="5040" w:hanging="360"/>
      </w:pPr>
      <w:rPr>
        <w:rFonts w:ascii="Symbol" w:hAnsi="Symbol" w:hint="default"/>
      </w:rPr>
    </w:lvl>
    <w:lvl w:ilvl="7" w:tplc="9F4CA3EC">
      <w:start w:val="1"/>
      <w:numFmt w:val="bullet"/>
      <w:lvlText w:val="o"/>
      <w:lvlJc w:val="left"/>
      <w:pPr>
        <w:ind w:left="5760" w:hanging="360"/>
      </w:pPr>
      <w:rPr>
        <w:rFonts w:ascii="Courier New" w:hAnsi="Courier New" w:hint="default"/>
      </w:rPr>
    </w:lvl>
    <w:lvl w:ilvl="8" w:tplc="13CE2DBA">
      <w:start w:val="1"/>
      <w:numFmt w:val="bullet"/>
      <w:lvlText w:val=""/>
      <w:lvlJc w:val="left"/>
      <w:pPr>
        <w:ind w:left="6480" w:hanging="360"/>
      </w:pPr>
      <w:rPr>
        <w:rFonts w:ascii="Wingdings" w:hAnsi="Wingdings" w:hint="default"/>
      </w:rPr>
    </w:lvl>
  </w:abstractNum>
  <w:abstractNum w:abstractNumId="3" w15:restartNumberingAfterBreak="0">
    <w:nsid w:val="012D4AB5"/>
    <w:multiLevelType w:val="hybridMultilevel"/>
    <w:tmpl w:val="3816EC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17B6D70"/>
    <w:multiLevelType w:val="multilevel"/>
    <w:tmpl w:val="8340CA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1BA7BC5"/>
    <w:multiLevelType w:val="hybridMultilevel"/>
    <w:tmpl w:val="FFFFFFFF"/>
    <w:lvl w:ilvl="0" w:tplc="E19EEFC8">
      <w:start w:val="1"/>
      <w:numFmt w:val="bullet"/>
      <w:lvlText w:val=""/>
      <w:lvlJc w:val="left"/>
      <w:pPr>
        <w:ind w:left="720" w:hanging="360"/>
      </w:pPr>
      <w:rPr>
        <w:rFonts w:ascii="Wingdings" w:hAnsi="Wingdings" w:hint="default"/>
      </w:rPr>
    </w:lvl>
    <w:lvl w:ilvl="1" w:tplc="79F2CF98">
      <w:start w:val="1"/>
      <w:numFmt w:val="bullet"/>
      <w:lvlText w:val="o"/>
      <w:lvlJc w:val="left"/>
      <w:pPr>
        <w:ind w:left="1440" w:hanging="360"/>
      </w:pPr>
      <w:rPr>
        <w:rFonts w:ascii="Courier New" w:hAnsi="Courier New" w:hint="default"/>
      </w:rPr>
    </w:lvl>
    <w:lvl w:ilvl="2" w:tplc="7B642802">
      <w:start w:val="1"/>
      <w:numFmt w:val="bullet"/>
      <w:lvlText w:val=""/>
      <w:lvlJc w:val="left"/>
      <w:pPr>
        <w:ind w:left="2160" w:hanging="360"/>
      </w:pPr>
      <w:rPr>
        <w:rFonts w:ascii="Wingdings" w:hAnsi="Wingdings" w:hint="default"/>
      </w:rPr>
    </w:lvl>
    <w:lvl w:ilvl="3" w:tplc="22B2846E">
      <w:start w:val="1"/>
      <w:numFmt w:val="bullet"/>
      <w:lvlText w:val=""/>
      <w:lvlJc w:val="left"/>
      <w:pPr>
        <w:ind w:left="2880" w:hanging="360"/>
      </w:pPr>
      <w:rPr>
        <w:rFonts w:ascii="Symbol" w:hAnsi="Symbol" w:hint="default"/>
      </w:rPr>
    </w:lvl>
    <w:lvl w:ilvl="4" w:tplc="02E42BC6">
      <w:start w:val="1"/>
      <w:numFmt w:val="bullet"/>
      <w:lvlText w:val="o"/>
      <w:lvlJc w:val="left"/>
      <w:pPr>
        <w:ind w:left="3600" w:hanging="360"/>
      </w:pPr>
      <w:rPr>
        <w:rFonts w:ascii="Courier New" w:hAnsi="Courier New" w:hint="default"/>
      </w:rPr>
    </w:lvl>
    <w:lvl w:ilvl="5" w:tplc="C0E6B502">
      <w:start w:val="1"/>
      <w:numFmt w:val="bullet"/>
      <w:lvlText w:val=""/>
      <w:lvlJc w:val="left"/>
      <w:pPr>
        <w:ind w:left="4320" w:hanging="360"/>
      </w:pPr>
      <w:rPr>
        <w:rFonts w:ascii="Wingdings" w:hAnsi="Wingdings" w:hint="default"/>
      </w:rPr>
    </w:lvl>
    <w:lvl w:ilvl="6" w:tplc="C3A069D6">
      <w:start w:val="1"/>
      <w:numFmt w:val="bullet"/>
      <w:lvlText w:val=""/>
      <w:lvlJc w:val="left"/>
      <w:pPr>
        <w:ind w:left="5040" w:hanging="360"/>
      </w:pPr>
      <w:rPr>
        <w:rFonts w:ascii="Symbol" w:hAnsi="Symbol" w:hint="default"/>
      </w:rPr>
    </w:lvl>
    <w:lvl w:ilvl="7" w:tplc="8E749556">
      <w:start w:val="1"/>
      <w:numFmt w:val="bullet"/>
      <w:lvlText w:val="o"/>
      <w:lvlJc w:val="left"/>
      <w:pPr>
        <w:ind w:left="5760" w:hanging="360"/>
      </w:pPr>
      <w:rPr>
        <w:rFonts w:ascii="Courier New" w:hAnsi="Courier New" w:hint="default"/>
      </w:rPr>
    </w:lvl>
    <w:lvl w:ilvl="8" w:tplc="6F080462">
      <w:start w:val="1"/>
      <w:numFmt w:val="bullet"/>
      <w:lvlText w:val=""/>
      <w:lvlJc w:val="left"/>
      <w:pPr>
        <w:ind w:left="6480" w:hanging="360"/>
      </w:pPr>
      <w:rPr>
        <w:rFonts w:ascii="Wingdings" w:hAnsi="Wingdings" w:hint="default"/>
      </w:rPr>
    </w:lvl>
  </w:abstractNum>
  <w:abstractNum w:abstractNumId="6" w15:restartNumberingAfterBreak="0">
    <w:nsid w:val="01C83B73"/>
    <w:multiLevelType w:val="hybridMultilevel"/>
    <w:tmpl w:val="FFFFFFFF"/>
    <w:lvl w:ilvl="0" w:tplc="E20A2EB8">
      <w:start w:val="1"/>
      <w:numFmt w:val="bullet"/>
      <w:lvlText w:val=""/>
      <w:lvlJc w:val="left"/>
      <w:pPr>
        <w:ind w:left="720" w:hanging="360"/>
      </w:pPr>
      <w:rPr>
        <w:rFonts w:ascii="Wingdings" w:hAnsi="Wingdings" w:hint="default"/>
      </w:rPr>
    </w:lvl>
    <w:lvl w:ilvl="1" w:tplc="B7BE9828">
      <w:start w:val="1"/>
      <w:numFmt w:val="bullet"/>
      <w:lvlText w:val="o"/>
      <w:lvlJc w:val="left"/>
      <w:pPr>
        <w:ind w:left="1440" w:hanging="360"/>
      </w:pPr>
      <w:rPr>
        <w:rFonts w:ascii="Courier New" w:hAnsi="Courier New" w:hint="default"/>
      </w:rPr>
    </w:lvl>
    <w:lvl w:ilvl="2" w:tplc="D82804EE">
      <w:start w:val="1"/>
      <w:numFmt w:val="bullet"/>
      <w:lvlText w:val=""/>
      <w:lvlJc w:val="left"/>
      <w:pPr>
        <w:ind w:left="2160" w:hanging="360"/>
      </w:pPr>
      <w:rPr>
        <w:rFonts w:ascii="Wingdings" w:hAnsi="Wingdings" w:hint="default"/>
      </w:rPr>
    </w:lvl>
    <w:lvl w:ilvl="3" w:tplc="8E549B60">
      <w:start w:val="1"/>
      <w:numFmt w:val="bullet"/>
      <w:lvlText w:val=""/>
      <w:lvlJc w:val="left"/>
      <w:pPr>
        <w:ind w:left="2880" w:hanging="360"/>
      </w:pPr>
      <w:rPr>
        <w:rFonts w:ascii="Symbol" w:hAnsi="Symbol" w:hint="default"/>
      </w:rPr>
    </w:lvl>
    <w:lvl w:ilvl="4" w:tplc="2764AD9C">
      <w:start w:val="1"/>
      <w:numFmt w:val="bullet"/>
      <w:lvlText w:val="o"/>
      <w:lvlJc w:val="left"/>
      <w:pPr>
        <w:ind w:left="3600" w:hanging="360"/>
      </w:pPr>
      <w:rPr>
        <w:rFonts w:ascii="Courier New" w:hAnsi="Courier New" w:hint="default"/>
      </w:rPr>
    </w:lvl>
    <w:lvl w:ilvl="5" w:tplc="AB9E6C1C">
      <w:start w:val="1"/>
      <w:numFmt w:val="bullet"/>
      <w:lvlText w:val=""/>
      <w:lvlJc w:val="left"/>
      <w:pPr>
        <w:ind w:left="4320" w:hanging="360"/>
      </w:pPr>
      <w:rPr>
        <w:rFonts w:ascii="Wingdings" w:hAnsi="Wingdings" w:hint="default"/>
      </w:rPr>
    </w:lvl>
    <w:lvl w:ilvl="6" w:tplc="DCE2536A">
      <w:start w:val="1"/>
      <w:numFmt w:val="bullet"/>
      <w:lvlText w:val=""/>
      <w:lvlJc w:val="left"/>
      <w:pPr>
        <w:ind w:left="5040" w:hanging="360"/>
      </w:pPr>
      <w:rPr>
        <w:rFonts w:ascii="Symbol" w:hAnsi="Symbol" w:hint="default"/>
      </w:rPr>
    </w:lvl>
    <w:lvl w:ilvl="7" w:tplc="6A1ACA20">
      <w:start w:val="1"/>
      <w:numFmt w:val="bullet"/>
      <w:lvlText w:val="o"/>
      <w:lvlJc w:val="left"/>
      <w:pPr>
        <w:ind w:left="5760" w:hanging="360"/>
      </w:pPr>
      <w:rPr>
        <w:rFonts w:ascii="Courier New" w:hAnsi="Courier New" w:hint="default"/>
      </w:rPr>
    </w:lvl>
    <w:lvl w:ilvl="8" w:tplc="AA6A3068">
      <w:start w:val="1"/>
      <w:numFmt w:val="bullet"/>
      <w:lvlText w:val=""/>
      <w:lvlJc w:val="left"/>
      <w:pPr>
        <w:ind w:left="6480" w:hanging="360"/>
      </w:pPr>
      <w:rPr>
        <w:rFonts w:ascii="Wingdings" w:hAnsi="Wingdings" w:hint="default"/>
      </w:rPr>
    </w:lvl>
  </w:abstractNum>
  <w:abstractNum w:abstractNumId="7" w15:restartNumberingAfterBreak="0">
    <w:nsid w:val="02CD20BE"/>
    <w:multiLevelType w:val="hybridMultilevel"/>
    <w:tmpl w:val="AF70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F81E16"/>
    <w:multiLevelType w:val="hybridMultilevel"/>
    <w:tmpl w:val="A18C0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0F170A"/>
    <w:multiLevelType w:val="hybridMultilevel"/>
    <w:tmpl w:val="1C149738"/>
    <w:lvl w:ilvl="0" w:tplc="1E6464E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23143B"/>
    <w:multiLevelType w:val="hybridMultilevel"/>
    <w:tmpl w:val="9DCE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A163D2"/>
    <w:multiLevelType w:val="hybridMultilevel"/>
    <w:tmpl w:val="6CF8D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122764"/>
    <w:multiLevelType w:val="hybridMultilevel"/>
    <w:tmpl w:val="9DEC1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82A227"/>
    <w:multiLevelType w:val="hybridMultilevel"/>
    <w:tmpl w:val="FFFFFFFF"/>
    <w:lvl w:ilvl="0" w:tplc="7752039A">
      <w:start w:val="1"/>
      <w:numFmt w:val="bullet"/>
      <w:lvlText w:val=""/>
      <w:lvlJc w:val="left"/>
      <w:pPr>
        <w:ind w:left="720" w:hanging="360"/>
      </w:pPr>
      <w:rPr>
        <w:rFonts w:ascii="Wingdings" w:hAnsi="Wingdings" w:hint="default"/>
      </w:rPr>
    </w:lvl>
    <w:lvl w:ilvl="1" w:tplc="8EDE7A88">
      <w:start w:val="1"/>
      <w:numFmt w:val="bullet"/>
      <w:lvlText w:val="o"/>
      <w:lvlJc w:val="left"/>
      <w:pPr>
        <w:ind w:left="1440" w:hanging="360"/>
      </w:pPr>
      <w:rPr>
        <w:rFonts w:ascii="Courier New" w:hAnsi="Courier New" w:hint="default"/>
      </w:rPr>
    </w:lvl>
    <w:lvl w:ilvl="2" w:tplc="1B0CDA06">
      <w:start w:val="1"/>
      <w:numFmt w:val="bullet"/>
      <w:lvlText w:val=""/>
      <w:lvlJc w:val="left"/>
      <w:pPr>
        <w:ind w:left="2160" w:hanging="360"/>
      </w:pPr>
      <w:rPr>
        <w:rFonts w:ascii="Wingdings" w:hAnsi="Wingdings" w:hint="default"/>
      </w:rPr>
    </w:lvl>
    <w:lvl w:ilvl="3" w:tplc="CB9E13D8">
      <w:start w:val="1"/>
      <w:numFmt w:val="bullet"/>
      <w:lvlText w:val=""/>
      <w:lvlJc w:val="left"/>
      <w:pPr>
        <w:ind w:left="2880" w:hanging="360"/>
      </w:pPr>
      <w:rPr>
        <w:rFonts w:ascii="Symbol" w:hAnsi="Symbol" w:hint="default"/>
      </w:rPr>
    </w:lvl>
    <w:lvl w:ilvl="4" w:tplc="9BD4A21C">
      <w:start w:val="1"/>
      <w:numFmt w:val="bullet"/>
      <w:lvlText w:val="o"/>
      <w:lvlJc w:val="left"/>
      <w:pPr>
        <w:ind w:left="3600" w:hanging="360"/>
      </w:pPr>
      <w:rPr>
        <w:rFonts w:ascii="Courier New" w:hAnsi="Courier New" w:hint="default"/>
      </w:rPr>
    </w:lvl>
    <w:lvl w:ilvl="5" w:tplc="BED481AA">
      <w:start w:val="1"/>
      <w:numFmt w:val="bullet"/>
      <w:lvlText w:val=""/>
      <w:lvlJc w:val="left"/>
      <w:pPr>
        <w:ind w:left="4320" w:hanging="360"/>
      </w:pPr>
      <w:rPr>
        <w:rFonts w:ascii="Wingdings" w:hAnsi="Wingdings" w:hint="default"/>
      </w:rPr>
    </w:lvl>
    <w:lvl w:ilvl="6" w:tplc="B7421248">
      <w:start w:val="1"/>
      <w:numFmt w:val="bullet"/>
      <w:lvlText w:val=""/>
      <w:lvlJc w:val="left"/>
      <w:pPr>
        <w:ind w:left="5040" w:hanging="360"/>
      </w:pPr>
      <w:rPr>
        <w:rFonts w:ascii="Symbol" w:hAnsi="Symbol" w:hint="default"/>
      </w:rPr>
    </w:lvl>
    <w:lvl w:ilvl="7" w:tplc="D2BACD7E">
      <w:start w:val="1"/>
      <w:numFmt w:val="bullet"/>
      <w:lvlText w:val="o"/>
      <w:lvlJc w:val="left"/>
      <w:pPr>
        <w:ind w:left="5760" w:hanging="360"/>
      </w:pPr>
      <w:rPr>
        <w:rFonts w:ascii="Courier New" w:hAnsi="Courier New" w:hint="default"/>
      </w:rPr>
    </w:lvl>
    <w:lvl w:ilvl="8" w:tplc="1220A994">
      <w:start w:val="1"/>
      <w:numFmt w:val="bullet"/>
      <w:lvlText w:val=""/>
      <w:lvlJc w:val="left"/>
      <w:pPr>
        <w:ind w:left="6480" w:hanging="360"/>
      </w:pPr>
      <w:rPr>
        <w:rFonts w:ascii="Wingdings" w:hAnsi="Wingdings" w:hint="default"/>
      </w:rPr>
    </w:lvl>
  </w:abstractNum>
  <w:abstractNum w:abstractNumId="14" w15:restartNumberingAfterBreak="0">
    <w:nsid w:val="05AFFB77"/>
    <w:multiLevelType w:val="hybridMultilevel"/>
    <w:tmpl w:val="FFFFFFFF"/>
    <w:lvl w:ilvl="0" w:tplc="709441C2">
      <w:start w:val="1"/>
      <w:numFmt w:val="bullet"/>
      <w:lvlText w:val=""/>
      <w:lvlJc w:val="left"/>
      <w:pPr>
        <w:ind w:left="720" w:hanging="360"/>
      </w:pPr>
      <w:rPr>
        <w:rFonts w:ascii="Wingdings" w:hAnsi="Wingdings" w:hint="default"/>
      </w:rPr>
    </w:lvl>
    <w:lvl w:ilvl="1" w:tplc="09F092C4">
      <w:start w:val="1"/>
      <w:numFmt w:val="bullet"/>
      <w:lvlText w:val="o"/>
      <w:lvlJc w:val="left"/>
      <w:pPr>
        <w:ind w:left="1440" w:hanging="360"/>
      </w:pPr>
      <w:rPr>
        <w:rFonts w:ascii="Courier New" w:hAnsi="Courier New" w:hint="default"/>
      </w:rPr>
    </w:lvl>
    <w:lvl w:ilvl="2" w:tplc="06E00478">
      <w:start w:val="1"/>
      <w:numFmt w:val="bullet"/>
      <w:lvlText w:val=""/>
      <w:lvlJc w:val="left"/>
      <w:pPr>
        <w:ind w:left="2160" w:hanging="360"/>
      </w:pPr>
      <w:rPr>
        <w:rFonts w:ascii="Wingdings" w:hAnsi="Wingdings" w:hint="default"/>
      </w:rPr>
    </w:lvl>
    <w:lvl w:ilvl="3" w:tplc="DFA8EC4C">
      <w:start w:val="1"/>
      <w:numFmt w:val="bullet"/>
      <w:lvlText w:val=""/>
      <w:lvlJc w:val="left"/>
      <w:pPr>
        <w:ind w:left="2880" w:hanging="360"/>
      </w:pPr>
      <w:rPr>
        <w:rFonts w:ascii="Symbol" w:hAnsi="Symbol" w:hint="default"/>
      </w:rPr>
    </w:lvl>
    <w:lvl w:ilvl="4" w:tplc="B0A67A9A">
      <w:start w:val="1"/>
      <w:numFmt w:val="bullet"/>
      <w:lvlText w:val="o"/>
      <w:lvlJc w:val="left"/>
      <w:pPr>
        <w:ind w:left="3600" w:hanging="360"/>
      </w:pPr>
      <w:rPr>
        <w:rFonts w:ascii="Courier New" w:hAnsi="Courier New" w:hint="default"/>
      </w:rPr>
    </w:lvl>
    <w:lvl w:ilvl="5" w:tplc="08809514">
      <w:start w:val="1"/>
      <w:numFmt w:val="bullet"/>
      <w:lvlText w:val=""/>
      <w:lvlJc w:val="left"/>
      <w:pPr>
        <w:ind w:left="4320" w:hanging="360"/>
      </w:pPr>
      <w:rPr>
        <w:rFonts w:ascii="Wingdings" w:hAnsi="Wingdings" w:hint="default"/>
      </w:rPr>
    </w:lvl>
    <w:lvl w:ilvl="6" w:tplc="96D62DB8">
      <w:start w:val="1"/>
      <w:numFmt w:val="bullet"/>
      <w:lvlText w:val=""/>
      <w:lvlJc w:val="left"/>
      <w:pPr>
        <w:ind w:left="5040" w:hanging="360"/>
      </w:pPr>
      <w:rPr>
        <w:rFonts w:ascii="Symbol" w:hAnsi="Symbol" w:hint="default"/>
      </w:rPr>
    </w:lvl>
    <w:lvl w:ilvl="7" w:tplc="343067D2">
      <w:start w:val="1"/>
      <w:numFmt w:val="bullet"/>
      <w:lvlText w:val="o"/>
      <w:lvlJc w:val="left"/>
      <w:pPr>
        <w:ind w:left="5760" w:hanging="360"/>
      </w:pPr>
      <w:rPr>
        <w:rFonts w:ascii="Courier New" w:hAnsi="Courier New" w:hint="default"/>
      </w:rPr>
    </w:lvl>
    <w:lvl w:ilvl="8" w:tplc="84FC2E0A">
      <w:start w:val="1"/>
      <w:numFmt w:val="bullet"/>
      <w:lvlText w:val=""/>
      <w:lvlJc w:val="left"/>
      <w:pPr>
        <w:ind w:left="6480" w:hanging="360"/>
      </w:pPr>
      <w:rPr>
        <w:rFonts w:ascii="Wingdings" w:hAnsi="Wingdings" w:hint="default"/>
      </w:rPr>
    </w:lvl>
  </w:abstractNum>
  <w:abstractNum w:abstractNumId="15" w15:restartNumberingAfterBreak="0">
    <w:nsid w:val="0668BD0F"/>
    <w:multiLevelType w:val="hybridMultilevel"/>
    <w:tmpl w:val="FFFFFFFF"/>
    <w:lvl w:ilvl="0" w:tplc="4A868B54">
      <w:start w:val="1"/>
      <w:numFmt w:val="bullet"/>
      <w:lvlText w:val=""/>
      <w:lvlJc w:val="left"/>
      <w:pPr>
        <w:ind w:left="720" w:hanging="360"/>
      </w:pPr>
      <w:rPr>
        <w:rFonts w:ascii="Wingdings" w:hAnsi="Wingdings" w:hint="default"/>
      </w:rPr>
    </w:lvl>
    <w:lvl w:ilvl="1" w:tplc="7E78472C">
      <w:start w:val="1"/>
      <w:numFmt w:val="bullet"/>
      <w:lvlText w:val="o"/>
      <w:lvlJc w:val="left"/>
      <w:pPr>
        <w:ind w:left="1440" w:hanging="360"/>
      </w:pPr>
      <w:rPr>
        <w:rFonts w:ascii="Courier New" w:hAnsi="Courier New" w:hint="default"/>
      </w:rPr>
    </w:lvl>
    <w:lvl w:ilvl="2" w:tplc="F9A6EC76">
      <w:start w:val="1"/>
      <w:numFmt w:val="bullet"/>
      <w:lvlText w:val=""/>
      <w:lvlJc w:val="left"/>
      <w:pPr>
        <w:ind w:left="2160" w:hanging="360"/>
      </w:pPr>
      <w:rPr>
        <w:rFonts w:ascii="Wingdings" w:hAnsi="Wingdings" w:hint="default"/>
      </w:rPr>
    </w:lvl>
    <w:lvl w:ilvl="3" w:tplc="1DD02EF4">
      <w:start w:val="1"/>
      <w:numFmt w:val="bullet"/>
      <w:lvlText w:val=""/>
      <w:lvlJc w:val="left"/>
      <w:pPr>
        <w:ind w:left="2880" w:hanging="360"/>
      </w:pPr>
      <w:rPr>
        <w:rFonts w:ascii="Symbol" w:hAnsi="Symbol" w:hint="default"/>
      </w:rPr>
    </w:lvl>
    <w:lvl w:ilvl="4" w:tplc="B046F26E">
      <w:start w:val="1"/>
      <w:numFmt w:val="bullet"/>
      <w:lvlText w:val="o"/>
      <w:lvlJc w:val="left"/>
      <w:pPr>
        <w:ind w:left="3600" w:hanging="360"/>
      </w:pPr>
      <w:rPr>
        <w:rFonts w:ascii="Courier New" w:hAnsi="Courier New" w:hint="default"/>
      </w:rPr>
    </w:lvl>
    <w:lvl w:ilvl="5" w:tplc="FF9E1052">
      <w:start w:val="1"/>
      <w:numFmt w:val="bullet"/>
      <w:lvlText w:val=""/>
      <w:lvlJc w:val="left"/>
      <w:pPr>
        <w:ind w:left="4320" w:hanging="360"/>
      </w:pPr>
      <w:rPr>
        <w:rFonts w:ascii="Wingdings" w:hAnsi="Wingdings" w:hint="default"/>
      </w:rPr>
    </w:lvl>
    <w:lvl w:ilvl="6" w:tplc="9ED6250C">
      <w:start w:val="1"/>
      <w:numFmt w:val="bullet"/>
      <w:lvlText w:val=""/>
      <w:lvlJc w:val="left"/>
      <w:pPr>
        <w:ind w:left="5040" w:hanging="360"/>
      </w:pPr>
      <w:rPr>
        <w:rFonts w:ascii="Symbol" w:hAnsi="Symbol" w:hint="default"/>
      </w:rPr>
    </w:lvl>
    <w:lvl w:ilvl="7" w:tplc="868897C4">
      <w:start w:val="1"/>
      <w:numFmt w:val="bullet"/>
      <w:lvlText w:val="o"/>
      <w:lvlJc w:val="left"/>
      <w:pPr>
        <w:ind w:left="5760" w:hanging="360"/>
      </w:pPr>
      <w:rPr>
        <w:rFonts w:ascii="Courier New" w:hAnsi="Courier New" w:hint="default"/>
      </w:rPr>
    </w:lvl>
    <w:lvl w:ilvl="8" w:tplc="B21C5F34">
      <w:start w:val="1"/>
      <w:numFmt w:val="bullet"/>
      <w:lvlText w:val=""/>
      <w:lvlJc w:val="left"/>
      <w:pPr>
        <w:ind w:left="6480" w:hanging="360"/>
      </w:pPr>
      <w:rPr>
        <w:rFonts w:ascii="Wingdings" w:hAnsi="Wingdings" w:hint="default"/>
      </w:rPr>
    </w:lvl>
  </w:abstractNum>
  <w:abstractNum w:abstractNumId="16" w15:restartNumberingAfterBreak="0">
    <w:nsid w:val="07945C5C"/>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08A36022"/>
    <w:multiLevelType w:val="hybridMultilevel"/>
    <w:tmpl w:val="FFFFFFFF"/>
    <w:lvl w:ilvl="0" w:tplc="6BF2A0F2">
      <w:start w:val="1"/>
      <w:numFmt w:val="bullet"/>
      <w:lvlText w:val=""/>
      <w:lvlJc w:val="left"/>
      <w:pPr>
        <w:ind w:left="720" w:hanging="360"/>
      </w:pPr>
      <w:rPr>
        <w:rFonts w:ascii="Wingdings" w:hAnsi="Wingdings" w:hint="default"/>
      </w:rPr>
    </w:lvl>
    <w:lvl w:ilvl="1" w:tplc="D91223B6">
      <w:start w:val="1"/>
      <w:numFmt w:val="bullet"/>
      <w:lvlText w:val="o"/>
      <w:lvlJc w:val="left"/>
      <w:pPr>
        <w:ind w:left="1440" w:hanging="360"/>
      </w:pPr>
      <w:rPr>
        <w:rFonts w:ascii="Courier New" w:hAnsi="Courier New" w:hint="default"/>
      </w:rPr>
    </w:lvl>
    <w:lvl w:ilvl="2" w:tplc="4AE248D8">
      <w:start w:val="1"/>
      <w:numFmt w:val="bullet"/>
      <w:lvlText w:val=""/>
      <w:lvlJc w:val="left"/>
      <w:pPr>
        <w:ind w:left="2160" w:hanging="360"/>
      </w:pPr>
      <w:rPr>
        <w:rFonts w:ascii="Wingdings" w:hAnsi="Wingdings" w:hint="default"/>
      </w:rPr>
    </w:lvl>
    <w:lvl w:ilvl="3" w:tplc="F356CDD6">
      <w:start w:val="1"/>
      <w:numFmt w:val="bullet"/>
      <w:lvlText w:val=""/>
      <w:lvlJc w:val="left"/>
      <w:pPr>
        <w:ind w:left="2880" w:hanging="360"/>
      </w:pPr>
      <w:rPr>
        <w:rFonts w:ascii="Symbol" w:hAnsi="Symbol" w:hint="default"/>
      </w:rPr>
    </w:lvl>
    <w:lvl w:ilvl="4" w:tplc="4128E6E0">
      <w:start w:val="1"/>
      <w:numFmt w:val="bullet"/>
      <w:lvlText w:val="o"/>
      <w:lvlJc w:val="left"/>
      <w:pPr>
        <w:ind w:left="3600" w:hanging="360"/>
      </w:pPr>
      <w:rPr>
        <w:rFonts w:ascii="Courier New" w:hAnsi="Courier New" w:hint="default"/>
      </w:rPr>
    </w:lvl>
    <w:lvl w:ilvl="5" w:tplc="E64C9AAE">
      <w:start w:val="1"/>
      <w:numFmt w:val="bullet"/>
      <w:lvlText w:val=""/>
      <w:lvlJc w:val="left"/>
      <w:pPr>
        <w:ind w:left="4320" w:hanging="360"/>
      </w:pPr>
      <w:rPr>
        <w:rFonts w:ascii="Wingdings" w:hAnsi="Wingdings" w:hint="default"/>
      </w:rPr>
    </w:lvl>
    <w:lvl w:ilvl="6" w:tplc="AE8235F0">
      <w:start w:val="1"/>
      <w:numFmt w:val="bullet"/>
      <w:lvlText w:val=""/>
      <w:lvlJc w:val="left"/>
      <w:pPr>
        <w:ind w:left="5040" w:hanging="360"/>
      </w:pPr>
      <w:rPr>
        <w:rFonts w:ascii="Symbol" w:hAnsi="Symbol" w:hint="default"/>
      </w:rPr>
    </w:lvl>
    <w:lvl w:ilvl="7" w:tplc="84CE56EA">
      <w:start w:val="1"/>
      <w:numFmt w:val="bullet"/>
      <w:lvlText w:val="o"/>
      <w:lvlJc w:val="left"/>
      <w:pPr>
        <w:ind w:left="5760" w:hanging="360"/>
      </w:pPr>
      <w:rPr>
        <w:rFonts w:ascii="Courier New" w:hAnsi="Courier New" w:hint="default"/>
      </w:rPr>
    </w:lvl>
    <w:lvl w:ilvl="8" w:tplc="AE8CBEE6">
      <w:start w:val="1"/>
      <w:numFmt w:val="bullet"/>
      <w:lvlText w:val=""/>
      <w:lvlJc w:val="left"/>
      <w:pPr>
        <w:ind w:left="6480" w:hanging="360"/>
      </w:pPr>
      <w:rPr>
        <w:rFonts w:ascii="Wingdings" w:hAnsi="Wingdings" w:hint="default"/>
      </w:rPr>
    </w:lvl>
  </w:abstractNum>
  <w:abstractNum w:abstractNumId="18" w15:restartNumberingAfterBreak="0">
    <w:nsid w:val="08A88CD2"/>
    <w:multiLevelType w:val="hybridMultilevel"/>
    <w:tmpl w:val="FFFFFFFF"/>
    <w:lvl w:ilvl="0" w:tplc="99561F56">
      <w:start w:val="1"/>
      <w:numFmt w:val="bullet"/>
      <w:lvlText w:val=""/>
      <w:lvlJc w:val="left"/>
      <w:pPr>
        <w:ind w:left="720" w:hanging="360"/>
      </w:pPr>
      <w:rPr>
        <w:rFonts w:ascii="Wingdings" w:hAnsi="Wingdings" w:hint="default"/>
      </w:rPr>
    </w:lvl>
    <w:lvl w:ilvl="1" w:tplc="68867DB0">
      <w:start w:val="1"/>
      <w:numFmt w:val="bullet"/>
      <w:lvlText w:val="o"/>
      <w:lvlJc w:val="left"/>
      <w:pPr>
        <w:ind w:left="1440" w:hanging="360"/>
      </w:pPr>
      <w:rPr>
        <w:rFonts w:ascii="Courier New" w:hAnsi="Courier New" w:hint="default"/>
      </w:rPr>
    </w:lvl>
    <w:lvl w:ilvl="2" w:tplc="2F763B60">
      <w:start w:val="1"/>
      <w:numFmt w:val="bullet"/>
      <w:lvlText w:val=""/>
      <w:lvlJc w:val="left"/>
      <w:pPr>
        <w:ind w:left="2160" w:hanging="360"/>
      </w:pPr>
      <w:rPr>
        <w:rFonts w:ascii="Wingdings" w:hAnsi="Wingdings" w:hint="default"/>
      </w:rPr>
    </w:lvl>
    <w:lvl w:ilvl="3" w:tplc="24F076E4">
      <w:start w:val="1"/>
      <w:numFmt w:val="bullet"/>
      <w:lvlText w:val=""/>
      <w:lvlJc w:val="left"/>
      <w:pPr>
        <w:ind w:left="2880" w:hanging="360"/>
      </w:pPr>
      <w:rPr>
        <w:rFonts w:ascii="Symbol" w:hAnsi="Symbol" w:hint="default"/>
      </w:rPr>
    </w:lvl>
    <w:lvl w:ilvl="4" w:tplc="8362E7A4">
      <w:start w:val="1"/>
      <w:numFmt w:val="bullet"/>
      <w:lvlText w:val="o"/>
      <w:lvlJc w:val="left"/>
      <w:pPr>
        <w:ind w:left="3600" w:hanging="360"/>
      </w:pPr>
      <w:rPr>
        <w:rFonts w:ascii="Courier New" w:hAnsi="Courier New" w:hint="default"/>
      </w:rPr>
    </w:lvl>
    <w:lvl w:ilvl="5" w:tplc="2A880C5C">
      <w:start w:val="1"/>
      <w:numFmt w:val="bullet"/>
      <w:lvlText w:val=""/>
      <w:lvlJc w:val="left"/>
      <w:pPr>
        <w:ind w:left="4320" w:hanging="360"/>
      </w:pPr>
      <w:rPr>
        <w:rFonts w:ascii="Wingdings" w:hAnsi="Wingdings" w:hint="default"/>
      </w:rPr>
    </w:lvl>
    <w:lvl w:ilvl="6" w:tplc="61A68AC2">
      <w:start w:val="1"/>
      <w:numFmt w:val="bullet"/>
      <w:lvlText w:val=""/>
      <w:lvlJc w:val="left"/>
      <w:pPr>
        <w:ind w:left="5040" w:hanging="360"/>
      </w:pPr>
      <w:rPr>
        <w:rFonts w:ascii="Symbol" w:hAnsi="Symbol" w:hint="default"/>
      </w:rPr>
    </w:lvl>
    <w:lvl w:ilvl="7" w:tplc="95B60DA8">
      <w:start w:val="1"/>
      <w:numFmt w:val="bullet"/>
      <w:lvlText w:val="o"/>
      <w:lvlJc w:val="left"/>
      <w:pPr>
        <w:ind w:left="5760" w:hanging="360"/>
      </w:pPr>
      <w:rPr>
        <w:rFonts w:ascii="Courier New" w:hAnsi="Courier New" w:hint="default"/>
      </w:rPr>
    </w:lvl>
    <w:lvl w:ilvl="8" w:tplc="67F46246">
      <w:start w:val="1"/>
      <w:numFmt w:val="bullet"/>
      <w:lvlText w:val=""/>
      <w:lvlJc w:val="left"/>
      <w:pPr>
        <w:ind w:left="6480" w:hanging="360"/>
      </w:pPr>
      <w:rPr>
        <w:rFonts w:ascii="Wingdings" w:hAnsi="Wingdings" w:hint="default"/>
      </w:rPr>
    </w:lvl>
  </w:abstractNum>
  <w:abstractNum w:abstractNumId="19" w15:restartNumberingAfterBreak="0">
    <w:nsid w:val="08FE2282"/>
    <w:multiLevelType w:val="hybridMultilevel"/>
    <w:tmpl w:val="04768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9796852"/>
    <w:multiLevelType w:val="hybridMultilevel"/>
    <w:tmpl w:val="FFFFFFFF"/>
    <w:lvl w:ilvl="0" w:tplc="D2BE3BB2">
      <w:start w:val="1"/>
      <w:numFmt w:val="bullet"/>
      <w:lvlText w:val=""/>
      <w:lvlJc w:val="left"/>
      <w:pPr>
        <w:ind w:left="720" w:hanging="360"/>
      </w:pPr>
      <w:rPr>
        <w:rFonts w:ascii="Wingdings" w:hAnsi="Wingdings" w:hint="default"/>
      </w:rPr>
    </w:lvl>
    <w:lvl w:ilvl="1" w:tplc="91D40560">
      <w:start w:val="1"/>
      <w:numFmt w:val="bullet"/>
      <w:lvlText w:val="o"/>
      <w:lvlJc w:val="left"/>
      <w:pPr>
        <w:ind w:left="1440" w:hanging="360"/>
      </w:pPr>
      <w:rPr>
        <w:rFonts w:ascii="Courier New" w:hAnsi="Courier New" w:hint="default"/>
      </w:rPr>
    </w:lvl>
    <w:lvl w:ilvl="2" w:tplc="7B7E1490">
      <w:start w:val="1"/>
      <w:numFmt w:val="bullet"/>
      <w:lvlText w:val=""/>
      <w:lvlJc w:val="left"/>
      <w:pPr>
        <w:ind w:left="2160" w:hanging="360"/>
      </w:pPr>
      <w:rPr>
        <w:rFonts w:ascii="Wingdings" w:hAnsi="Wingdings" w:hint="default"/>
      </w:rPr>
    </w:lvl>
    <w:lvl w:ilvl="3" w:tplc="4C746E84">
      <w:start w:val="1"/>
      <w:numFmt w:val="bullet"/>
      <w:lvlText w:val=""/>
      <w:lvlJc w:val="left"/>
      <w:pPr>
        <w:ind w:left="2880" w:hanging="360"/>
      </w:pPr>
      <w:rPr>
        <w:rFonts w:ascii="Symbol" w:hAnsi="Symbol" w:hint="default"/>
      </w:rPr>
    </w:lvl>
    <w:lvl w:ilvl="4" w:tplc="4E0CA646">
      <w:start w:val="1"/>
      <w:numFmt w:val="bullet"/>
      <w:lvlText w:val="o"/>
      <w:lvlJc w:val="left"/>
      <w:pPr>
        <w:ind w:left="3600" w:hanging="360"/>
      </w:pPr>
      <w:rPr>
        <w:rFonts w:ascii="Courier New" w:hAnsi="Courier New" w:hint="default"/>
      </w:rPr>
    </w:lvl>
    <w:lvl w:ilvl="5" w:tplc="447477E4">
      <w:start w:val="1"/>
      <w:numFmt w:val="bullet"/>
      <w:lvlText w:val=""/>
      <w:lvlJc w:val="left"/>
      <w:pPr>
        <w:ind w:left="4320" w:hanging="360"/>
      </w:pPr>
      <w:rPr>
        <w:rFonts w:ascii="Wingdings" w:hAnsi="Wingdings" w:hint="default"/>
      </w:rPr>
    </w:lvl>
    <w:lvl w:ilvl="6" w:tplc="FC34FB2A">
      <w:start w:val="1"/>
      <w:numFmt w:val="bullet"/>
      <w:lvlText w:val=""/>
      <w:lvlJc w:val="left"/>
      <w:pPr>
        <w:ind w:left="5040" w:hanging="360"/>
      </w:pPr>
      <w:rPr>
        <w:rFonts w:ascii="Symbol" w:hAnsi="Symbol" w:hint="default"/>
      </w:rPr>
    </w:lvl>
    <w:lvl w:ilvl="7" w:tplc="4580CD94">
      <w:start w:val="1"/>
      <w:numFmt w:val="bullet"/>
      <w:lvlText w:val="o"/>
      <w:lvlJc w:val="left"/>
      <w:pPr>
        <w:ind w:left="5760" w:hanging="360"/>
      </w:pPr>
      <w:rPr>
        <w:rFonts w:ascii="Courier New" w:hAnsi="Courier New" w:hint="default"/>
      </w:rPr>
    </w:lvl>
    <w:lvl w:ilvl="8" w:tplc="47001782">
      <w:start w:val="1"/>
      <w:numFmt w:val="bullet"/>
      <w:lvlText w:val=""/>
      <w:lvlJc w:val="left"/>
      <w:pPr>
        <w:ind w:left="6480" w:hanging="360"/>
      </w:pPr>
      <w:rPr>
        <w:rFonts w:ascii="Wingdings" w:hAnsi="Wingdings" w:hint="default"/>
      </w:rPr>
    </w:lvl>
  </w:abstractNum>
  <w:abstractNum w:abstractNumId="21" w15:restartNumberingAfterBreak="0">
    <w:nsid w:val="0A895B50"/>
    <w:multiLevelType w:val="hybridMultilevel"/>
    <w:tmpl w:val="C046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C07315"/>
    <w:multiLevelType w:val="hybridMultilevel"/>
    <w:tmpl w:val="6434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BF60B18"/>
    <w:multiLevelType w:val="hybridMultilevel"/>
    <w:tmpl w:val="A8C89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C407C42"/>
    <w:multiLevelType w:val="hybridMultilevel"/>
    <w:tmpl w:val="FFFFFFFF"/>
    <w:lvl w:ilvl="0" w:tplc="85C2C844">
      <w:start w:val="1"/>
      <w:numFmt w:val="bullet"/>
      <w:lvlText w:val=""/>
      <w:lvlJc w:val="left"/>
      <w:pPr>
        <w:ind w:left="720" w:hanging="360"/>
      </w:pPr>
      <w:rPr>
        <w:rFonts w:ascii="Wingdings" w:hAnsi="Wingdings" w:hint="default"/>
      </w:rPr>
    </w:lvl>
    <w:lvl w:ilvl="1" w:tplc="8CB6B6C4">
      <w:start w:val="1"/>
      <w:numFmt w:val="bullet"/>
      <w:lvlText w:val="o"/>
      <w:lvlJc w:val="left"/>
      <w:pPr>
        <w:ind w:left="1440" w:hanging="360"/>
      </w:pPr>
      <w:rPr>
        <w:rFonts w:ascii="Courier New" w:hAnsi="Courier New" w:hint="default"/>
      </w:rPr>
    </w:lvl>
    <w:lvl w:ilvl="2" w:tplc="FDBE1A00">
      <w:start w:val="1"/>
      <w:numFmt w:val="bullet"/>
      <w:lvlText w:val=""/>
      <w:lvlJc w:val="left"/>
      <w:pPr>
        <w:ind w:left="2160" w:hanging="360"/>
      </w:pPr>
      <w:rPr>
        <w:rFonts w:ascii="Wingdings" w:hAnsi="Wingdings" w:hint="default"/>
      </w:rPr>
    </w:lvl>
    <w:lvl w:ilvl="3" w:tplc="E426473C">
      <w:start w:val="1"/>
      <w:numFmt w:val="bullet"/>
      <w:lvlText w:val=""/>
      <w:lvlJc w:val="left"/>
      <w:pPr>
        <w:ind w:left="2880" w:hanging="360"/>
      </w:pPr>
      <w:rPr>
        <w:rFonts w:ascii="Symbol" w:hAnsi="Symbol" w:hint="default"/>
      </w:rPr>
    </w:lvl>
    <w:lvl w:ilvl="4" w:tplc="239C9B6A">
      <w:start w:val="1"/>
      <w:numFmt w:val="bullet"/>
      <w:lvlText w:val="o"/>
      <w:lvlJc w:val="left"/>
      <w:pPr>
        <w:ind w:left="3600" w:hanging="360"/>
      </w:pPr>
      <w:rPr>
        <w:rFonts w:ascii="Courier New" w:hAnsi="Courier New" w:hint="default"/>
      </w:rPr>
    </w:lvl>
    <w:lvl w:ilvl="5" w:tplc="ADBEE59C">
      <w:start w:val="1"/>
      <w:numFmt w:val="bullet"/>
      <w:lvlText w:val=""/>
      <w:lvlJc w:val="left"/>
      <w:pPr>
        <w:ind w:left="4320" w:hanging="360"/>
      </w:pPr>
      <w:rPr>
        <w:rFonts w:ascii="Wingdings" w:hAnsi="Wingdings" w:hint="default"/>
      </w:rPr>
    </w:lvl>
    <w:lvl w:ilvl="6" w:tplc="3AD68AE6">
      <w:start w:val="1"/>
      <w:numFmt w:val="bullet"/>
      <w:lvlText w:val=""/>
      <w:lvlJc w:val="left"/>
      <w:pPr>
        <w:ind w:left="5040" w:hanging="360"/>
      </w:pPr>
      <w:rPr>
        <w:rFonts w:ascii="Symbol" w:hAnsi="Symbol" w:hint="default"/>
      </w:rPr>
    </w:lvl>
    <w:lvl w:ilvl="7" w:tplc="2040A8D2">
      <w:start w:val="1"/>
      <w:numFmt w:val="bullet"/>
      <w:lvlText w:val="o"/>
      <w:lvlJc w:val="left"/>
      <w:pPr>
        <w:ind w:left="5760" w:hanging="360"/>
      </w:pPr>
      <w:rPr>
        <w:rFonts w:ascii="Courier New" w:hAnsi="Courier New" w:hint="default"/>
      </w:rPr>
    </w:lvl>
    <w:lvl w:ilvl="8" w:tplc="0596BF56">
      <w:start w:val="1"/>
      <w:numFmt w:val="bullet"/>
      <w:lvlText w:val=""/>
      <w:lvlJc w:val="left"/>
      <w:pPr>
        <w:ind w:left="6480" w:hanging="360"/>
      </w:pPr>
      <w:rPr>
        <w:rFonts w:ascii="Wingdings" w:hAnsi="Wingdings" w:hint="default"/>
      </w:rPr>
    </w:lvl>
  </w:abstractNum>
  <w:abstractNum w:abstractNumId="25" w15:restartNumberingAfterBreak="0">
    <w:nsid w:val="0C6D5389"/>
    <w:multiLevelType w:val="hybridMultilevel"/>
    <w:tmpl w:val="DE944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E062AF1"/>
    <w:multiLevelType w:val="hybridMultilevel"/>
    <w:tmpl w:val="B3544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E17432D"/>
    <w:multiLevelType w:val="hybridMultilevel"/>
    <w:tmpl w:val="A2D66D34"/>
    <w:lvl w:ilvl="0" w:tplc="1E6464E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E7A2328"/>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E840460"/>
    <w:multiLevelType w:val="hybridMultilevel"/>
    <w:tmpl w:val="26305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EAC0530"/>
    <w:multiLevelType w:val="hybridMultilevel"/>
    <w:tmpl w:val="99C24D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F9F67E5"/>
    <w:multiLevelType w:val="hybridMultilevel"/>
    <w:tmpl w:val="11E6E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FC7744C"/>
    <w:multiLevelType w:val="hybridMultilevel"/>
    <w:tmpl w:val="3BCE968A"/>
    <w:lvl w:ilvl="0" w:tplc="C9C87BC4">
      <w:start w:val="1"/>
      <w:numFmt w:val="bullet"/>
      <w:lvlText w:val=""/>
      <w:lvlJc w:val="left"/>
      <w:pPr>
        <w:ind w:left="720" w:hanging="360"/>
      </w:pPr>
      <w:rPr>
        <w:rFonts w:ascii="Symbol" w:hAnsi="Symbol" w:hint="default"/>
      </w:rPr>
    </w:lvl>
    <w:lvl w:ilvl="1" w:tplc="EC10E960">
      <w:start w:val="1"/>
      <w:numFmt w:val="bullet"/>
      <w:pStyle w:val="ListBullet2"/>
      <w:lvlText w:val="o"/>
      <w:lvlJc w:val="left"/>
      <w:pPr>
        <w:ind w:left="1440" w:hanging="360"/>
      </w:pPr>
      <w:rPr>
        <w:rFonts w:ascii="Courier New" w:hAnsi="Courier New" w:cs="Courier New" w:hint="default"/>
      </w:rPr>
    </w:lvl>
    <w:lvl w:ilvl="2" w:tplc="448E5A36">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FC872E5"/>
    <w:multiLevelType w:val="hybridMultilevel"/>
    <w:tmpl w:val="FFFFFFFF"/>
    <w:lvl w:ilvl="0" w:tplc="748C96A4">
      <w:start w:val="1"/>
      <w:numFmt w:val="bullet"/>
      <w:lvlText w:val=""/>
      <w:lvlJc w:val="left"/>
      <w:pPr>
        <w:ind w:left="720" w:hanging="360"/>
      </w:pPr>
      <w:rPr>
        <w:rFonts w:ascii="Wingdings" w:hAnsi="Wingdings" w:hint="default"/>
      </w:rPr>
    </w:lvl>
    <w:lvl w:ilvl="1" w:tplc="75FE012C">
      <w:start w:val="1"/>
      <w:numFmt w:val="bullet"/>
      <w:lvlText w:val="o"/>
      <w:lvlJc w:val="left"/>
      <w:pPr>
        <w:ind w:left="1440" w:hanging="360"/>
      </w:pPr>
      <w:rPr>
        <w:rFonts w:ascii="Courier New" w:hAnsi="Courier New" w:hint="default"/>
      </w:rPr>
    </w:lvl>
    <w:lvl w:ilvl="2" w:tplc="46E4F15E">
      <w:start w:val="1"/>
      <w:numFmt w:val="bullet"/>
      <w:lvlText w:val=""/>
      <w:lvlJc w:val="left"/>
      <w:pPr>
        <w:ind w:left="2160" w:hanging="360"/>
      </w:pPr>
      <w:rPr>
        <w:rFonts w:ascii="Wingdings" w:hAnsi="Wingdings" w:hint="default"/>
      </w:rPr>
    </w:lvl>
    <w:lvl w:ilvl="3" w:tplc="4DEA8A98">
      <w:start w:val="1"/>
      <w:numFmt w:val="bullet"/>
      <w:lvlText w:val=""/>
      <w:lvlJc w:val="left"/>
      <w:pPr>
        <w:ind w:left="2880" w:hanging="360"/>
      </w:pPr>
      <w:rPr>
        <w:rFonts w:ascii="Symbol" w:hAnsi="Symbol" w:hint="default"/>
      </w:rPr>
    </w:lvl>
    <w:lvl w:ilvl="4" w:tplc="7C4E4942">
      <w:start w:val="1"/>
      <w:numFmt w:val="bullet"/>
      <w:lvlText w:val="o"/>
      <w:lvlJc w:val="left"/>
      <w:pPr>
        <w:ind w:left="3600" w:hanging="360"/>
      </w:pPr>
      <w:rPr>
        <w:rFonts w:ascii="Courier New" w:hAnsi="Courier New" w:hint="default"/>
      </w:rPr>
    </w:lvl>
    <w:lvl w:ilvl="5" w:tplc="D7BA986E">
      <w:start w:val="1"/>
      <w:numFmt w:val="bullet"/>
      <w:lvlText w:val=""/>
      <w:lvlJc w:val="left"/>
      <w:pPr>
        <w:ind w:left="4320" w:hanging="360"/>
      </w:pPr>
      <w:rPr>
        <w:rFonts w:ascii="Wingdings" w:hAnsi="Wingdings" w:hint="default"/>
      </w:rPr>
    </w:lvl>
    <w:lvl w:ilvl="6" w:tplc="20AA5E84">
      <w:start w:val="1"/>
      <w:numFmt w:val="bullet"/>
      <w:lvlText w:val=""/>
      <w:lvlJc w:val="left"/>
      <w:pPr>
        <w:ind w:left="5040" w:hanging="360"/>
      </w:pPr>
      <w:rPr>
        <w:rFonts w:ascii="Symbol" w:hAnsi="Symbol" w:hint="default"/>
      </w:rPr>
    </w:lvl>
    <w:lvl w:ilvl="7" w:tplc="4E64B404">
      <w:start w:val="1"/>
      <w:numFmt w:val="bullet"/>
      <w:lvlText w:val="o"/>
      <w:lvlJc w:val="left"/>
      <w:pPr>
        <w:ind w:left="5760" w:hanging="360"/>
      </w:pPr>
      <w:rPr>
        <w:rFonts w:ascii="Courier New" w:hAnsi="Courier New" w:hint="default"/>
      </w:rPr>
    </w:lvl>
    <w:lvl w:ilvl="8" w:tplc="A3D6E906">
      <w:start w:val="1"/>
      <w:numFmt w:val="bullet"/>
      <w:lvlText w:val=""/>
      <w:lvlJc w:val="left"/>
      <w:pPr>
        <w:ind w:left="6480" w:hanging="360"/>
      </w:pPr>
      <w:rPr>
        <w:rFonts w:ascii="Wingdings" w:hAnsi="Wingdings" w:hint="default"/>
      </w:rPr>
    </w:lvl>
  </w:abstractNum>
  <w:abstractNum w:abstractNumId="34" w15:restartNumberingAfterBreak="0">
    <w:nsid w:val="0FF85722"/>
    <w:multiLevelType w:val="hybridMultilevel"/>
    <w:tmpl w:val="EBF4B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03D195F"/>
    <w:multiLevelType w:val="hybridMultilevel"/>
    <w:tmpl w:val="133E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4149AB"/>
    <w:multiLevelType w:val="hybridMultilevel"/>
    <w:tmpl w:val="B7A81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05004A9"/>
    <w:multiLevelType w:val="hybridMultilevel"/>
    <w:tmpl w:val="0410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6B5EA3"/>
    <w:multiLevelType w:val="hybridMultilevel"/>
    <w:tmpl w:val="FFFFFFFF"/>
    <w:lvl w:ilvl="0" w:tplc="63F66516">
      <w:start w:val="1"/>
      <w:numFmt w:val="bullet"/>
      <w:lvlText w:val=""/>
      <w:lvlJc w:val="left"/>
      <w:pPr>
        <w:ind w:left="720" w:hanging="360"/>
      </w:pPr>
      <w:rPr>
        <w:rFonts w:ascii="Wingdings" w:hAnsi="Wingdings" w:hint="default"/>
      </w:rPr>
    </w:lvl>
    <w:lvl w:ilvl="1" w:tplc="59D4AA02">
      <w:start w:val="1"/>
      <w:numFmt w:val="bullet"/>
      <w:lvlText w:val="o"/>
      <w:lvlJc w:val="left"/>
      <w:pPr>
        <w:ind w:left="1440" w:hanging="360"/>
      </w:pPr>
      <w:rPr>
        <w:rFonts w:ascii="Courier New" w:hAnsi="Courier New" w:hint="default"/>
      </w:rPr>
    </w:lvl>
    <w:lvl w:ilvl="2" w:tplc="9014B4C4">
      <w:start w:val="1"/>
      <w:numFmt w:val="bullet"/>
      <w:lvlText w:val=""/>
      <w:lvlJc w:val="left"/>
      <w:pPr>
        <w:ind w:left="2160" w:hanging="360"/>
      </w:pPr>
      <w:rPr>
        <w:rFonts w:ascii="Wingdings" w:hAnsi="Wingdings" w:hint="default"/>
      </w:rPr>
    </w:lvl>
    <w:lvl w:ilvl="3" w:tplc="6386AA18">
      <w:start w:val="1"/>
      <w:numFmt w:val="bullet"/>
      <w:lvlText w:val=""/>
      <w:lvlJc w:val="left"/>
      <w:pPr>
        <w:ind w:left="2880" w:hanging="360"/>
      </w:pPr>
      <w:rPr>
        <w:rFonts w:ascii="Symbol" w:hAnsi="Symbol" w:hint="default"/>
      </w:rPr>
    </w:lvl>
    <w:lvl w:ilvl="4" w:tplc="DE388420">
      <w:start w:val="1"/>
      <w:numFmt w:val="bullet"/>
      <w:lvlText w:val="o"/>
      <w:lvlJc w:val="left"/>
      <w:pPr>
        <w:ind w:left="3600" w:hanging="360"/>
      </w:pPr>
      <w:rPr>
        <w:rFonts w:ascii="Courier New" w:hAnsi="Courier New" w:hint="default"/>
      </w:rPr>
    </w:lvl>
    <w:lvl w:ilvl="5" w:tplc="318C0ED6">
      <w:start w:val="1"/>
      <w:numFmt w:val="bullet"/>
      <w:lvlText w:val=""/>
      <w:lvlJc w:val="left"/>
      <w:pPr>
        <w:ind w:left="4320" w:hanging="360"/>
      </w:pPr>
      <w:rPr>
        <w:rFonts w:ascii="Wingdings" w:hAnsi="Wingdings" w:hint="default"/>
      </w:rPr>
    </w:lvl>
    <w:lvl w:ilvl="6" w:tplc="AD66A892">
      <w:start w:val="1"/>
      <w:numFmt w:val="bullet"/>
      <w:lvlText w:val=""/>
      <w:lvlJc w:val="left"/>
      <w:pPr>
        <w:ind w:left="5040" w:hanging="360"/>
      </w:pPr>
      <w:rPr>
        <w:rFonts w:ascii="Symbol" w:hAnsi="Symbol" w:hint="default"/>
      </w:rPr>
    </w:lvl>
    <w:lvl w:ilvl="7" w:tplc="91B69B92">
      <w:start w:val="1"/>
      <w:numFmt w:val="bullet"/>
      <w:lvlText w:val="o"/>
      <w:lvlJc w:val="left"/>
      <w:pPr>
        <w:ind w:left="5760" w:hanging="360"/>
      </w:pPr>
      <w:rPr>
        <w:rFonts w:ascii="Courier New" w:hAnsi="Courier New" w:hint="default"/>
      </w:rPr>
    </w:lvl>
    <w:lvl w:ilvl="8" w:tplc="DE82C1B4">
      <w:start w:val="1"/>
      <w:numFmt w:val="bullet"/>
      <w:lvlText w:val=""/>
      <w:lvlJc w:val="left"/>
      <w:pPr>
        <w:ind w:left="6480" w:hanging="360"/>
      </w:pPr>
      <w:rPr>
        <w:rFonts w:ascii="Wingdings" w:hAnsi="Wingdings" w:hint="default"/>
      </w:rPr>
    </w:lvl>
  </w:abstractNum>
  <w:abstractNum w:abstractNumId="39" w15:restartNumberingAfterBreak="0">
    <w:nsid w:val="10802676"/>
    <w:multiLevelType w:val="hybridMultilevel"/>
    <w:tmpl w:val="505C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1F5266A"/>
    <w:multiLevelType w:val="hybridMultilevel"/>
    <w:tmpl w:val="CFD2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24EFE8B"/>
    <w:multiLevelType w:val="hybridMultilevel"/>
    <w:tmpl w:val="FFFFFFFF"/>
    <w:lvl w:ilvl="0" w:tplc="B308C0BE">
      <w:start w:val="1"/>
      <w:numFmt w:val="bullet"/>
      <w:lvlText w:val=""/>
      <w:lvlJc w:val="left"/>
      <w:pPr>
        <w:ind w:left="720" w:hanging="360"/>
      </w:pPr>
      <w:rPr>
        <w:rFonts w:ascii="Wingdings" w:hAnsi="Wingdings" w:hint="default"/>
      </w:rPr>
    </w:lvl>
    <w:lvl w:ilvl="1" w:tplc="E9F871A6">
      <w:start w:val="1"/>
      <w:numFmt w:val="bullet"/>
      <w:lvlText w:val="o"/>
      <w:lvlJc w:val="left"/>
      <w:pPr>
        <w:ind w:left="1440" w:hanging="360"/>
      </w:pPr>
      <w:rPr>
        <w:rFonts w:ascii="Courier New" w:hAnsi="Courier New" w:hint="default"/>
      </w:rPr>
    </w:lvl>
    <w:lvl w:ilvl="2" w:tplc="8320E10E">
      <w:start w:val="1"/>
      <w:numFmt w:val="bullet"/>
      <w:lvlText w:val=""/>
      <w:lvlJc w:val="left"/>
      <w:pPr>
        <w:ind w:left="2160" w:hanging="360"/>
      </w:pPr>
      <w:rPr>
        <w:rFonts w:ascii="Wingdings" w:hAnsi="Wingdings" w:hint="default"/>
      </w:rPr>
    </w:lvl>
    <w:lvl w:ilvl="3" w:tplc="7312F55A">
      <w:start w:val="1"/>
      <w:numFmt w:val="bullet"/>
      <w:lvlText w:val=""/>
      <w:lvlJc w:val="left"/>
      <w:pPr>
        <w:ind w:left="2880" w:hanging="360"/>
      </w:pPr>
      <w:rPr>
        <w:rFonts w:ascii="Symbol" w:hAnsi="Symbol" w:hint="default"/>
      </w:rPr>
    </w:lvl>
    <w:lvl w:ilvl="4" w:tplc="202A50D6">
      <w:start w:val="1"/>
      <w:numFmt w:val="bullet"/>
      <w:lvlText w:val="o"/>
      <w:lvlJc w:val="left"/>
      <w:pPr>
        <w:ind w:left="3600" w:hanging="360"/>
      </w:pPr>
      <w:rPr>
        <w:rFonts w:ascii="Courier New" w:hAnsi="Courier New" w:hint="default"/>
      </w:rPr>
    </w:lvl>
    <w:lvl w:ilvl="5" w:tplc="75B64F1A">
      <w:start w:val="1"/>
      <w:numFmt w:val="bullet"/>
      <w:lvlText w:val=""/>
      <w:lvlJc w:val="left"/>
      <w:pPr>
        <w:ind w:left="4320" w:hanging="360"/>
      </w:pPr>
      <w:rPr>
        <w:rFonts w:ascii="Wingdings" w:hAnsi="Wingdings" w:hint="default"/>
      </w:rPr>
    </w:lvl>
    <w:lvl w:ilvl="6" w:tplc="14CC3C34">
      <w:start w:val="1"/>
      <w:numFmt w:val="bullet"/>
      <w:lvlText w:val=""/>
      <w:lvlJc w:val="left"/>
      <w:pPr>
        <w:ind w:left="5040" w:hanging="360"/>
      </w:pPr>
      <w:rPr>
        <w:rFonts w:ascii="Symbol" w:hAnsi="Symbol" w:hint="default"/>
      </w:rPr>
    </w:lvl>
    <w:lvl w:ilvl="7" w:tplc="072A5A38">
      <w:start w:val="1"/>
      <w:numFmt w:val="bullet"/>
      <w:lvlText w:val="o"/>
      <w:lvlJc w:val="left"/>
      <w:pPr>
        <w:ind w:left="5760" w:hanging="360"/>
      </w:pPr>
      <w:rPr>
        <w:rFonts w:ascii="Courier New" w:hAnsi="Courier New" w:hint="default"/>
      </w:rPr>
    </w:lvl>
    <w:lvl w:ilvl="8" w:tplc="AA6EE58A">
      <w:start w:val="1"/>
      <w:numFmt w:val="bullet"/>
      <w:lvlText w:val=""/>
      <w:lvlJc w:val="left"/>
      <w:pPr>
        <w:ind w:left="6480" w:hanging="360"/>
      </w:pPr>
      <w:rPr>
        <w:rFonts w:ascii="Wingdings" w:hAnsi="Wingdings" w:hint="default"/>
      </w:rPr>
    </w:lvl>
  </w:abstractNum>
  <w:abstractNum w:abstractNumId="42" w15:restartNumberingAfterBreak="0">
    <w:nsid w:val="130D0CC1"/>
    <w:multiLevelType w:val="hybridMultilevel"/>
    <w:tmpl w:val="D702F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304777"/>
    <w:multiLevelType w:val="hybridMultilevel"/>
    <w:tmpl w:val="B6FEC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48F7819"/>
    <w:multiLevelType w:val="multilevel"/>
    <w:tmpl w:val="64C2E4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150759F0"/>
    <w:multiLevelType w:val="hybridMultilevel"/>
    <w:tmpl w:val="0BBCA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5AC10B6"/>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164D459D"/>
    <w:multiLevelType w:val="hybridMultilevel"/>
    <w:tmpl w:val="A708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6945FEC"/>
    <w:multiLevelType w:val="hybridMultilevel"/>
    <w:tmpl w:val="51E4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7287E72"/>
    <w:multiLevelType w:val="hybridMultilevel"/>
    <w:tmpl w:val="4738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73C03DB"/>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188423F3"/>
    <w:multiLevelType w:val="hybridMultilevel"/>
    <w:tmpl w:val="D158C9B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2" w15:restartNumberingAfterBreak="0">
    <w:nsid w:val="1892614A"/>
    <w:multiLevelType w:val="hybridMultilevel"/>
    <w:tmpl w:val="44A02938"/>
    <w:lvl w:ilvl="0" w:tplc="1E6464E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8AB0AC3"/>
    <w:multiLevelType w:val="multilevel"/>
    <w:tmpl w:val="18CE0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18BD32C0"/>
    <w:multiLevelType w:val="multilevel"/>
    <w:tmpl w:val="5484A4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18DB489C"/>
    <w:multiLevelType w:val="hybridMultilevel"/>
    <w:tmpl w:val="A0CC6274"/>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19712E69"/>
    <w:multiLevelType w:val="hybridMultilevel"/>
    <w:tmpl w:val="4C26AF76"/>
    <w:lvl w:ilvl="0" w:tplc="1E6464E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9800272"/>
    <w:multiLevelType w:val="hybridMultilevel"/>
    <w:tmpl w:val="E1D6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9BE5567"/>
    <w:multiLevelType w:val="hybridMultilevel"/>
    <w:tmpl w:val="3DB2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B0D779C"/>
    <w:multiLevelType w:val="hybridMultilevel"/>
    <w:tmpl w:val="F18E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D25B629"/>
    <w:multiLevelType w:val="hybridMultilevel"/>
    <w:tmpl w:val="FFFFFFFF"/>
    <w:lvl w:ilvl="0" w:tplc="ED3823B2">
      <w:start w:val="1"/>
      <w:numFmt w:val="bullet"/>
      <w:lvlText w:val=""/>
      <w:lvlJc w:val="left"/>
      <w:pPr>
        <w:ind w:left="720" w:hanging="360"/>
      </w:pPr>
      <w:rPr>
        <w:rFonts w:ascii="Wingdings" w:hAnsi="Wingdings" w:hint="default"/>
      </w:rPr>
    </w:lvl>
    <w:lvl w:ilvl="1" w:tplc="A648C96C">
      <w:start w:val="1"/>
      <w:numFmt w:val="bullet"/>
      <w:lvlText w:val="o"/>
      <w:lvlJc w:val="left"/>
      <w:pPr>
        <w:ind w:left="1440" w:hanging="360"/>
      </w:pPr>
      <w:rPr>
        <w:rFonts w:ascii="Courier New" w:hAnsi="Courier New" w:hint="default"/>
      </w:rPr>
    </w:lvl>
    <w:lvl w:ilvl="2" w:tplc="CDE2E7E6">
      <w:start w:val="1"/>
      <w:numFmt w:val="bullet"/>
      <w:lvlText w:val=""/>
      <w:lvlJc w:val="left"/>
      <w:pPr>
        <w:ind w:left="2160" w:hanging="360"/>
      </w:pPr>
      <w:rPr>
        <w:rFonts w:ascii="Wingdings" w:hAnsi="Wingdings" w:hint="default"/>
      </w:rPr>
    </w:lvl>
    <w:lvl w:ilvl="3" w:tplc="F3F6C25A">
      <w:start w:val="1"/>
      <w:numFmt w:val="bullet"/>
      <w:lvlText w:val=""/>
      <w:lvlJc w:val="left"/>
      <w:pPr>
        <w:ind w:left="2880" w:hanging="360"/>
      </w:pPr>
      <w:rPr>
        <w:rFonts w:ascii="Symbol" w:hAnsi="Symbol" w:hint="default"/>
      </w:rPr>
    </w:lvl>
    <w:lvl w:ilvl="4" w:tplc="A5286686">
      <w:start w:val="1"/>
      <w:numFmt w:val="bullet"/>
      <w:lvlText w:val="o"/>
      <w:lvlJc w:val="left"/>
      <w:pPr>
        <w:ind w:left="3600" w:hanging="360"/>
      </w:pPr>
      <w:rPr>
        <w:rFonts w:ascii="Courier New" w:hAnsi="Courier New" w:hint="default"/>
      </w:rPr>
    </w:lvl>
    <w:lvl w:ilvl="5" w:tplc="7CC6529C">
      <w:start w:val="1"/>
      <w:numFmt w:val="bullet"/>
      <w:lvlText w:val=""/>
      <w:lvlJc w:val="left"/>
      <w:pPr>
        <w:ind w:left="4320" w:hanging="360"/>
      </w:pPr>
      <w:rPr>
        <w:rFonts w:ascii="Wingdings" w:hAnsi="Wingdings" w:hint="default"/>
      </w:rPr>
    </w:lvl>
    <w:lvl w:ilvl="6" w:tplc="828472BE">
      <w:start w:val="1"/>
      <w:numFmt w:val="bullet"/>
      <w:lvlText w:val=""/>
      <w:lvlJc w:val="left"/>
      <w:pPr>
        <w:ind w:left="5040" w:hanging="360"/>
      </w:pPr>
      <w:rPr>
        <w:rFonts w:ascii="Symbol" w:hAnsi="Symbol" w:hint="default"/>
      </w:rPr>
    </w:lvl>
    <w:lvl w:ilvl="7" w:tplc="76A057B2">
      <w:start w:val="1"/>
      <w:numFmt w:val="bullet"/>
      <w:lvlText w:val="o"/>
      <w:lvlJc w:val="left"/>
      <w:pPr>
        <w:ind w:left="5760" w:hanging="360"/>
      </w:pPr>
      <w:rPr>
        <w:rFonts w:ascii="Courier New" w:hAnsi="Courier New" w:hint="default"/>
      </w:rPr>
    </w:lvl>
    <w:lvl w:ilvl="8" w:tplc="A3FA4CE4">
      <w:start w:val="1"/>
      <w:numFmt w:val="bullet"/>
      <w:lvlText w:val=""/>
      <w:lvlJc w:val="left"/>
      <w:pPr>
        <w:ind w:left="6480" w:hanging="360"/>
      </w:pPr>
      <w:rPr>
        <w:rFonts w:ascii="Wingdings" w:hAnsi="Wingdings" w:hint="default"/>
      </w:rPr>
    </w:lvl>
  </w:abstractNum>
  <w:abstractNum w:abstractNumId="61" w15:restartNumberingAfterBreak="0">
    <w:nsid w:val="1D7A0A0C"/>
    <w:multiLevelType w:val="hybridMultilevel"/>
    <w:tmpl w:val="35FA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E084427"/>
    <w:multiLevelType w:val="hybridMultilevel"/>
    <w:tmpl w:val="B660F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E4F6383"/>
    <w:multiLevelType w:val="hybridMultilevel"/>
    <w:tmpl w:val="D022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EEA275B"/>
    <w:multiLevelType w:val="hybridMultilevel"/>
    <w:tmpl w:val="2F506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EFA4282"/>
    <w:multiLevelType w:val="hybridMultilevel"/>
    <w:tmpl w:val="FFFFFFFF"/>
    <w:lvl w:ilvl="0" w:tplc="B80674F8">
      <w:start w:val="1"/>
      <w:numFmt w:val="bullet"/>
      <w:lvlText w:val=""/>
      <w:lvlJc w:val="left"/>
      <w:pPr>
        <w:ind w:left="720" w:hanging="360"/>
      </w:pPr>
      <w:rPr>
        <w:rFonts w:ascii="Wingdings" w:hAnsi="Wingdings" w:hint="default"/>
      </w:rPr>
    </w:lvl>
    <w:lvl w:ilvl="1" w:tplc="CD862CC2">
      <w:start w:val="1"/>
      <w:numFmt w:val="bullet"/>
      <w:lvlText w:val="o"/>
      <w:lvlJc w:val="left"/>
      <w:pPr>
        <w:ind w:left="1440" w:hanging="360"/>
      </w:pPr>
      <w:rPr>
        <w:rFonts w:ascii="Courier New" w:hAnsi="Courier New" w:hint="default"/>
      </w:rPr>
    </w:lvl>
    <w:lvl w:ilvl="2" w:tplc="7912290C">
      <w:start w:val="1"/>
      <w:numFmt w:val="bullet"/>
      <w:lvlText w:val=""/>
      <w:lvlJc w:val="left"/>
      <w:pPr>
        <w:ind w:left="2160" w:hanging="360"/>
      </w:pPr>
      <w:rPr>
        <w:rFonts w:ascii="Wingdings" w:hAnsi="Wingdings" w:hint="default"/>
      </w:rPr>
    </w:lvl>
    <w:lvl w:ilvl="3" w:tplc="00B441C4">
      <w:start w:val="1"/>
      <w:numFmt w:val="bullet"/>
      <w:lvlText w:val=""/>
      <w:lvlJc w:val="left"/>
      <w:pPr>
        <w:ind w:left="2880" w:hanging="360"/>
      </w:pPr>
      <w:rPr>
        <w:rFonts w:ascii="Symbol" w:hAnsi="Symbol" w:hint="default"/>
      </w:rPr>
    </w:lvl>
    <w:lvl w:ilvl="4" w:tplc="6316ABE8">
      <w:start w:val="1"/>
      <w:numFmt w:val="bullet"/>
      <w:lvlText w:val="o"/>
      <w:lvlJc w:val="left"/>
      <w:pPr>
        <w:ind w:left="3600" w:hanging="360"/>
      </w:pPr>
      <w:rPr>
        <w:rFonts w:ascii="Courier New" w:hAnsi="Courier New" w:hint="default"/>
      </w:rPr>
    </w:lvl>
    <w:lvl w:ilvl="5" w:tplc="7C0E830C">
      <w:start w:val="1"/>
      <w:numFmt w:val="bullet"/>
      <w:lvlText w:val=""/>
      <w:lvlJc w:val="left"/>
      <w:pPr>
        <w:ind w:left="4320" w:hanging="360"/>
      </w:pPr>
      <w:rPr>
        <w:rFonts w:ascii="Wingdings" w:hAnsi="Wingdings" w:hint="default"/>
      </w:rPr>
    </w:lvl>
    <w:lvl w:ilvl="6" w:tplc="E7BA796C">
      <w:start w:val="1"/>
      <w:numFmt w:val="bullet"/>
      <w:lvlText w:val=""/>
      <w:lvlJc w:val="left"/>
      <w:pPr>
        <w:ind w:left="5040" w:hanging="360"/>
      </w:pPr>
      <w:rPr>
        <w:rFonts w:ascii="Symbol" w:hAnsi="Symbol" w:hint="default"/>
      </w:rPr>
    </w:lvl>
    <w:lvl w:ilvl="7" w:tplc="BA42F69E">
      <w:start w:val="1"/>
      <w:numFmt w:val="bullet"/>
      <w:lvlText w:val="o"/>
      <w:lvlJc w:val="left"/>
      <w:pPr>
        <w:ind w:left="5760" w:hanging="360"/>
      </w:pPr>
      <w:rPr>
        <w:rFonts w:ascii="Courier New" w:hAnsi="Courier New" w:hint="default"/>
      </w:rPr>
    </w:lvl>
    <w:lvl w:ilvl="8" w:tplc="9AE85FDC">
      <w:start w:val="1"/>
      <w:numFmt w:val="bullet"/>
      <w:lvlText w:val=""/>
      <w:lvlJc w:val="left"/>
      <w:pPr>
        <w:ind w:left="6480" w:hanging="360"/>
      </w:pPr>
      <w:rPr>
        <w:rFonts w:ascii="Wingdings" w:hAnsi="Wingdings" w:hint="default"/>
      </w:rPr>
    </w:lvl>
  </w:abstractNum>
  <w:abstractNum w:abstractNumId="66" w15:restartNumberingAfterBreak="0">
    <w:nsid w:val="1F1B0A55"/>
    <w:multiLevelType w:val="multilevel"/>
    <w:tmpl w:val="04906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1F56677B"/>
    <w:multiLevelType w:val="hybridMultilevel"/>
    <w:tmpl w:val="28E65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0307A0A"/>
    <w:multiLevelType w:val="hybridMultilevel"/>
    <w:tmpl w:val="9402B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091166A"/>
    <w:multiLevelType w:val="hybridMultilevel"/>
    <w:tmpl w:val="12103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1C64F82"/>
    <w:multiLevelType w:val="hybridMultilevel"/>
    <w:tmpl w:val="EB2EF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1E16B3F"/>
    <w:multiLevelType w:val="multilevel"/>
    <w:tmpl w:val="0AD4D1AA"/>
    <w:lvl w:ilvl="0">
      <w:start w:val="1"/>
      <w:numFmt w:val="bullet"/>
      <w:lvlText w:val=""/>
      <w:lvlJc w:val="left"/>
      <w:pPr>
        <w:ind w:left="720" w:hanging="360"/>
      </w:pPr>
      <w:rPr>
        <w:rFonts w:ascii="Symbol" w:hAnsi="Symbol" w:hint="default"/>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21E506CB"/>
    <w:multiLevelType w:val="hybridMultilevel"/>
    <w:tmpl w:val="B3F0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1F72A83"/>
    <w:multiLevelType w:val="hybridMultilevel"/>
    <w:tmpl w:val="4E00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320499B"/>
    <w:multiLevelType w:val="hybridMultilevel"/>
    <w:tmpl w:val="2718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40455C5"/>
    <w:multiLevelType w:val="hybridMultilevel"/>
    <w:tmpl w:val="65C48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410355F"/>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243E0511"/>
    <w:multiLevelType w:val="hybridMultilevel"/>
    <w:tmpl w:val="1D64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46269DA"/>
    <w:multiLevelType w:val="hybridMultilevel"/>
    <w:tmpl w:val="43382926"/>
    <w:lvl w:ilvl="0" w:tplc="1E6464E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47A6D51"/>
    <w:multiLevelType w:val="hybridMultilevel"/>
    <w:tmpl w:val="FFFFFFFF"/>
    <w:lvl w:ilvl="0" w:tplc="E20EE3E8">
      <w:start w:val="1"/>
      <w:numFmt w:val="bullet"/>
      <w:lvlText w:val=""/>
      <w:lvlJc w:val="left"/>
      <w:pPr>
        <w:ind w:left="720" w:hanging="360"/>
      </w:pPr>
      <w:rPr>
        <w:rFonts w:ascii="Wingdings" w:hAnsi="Wingdings" w:hint="default"/>
      </w:rPr>
    </w:lvl>
    <w:lvl w:ilvl="1" w:tplc="C1AA3FC6">
      <w:start w:val="1"/>
      <w:numFmt w:val="bullet"/>
      <w:lvlText w:val="o"/>
      <w:lvlJc w:val="left"/>
      <w:pPr>
        <w:ind w:left="1440" w:hanging="360"/>
      </w:pPr>
      <w:rPr>
        <w:rFonts w:ascii="Courier New" w:hAnsi="Courier New" w:hint="default"/>
      </w:rPr>
    </w:lvl>
    <w:lvl w:ilvl="2" w:tplc="211A5BCA">
      <w:start w:val="1"/>
      <w:numFmt w:val="bullet"/>
      <w:lvlText w:val=""/>
      <w:lvlJc w:val="left"/>
      <w:pPr>
        <w:ind w:left="2160" w:hanging="360"/>
      </w:pPr>
      <w:rPr>
        <w:rFonts w:ascii="Wingdings" w:hAnsi="Wingdings" w:hint="default"/>
      </w:rPr>
    </w:lvl>
    <w:lvl w:ilvl="3" w:tplc="CD40A3E0">
      <w:start w:val="1"/>
      <w:numFmt w:val="bullet"/>
      <w:lvlText w:val=""/>
      <w:lvlJc w:val="left"/>
      <w:pPr>
        <w:ind w:left="2880" w:hanging="360"/>
      </w:pPr>
      <w:rPr>
        <w:rFonts w:ascii="Symbol" w:hAnsi="Symbol" w:hint="default"/>
      </w:rPr>
    </w:lvl>
    <w:lvl w:ilvl="4" w:tplc="73B2D6B8">
      <w:start w:val="1"/>
      <w:numFmt w:val="bullet"/>
      <w:lvlText w:val="o"/>
      <w:lvlJc w:val="left"/>
      <w:pPr>
        <w:ind w:left="3600" w:hanging="360"/>
      </w:pPr>
      <w:rPr>
        <w:rFonts w:ascii="Courier New" w:hAnsi="Courier New" w:hint="default"/>
      </w:rPr>
    </w:lvl>
    <w:lvl w:ilvl="5" w:tplc="CB70064A">
      <w:start w:val="1"/>
      <w:numFmt w:val="bullet"/>
      <w:lvlText w:val=""/>
      <w:lvlJc w:val="left"/>
      <w:pPr>
        <w:ind w:left="4320" w:hanging="360"/>
      </w:pPr>
      <w:rPr>
        <w:rFonts w:ascii="Wingdings" w:hAnsi="Wingdings" w:hint="default"/>
      </w:rPr>
    </w:lvl>
    <w:lvl w:ilvl="6" w:tplc="7F4638B6">
      <w:start w:val="1"/>
      <w:numFmt w:val="bullet"/>
      <w:lvlText w:val=""/>
      <w:lvlJc w:val="left"/>
      <w:pPr>
        <w:ind w:left="5040" w:hanging="360"/>
      </w:pPr>
      <w:rPr>
        <w:rFonts w:ascii="Symbol" w:hAnsi="Symbol" w:hint="default"/>
      </w:rPr>
    </w:lvl>
    <w:lvl w:ilvl="7" w:tplc="F756272A">
      <w:start w:val="1"/>
      <w:numFmt w:val="bullet"/>
      <w:lvlText w:val="o"/>
      <w:lvlJc w:val="left"/>
      <w:pPr>
        <w:ind w:left="5760" w:hanging="360"/>
      </w:pPr>
      <w:rPr>
        <w:rFonts w:ascii="Courier New" w:hAnsi="Courier New" w:hint="default"/>
      </w:rPr>
    </w:lvl>
    <w:lvl w:ilvl="8" w:tplc="CB1A3C02">
      <w:start w:val="1"/>
      <w:numFmt w:val="bullet"/>
      <w:lvlText w:val=""/>
      <w:lvlJc w:val="left"/>
      <w:pPr>
        <w:ind w:left="6480" w:hanging="360"/>
      </w:pPr>
      <w:rPr>
        <w:rFonts w:ascii="Wingdings" w:hAnsi="Wingdings" w:hint="default"/>
      </w:rPr>
    </w:lvl>
  </w:abstractNum>
  <w:abstractNum w:abstractNumId="80" w15:restartNumberingAfterBreak="0">
    <w:nsid w:val="249207C4"/>
    <w:multiLevelType w:val="hybridMultilevel"/>
    <w:tmpl w:val="FFFFFFFF"/>
    <w:lvl w:ilvl="0" w:tplc="6F3CAECC">
      <w:start w:val="1"/>
      <w:numFmt w:val="bullet"/>
      <w:lvlText w:val=""/>
      <w:lvlJc w:val="left"/>
      <w:pPr>
        <w:ind w:left="720" w:hanging="360"/>
      </w:pPr>
      <w:rPr>
        <w:rFonts w:ascii="Wingdings" w:hAnsi="Wingdings" w:hint="default"/>
      </w:rPr>
    </w:lvl>
    <w:lvl w:ilvl="1" w:tplc="769CCACA">
      <w:start w:val="1"/>
      <w:numFmt w:val="bullet"/>
      <w:lvlText w:val="o"/>
      <w:lvlJc w:val="left"/>
      <w:pPr>
        <w:ind w:left="1440" w:hanging="360"/>
      </w:pPr>
      <w:rPr>
        <w:rFonts w:ascii="Courier New" w:hAnsi="Courier New" w:hint="default"/>
      </w:rPr>
    </w:lvl>
    <w:lvl w:ilvl="2" w:tplc="4620A38A">
      <w:start w:val="1"/>
      <w:numFmt w:val="bullet"/>
      <w:lvlText w:val=""/>
      <w:lvlJc w:val="left"/>
      <w:pPr>
        <w:ind w:left="2160" w:hanging="360"/>
      </w:pPr>
      <w:rPr>
        <w:rFonts w:ascii="Wingdings" w:hAnsi="Wingdings" w:hint="default"/>
      </w:rPr>
    </w:lvl>
    <w:lvl w:ilvl="3" w:tplc="7884E98C">
      <w:start w:val="1"/>
      <w:numFmt w:val="bullet"/>
      <w:lvlText w:val=""/>
      <w:lvlJc w:val="left"/>
      <w:pPr>
        <w:ind w:left="2880" w:hanging="360"/>
      </w:pPr>
      <w:rPr>
        <w:rFonts w:ascii="Symbol" w:hAnsi="Symbol" w:hint="default"/>
      </w:rPr>
    </w:lvl>
    <w:lvl w:ilvl="4" w:tplc="63ECCAB0">
      <w:start w:val="1"/>
      <w:numFmt w:val="bullet"/>
      <w:lvlText w:val="o"/>
      <w:lvlJc w:val="left"/>
      <w:pPr>
        <w:ind w:left="3600" w:hanging="360"/>
      </w:pPr>
      <w:rPr>
        <w:rFonts w:ascii="Courier New" w:hAnsi="Courier New" w:hint="default"/>
      </w:rPr>
    </w:lvl>
    <w:lvl w:ilvl="5" w:tplc="60D2B09A">
      <w:start w:val="1"/>
      <w:numFmt w:val="bullet"/>
      <w:lvlText w:val=""/>
      <w:lvlJc w:val="left"/>
      <w:pPr>
        <w:ind w:left="4320" w:hanging="360"/>
      </w:pPr>
      <w:rPr>
        <w:rFonts w:ascii="Wingdings" w:hAnsi="Wingdings" w:hint="default"/>
      </w:rPr>
    </w:lvl>
    <w:lvl w:ilvl="6" w:tplc="93BAC676">
      <w:start w:val="1"/>
      <w:numFmt w:val="bullet"/>
      <w:lvlText w:val=""/>
      <w:lvlJc w:val="left"/>
      <w:pPr>
        <w:ind w:left="5040" w:hanging="360"/>
      </w:pPr>
      <w:rPr>
        <w:rFonts w:ascii="Symbol" w:hAnsi="Symbol" w:hint="default"/>
      </w:rPr>
    </w:lvl>
    <w:lvl w:ilvl="7" w:tplc="3CA85264">
      <w:start w:val="1"/>
      <w:numFmt w:val="bullet"/>
      <w:lvlText w:val="o"/>
      <w:lvlJc w:val="left"/>
      <w:pPr>
        <w:ind w:left="5760" w:hanging="360"/>
      </w:pPr>
      <w:rPr>
        <w:rFonts w:ascii="Courier New" w:hAnsi="Courier New" w:hint="default"/>
      </w:rPr>
    </w:lvl>
    <w:lvl w:ilvl="8" w:tplc="1D6C1126">
      <w:start w:val="1"/>
      <w:numFmt w:val="bullet"/>
      <w:lvlText w:val=""/>
      <w:lvlJc w:val="left"/>
      <w:pPr>
        <w:ind w:left="6480" w:hanging="360"/>
      </w:pPr>
      <w:rPr>
        <w:rFonts w:ascii="Wingdings" w:hAnsi="Wingdings" w:hint="default"/>
      </w:rPr>
    </w:lvl>
  </w:abstractNum>
  <w:abstractNum w:abstractNumId="81" w15:restartNumberingAfterBreak="0">
    <w:nsid w:val="24F62CF6"/>
    <w:multiLevelType w:val="hybridMultilevel"/>
    <w:tmpl w:val="477E0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5AA818F"/>
    <w:multiLevelType w:val="hybridMultilevel"/>
    <w:tmpl w:val="FFFFFFFF"/>
    <w:lvl w:ilvl="0" w:tplc="F88004D0">
      <w:start w:val="1"/>
      <w:numFmt w:val="decimal"/>
      <w:lvlText w:val="%1."/>
      <w:lvlJc w:val="left"/>
      <w:pPr>
        <w:ind w:left="720" w:hanging="360"/>
      </w:pPr>
    </w:lvl>
    <w:lvl w:ilvl="1" w:tplc="03D20654">
      <w:start w:val="1"/>
      <w:numFmt w:val="lowerLetter"/>
      <w:lvlText w:val="%2."/>
      <w:lvlJc w:val="left"/>
      <w:pPr>
        <w:ind w:left="1440" w:hanging="360"/>
      </w:pPr>
    </w:lvl>
    <w:lvl w:ilvl="2" w:tplc="1ECE2468">
      <w:start w:val="1"/>
      <w:numFmt w:val="lowerRoman"/>
      <w:lvlText w:val="%3."/>
      <w:lvlJc w:val="right"/>
      <w:pPr>
        <w:ind w:left="2160" w:hanging="180"/>
      </w:pPr>
    </w:lvl>
    <w:lvl w:ilvl="3" w:tplc="0B3A076E">
      <w:start w:val="1"/>
      <w:numFmt w:val="decimal"/>
      <w:lvlText w:val="%4."/>
      <w:lvlJc w:val="left"/>
      <w:pPr>
        <w:ind w:left="2880" w:hanging="360"/>
      </w:pPr>
    </w:lvl>
    <w:lvl w:ilvl="4" w:tplc="6DE2EA48">
      <w:start w:val="1"/>
      <w:numFmt w:val="lowerLetter"/>
      <w:lvlText w:val="%5."/>
      <w:lvlJc w:val="left"/>
      <w:pPr>
        <w:ind w:left="3600" w:hanging="360"/>
      </w:pPr>
    </w:lvl>
    <w:lvl w:ilvl="5" w:tplc="7C10122C">
      <w:start w:val="1"/>
      <w:numFmt w:val="lowerRoman"/>
      <w:lvlText w:val="%6."/>
      <w:lvlJc w:val="right"/>
      <w:pPr>
        <w:ind w:left="4320" w:hanging="180"/>
      </w:pPr>
    </w:lvl>
    <w:lvl w:ilvl="6" w:tplc="601A5552">
      <w:start w:val="1"/>
      <w:numFmt w:val="decimal"/>
      <w:lvlText w:val="%7."/>
      <w:lvlJc w:val="left"/>
      <w:pPr>
        <w:ind w:left="5040" w:hanging="360"/>
      </w:pPr>
    </w:lvl>
    <w:lvl w:ilvl="7" w:tplc="7B8414C0">
      <w:start w:val="1"/>
      <w:numFmt w:val="lowerLetter"/>
      <w:lvlText w:val="%8."/>
      <w:lvlJc w:val="left"/>
      <w:pPr>
        <w:ind w:left="5760" w:hanging="360"/>
      </w:pPr>
    </w:lvl>
    <w:lvl w:ilvl="8" w:tplc="6360EA54">
      <w:start w:val="1"/>
      <w:numFmt w:val="lowerRoman"/>
      <w:lvlText w:val="%9."/>
      <w:lvlJc w:val="right"/>
      <w:pPr>
        <w:ind w:left="6480" w:hanging="180"/>
      </w:pPr>
    </w:lvl>
  </w:abstractNum>
  <w:abstractNum w:abstractNumId="83" w15:restartNumberingAfterBreak="0">
    <w:nsid w:val="25E20646"/>
    <w:multiLevelType w:val="hybridMultilevel"/>
    <w:tmpl w:val="7D827FF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25FC76A1"/>
    <w:multiLevelType w:val="hybridMultilevel"/>
    <w:tmpl w:val="B810A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6831B04"/>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26E3488F"/>
    <w:multiLevelType w:val="hybridMultilevel"/>
    <w:tmpl w:val="FFFFFFFF"/>
    <w:lvl w:ilvl="0" w:tplc="2402A8F2">
      <w:start w:val="1"/>
      <w:numFmt w:val="bullet"/>
      <w:lvlText w:val=""/>
      <w:lvlJc w:val="left"/>
      <w:pPr>
        <w:ind w:left="720" w:hanging="360"/>
      </w:pPr>
      <w:rPr>
        <w:rFonts w:ascii="Wingdings" w:hAnsi="Wingdings" w:hint="default"/>
      </w:rPr>
    </w:lvl>
    <w:lvl w:ilvl="1" w:tplc="E42C243E">
      <w:start w:val="1"/>
      <w:numFmt w:val="bullet"/>
      <w:lvlText w:val="o"/>
      <w:lvlJc w:val="left"/>
      <w:pPr>
        <w:ind w:left="1440" w:hanging="360"/>
      </w:pPr>
      <w:rPr>
        <w:rFonts w:ascii="Courier New" w:hAnsi="Courier New" w:hint="default"/>
      </w:rPr>
    </w:lvl>
    <w:lvl w:ilvl="2" w:tplc="AA1677C6">
      <w:start w:val="1"/>
      <w:numFmt w:val="bullet"/>
      <w:lvlText w:val=""/>
      <w:lvlJc w:val="left"/>
      <w:pPr>
        <w:ind w:left="2160" w:hanging="360"/>
      </w:pPr>
      <w:rPr>
        <w:rFonts w:ascii="Wingdings" w:hAnsi="Wingdings" w:hint="default"/>
      </w:rPr>
    </w:lvl>
    <w:lvl w:ilvl="3" w:tplc="4E36FDA8">
      <w:start w:val="1"/>
      <w:numFmt w:val="bullet"/>
      <w:lvlText w:val=""/>
      <w:lvlJc w:val="left"/>
      <w:pPr>
        <w:ind w:left="2880" w:hanging="360"/>
      </w:pPr>
      <w:rPr>
        <w:rFonts w:ascii="Symbol" w:hAnsi="Symbol" w:hint="default"/>
      </w:rPr>
    </w:lvl>
    <w:lvl w:ilvl="4" w:tplc="CE7A9946">
      <w:start w:val="1"/>
      <w:numFmt w:val="bullet"/>
      <w:lvlText w:val="o"/>
      <w:lvlJc w:val="left"/>
      <w:pPr>
        <w:ind w:left="3600" w:hanging="360"/>
      </w:pPr>
      <w:rPr>
        <w:rFonts w:ascii="Courier New" w:hAnsi="Courier New" w:hint="default"/>
      </w:rPr>
    </w:lvl>
    <w:lvl w:ilvl="5" w:tplc="C014537C">
      <w:start w:val="1"/>
      <w:numFmt w:val="bullet"/>
      <w:lvlText w:val=""/>
      <w:lvlJc w:val="left"/>
      <w:pPr>
        <w:ind w:left="4320" w:hanging="360"/>
      </w:pPr>
      <w:rPr>
        <w:rFonts w:ascii="Wingdings" w:hAnsi="Wingdings" w:hint="default"/>
      </w:rPr>
    </w:lvl>
    <w:lvl w:ilvl="6" w:tplc="13ECCA6C">
      <w:start w:val="1"/>
      <w:numFmt w:val="bullet"/>
      <w:lvlText w:val=""/>
      <w:lvlJc w:val="left"/>
      <w:pPr>
        <w:ind w:left="5040" w:hanging="360"/>
      </w:pPr>
      <w:rPr>
        <w:rFonts w:ascii="Symbol" w:hAnsi="Symbol" w:hint="default"/>
      </w:rPr>
    </w:lvl>
    <w:lvl w:ilvl="7" w:tplc="24E84B44">
      <w:start w:val="1"/>
      <w:numFmt w:val="bullet"/>
      <w:lvlText w:val="o"/>
      <w:lvlJc w:val="left"/>
      <w:pPr>
        <w:ind w:left="5760" w:hanging="360"/>
      </w:pPr>
      <w:rPr>
        <w:rFonts w:ascii="Courier New" w:hAnsi="Courier New" w:hint="default"/>
      </w:rPr>
    </w:lvl>
    <w:lvl w:ilvl="8" w:tplc="D58AC08C">
      <w:start w:val="1"/>
      <w:numFmt w:val="bullet"/>
      <w:lvlText w:val=""/>
      <w:lvlJc w:val="left"/>
      <w:pPr>
        <w:ind w:left="6480" w:hanging="360"/>
      </w:pPr>
      <w:rPr>
        <w:rFonts w:ascii="Wingdings" w:hAnsi="Wingdings" w:hint="default"/>
      </w:rPr>
    </w:lvl>
  </w:abstractNum>
  <w:abstractNum w:abstractNumId="87" w15:restartNumberingAfterBreak="0">
    <w:nsid w:val="26FA0AF9"/>
    <w:multiLevelType w:val="hybridMultilevel"/>
    <w:tmpl w:val="DA5476A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27A52A74"/>
    <w:multiLevelType w:val="hybridMultilevel"/>
    <w:tmpl w:val="D084F6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7BD7792"/>
    <w:multiLevelType w:val="hybridMultilevel"/>
    <w:tmpl w:val="FFFFFFFF"/>
    <w:lvl w:ilvl="0" w:tplc="3E80269C">
      <w:start w:val="1"/>
      <w:numFmt w:val="bullet"/>
      <w:lvlText w:val=""/>
      <w:lvlJc w:val="left"/>
      <w:pPr>
        <w:ind w:left="720" w:hanging="360"/>
      </w:pPr>
      <w:rPr>
        <w:rFonts w:ascii="Wingdings" w:hAnsi="Wingdings" w:hint="default"/>
      </w:rPr>
    </w:lvl>
    <w:lvl w:ilvl="1" w:tplc="897846A8">
      <w:start w:val="1"/>
      <w:numFmt w:val="bullet"/>
      <w:lvlText w:val="o"/>
      <w:lvlJc w:val="left"/>
      <w:pPr>
        <w:ind w:left="1440" w:hanging="360"/>
      </w:pPr>
      <w:rPr>
        <w:rFonts w:ascii="Courier New" w:hAnsi="Courier New" w:hint="default"/>
      </w:rPr>
    </w:lvl>
    <w:lvl w:ilvl="2" w:tplc="FC667A94">
      <w:start w:val="1"/>
      <w:numFmt w:val="bullet"/>
      <w:lvlText w:val=""/>
      <w:lvlJc w:val="left"/>
      <w:pPr>
        <w:ind w:left="2160" w:hanging="360"/>
      </w:pPr>
      <w:rPr>
        <w:rFonts w:ascii="Wingdings" w:hAnsi="Wingdings" w:hint="default"/>
      </w:rPr>
    </w:lvl>
    <w:lvl w:ilvl="3" w:tplc="05FABA9C">
      <w:start w:val="1"/>
      <w:numFmt w:val="bullet"/>
      <w:lvlText w:val=""/>
      <w:lvlJc w:val="left"/>
      <w:pPr>
        <w:ind w:left="2880" w:hanging="360"/>
      </w:pPr>
      <w:rPr>
        <w:rFonts w:ascii="Symbol" w:hAnsi="Symbol" w:hint="default"/>
      </w:rPr>
    </w:lvl>
    <w:lvl w:ilvl="4" w:tplc="6D2CC0A6">
      <w:start w:val="1"/>
      <w:numFmt w:val="bullet"/>
      <w:lvlText w:val="o"/>
      <w:lvlJc w:val="left"/>
      <w:pPr>
        <w:ind w:left="3600" w:hanging="360"/>
      </w:pPr>
      <w:rPr>
        <w:rFonts w:ascii="Courier New" w:hAnsi="Courier New" w:hint="default"/>
      </w:rPr>
    </w:lvl>
    <w:lvl w:ilvl="5" w:tplc="3DE4AE56">
      <w:start w:val="1"/>
      <w:numFmt w:val="bullet"/>
      <w:lvlText w:val=""/>
      <w:lvlJc w:val="left"/>
      <w:pPr>
        <w:ind w:left="4320" w:hanging="360"/>
      </w:pPr>
      <w:rPr>
        <w:rFonts w:ascii="Wingdings" w:hAnsi="Wingdings" w:hint="default"/>
      </w:rPr>
    </w:lvl>
    <w:lvl w:ilvl="6" w:tplc="933A83B0">
      <w:start w:val="1"/>
      <w:numFmt w:val="bullet"/>
      <w:lvlText w:val=""/>
      <w:lvlJc w:val="left"/>
      <w:pPr>
        <w:ind w:left="5040" w:hanging="360"/>
      </w:pPr>
      <w:rPr>
        <w:rFonts w:ascii="Symbol" w:hAnsi="Symbol" w:hint="default"/>
      </w:rPr>
    </w:lvl>
    <w:lvl w:ilvl="7" w:tplc="5BE26F3C">
      <w:start w:val="1"/>
      <w:numFmt w:val="bullet"/>
      <w:lvlText w:val="o"/>
      <w:lvlJc w:val="left"/>
      <w:pPr>
        <w:ind w:left="5760" w:hanging="360"/>
      </w:pPr>
      <w:rPr>
        <w:rFonts w:ascii="Courier New" w:hAnsi="Courier New" w:hint="default"/>
      </w:rPr>
    </w:lvl>
    <w:lvl w:ilvl="8" w:tplc="D0828046">
      <w:start w:val="1"/>
      <w:numFmt w:val="bullet"/>
      <w:lvlText w:val=""/>
      <w:lvlJc w:val="left"/>
      <w:pPr>
        <w:ind w:left="6480" w:hanging="360"/>
      </w:pPr>
      <w:rPr>
        <w:rFonts w:ascii="Wingdings" w:hAnsi="Wingdings" w:hint="default"/>
      </w:rPr>
    </w:lvl>
  </w:abstractNum>
  <w:abstractNum w:abstractNumId="90" w15:restartNumberingAfterBreak="0">
    <w:nsid w:val="27C15CF8"/>
    <w:multiLevelType w:val="hybridMultilevel"/>
    <w:tmpl w:val="A0E4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82F938C"/>
    <w:multiLevelType w:val="hybridMultilevel"/>
    <w:tmpl w:val="FFFFFFFF"/>
    <w:lvl w:ilvl="0" w:tplc="85F8DCD4">
      <w:start w:val="1"/>
      <w:numFmt w:val="bullet"/>
      <w:lvlText w:val=""/>
      <w:lvlJc w:val="left"/>
      <w:pPr>
        <w:ind w:left="720" w:hanging="360"/>
      </w:pPr>
      <w:rPr>
        <w:rFonts w:ascii="Wingdings" w:hAnsi="Wingdings" w:hint="default"/>
      </w:rPr>
    </w:lvl>
    <w:lvl w:ilvl="1" w:tplc="3822C1CC">
      <w:start w:val="1"/>
      <w:numFmt w:val="bullet"/>
      <w:lvlText w:val="o"/>
      <w:lvlJc w:val="left"/>
      <w:pPr>
        <w:ind w:left="1440" w:hanging="360"/>
      </w:pPr>
      <w:rPr>
        <w:rFonts w:ascii="Courier New" w:hAnsi="Courier New" w:hint="default"/>
      </w:rPr>
    </w:lvl>
    <w:lvl w:ilvl="2" w:tplc="490A5828">
      <w:start w:val="1"/>
      <w:numFmt w:val="bullet"/>
      <w:lvlText w:val=""/>
      <w:lvlJc w:val="left"/>
      <w:pPr>
        <w:ind w:left="2160" w:hanging="360"/>
      </w:pPr>
      <w:rPr>
        <w:rFonts w:ascii="Wingdings" w:hAnsi="Wingdings" w:hint="default"/>
      </w:rPr>
    </w:lvl>
    <w:lvl w:ilvl="3" w:tplc="6A9A0ED2">
      <w:start w:val="1"/>
      <w:numFmt w:val="bullet"/>
      <w:lvlText w:val=""/>
      <w:lvlJc w:val="left"/>
      <w:pPr>
        <w:ind w:left="2880" w:hanging="360"/>
      </w:pPr>
      <w:rPr>
        <w:rFonts w:ascii="Symbol" w:hAnsi="Symbol" w:hint="default"/>
      </w:rPr>
    </w:lvl>
    <w:lvl w:ilvl="4" w:tplc="08BC7040">
      <w:start w:val="1"/>
      <w:numFmt w:val="bullet"/>
      <w:lvlText w:val="o"/>
      <w:lvlJc w:val="left"/>
      <w:pPr>
        <w:ind w:left="3600" w:hanging="360"/>
      </w:pPr>
      <w:rPr>
        <w:rFonts w:ascii="Courier New" w:hAnsi="Courier New" w:hint="default"/>
      </w:rPr>
    </w:lvl>
    <w:lvl w:ilvl="5" w:tplc="C0CE19D6">
      <w:start w:val="1"/>
      <w:numFmt w:val="bullet"/>
      <w:lvlText w:val=""/>
      <w:lvlJc w:val="left"/>
      <w:pPr>
        <w:ind w:left="4320" w:hanging="360"/>
      </w:pPr>
      <w:rPr>
        <w:rFonts w:ascii="Wingdings" w:hAnsi="Wingdings" w:hint="default"/>
      </w:rPr>
    </w:lvl>
    <w:lvl w:ilvl="6" w:tplc="921CB464">
      <w:start w:val="1"/>
      <w:numFmt w:val="bullet"/>
      <w:lvlText w:val=""/>
      <w:lvlJc w:val="left"/>
      <w:pPr>
        <w:ind w:left="5040" w:hanging="360"/>
      </w:pPr>
      <w:rPr>
        <w:rFonts w:ascii="Symbol" w:hAnsi="Symbol" w:hint="default"/>
      </w:rPr>
    </w:lvl>
    <w:lvl w:ilvl="7" w:tplc="DC928486">
      <w:start w:val="1"/>
      <w:numFmt w:val="bullet"/>
      <w:lvlText w:val="o"/>
      <w:lvlJc w:val="left"/>
      <w:pPr>
        <w:ind w:left="5760" w:hanging="360"/>
      </w:pPr>
      <w:rPr>
        <w:rFonts w:ascii="Courier New" w:hAnsi="Courier New" w:hint="default"/>
      </w:rPr>
    </w:lvl>
    <w:lvl w:ilvl="8" w:tplc="9280BCF4">
      <w:start w:val="1"/>
      <w:numFmt w:val="bullet"/>
      <w:lvlText w:val=""/>
      <w:lvlJc w:val="left"/>
      <w:pPr>
        <w:ind w:left="6480" w:hanging="360"/>
      </w:pPr>
      <w:rPr>
        <w:rFonts w:ascii="Wingdings" w:hAnsi="Wingdings" w:hint="default"/>
      </w:rPr>
    </w:lvl>
  </w:abstractNum>
  <w:abstractNum w:abstractNumId="92" w15:restartNumberingAfterBreak="0">
    <w:nsid w:val="28550AE7"/>
    <w:multiLevelType w:val="hybridMultilevel"/>
    <w:tmpl w:val="D5C6C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860347C"/>
    <w:multiLevelType w:val="hybridMultilevel"/>
    <w:tmpl w:val="8F16D7AC"/>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94" w15:restartNumberingAfterBreak="0">
    <w:nsid w:val="294E42FF"/>
    <w:multiLevelType w:val="multilevel"/>
    <w:tmpl w:val="DEAE4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29652261"/>
    <w:multiLevelType w:val="hybridMultilevel"/>
    <w:tmpl w:val="FFFFFFFF"/>
    <w:lvl w:ilvl="0" w:tplc="5DDC4A46">
      <w:start w:val="1"/>
      <w:numFmt w:val="bullet"/>
      <w:lvlText w:val=""/>
      <w:lvlJc w:val="left"/>
      <w:pPr>
        <w:ind w:left="720" w:hanging="360"/>
      </w:pPr>
      <w:rPr>
        <w:rFonts w:ascii="Wingdings" w:hAnsi="Wingdings" w:hint="default"/>
      </w:rPr>
    </w:lvl>
    <w:lvl w:ilvl="1" w:tplc="CDFCE69E">
      <w:start w:val="1"/>
      <w:numFmt w:val="bullet"/>
      <w:lvlText w:val="o"/>
      <w:lvlJc w:val="left"/>
      <w:pPr>
        <w:ind w:left="1440" w:hanging="360"/>
      </w:pPr>
      <w:rPr>
        <w:rFonts w:ascii="Courier New" w:hAnsi="Courier New" w:hint="default"/>
      </w:rPr>
    </w:lvl>
    <w:lvl w:ilvl="2" w:tplc="E1A4FCDE">
      <w:start w:val="1"/>
      <w:numFmt w:val="bullet"/>
      <w:lvlText w:val=""/>
      <w:lvlJc w:val="left"/>
      <w:pPr>
        <w:ind w:left="2160" w:hanging="360"/>
      </w:pPr>
      <w:rPr>
        <w:rFonts w:ascii="Wingdings" w:hAnsi="Wingdings" w:hint="default"/>
      </w:rPr>
    </w:lvl>
    <w:lvl w:ilvl="3" w:tplc="67FE1686">
      <w:start w:val="1"/>
      <w:numFmt w:val="bullet"/>
      <w:lvlText w:val=""/>
      <w:lvlJc w:val="left"/>
      <w:pPr>
        <w:ind w:left="2880" w:hanging="360"/>
      </w:pPr>
      <w:rPr>
        <w:rFonts w:ascii="Symbol" w:hAnsi="Symbol" w:hint="default"/>
      </w:rPr>
    </w:lvl>
    <w:lvl w:ilvl="4" w:tplc="524C9870">
      <w:start w:val="1"/>
      <w:numFmt w:val="bullet"/>
      <w:lvlText w:val="o"/>
      <w:lvlJc w:val="left"/>
      <w:pPr>
        <w:ind w:left="3600" w:hanging="360"/>
      </w:pPr>
      <w:rPr>
        <w:rFonts w:ascii="Courier New" w:hAnsi="Courier New" w:hint="default"/>
      </w:rPr>
    </w:lvl>
    <w:lvl w:ilvl="5" w:tplc="ACE2C6F6">
      <w:start w:val="1"/>
      <w:numFmt w:val="bullet"/>
      <w:lvlText w:val=""/>
      <w:lvlJc w:val="left"/>
      <w:pPr>
        <w:ind w:left="4320" w:hanging="360"/>
      </w:pPr>
      <w:rPr>
        <w:rFonts w:ascii="Wingdings" w:hAnsi="Wingdings" w:hint="default"/>
      </w:rPr>
    </w:lvl>
    <w:lvl w:ilvl="6" w:tplc="69DCA0C2">
      <w:start w:val="1"/>
      <w:numFmt w:val="bullet"/>
      <w:lvlText w:val=""/>
      <w:lvlJc w:val="left"/>
      <w:pPr>
        <w:ind w:left="5040" w:hanging="360"/>
      </w:pPr>
      <w:rPr>
        <w:rFonts w:ascii="Symbol" w:hAnsi="Symbol" w:hint="default"/>
      </w:rPr>
    </w:lvl>
    <w:lvl w:ilvl="7" w:tplc="B480289C">
      <w:start w:val="1"/>
      <w:numFmt w:val="bullet"/>
      <w:lvlText w:val="o"/>
      <w:lvlJc w:val="left"/>
      <w:pPr>
        <w:ind w:left="5760" w:hanging="360"/>
      </w:pPr>
      <w:rPr>
        <w:rFonts w:ascii="Courier New" w:hAnsi="Courier New" w:hint="default"/>
      </w:rPr>
    </w:lvl>
    <w:lvl w:ilvl="8" w:tplc="60680290">
      <w:start w:val="1"/>
      <w:numFmt w:val="bullet"/>
      <w:lvlText w:val=""/>
      <w:lvlJc w:val="left"/>
      <w:pPr>
        <w:ind w:left="6480" w:hanging="360"/>
      </w:pPr>
      <w:rPr>
        <w:rFonts w:ascii="Wingdings" w:hAnsi="Wingdings" w:hint="default"/>
      </w:rPr>
    </w:lvl>
  </w:abstractNum>
  <w:abstractNum w:abstractNumId="96" w15:restartNumberingAfterBreak="0">
    <w:nsid w:val="29B23F94"/>
    <w:multiLevelType w:val="hybridMultilevel"/>
    <w:tmpl w:val="FFFFFFFF"/>
    <w:lvl w:ilvl="0" w:tplc="1E6464E8">
      <w:start w:val="1"/>
      <w:numFmt w:val="bullet"/>
      <w:lvlText w:val="-"/>
      <w:lvlJc w:val="left"/>
      <w:pPr>
        <w:ind w:left="720" w:hanging="360"/>
      </w:pPr>
      <w:rPr>
        <w:rFonts w:ascii="Aptos" w:hAnsi="Aptos" w:hint="default"/>
      </w:rPr>
    </w:lvl>
    <w:lvl w:ilvl="1" w:tplc="AAC26BBE">
      <w:start w:val="1"/>
      <w:numFmt w:val="bullet"/>
      <w:lvlText w:val="o"/>
      <w:lvlJc w:val="left"/>
      <w:pPr>
        <w:ind w:left="1440" w:hanging="360"/>
      </w:pPr>
      <w:rPr>
        <w:rFonts w:ascii="Courier New" w:hAnsi="Courier New" w:hint="default"/>
      </w:rPr>
    </w:lvl>
    <w:lvl w:ilvl="2" w:tplc="F84046EA">
      <w:start w:val="1"/>
      <w:numFmt w:val="bullet"/>
      <w:lvlText w:val=""/>
      <w:lvlJc w:val="left"/>
      <w:pPr>
        <w:ind w:left="2160" w:hanging="360"/>
      </w:pPr>
      <w:rPr>
        <w:rFonts w:ascii="Wingdings" w:hAnsi="Wingdings" w:hint="default"/>
      </w:rPr>
    </w:lvl>
    <w:lvl w:ilvl="3" w:tplc="D1B2554A">
      <w:start w:val="1"/>
      <w:numFmt w:val="bullet"/>
      <w:lvlText w:val=""/>
      <w:lvlJc w:val="left"/>
      <w:pPr>
        <w:ind w:left="2880" w:hanging="360"/>
      </w:pPr>
      <w:rPr>
        <w:rFonts w:ascii="Symbol" w:hAnsi="Symbol" w:hint="default"/>
      </w:rPr>
    </w:lvl>
    <w:lvl w:ilvl="4" w:tplc="6318F08E">
      <w:start w:val="1"/>
      <w:numFmt w:val="bullet"/>
      <w:lvlText w:val="o"/>
      <w:lvlJc w:val="left"/>
      <w:pPr>
        <w:ind w:left="3600" w:hanging="360"/>
      </w:pPr>
      <w:rPr>
        <w:rFonts w:ascii="Courier New" w:hAnsi="Courier New" w:hint="default"/>
      </w:rPr>
    </w:lvl>
    <w:lvl w:ilvl="5" w:tplc="274E3C36">
      <w:start w:val="1"/>
      <w:numFmt w:val="bullet"/>
      <w:lvlText w:val=""/>
      <w:lvlJc w:val="left"/>
      <w:pPr>
        <w:ind w:left="4320" w:hanging="360"/>
      </w:pPr>
      <w:rPr>
        <w:rFonts w:ascii="Wingdings" w:hAnsi="Wingdings" w:hint="default"/>
      </w:rPr>
    </w:lvl>
    <w:lvl w:ilvl="6" w:tplc="6CB4D88C">
      <w:start w:val="1"/>
      <w:numFmt w:val="bullet"/>
      <w:lvlText w:val=""/>
      <w:lvlJc w:val="left"/>
      <w:pPr>
        <w:ind w:left="5040" w:hanging="360"/>
      </w:pPr>
      <w:rPr>
        <w:rFonts w:ascii="Symbol" w:hAnsi="Symbol" w:hint="default"/>
      </w:rPr>
    </w:lvl>
    <w:lvl w:ilvl="7" w:tplc="3028D6B8">
      <w:start w:val="1"/>
      <w:numFmt w:val="bullet"/>
      <w:lvlText w:val="o"/>
      <w:lvlJc w:val="left"/>
      <w:pPr>
        <w:ind w:left="5760" w:hanging="360"/>
      </w:pPr>
      <w:rPr>
        <w:rFonts w:ascii="Courier New" w:hAnsi="Courier New" w:hint="default"/>
      </w:rPr>
    </w:lvl>
    <w:lvl w:ilvl="8" w:tplc="D4962874">
      <w:start w:val="1"/>
      <w:numFmt w:val="bullet"/>
      <w:lvlText w:val=""/>
      <w:lvlJc w:val="left"/>
      <w:pPr>
        <w:ind w:left="6480" w:hanging="360"/>
      </w:pPr>
      <w:rPr>
        <w:rFonts w:ascii="Wingdings" w:hAnsi="Wingdings" w:hint="default"/>
      </w:rPr>
    </w:lvl>
  </w:abstractNum>
  <w:abstractNum w:abstractNumId="97" w15:restartNumberingAfterBreak="0">
    <w:nsid w:val="2ABC1D02"/>
    <w:multiLevelType w:val="hybridMultilevel"/>
    <w:tmpl w:val="F62A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BBE5BB9"/>
    <w:multiLevelType w:val="multilevel"/>
    <w:tmpl w:val="0E567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2BBF6FF7"/>
    <w:multiLevelType w:val="hybridMultilevel"/>
    <w:tmpl w:val="70E6CB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C2B27A6"/>
    <w:multiLevelType w:val="hybridMultilevel"/>
    <w:tmpl w:val="A3F2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E090ECA"/>
    <w:multiLevelType w:val="hybridMultilevel"/>
    <w:tmpl w:val="FFFFFFFF"/>
    <w:lvl w:ilvl="0" w:tplc="0B10A3E6">
      <w:start w:val="1"/>
      <w:numFmt w:val="bullet"/>
      <w:lvlText w:val=""/>
      <w:lvlJc w:val="left"/>
      <w:pPr>
        <w:ind w:left="720" w:hanging="360"/>
      </w:pPr>
      <w:rPr>
        <w:rFonts w:ascii="Wingdings" w:hAnsi="Wingdings" w:hint="default"/>
      </w:rPr>
    </w:lvl>
    <w:lvl w:ilvl="1" w:tplc="601A3A2A">
      <w:start w:val="1"/>
      <w:numFmt w:val="bullet"/>
      <w:lvlText w:val="o"/>
      <w:lvlJc w:val="left"/>
      <w:pPr>
        <w:ind w:left="1440" w:hanging="360"/>
      </w:pPr>
      <w:rPr>
        <w:rFonts w:ascii="Courier New" w:hAnsi="Courier New" w:hint="default"/>
      </w:rPr>
    </w:lvl>
    <w:lvl w:ilvl="2" w:tplc="CD106852">
      <w:start w:val="1"/>
      <w:numFmt w:val="bullet"/>
      <w:lvlText w:val=""/>
      <w:lvlJc w:val="left"/>
      <w:pPr>
        <w:ind w:left="2160" w:hanging="360"/>
      </w:pPr>
      <w:rPr>
        <w:rFonts w:ascii="Wingdings" w:hAnsi="Wingdings" w:hint="default"/>
      </w:rPr>
    </w:lvl>
    <w:lvl w:ilvl="3" w:tplc="AA7A9084">
      <w:start w:val="1"/>
      <w:numFmt w:val="bullet"/>
      <w:lvlText w:val=""/>
      <w:lvlJc w:val="left"/>
      <w:pPr>
        <w:ind w:left="2880" w:hanging="360"/>
      </w:pPr>
      <w:rPr>
        <w:rFonts w:ascii="Symbol" w:hAnsi="Symbol" w:hint="default"/>
      </w:rPr>
    </w:lvl>
    <w:lvl w:ilvl="4" w:tplc="98F0BD74">
      <w:start w:val="1"/>
      <w:numFmt w:val="bullet"/>
      <w:lvlText w:val="o"/>
      <w:lvlJc w:val="left"/>
      <w:pPr>
        <w:ind w:left="3600" w:hanging="360"/>
      </w:pPr>
      <w:rPr>
        <w:rFonts w:ascii="Courier New" w:hAnsi="Courier New" w:hint="default"/>
      </w:rPr>
    </w:lvl>
    <w:lvl w:ilvl="5" w:tplc="9E665AEA">
      <w:start w:val="1"/>
      <w:numFmt w:val="bullet"/>
      <w:lvlText w:val=""/>
      <w:lvlJc w:val="left"/>
      <w:pPr>
        <w:ind w:left="4320" w:hanging="360"/>
      </w:pPr>
      <w:rPr>
        <w:rFonts w:ascii="Wingdings" w:hAnsi="Wingdings" w:hint="default"/>
      </w:rPr>
    </w:lvl>
    <w:lvl w:ilvl="6" w:tplc="54D4DECA">
      <w:start w:val="1"/>
      <w:numFmt w:val="bullet"/>
      <w:lvlText w:val=""/>
      <w:lvlJc w:val="left"/>
      <w:pPr>
        <w:ind w:left="5040" w:hanging="360"/>
      </w:pPr>
      <w:rPr>
        <w:rFonts w:ascii="Symbol" w:hAnsi="Symbol" w:hint="default"/>
      </w:rPr>
    </w:lvl>
    <w:lvl w:ilvl="7" w:tplc="702A6578">
      <w:start w:val="1"/>
      <w:numFmt w:val="bullet"/>
      <w:lvlText w:val="o"/>
      <w:lvlJc w:val="left"/>
      <w:pPr>
        <w:ind w:left="5760" w:hanging="360"/>
      </w:pPr>
      <w:rPr>
        <w:rFonts w:ascii="Courier New" w:hAnsi="Courier New" w:hint="default"/>
      </w:rPr>
    </w:lvl>
    <w:lvl w:ilvl="8" w:tplc="049C2E26">
      <w:start w:val="1"/>
      <w:numFmt w:val="bullet"/>
      <w:lvlText w:val=""/>
      <w:lvlJc w:val="left"/>
      <w:pPr>
        <w:ind w:left="6480" w:hanging="360"/>
      </w:pPr>
      <w:rPr>
        <w:rFonts w:ascii="Wingdings" w:hAnsi="Wingdings" w:hint="default"/>
      </w:rPr>
    </w:lvl>
  </w:abstractNum>
  <w:abstractNum w:abstractNumId="102" w15:restartNumberingAfterBreak="0">
    <w:nsid w:val="2E4A0084"/>
    <w:multiLevelType w:val="hybridMultilevel"/>
    <w:tmpl w:val="C73A8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F068113"/>
    <w:multiLevelType w:val="hybridMultilevel"/>
    <w:tmpl w:val="B49E803E"/>
    <w:lvl w:ilvl="0" w:tplc="6EAAF14C">
      <w:start w:val="1"/>
      <w:numFmt w:val="bullet"/>
      <w:lvlText w:val="-"/>
      <w:lvlJc w:val="left"/>
      <w:pPr>
        <w:ind w:left="720" w:hanging="360"/>
      </w:pPr>
      <w:rPr>
        <w:rFonts w:ascii="Aptos" w:hAnsi="Aptos" w:hint="default"/>
      </w:rPr>
    </w:lvl>
    <w:lvl w:ilvl="1" w:tplc="A50AF810">
      <w:start w:val="1"/>
      <w:numFmt w:val="bullet"/>
      <w:lvlText w:val="o"/>
      <w:lvlJc w:val="left"/>
      <w:pPr>
        <w:ind w:left="1440" w:hanging="360"/>
      </w:pPr>
      <w:rPr>
        <w:rFonts w:ascii="Courier New" w:hAnsi="Courier New" w:hint="default"/>
      </w:rPr>
    </w:lvl>
    <w:lvl w:ilvl="2" w:tplc="2BF23024">
      <w:start w:val="1"/>
      <w:numFmt w:val="bullet"/>
      <w:lvlText w:val=""/>
      <w:lvlJc w:val="left"/>
      <w:pPr>
        <w:ind w:left="2160" w:hanging="360"/>
      </w:pPr>
      <w:rPr>
        <w:rFonts w:ascii="Wingdings" w:hAnsi="Wingdings" w:hint="default"/>
      </w:rPr>
    </w:lvl>
    <w:lvl w:ilvl="3" w:tplc="338CCBCC">
      <w:start w:val="1"/>
      <w:numFmt w:val="bullet"/>
      <w:lvlText w:val=""/>
      <w:lvlJc w:val="left"/>
      <w:pPr>
        <w:ind w:left="2880" w:hanging="360"/>
      </w:pPr>
      <w:rPr>
        <w:rFonts w:ascii="Symbol" w:hAnsi="Symbol" w:hint="default"/>
      </w:rPr>
    </w:lvl>
    <w:lvl w:ilvl="4" w:tplc="D994BBE0">
      <w:start w:val="1"/>
      <w:numFmt w:val="bullet"/>
      <w:lvlText w:val="o"/>
      <w:lvlJc w:val="left"/>
      <w:pPr>
        <w:ind w:left="3600" w:hanging="360"/>
      </w:pPr>
      <w:rPr>
        <w:rFonts w:ascii="Courier New" w:hAnsi="Courier New" w:hint="default"/>
      </w:rPr>
    </w:lvl>
    <w:lvl w:ilvl="5" w:tplc="1FBCF466">
      <w:start w:val="1"/>
      <w:numFmt w:val="bullet"/>
      <w:lvlText w:val=""/>
      <w:lvlJc w:val="left"/>
      <w:pPr>
        <w:ind w:left="4320" w:hanging="360"/>
      </w:pPr>
      <w:rPr>
        <w:rFonts w:ascii="Wingdings" w:hAnsi="Wingdings" w:hint="default"/>
      </w:rPr>
    </w:lvl>
    <w:lvl w:ilvl="6" w:tplc="6FEE6CCC">
      <w:start w:val="1"/>
      <w:numFmt w:val="bullet"/>
      <w:lvlText w:val=""/>
      <w:lvlJc w:val="left"/>
      <w:pPr>
        <w:ind w:left="5040" w:hanging="360"/>
      </w:pPr>
      <w:rPr>
        <w:rFonts w:ascii="Symbol" w:hAnsi="Symbol" w:hint="default"/>
      </w:rPr>
    </w:lvl>
    <w:lvl w:ilvl="7" w:tplc="61C64E52">
      <w:start w:val="1"/>
      <w:numFmt w:val="bullet"/>
      <w:lvlText w:val="o"/>
      <w:lvlJc w:val="left"/>
      <w:pPr>
        <w:ind w:left="5760" w:hanging="360"/>
      </w:pPr>
      <w:rPr>
        <w:rFonts w:ascii="Courier New" w:hAnsi="Courier New" w:hint="default"/>
      </w:rPr>
    </w:lvl>
    <w:lvl w:ilvl="8" w:tplc="F4E44F06">
      <w:start w:val="1"/>
      <w:numFmt w:val="bullet"/>
      <w:lvlText w:val=""/>
      <w:lvlJc w:val="left"/>
      <w:pPr>
        <w:ind w:left="6480" w:hanging="360"/>
      </w:pPr>
      <w:rPr>
        <w:rFonts w:ascii="Wingdings" w:hAnsi="Wingdings" w:hint="default"/>
      </w:rPr>
    </w:lvl>
  </w:abstractNum>
  <w:abstractNum w:abstractNumId="104" w15:restartNumberingAfterBreak="0">
    <w:nsid w:val="2F2019FC"/>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307AF403"/>
    <w:multiLevelType w:val="hybridMultilevel"/>
    <w:tmpl w:val="FFFFFFFF"/>
    <w:lvl w:ilvl="0" w:tplc="0304FE04">
      <w:start w:val="1"/>
      <w:numFmt w:val="decimal"/>
      <w:lvlText w:val="%1."/>
      <w:lvlJc w:val="left"/>
      <w:pPr>
        <w:ind w:left="720" w:hanging="360"/>
      </w:pPr>
    </w:lvl>
    <w:lvl w:ilvl="1" w:tplc="7E76FE80">
      <w:start w:val="1"/>
      <w:numFmt w:val="lowerLetter"/>
      <w:lvlText w:val="%2."/>
      <w:lvlJc w:val="left"/>
      <w:pPr>
        <w:ind w:left="1440" w:hanging="360"/>
      </w:pPr>
    </w:lvl>
    <w:lvl w:ilvl="2" w:tplc="2FFC47C0">
      <w:start w:val="1"/>
      <w:numFmt w:val="lowerRoman"/>
      <w:lvlText w:val="%3."/>
      <w:lvlJc w:val="right"/>
      <w:pPr>
        <w:ind w:left="2160" w:hanging="180"/>
      </w:pPr>
    </w:lvl>
    <w:lvl w:ilvl="3" w:tplc="EC809C36">
      <w:start w:val="1"/>
      <w:numFmt w:val="decimal"/>
      <w:lvlText w:val="%4."/>
      <w:lvlJc w:val="left"/>
      <w:pPr>
        <w:ind w:left="2880" w:hanging="360"/>
      </w:pPr>
    </w:lvl>
    <w:lvl w:ilvl="4" w:tplc="3DAA3010">
      <w:start w:val="1"/>
      <w:numFmt w:val="lowerLetter"/>
      <w:lvlText w:val="%5."/>
      <w:lvlJc w:val="left"/>
      <w:pPr>
        <w:ind w:left="3600" w:hanging="360"/>
      </w:pPr>
    </w:lvl>
    <w:lvl w:ilvl="5" w:tplc="527CAF46">
      <w:start w:val="1"/>
      <w:numFmt w:val="lowerRoman"/>
      <w:lvlText w:val="%6."/>
      <w:lvlJc w:val="right"/>
      <w:pPr>
        <w:ind w:left="4320" w:hanging="180"/>
      </w:pPr>
    </w:lvl>
    <w:lvl w:ilvl="6" w:tplc="9BA24652">
      <w:start w:val="1"/>
      <w:numFmt w:val="decimal"/>
      <w:lvlText w:val="%7."/>
      <w:lvlJc w:val="left"/>
      <w:pPr>
        <w:ind w:left="5040" w:hanging="360"/>
      </w:pPr>
    </w:lvl>
    <w:lvl w:ilvl="7" w:tplc="08388C7C">
      <w:start w:val="1"/>
      <w:numFmt w:val="lowerLetter"/>
      <w:lvlText w:val="%8."/>
      <w:lvlJc w:val="left"/>
      <w:pPr>
        <w:ind w:left="5760" w:hanging="360"/>
      </w:pPr>
    </w:lvl>
    <w:lvl w:ilvl="8" w:tplc="098EF242">
      <w:start w:val="1"/>
      <w:numFmt w:val="lowerRoman"/>
      <w:lvlText w:val="%9."/>
      <w:lvlJc w:val="right"/>
      <w:pPr>
        <w:ind w:left="6480" w:hanging="180"/>
      </w:pPr>
    </w:lvl>
  </w:abstractNum>
  <w:abstractNum w:abstractNumId="106" w15:restartNumberingAfterBreak="0">
    <w:nsid w:val="309C1E3D"/>
    <w:multiLevelType w:val="hybridMultilevel"/>
    <w:tmpl w:val="6DB2B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0D6396A"/>
    <w:multiLevelType w:val="hybridMultilevel"/>
    <w:tmpl w:val="9C76F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1327828"/>
    <w:multiLevelType w:val="hybridMultilevel"/>
    <w:tmpl w:val="E6D4CE80"/>
    <w:lvl w:ilvl="0" w:tplc="F10CF12A">
      <w:start w:val="1"/>
      <w:numFmt w:val="bullet"/>
      <w:lvlText w:val="ü"/>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2B47095"/>
    <w:multiLevelType w:val="multilevel"/>
    <w:tmpl w:val="867EF5D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0" w15:restartNumberingAfterBreak="0">
    <w:nsid w:val="331A1745"/>
    <w:multiLevelType w:val="hybridMultilevel"/>
    <w:tmpl w:val="E8129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4014479"/>
    <w:multiLevelType w:val="hybridMultilevel"/>
    <w:tmpl w:val="ECBC6F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49913AD"/>
    <w:multiLevelType w:val="hybridMultilevel"/>
    <w:tmpl w:val="FFFFFFFF"/>
    <w:lvl w:ilvl="0" w:tplc="16087B14">
      <w:start w:val="1"/>
      <w:numFmt w:val="bullet"/>
      <w:lvlText w:val=""/>
      <w:lvlJc w:val="left"/>
      <w:pPr>
        <w:ind w:left="720" w:hanging="360"/>
      </w:pPr>
      <w:rPr>
        <w:rFonts w:ascii="Wingdings" w:hAnsi="Wingdings" w:hint="default"/>
      </w:rPr>
    </w:lvl>
    <w:lvl w:ilvl="1" w:tplc="43AEBDFA">
      <w:start w:val="1"/>
      <w:numFmt w:val="bullet"/>
      <w:lvlText w:val="o"/>
      <w:lvlJc w:val="left"/>
      <w:pPr>
        <w:ind w:left="1440" w:hanging="360"/>
      </w:pPr>
      <w:rPr>
        <w:rFonts w:ascii="Courier New" w:hAnsi="Courier New" w:hint="default"/>
      </w:rPr>
    </w:lvl>
    <w:lvl w:ilvl="2" w:tplc="C3703922">
      <w:start w:val="1"/>
      <w:numFmt w:val="bullet"/>
      <w:lvlText w:val=""/>
      <w:lvlJc w:val="left"/>
      <w:pPr>
        <w:ind w:left="2160" w:hanging="360"/>
      </w:pPr>
      <w:rPr>
        <w:rFonts w:ascii="Wingdings" w:hAnsi="Wingdings" w:hint="default"/>
      </w:rPr>
    </w:lvl>
    <w:lvl w:ilvl="3" w:tplc="3D0A3020">
      <w:start w:val="1"/>
      <w:numFmt w:val="bullet"/>
      <w:lvlText w:val=""/>
      <w:lvlJc w:val="left"/>
      <w:pPr>
        <w:ind w:left="2880" w:hanging="360"/>
      </w:pPr>
      <w:rPr>
        <w:rFonts w:ascii="Symbol" w:hAnsi="Symbol" w:hint="default"/>
      </w:rPr>
    </w:lvl>
    <w:lvl w:ilvl="4" w:tplc="9F66AECC">
      <w:start w:val="1"/>
      <w:numFmt w:val="bullet"/>
      <w:lvlText w:val="o"/>
      <w:lvlJc w:val="left"/>
      <w:pPr>
        <w:ind w:left="3600" w:hanging="360"/>
      </w:pPr>
      <w:rPr>
        <w:rFonts w:ascii="Courier New" w:hAnsi="Courier New" w:hint="default"/>
      </w:rPr>
    </w:lvl>
    <w:lvl w:ilvl="5" w:tplc="415CBC14">
      <w:start w:val="1"/>
      <w:numFmt w:val="bullet"/>
      <w:lvlText w:val=""/>
      <w:lvlJc w:val="left"/>
      <w:pPr>
        <w:ind w:left="4320" w:hanging="360"/>
      </w:pPr>
      <w:rPr>
        <w:rFonts w:ascii="Wingdings" w:hAnsi="Wingdings" w:hint="default"/>
      </w:rPr>
    </w:lvl>
    <w:lvl w:ilvl="6" w:tplc="FBF8F3AA">
      <w:start w:val="1"/>
      <w:numFmt w:val="bullet"/>
      <w:lvlText w:val=""/>
      <w:lvlJc w:val="left"/>
      <w:pPr>
        <w:ind w:left="5040" w:hanging="360"/>
      </w:pPr>
      <w:rPr>
        <w:rFonts w:ascii="Symbol" w:hAnsi="Symbol" w:hint="default"/>
      </w:rPr>
    </w:lvl>
    <w:lvl w:ilvl="7" w:tplc="77FC7A5A">
      <w:start w:val="1"/>
      <w:numFmt w:val="bullet"/>
      <w:lvlText w:val="o"/>
      <w:lvlJc w:val="left"/>
      <w:pPr>
        <w:ind w:left="5760" w:hanging="360"/>
      </w:pPr>
      <w:rPr>
        <w:rFonts w:ascii="Courier New" w:hAnsi="Courier New" w:hint="default"/>
      </w:rPr>
    </w:lvl>
    <w:lvl w:ilvl="8" w:tplc="41C0B86A">
      <w:start w:val="1"/>
      <w:numFmt w:val="bullet"/>
      <w:lvlText w:val=""/>
      <w:lvlJc w:val="left"/>
      <w:pPr>
        <w:ind w:left="6480" w:hanging="360"/>
      </w:pPr>
      <w:rPr>
        <w:rFonts w:ascii="Wingdings" w:hAnsi="Wingdings" w:hint="default"/>
      </w:rPr>
    </w:lvl>
  </w:abstractNum>
  <w:abstractNum w:abstractNumId="113" w15:restartNumberingAfterBreak="0">
    <w:nsid w:val="34A60A9E"/>
    <w:multiLevelType w:val="multilevel"/>
    <w:tmpl w:val="DE2857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34DB7324"/>
    <w:multiLevelType w:val="hybridMultilevel"/>
    <w:tmpl w:val="1AE40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4E31F7C"/>
    <w:multiLevelType w:val="hybridMultilevel"/>
    <w:tmpl w:val="15B6639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16" w15:restartNumberingAfterBreak="0">
    <w:nsid w:val="34F19D1A"/>
    <w:multiLevelType w:val="hybridMultilevel"/>
    <w:tmpl w:val="FFFFFFFF"/>
    <w:lvl w:ilvl="0" w:tplc="FB86C754">
      <w:start w:val="1"/>
      <w:numFmt w:val="bullet"/>
      <w:lvlText w:val=""/>
      <w:lvlJc w:val="left"/>
      <w:pPr>
        <w:ind w:left="720" w:hanging="360"/>
      </w:pPr>
      <w:rPr>
        <w:rFonts w:ascii="Wingdings" w:hAnsi="Wingdings" w:hint="default"/>
      </w:rPr>
    </w:lvl>
    <w:lvl w:ilvl="1" w:tplc="7A1E6A32">
      <w:start w:val="1"/>
      <w:numFmt w:val="bullet"/>
      <w:lvlText w:val="o"/>
      <w:lvlJc w:val="left"/>
      <w:pPr>
        <w:ind w:left="1440" w:hanging="360"/>
      </w:pPr>
      <w:rPr>
        <w:rFonts w:ascii="Courier New" w:hAnsi="Courier New" w:hint="default"/>
      </w:rPr>
    </w:lvl>
    <w:lvl w:ilvl="2" w:tplc="8576A88E">
      <w:start w:val="1"/>
      <w:numFmt w:val="bullet"/>
      <w:lvlText w:val=""/>
      <w:lvlJc w:val="left"/>
      <w:pPr>
        <w:ind w:left="2160" w:hanging="360"/>
      </w:pPr>
      <w:rPr>
        <w:rFonts w:ascii="Wingdings" w:hAnsi="Wingdings" w:hint="default"/>
      </w:rPr>
    </w:lvl>
    <w:lvl w:ilvl="3" w:tplc="EED4E04C">
      <w:start w:val="1"/>
      <w:numFmt w:val="bullet"/>
      <w:lvlText w:val=""/>
      <w:lvlJc w:val="left"/>
      <w:pPr>
        <w:ind w:left="2880" w:hanging="360"/>
      </w:pPr>
      <w:rPr>
        <w:rFonts w:ascii="Symbol" w:hAnsi="Symbol" w:hint="default"/>
      </w:rPr>
    </w:lvl>
    <w:lvl w:ilvl="4" w:tplc="533814B8">
      <w:start w:val="1"/>
      <w:numFmt w:val="bullet"/>
      <w:lvlText w:val="o"/>
      <w:lvlJc w:val="left"/>
      <w:pPr>
        <w:ind w:left="3600" w:hanging="360"/>
      </w:pPr>
      <w:rPr>
        <w:rFonts w:ascii="Courier New" w:hAnsi="Courier New" w:hint="default"/>
      </w:rPr>
    </w:lvl>
    <w:lvl w:ilvl="5" w:tplc="5A8AE1A8">
      <w:start w:val="1"/>
      <w:numFmt w:val="bullet"/>
      <w:lvlText w:val=""/>
      <w:lvlJc w:val="left"/>
      <w:pPr>
        <w:ind w:left="4320" w:hanging="360"/>
      </w:pPr>
      <w:rPr>
        <w:rFonts w:ascii="Wingdings" w:hAnsi="Wingdings" w:hint="default"/>
      </w:rPr>
    </w:lvl>
    <w:lvl w:ilvl="6" w:tplc="8FCE3558">
      <w:start w:val="1"/>
      <w:numFmt w:val="bullet"/>
      <w:lvlText w:val=""/>
      <w:lvlJc w:val="left"/>
      <w:pPr>
        <w:ind w:left="5040" w:hanging="360"/>
      </w:pPr>
      <w:rPr>
        <w:rFonts w:ascii="Symbol" w:hAnsi="Symbol" w:hint="default"/>
      </w:rPr>
    </w:lvl>
    <w:lvl w:ilvl="7" w:tplc="FAA2AEB6">
      <w:start w:val="1"/>
      <w:numFmt w:val="bullet"/>
      <w:lvlText w:val="o"/>
      <w:lvlJc w:val="left"/>
      <w:pPr>
        <w:ind w:left="5760" w:hanging="360"/>
      </w:pPr>
      <w:rPr>
        <w:rFonts w:ascii="Courier New" w:hAnsi="Courier New" w:hint="default"/>
      </w:rPr>
    </w:lvl>
    <w:lvl w:ilvl="8" w:tplc="F27C2000">
      <w:start w:val="1"/>
      <w:numFmt w:val="bullet"/>
      <w:lvlText w:val=""/>
      <w:lvlJc w:val="left"/>
      <w:pPr>
        <w:ind w:left="6480" w:hanging="360"/>
      </w:pPr>
      <w:rPr>
        <w:rFonts w:ascii="Wingdings" w:hAnsi="Wingdings" w:hint="default"/>
      </w:rPr>
    </w:lvl>
  </w:abstractNum>
  <w:abstractNum w:abstractNumId="117" w15:restartNumberingAfterBreak="0">
    <w:nsid w:val="355A746B"/>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15:restartNumberingAfterBreak="0">
    <w:nsid w:val="35A250F7"/>
    <w:multiLevelType w:val="hybridMultilevel"/>
    <w:tmpl w:val="A4642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5DA2839"/>
    <w:multiLevelType w:val="hybridMultilevel"/>
    <w:tmpl w:val="A67A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71B41EA"/>
    <w:multiLevelType w:val="hybridMultilevel"/>
    <w:tmpl w:val="F72A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37614AC6"/>
    <w:multiLevelType w:val="hybridMultilevel"/>
    <w:tmpl w:val="2CBA57F8"/>
    <w:lvl w:ilvl="0" w:tplc="1E6464E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37700C79"/>
    <w:multiLevelType w:val="hybridMultilevel"/>
    <w:tmpl w:val="5F64F008"/>
    <w:lvl w:ilvl="0" w:tplc="F10CF12A">
      <w:start w:val="1"/>
      <w:numFmt w:val="bullet"/>
      <w:lvlText w:val="ü"/>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37817E18"/>
    <w:multiLevelType w:val="hybridMultilevel"/>
    <w:tmpl w:val="6F404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81078C0"/>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38DE6BEA"/>
    <w:multiLevelType w:val="hybridMultilevel"/>
    <w:tmpl w:val="7136B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9619325"/>
    <w:multiLevelType w:val="hybridMultilevel"/>
    <w:tmpl w:val="FFFFFFFF"/>
    <w:lvl w:ilvl="0" w:tplc="52E8F60A">
      <w:start w:val="1"/>
      <w:numFmt w:val="bullet"/>
      <w:lvlText w:val=""/>
      <w:lvlJc w:val="left"/>
      <w:pPr>
        <w:ind w:left="720" w:hanging="360"/>
      </w:pPr>
      <w:rPr>
        <w:rFonts w:ascii="Wingdings" w:hAnsi="Wingdings" w:hint="default"/>
      </w:rPr>
    </w:lvl>
    <w:lvl w:ilvl="1" w:tplc="6FCC6734">
      <w:start w:val="1"/>
      <w:numFmt w:val="bullet"/>
      <w:lvlText w:val="o"/>
      <w:lvlJc w:val="left"/>
      <w:pPr>
        <w:ind w:left="1440" w:hanging="360"/>
      </w:pPr>
      <w:rPr>
        <w:rFonts w:ascii="Courier New" w:hAnsi="Courier New" w:hint="default"/>
      </w:rPr>
    </w:lvl>
    <w:lvl w:ilvl="2" w:tplc="A76EAB40">
      <w:start w:val="1"/>
      <w:numFmt w:val="bullet"/>
      <w:lvlText w:val=""/>
      <w:lvlJc w:val="left"/>
      <w:pPr>
        <w:ind w:left="2160" w:hanging="360"/>
      </w:pPr>
      <w:rPr>
        <w:rFonts w:ascii="Wingdings" w:hAnsi="Wingdings" w:hint="default"/>
      </w:rPr>
    </w:lvl>
    <w:lvl w:ilvl="3" w:tplc="6798CE4A">
      <w:start w:val="1"/>
      <w:numFmt w:val="bullet"/>
      <w:lvlText w:val=""/>
      <w:lvlJc w:val="left"/>
      <w:pPr>
        <w:ind w:left="2880" w:hanging="360"/>
      </w:pPr>
      <w:rPr>
        <w:rFonts w:ascii="Symbol" w:hAnsi="Symbol" w:hint="default"/>
      </w:rPr>
    </w:lvl>
    <w:lvl w:ilvl="4" w:tplc="9F18E882">
      <w:start w:val="1"/>
      <w:numFmt w:val="bullet"/>
      <w:lvlText w:val="o"/>
      <w:lvlJc w:val="left"/>
      <w:pPr>
        <w:ind w:left="3600" w:hanging="360"/>
      </w:pPr>
      <w:rPr>
        <w:rFonts w:ascii="Courier New" w:hAnsi="Courier New" w:hint="default"/>
      </w:rPr>
    </w:lvl>
    <w:lvl w:ilvl="5" w:tplc="4FB8B76C">
      <w:start w:val="1"/>
      <w:numFmt w:val="bullet"/>
      <w:lvlText w:val=""/>
      <w:lvlJc w:val="left"/>
      <w:pPr>
        <w:ind w:left="4320" w:hanging="360"/>
      </w:pPr>
      <w:rPr>
        <w:rFonts w:ascii="Wingdings" w:hAnsi="Wingdings" w:hint="default"/>
      </w:rPr>
    </w:lvl>
    <w:lvl w:ilvl="6" w:tplc="5A98CAF4">
      <w:start w:val="1"/>
      <w:numFmt w:val="bullet"/>
      <w:lvlText w:val=""/>
      <w:lvlJc w:val="left"/>
      <w:pPr>
        <w:ind w:left="5040" w:hanging="360"/>
      </w:pPr>
      <w:rPr>
        <w:rFonts w:ascii="Symbol" w:hAnsi="Symbol" w:hint="default"/>
      </w:rPr>
    </w:lvl>
    <w:lvl w:ilvl="7" w:tplc="76A408BA">
      <w:start w:val="1"/>
      <w:numFmt w:val="bullet"/>
      <w:lvlText w:val="o"/>
      <w:lvlJc w:val="left"/>
      <w:pPr>
        <w:ind w:left="5760" w:hanging="360"/>
      </w:pPr>
      <w:rPr>
        <w:rFonts w:ascii="Courier New" w:hAnsi="Courier New" w:hint="default"/>
      </w:rPr>
    </w:lvl>
    <w:lvl w:ilvl="8" w:tplc="1CC63C02">
      <w:start w:val="1"/>
      <w:numFmt w:val="bullet"/>
      <w:lvlText w:val=""/>
      <w:lvlJc w:val="left"/>
      <w:pPr>
        <w:ind w:left="6480" w:hanging="360"/>
      </w:pPr>
      <w:rPr>
        <w:rFonts w:ascii="Wingdings" w:hAnsi="Wingdings" w:hint="default"/>
      </w:rPr>
    </w:lvl>
  </w:abstractNum>
  <w:abstractNum w:abstractNumId="127" w15:restartNumberingAfterBreak="0">
    <w:nsid w:val="3A341A40"/>
    <w:multiLevelType w:val="hybridMultilevel"/>
    <w:tmpl w:val="707E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252945"/>
    <w:multiLevelType w:val="hybridMultilevel"/>
    <w:tmpl w:val="209ED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B2C3FFB"/>
    <w:multiLevelType w:val="hybridMultilevel"/>
    <w:tmpl w:val="801C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B415F73"/>
    <w:multiLevelType w:val="hybridMultilevel"/>
    <w:tmpl w:val="FAA2C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E2B45D"/>
    <w:multiLevelType w:val="hybridMultilevel"/>
    <w:tmpl w:val="FFFFFFFF"/>
    <w:lvl w:ilvl="0" w:tplc="4C06FA44">
      <w:start w:val="1"/>
      <w:numFmt w:val="bullet"/>
      <w:lvlText w:val=""/>
      <w:lvlJc w:val="left"/>
      <w:pPr>
        <w:ind w:left="720" w:hanging="360"/>
      </w:pPr>
      <w:rPr>
        <w:rFonts w:ascii="Wingdings" w:hAnsi="Wingdings" w:hint="default"/>
      </w:rPr>
    </w:lvl>
    <w:lvl w:ilvl="1" w:tplc="855A7796">
      <w:start w:val="1"/>
      <w:numFmt w:val="bullet"/>
      <w:lvlText w:val="o"/>
      <w:lvlJc w:val="left"/>
      <w:pPr>
        <w:ind w:left="1440" w:hanging="360"/>
      </w:pPr>
      <w:rPr>
        <w:rFonts w:ascii="Courier New" w:hAnsi="Courier New" w:hint="default"/>
      </w:rPr>
    </w:lvl>
    <w:lvl w:ilvl="2" w:tplc="4822A0FE">
      <w:start w:val="1"/>
      <w:numFmt w:val="bullet"/>
      <w:lvlText w:val=""/>
      <w:lvlJc w:val="left"/>
      <w:pPr>
        <w:ind w:left="2160" w:hanging="360"/>
      </w:pPr>
      <w:rPr>
        <w:rFonts w:ascii="Wingdings" w:hAnsi="Wingdings" w:hint="default"/>
      </w:rPr>
    </w:lvl>
    <w:lvl w:ilvl="3" w:tplc="A8D68EFE">
      <w:start w:val="1"/>
      <w:numFmt w:val="bullet"/>
      <w:lvlText w:val=""/>
      <w:lvlJc w:val="left"/>
      <w:pPr>
        <w:ind w:left="2880" w:hanging="360"/>
      </w:pPr>
      <w:rPr>
        <w:rFonts w:ascii="Symbol" w:hAnsi="Symbol" w:hint="default"/>
      </w:rPr>
    </w:lvl>
    <w:lvl w:ilvl="4" w:tplc="515E19FA">
      <w:start w:val="1"/>
      <w:numFmt w:val="bullet"/>
      <w:lvlText w:val="o"/>
      <w:lvlJc w:val="left"/>
      <w:pPr>
        <w:ind w:left="3600" w:hanging="360"/>
      </w:pPr>
      <w:rPr>
        <w:rFonts w:ascii="Courier New" w:hAnsi="Courier New" w:hint="default"/>
      </w:rPr>
    </w:lvl>
    <w:lvl w:ilvl="5" w:tplc="FDE87A28">
      <w:start w:val="1"/>
      <w:numFmt w:val="bullet"/>
      <w:lvlText w:val=""/>
      <w:lvlJc w:val="left"/>
      <w:pPr>
        <w:ind w:left="4320" w:hanging="360"/>
      </w:pPr>
      <w:rPr>
        <w:rFonts w:ascii="Wingdings" w:hAnsi="Wingdings" w:hint="default"/>
      </w:rPr>
    </w:lvl>
    <w:lvl w:ilvl="6" w:tplc="CBFC0AB0">
      <w:start w:val="1"/>
      <w:numFmt w:val="bullet"/>
      <w:lvlText w:val=""/>
      <w:lvlJc w:val="left"/>
      <w:pPr>
        <w:ind w:left="5040" w:hanging="360"/>
      </w:pPr>
      <w:rPr>
        <w:rFonts w:ascii="Symbol" w:hAnsi="Symbol" w:hint="default"/>
      </w:rPr>
    </w:lvl>
    <w:lvl w:ilvl="7" w:tplc="66985916">
      <w:start w:val="1"/>
      <w:numFmt w:val="bullet"/>
      <w:lvlText w:val="o"/>
      <w:lvlJc w:val="left"/>
      <w:pPr>
        <w:ind w:left="5760" w:hanging="360"/>
      </w:pPr>
      <w:rPr>
        <w:rFonts w:ascii="Courier New" w:hAnsi="Courier New" w:hint="default"/>
      </w:rPr>
    </w:lvl>
    <w:lvl w:ilvl="8" w:tplc="1CB47774">
      <w:start w:val="1"/>
      <w:numFmt w:val="bullet"/>
      <w:lvlText w:val=""/>
      <w:lvlJc w:val="left"/>
      <w:pPr>
        <w:ind w:left="6480" w:hanging="360"/>
      </w:pPr>
      <w:rPr>
        <w:rFonts w:ascii="Wingdings" w:hAnsi="Wingdings" w:hint="default"/>
      </w:rPr>
    </w:lvl>
  </w:abstractNum>
  <w:abstractNum w:abstractNumId="132" w15:restartNumberingAfterBreak="0">
    <w:nsid w:val="3C243FE8"/>
    <w:multiLevelType w:val="hybridMultilevel"/>
    <w:tmpl w:val="FFFFFFFF"/>
    <w:lvl w:ilvl="0" w:tplc="0C768BDE">
      <w:start w:val="1"/>
      <w:numFmt w:val="bullet"/>
      <w:lvlText w:val=""/>
      <w:lvlJc w:val="left"/>
      <w:pPr>
        <w:ind w:left="720" w:hanging="360"/>
      </w:pPr>
      <w:rPr>
        <w:rFonts w:ascii="Wingdings" w:hAnsi="Wingdings" w:hint="default"/>
      </w:rPr>
    </w:lvl>
    <w:lvl w:ilvl="1" w:tplc="3D3691CE">
      <w:start w:val="1"/>
      <w:numFmt w:val="bullet"/>
      <w:lvlText w:val="o"/>
      <w:lvlJc w:val="left"/>
      <w:pPr>
        <w:ind w:left="1440" w:hanging="360"/>
      </w:pPr>
      <w:rPr>
        <w:rFonts w:ascii="Courier New" w:hAnsi="Courier New" w:hint="default"/>
      </w:rPr>
    </w:lvl>
    <w:lvl w:ilvl="2" w:tplc="379CE378">
      <w:start w:val="1"/>
      <w:numFmt w:val="bullet"/>
      <w:lvlText w:val=""/>
      <w:lvlJc w:val="left"/>
      <w:pPr>
        <w:ind w:left="2160" w:hanging="360"/>
      </w:pPr>
      <w:rPr>
        <w:rFonts w:ascii="Wingdings" w:hAnsi="Wingdings" w:hint="default"/>
      </w:rPr>
    </w:lvl>
    <w:lvl w:ilvl="3" w:tplc="FBD02146">
      <w:start w:val="1"/>
      <w:numFmt w:val="bullet"/>
      <w:lvlText w:val=""/>
      <w:lvlJc w:val="left"/>
      <w:pPr>
        <w:ind w:left="2880" w:hanging="360"/>
      </w:pPr>
      <w:rPr>
        <w:rFonts w:ascii="Symbol" w:hAnsi="Symbol" w:hint="default"/>
      </w:rPr>
    </w:lvl>
    <w:lvl w:ilvl="4" w:tplc="D692284E">
      <w:start w:val="1"/>
      <w:numFmt w:val="bullet"/>
      <w:lvlText w:val="o"/>
      <w:lvlJc w:val="left"/>
      <w:pPr>
        <w:ind w:left="3600" w:hanging="360"/>
      </w:pPr>
      <w:rPr>
        <w:rFonts w:ascii="Courier New" w:hAnsi="Courier New" w:hint="default"/>
      </w:rPr>
    </w:lvl>
    <w:lvl w:ilvl="5" w:tplc="B13CF52A">
      <w:start w:val="1"/>
      <w:numFmt w:val="bullet"/>
      <w:lvlText w:val=""/>
      <w:lvlJc w:val="left"/>
      <w:pPr>
        <w:ind w:left="4320" w:hanging="360"/>
      </w:pPr>
      <w:rPr>
        <w:rFonts w:ascii="Wingdings" w:hAnsi="Wingdings" w:hint="default"/>
      </w:rPr>
    </w:lvl>
    <w:lvl w:ilvl="6" w:tplc="E1482412">
      <w:start w:val="1"/>
      <w:numFmt w:val="bullet"/>
      <w:lvlText w:val=""/>
      <w:lvlJc w:val="left"/>
      <w:pPr>
        <w:ind w:left="5040" w:hanging="360"/>
      </w:pPr>
      <w:rPr>
        <w:rFonts w:ascii="Symbol" w:hAnsi="Symbol" w:hint="default"/>
      </w:rPr>
    </w:lvl>
    <w:lvl w:ilvl="7" w:tplc="32E4DB0A">
      <w:start w:val="1"/>
      <w:numFmt w:val="bullet"/>
      <w:lvlText w:val="o"/>
      <w:lvlJc w:val="left"/>
      <w:pPr>
        <w:ind w:left="5760" w:hanging="360"/>
      </w:pPr>
      <w:rPr>
        <w:rFonts w:ascii="Courier New" w:hAnsi="Courier New" w:hint="default"/>
      </w:rPr>
    </w:lvl>
    <w:lvl w:ilvl="8" w:tplc="CAEC4B3C">
      <w:start w:val="1"/>
      <w:numFmt w:val="bullet"/>
      <w:lvlText w:val=""/>
      <w:lvlJc w:val="left"/>
      <w:pPr>
        <w:ind w:left="6480" w:hanging="360"/>
      </w:pPr>
      <w:rPr>
        <w:rFonts w:ascii="Wingdings" w:hAnsi="Wingdings" w:hint="default"/>
      </w:rPr>
    </w:lvl>
  </w:abstractNum>
  <w:abstractNum w:abstractNumId="133" w15:restartNumberingAfterBreak="0">
    <w:nsid w:val="3C657397"/>
    <w:multiLevelType w:val="hybridMultilevel"/>
    <w:tmpl w:val="FFFFFFFF"/>
    <w:lvl w:ilvl="0" w:tplc="D0D06B08">
      <w:start w:val="1"/>
      <w:numFmt w:val="bullet"/>
      <w:lvlText w:val=""/>
      <w:lvlJc w:val="left"/>
      <w:pPr>
        <w:ind w:left="720" w:hanging="360"/>
      </w:pPr>
      <w:rPr>
        <w:rFonts w:ascii="Wingdings" w:hAnsi="Wingdings" w:hint="default"/>
      </w:rPr>
    </w:lvl>
    <w:lvl w:ilvl="1" w:tplc="6B0403F2">
      <w:start w:val="1"/>
      <w:numFmt w:val="bullet"/>
      <w:lvlText w:val="o"/>
      <w:lvlJc w:val="left"/>
      <w:pPr>
        <w:ind w:left="1440" w:hanging="360"/>
      </w:pPr>
      <w:rPr>
        <w:rFonts w:ascii="Courier New" w:hAnsi="Courier New" w:hint="default"/>
      </w:rPr>
    </w:lvl>
    <w:lvl w:ilvl="2" w:tplc="A4B8C98C">
      <w:start w:val="1"/>
      <w:numFmt w:val="bullet"/>
      <w:lvlText w:val=""/>
      <w:lvlJc w:val="left"/>
      <w:pPr>
        <w:ind w:left="2160" w:hanging="360"/>
      </w:pPr>
      <w:rPr>
        <w:rFonts w:ascii="Wingdings" w:hAnsi="Wingdings" w:hint="default"/>
      </w:rPr>
    </w:lvl>
    <w:lvl w:ilvl="3" w:tplc="B91CDBE8">
      <w:start w:val="1"/>
      <w:numFmt w:val="bullet"/>
      <w:lvlText w:val=""/>
      <w:lvlJc w:val="left"/>
      <w:pPr>
        <w:ind w:left="2880" w:hanging="360"/>
      </w:pPr>
      <w:rPr>
        <w:rFonts w:ascii="Symbol" w:hAnsi="Symbol" w:hint="default"/>
      </w:rPr>
    </w:lvl>
    <w:lvl w:ilvl="4" w:tplc="1320F8D0">
      <w:start w:val="1"/>
      <w:numFmt w:val="bullet"/>
      <w:lvlText w:val="o"/>
      <w:lvlJc w:val="left"/>
      <w:pPr>
        <w:ind w:left="3600" w:hanging="360"/>
      </w:pPr>
      <w:rPr>
        <w:rFonts w:ascii="Courier New" w:hAnsi="Courier New" w:hint="default"/>
      </w:rPr>
    </w:lvl>
    <w:lvl w:ilvl="5" w:tplc="07D48D0E">
      <w:start w:val="1"/>
      <w:numFmt w:val="bullet"/>
      <w:lvlText w:val=""/>
      <w:lvlJc w:val="left"/>
      <w:pPr>
        <w:ind w:left="4320" w:hanging="360"/>
      </w:pPr>
      <w:rPr>
        <w:rFonts w:ascii="Wingdings" w:hAnsi="Wingdings" w:hint="default"/>
      </w:rPr>
    </w:lvl>
    <w:lvl w:ilvl="6" w:tplc="B9B6EFBA">
      <w:start w:val="1"/>
      <w:numFmt w:val="bullet"/>
      <w:lvlText w:val=""/>
      <w:lvlJc w:val="left"/>
      <w:pPr>
        <w:ind w:left="5040" w:hanging="360"/>
      </w:pPr>
      <w:rPr>
        <w:rFonts w:ascii="Symbol" w:hAnsi="Symbol" w:hint="default"/>
      </w:rPr>
    </w:lvl>
    <w:lvl w:ilvl="7" w:tplc="6EB8F17C">
      <w:start w:val="1"/>
      <w:numFmt w:val="bullet"/>
      <w:lvlText w:val="o"/>
      <w:lvlJc w:val="left"/>
      <w:pPr>
        <w:ind w:left="5760" w:hanging="360"/>
      </w:pPr>
      <w:rPr>
        <w:rFonts w:ascii="Courier New" w:hAnsi="Courier New" w:hint="default"/>
      </w:rPr>
    </w:lvl>
    <w:lvl w:ilvl="8" w:tplc="B5FC30A6">
      <w:start w:val="1"/>
      <w:numFmt w:val="bullet"/>
      <w:lvlText w:val=""/>
      <w:lvlJc w:val="left"/>
      <w:pPr>
        <w:ind w:left="6480" w:hanging="360"/>
      </w:pPr>
      <w:rPr>
        <w:rFonts w:ascii="Wingdings" w:hAnsi="Wingdings" w:hint="default"/>
      </w:rPr>
    </w:lvl>
  </w:abstractNum>
  <w:abstractNum w:abstractNumId="134" w15:restartNumberingAfterBreak="0">
    <w:nsid w:val="3CA54134"/>
    <w:multiLevelType w:val="multilevel"/>
    <w:tmpl w:val="7298B2E0"/>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3D13361F"/>
    <w:multiLevelType w:val="hybridMultilevel"/>
    <w:tmpl w:val="FBD25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D731C34"/>
    <w:multiLevelType w:val="hybridMultilevel"/>
    <w:tmpl w:val="60E0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E7C6A56"/>
    <w:multiLevelType w:val="multilevel"/>
    <w:tmpl w:val="5A1AE9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3FC40407"/>
    <w:multiLevelType w:val="hybridMultilevel"/>
    <w:tmpl w:val="0E5AE658"/>
    <w:lvl w:ilvl="0" w:tplc="1E6464E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3FC47CBB"/>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15:restartNumberingAfterBreak="0">
    <w:nsid w:val="3FF66EAB"/>
    <w:multiLevelType w:val="hybridMultilevel"/>
    <w:tmpl w:val="BAE8F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06B7B79"/>
    <w:multiLevelType w:val="hybridMultilevel"/>
    <w:tmpl w:val="6CB86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0CD3145"/>
    <w:multiLevelType w:val="hybridMultilevel"/>
    <w:tmpl w:val="D842D5D6"/>
    <w:lvl w:ilvl="0" w:tplc="1E6464E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421C6D2D"/>
    <w:multiLevelType w:val="hybridMultilevel"/>
    <w:tmpl w:val="52F03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30723BC"/>
    <w:multiLevelType w:val="hybridMultilevel"/>
    <w:tmpl w:val="212C0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3387701"/>
    <w:multiLevelType w:val="hybridMultilevel"/>
    <w:tmpl w:val="5164E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33F0B4C"/>
    <w:multiLevelType w:val="multilevel"/>
    <w:tmpl w:val="411C302E"/>
    <w:lvl w:ilvl="0">
      <w:start w:val="1"/>
      <w:numFmt w:val="bullet"/>
      <w:pStyle w:val="ECIHead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43A83771"/>
    <w:multiLevelType w:val="hybridMultilevel"/>
    <w:tmpl w:val="66B2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43EF6545"/>
    <w:multiLevelType w:val="hybridMultilevel"/>
    <w:tmpl w:val="B0DC7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3F54BFD"/>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15:restartNumberingAfterBreak="0">
    <w:nsid w:val="447752FC"/>
    <w:multiLevelType w:val="hybridMultilevel"/>
    <w:tmpl w:val="CD085A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449521AB"/>
    <w:multiLevelType w:val="hybridMultilevel"/>
    <w:tmpl w:val="FFFFFFFF"/>
    <w:lvl w:ilvl="0" w:tplc="6F84B9E4">
      <w:start w:val="1"/>
      <w:numFmt w:val="bullet"/>
      <w:lvlText w:val=""/>
      <w:lvlJc w:val="left"/>
      <w:pPr>
        <w:ind w:left="720" w:hanging="360"/>
      </w:pPr>
      <w:rPr>
        <w:rFonts w:ascii="Wingdings" w:hAnsi="Wingdings" w:hint="default"/>
      </w:rPr>
    </w:lvl>
    <w:lvl w:ilvl="1" w:tplc="EE58582C">
      <w:start w:val="1"/>
      <w:numFmt w:val="bullet"/>
      <w:lvlText w:val="o"/>
      <w:lvlJc w:val="left"/>
      <w:pPr>
        <w:ind w:left="1440" w:hanging="360"/>
      </w:pPr>
      <w:rPr>
        <w:rFonts w:ascii="Courier New" w:hAnsi="Courier New" w:hint="default"/>
      </w:rPr>
    </w:lvl>
    <w:lvl w:ilvl="2" w:tplc="116EFA78">
      <w:start w:val="1"/>
      <w:numFmt w:val="bullet"/>
      <w:lvlText w:val=""/>
      <w:lvlJc w:val="left"/>
      <w:pPr>
        <w:ind w:left="2160" w:hanging="360"/>
      </w:pPr>
      <w:rPr>
        <w:rFonts w:ascii="Wingdings" w:hAnsi="Wingdings" w:hint="default"/>
      </w:rPr>
    </w:lvl>
    <w:lvl w:ilvl="3" w:tplc="76923746">
      <w:start w:val="1"/>
      <w:numFmt w:val="bullet"/>
      <w:lvlText w:val=""/>
      <w:lvlJc w:val="left"/>
      <w:pPr>
        <w:ind w:left="2880" w:hanging="360"/>
      </w:pPr>
      <w:rPr>
        <w:rFonts w:ascii="Symbol" w:hAnsi="Symbol" w:hint="default"/>
      </w:rPr>
    </w:lvl>
    <w:lvl w:ilvl="4" w:tplc="EEFCFE86">
      <w:start w:val="1"/>
      <w:numFmt w:val="bullet"/>
      <w:lvlText w:val="o"/>
      <w:lvlJc w:val="left"/>
      <w:pPr>
        <w:ind w:left="3600" w:hanging="360"/>
      </w:pPr>
      <w:rPr>
        <w:rFonts w:ascii="Courier New" w:hAnsi="Courier New" w:hint="default"/>
      </w:rPr>
    </w:lvl>
    <w:lvl w:ilvl="5" w:tplc="1BD2A272">
      <w:start w:val="1"/>
      <w:numFmt w:val="bullet"/>
      <w:lvlText w:val=""/>
      <w:lvlJc w:val="left"/>
      <w:pPr>
        <w:ind w:left="4320" w:hanging="360"/>
      </w:pPr>
      <w:rPr>
        <w:rFonts w:ascii="Wingdings" w:hAnsi="Wingdings" w:hint="default"/>
      </w:rPr>
    </w:lvl>
    <w:lvl w:ilvl="6" w:tplc="5E5A20CA">
      <w:start w:val="1"/>
      <w:numFmt w:val="bullet"/>
      <w:lvlText w:val=""/>
      <w:lvlJc w:val="left"/>
      <w:pPr>
        <w:ind w:left="5040" w:hanging="360"/>
      </w:pPr>
      <w:rPr>
        <w:rFonts w:ascii="Symbol" w:hAnsi="Symbol" w:hint="default"/>
      </w:rPr>
    </w:lvl>
    <w:lvl w:ilvl="7" w:tplc="6862DAAA">
      <w:start w:val="1"/>
      <w:numFmt w:val="bullet"/>
      <w:lvlText w:val="o"/>
      <w:lvlJc w:val="left"/>
      <w:pPr>
        <w:ind w:left="5760" w:hanging="360"/>
      </w:pPr>
      <w:rPr>
        <w:rFonts w:ascii="Courier New" w:hAnsi="Courier New" w:hint="default"/>
      </w:rPr>
    </w:lvl>
    <w:lvl w:ilvl="8" w:tplc="2EEC5F06">
      <w:start w:val="1"/>
      <w:numFmt w:val="bullet"/>
      <w:lvlText w:val=""/>
      <w:lvlJc w:val="left"/>
      <w:pPr>
        <w:ind w:left="6480" w:hanging="360"/>
      </w:pPr>
      <w:rPr>
        <w:rFonts w:ascii="Wingdings" w:hAnsi="Wingdings" w:hint="default"/>
      </w:rPr>
    </w:lvl>
  </w:abstractNum>
  <w:abstractNum w:abstractNumId="152" w15:restartNumberingAfterBreak="0">
    <w:nsid w:val="452276F6"/>
    <w:multiLevelType w:val="hybridMultilevel"/>
    <w:tmpl w:val="2B6E7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541170B"/>
    <w:multiLevelType w:val="hybridMultilevel"/>
    <w:tmpl w:val="510CA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659137C"/>
    <w:multiLevelType w:val="hybridMultilevel"/>
    <w:tmpl w:val="596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72D5EE8"/>
    <w:multiLevelType w:val="hybridMultilevel"/>
    <w:tmpl w:val="8246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7346096"/>
    <w:multiLevelType w:val="hybridMultilevel"/>
    <w:tmpl w:val="6BFC3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7747DAC"/>
    <w:multiLevelType w:val="hybridMultilevel"/>
    <w:tmpl w:val="2014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8047DD6"/>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482F0654"/>
    <w:multiLevelType w:val="hybridMultilevel"/>
    <w:tmpl w:val="DB421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858220C"/>
    <w:multiLevelType w:val="hybridMultilevel"/>
    <w:tmpl w:val="A68AA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A805F34"/>
    <w:multiLevelType w:val="hybridMultilevel"/>
    <w:tmpl w:val="1FBE2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AB71532"/>
    <w:multiLevelType w:val="hybridMultilevel"/>
    <w:tmpl w:val="C248B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AD62B20"/>
    <w:multiLevelType w:val="hybridMultilevel"/>
    <w:tmpl w:val="6B44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B39103C"/>
    <w:multiLevelType w:val="hybridMultilevel"/>
    <w:tmpl w:val="DCD8C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B524FBC"/>
    <w:multiLevelType w:val="hybridMultilevel"/>
    <w:tmpl w:val="57A00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B9B32AD"/>
    <w:multiLevelType w:val="hybridMultilevel"/>
    <w:tmpl w:val="9EF82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BEC6D05"/>
    <w:multiLevelType w:val="hybridMultilevel"/>
    <w:tmpl w:val="509001F6"/>
    <w:lvl w:ilvl="0" w:tplc="1E6464E8">
      <w:start w:val="1"/>
      <w:numFmt w:val="bullet"/>
      <w:lvlText w:val="-"/>
      <w:lvlJc w:val="left"/>
      <w:pPr>
        <w:ind w:left="751" w:hanging="360"/>
      </w:pPr>
      <w:rPr>
        <w:rFonts w:ascii="Aptos" w:hAnsi="Aptos"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68" w15:restartNumberingAfterBreak="0">
    <w:nsid w:val="4D8C480C"/>
    <w:multiLevelType w:val="hybridMultilevel"/>
    <w:tmpl w:val="936CF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69" w15:restartNumberingAfterBreak="0">
    <w:nsid w:val="4E3E6633"/>
    <w:multiLevelType w:val="multilevel"/>
    <w:tmpl w:val="213C63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0" w15:restartNumberingAfterBreak="0">
    <w:nsid w:val="5094BD61"/>
    <w:multiLevelType w:val="hybridMultilevel"/>
    <w:tmpl w:val="FFFFFFFF"/>
    <w:lvl w:ilvl="0" w:tplc="1140352E">
      <w:start w:val="1"/>
      <w:numFmt w:val="bullet"/>
      <w:lvlText w:val=""/>
      <w:lvlJc w:val="left"/>
      <w:pPr>
        <w:ind w:left="720" w:hanging="360"/>
      </w:pPr>
      <w:rPr>
        <w:rFonts w:ascii="Wingdings" w:hAnsi="Wingdings" w:hint="default"/>
      </w:rPr>
    </w:lvl>
    <w:lvl w:ilvl="1" w:tplc="AF305044">
      <w:start w:val="1"/>
      <w:numFmt w:val="bullet"/>
      <w:lvlText w:val="o"/>
      <w:lvlJc w:val="left"/>
      <w:pPr>
        <w:ind w:left="1440" w:hanging="360"/>
      </w:pPr>
      <w:rPr>
        <w:rFonts w:ascii="Courier New" w:hAnsi="Courier New" w:hint="default"/>
      </w:rPr>
    </w:lvl>
    <w:lvl w:ilvl="2" w:tplc="CC22C82C">
      <w:start w:val="1"/>
      <w:numFmt w:val="bullet"/>
      <w:lvlText w:val=""/>
      <w:lvlJc w:val="left"/>
      <w:pPr>
        <w:ind w:left="2160" w:hanging="360"/>
      </w:pPr>
      <w:rPr>
        <w:rFonts w:ascii="Wingdings" w:hAnsi="Wingdings" w:hint="default"/>
      </w:rPr>
    </w:lvl>
    <w:lvl w:ilvl="3" w:tplc="D0E4498E">
      <w:start w:val="1"/>
      <w:numFmt w:val="bullet"/>
      <w:lvlText w:val=""/>
      <w:lvlJc w:val="left"/>
      <w:pPr>
        <w:ind w:left="2880" w:hanging="360"/>
      </w:pPr>
      <w:rPr>
        <w:rFonts w:ascii="Symbol" w:hAnsi="Symbol" w:hint="default"/>
      </w:rPr>
    </w:lvl>
    <w:lvl w:ilvl="4" w:tplc="590A25EC">
      <w:start w:val="1"/>
      <w:numFmt w:val="bullet"/>
      <w:lvlText w:val="o"/>
      <w:lvlJc w:val="left"/>
      <w:pPr>
        <w:ind w:left="3600" w:hanging="360"/>
      </w:pPr>
      <w:rPr>
        <w:rFonts w:ascii="Courier New" w:hAnsi="Courier New" w:hint="default"/>
      </w:rPr>
    </w:lvl>
    <w:lvl w:ilvl="5" w:tplc="574EA192">
      <w:start w:val="1"/>
      <w:numFmt w:val="bullet"/>
      <w:lvlText w:val=""/>
      <w:lvlJc w:val="left"/>
      <w:pPr>
        <w:ind w:left="4320" w:hanging="360"/>
      </w:pPr>
      <w:rPr>
        <w:rFonts w:ascii="Wingdings" w:hAnsi="Wingdings" w:hint="default"/>
      </w:rPr>
    </w:lvl>
    <w:lvl w:ilvl="6" w:tplc="09C66628">
      <w:start w:val="1"/>
      <w:numFmt w:val="bullet"/>
      <w:lvlText w:val=""/>
      <w:lvlJc w:val="left"/>
      <w:pPr>
        <w:ind w:left="5040" w:hanging="360"/>
      </w:pPr>
      <w:rPr>
        <w:rFonts w:ascii="Symbol" w:hAnsi="Symbol" w:hint="default"/>
      </w:rPr>
    </w:lvl>
    <w:lvl w:ilvl="7" w:tplc="863E6264">
      <w:start w:val="1"/>
      <w:numFmt w:val="bullet"/>
      <w:lvlText w:val="o"/>
      <w:lvlJc w:val="left"/>
      <w:pPr>
        <w:ind w:left="5760" w:hanging="360"/>
      </w:pPr>
      <w:rPr>
        <w:rFonts w:ascii="Courier New" w:hAnsi="Courier New" w:hint="default"/>
      </w:rPr>
    </w:lvl>
    <w:lvl w:ilvl="8" w:tplc="EDC8D144">
      <w:start w:val="1"/>
      <w:numFmt w:val="bullet"/>
      <w:lvlText w:val=""/>
      <w:lvlJc w:val="left"/>
      <w:pPr>
        <w:ind w:left="6480" w:hanging="360"/>
      </w:pPr>
      <w:rPr>
        <w:rFonts w:ascii="Wingdings" w:hAnsi="Wingdings" w:hint="default"/>
      </w:rPr>
    </w:lvl>
  </w:abstractNum>
  <w:abstractNum w:abstractNumId="171" w15:restartNumberingAfterBreak="0">
    <w:nsid w:val="523E4981"/>
    <w:multiLevelType w:val="hybridMultilevel"/>
    <w:tmpl w:val="FFFFFFFF"/>
    <w:lvl w:ilvl="0" w:tplc="AF76B766">
      <w:start w:val="1"/>
      <w:numFmt w:val="bullet"/>
      <w:lvlText w:val=""/>
      <w:lvlJc w:val="left"/>
      <w:pPr>
        <w:ind w:left="720" w:hanging="360"/>
      </w:pPr>
      <w:rPr>
        <w:rFonts w:ascii="Wingdings" w:hAnsi="Wingdings" w:hint="default"/>
      </w:rPr>
    </w:lvl>
    <w:lvl w:ilvl="1" w:tplc="3932B332">
      <w:start w:val="1"/>
      <w:numFmt w:val="bullet"/>
      <w:lvlText w:val="o"/>
      <w:lvlJc w:val="left"/>
      <w:pPr>
        <w:ind w:left="1440" w:hanging="360"/>
      </w:pPr>
      <w:rPr>
        <w:rFonts w:ascii="Courier New" w:hAnsi="Courier New" w:hint="default"/>
      </w:rPr>
    </w:lvl>
    <w:lvl w:ilvl="2" w:tplc="12FEF0A4">
      <w:start w:val="1"/>
      <w:numFmt w:val="bullet"/>
      <w:lvlText w:val=""/>
      <w:lvlJc w:val="left"/>
      <w:pPr>
        <w:ind w:left="2160" w:hanging="360"/>
      </w:pPr>
      <w:rPr>
        <w:rFonts w:ascii="Wingdings" w:hAnsi="Wingdings" w:hint="default"/>
      </w:rPr>
    </w:lvl>
    <w:lvl w:ilvl="3" w:tplc="7AFC95F0">
      <w:start w:val="1"/>
      <w:numFmt w:val="bullet"/>
      <w:lvlText w:val=""/>
      <w:lvlJc w:val="left"/>
      <w:pPr>
        <w:ind w:left="2880" w:hanging="360"/>
      </w:pPr>
      <w:rPr>
        <w:rFonts w:ascii="Symbol" w:hAnsi="Symbol" w:hint="default"/>
      </w:rPr>
    </w:lvl>
    <w:lvl w:ilvl="4" w:tplc="8752DE88">
      <w:start w:val="1"/>
      <w:numFmt w:val="bullet"/>
      <w:lvlText w:val="o"/>
      <w:lvlJc w:val="left"/>
      <w:pPr>
        <w:ind w:left="3600" w:hanging="360"/>
      </w:pPr>
      <w:rPr>
        <w:rFonts w:ascii="Courier New" w:hAnsi="Courier New" w:hint="default"/>
      </w:rPr>
    </w:lvl>
    <w:lvl w:ilvl="5" w:tplc="CAB28C2C">
      <w:start w:val="1"/>
      <w:numFmt w:val="bullet"/>
      <w:lvlText w:val=""/>
      <w:lvlJc w:val="left"/>
      <w:pPr>
        <w:ind w:left="4320" w:hanging="360"/>
      </w:pPr>
      <w:rPr>
        <w:rFonts w:ascii="Wingdings" w:hAnsi="Wingdings" w:hint="default"/>
      </w:rPr>
    </w:lvl>
    <w:lvl w:ilvl="6" w:tplc="18EA4D8C">
      <w:start w:val="1"/>
      <w:numFmt w:val="bullet"/>
      <w:lvlText w:val=""/>
      <w:lvlJc w:val="left"/>
      <w:pPr>
        <w:ind w:left="5040" w:hanging="360"/>
      </w:pPr>
      <w:rPr>
        <w:rFonts w:ascii="Symbol" w:hAnsi="Symbol" w:hint="default"/>
      </w:rPr>
    </w:lvl>
    <w:lvl w:ilvl="7" w:tplc="76F648BE">
      <w:start w:val="1"/>
      <w:numFmt w:val="bullet"/>
      <w:lvlText w:val="o"/>
      <w:lvlJc w:val="left"/>
      <w:pPr>
        <w:ind w:left="5760" w:hanging="360"/>
      </w:pPr>
      <w:rPr>
        <w:rFonts w:ascii="Courier New" w:hAnsi="Courier New" w:hint="default"/>
      </w:rPr>
    </w:lvl>
    <w:lvl w:ilvl="8" w:tplc="2CA4F35A">
      <w:start w:val="1"/>
      <w:numFmt w:val="bullet"/>
      <w:lvlText w:val=""/>
      <w:lvlJc w:val="left"/>
      <w:pPr>
        <w:ind w:left="6480" w:hanging="360"/>
      </w:pPr>
      <w:rPr>
        <w:rFonts w:ascii="Wingdings" w:hAnsi="Wingdings" w:hint="default"/>
      </w:rPr>
    </w:lvl>
  </w:abstractNum>
  <w:abstractNum w:abstractNumId="172" w15:restartNumberingAfterBreak="0">
    <w:nsid w:val="524C8AF6"/>
    <w:multiLevelType w:val="hybridMultilevel"/>
    <w:tmpl w:val="FFFFFFFF"/>
    <w:lvl w:ilvl="0" w:tplc="CF661FD6">
      <w:start w:val="1"/>
      <w:numFmt w:val="bullet"/>
      <w:lvlText w:val=""/>
      <w:lvlJc w:val="left"/>
      <w:pPr>
        <w:ind w:left="720" w:hanging="360"/>
      </w:pPr>
      <w:rPr>
        <w:rFonts w:ascii="Wingdings" w:hAnsi="Wingdings" w:hint="default"/>
      </w:rPr>
    </w:lvl>
    <w:lvl w:ilvl="1" w:tplc="E04448AE">
      <w:start w:val="1"/>
      <w:numFmt w:val="bullet"/>
      <w:lvlText w:val="o"/>
      <w:lvlJc w:val="left"/>
      <w:pPr>
        <w:ind w:left="1440" w:hanging="360"/>
      </w:pPr>
      <w:rPr>
        <w:rFonts w:ascii="Courier New" w:hAnsi="Courier New" w:hint="default"/>
      </w:rPr>
    </w:lvl>
    <w:lvl w:ilvl="2" w:tplc="9A3C5F28">
      <w:start w:val="1"/>
      <w:numFmt w:val="bullet"/>
      <w:lvlText w:val=""/>
      <w:lvlJc w:val="left"/>
      <w:pPr>
        <w:ind w:left="2160" w:hanging="360"/>
      </w:pPr>
      <w:rPr>
        <w:rFonts w:ascii="Wingdings" w:hAnsi="Wingdings" w:hint="default"/>
      </w:rPr>
    </w:lvl>
    <w:lvl w:ilvl="3" w:tplc="090E9AD2">
      <w:start w:val="1"/>
      <w:numFmt w:val="bullet"/>
      <w:lvlText w:val=""/>
      <w:lvlJc w:val="left"/>
      <w:pPr>
        <w:ind w:left="2880" w:hanging="360"/>
      </w:pPr>
      <w:rPr>
        <w:rFonts w:ascii="Symbol" w:hAnsi="Symbol" w:hint="default"/>
      </w:rPr>
    </w:lvl>
    <w:lvl w:ilvl="4" w:tplc="0B0E854A">
      <w:start w:val="1"/>
      <w:numFmt w:val="bullet"/>
      <w:lvlText w:val="o"/>
      <w:lvlJc w:val="left"/>
      <w:pPr>
        <w:ind w:left="3600" w:hanging="360"/>
      </w:pPr>
      <w:rPr>
        <w:rFonts w:ascii="Courier New" w:hAnsi="Courier New" w:hint="default"/>
      </w:rPr>
    </w:lvl>
    <w:lvl w:ilvl="5" w:tplc="06426A62">
      <w:start w:val="1"/>
      <w:numFmt w:val="bullet"/>
      <w:lvlText w:val=""/>
      <w:lvlJc w:val="left"/>
      <w:pPr>
        <w:ind w:left="4320" w:hanging="360"/>
      </w:pPr>
      <w:rPr>
        <w:rFonts w:ascii="Wingdings" w:hAnsi="Wingdings" w:hint="default"/>
      </w:rPr>
    </w:lvl>
    <w:lvl w:ilvl="6" w:tplc="9FD4019E">
      <w:start w:val="1"/>
      <w:numFmt w:val="bullet"/>
      <w:lvlText w:val=""/>
      <w:lvlJc w:val="left"/>
      <w:pPr>
        <w:ind w:left="5040" w:hanging="360"/>
      </w:pPr>
      <w:rPr>
        <w:rFonts w:ascii="Symbol" w:hAnsi="Symbol" w:hint="default"/>
      </w:rPr>
    </w:lvl>
    <w:lvl w:ilvl="7" w:tplc="4AC6ECDA">
      <w:start w:val="1"/>
      <w:numFmt w:val="bullet"/>
      <w:lvlText w:val="o"/>
      <w:lvlJc w:val="left"/>
      <w:pPr>
        <w:ind w:left="5760" w:hanging="360"/>
      </w:pPr>
      <w:rPr>
        <w:rFonts w:ascii="Courier New" w:hAnsi="Courier New" w:hint="default"/>
      </w:rPr>
    </w:lvl>
    <w:lvl w:ilvl="8" w:tplc="079AF6DC">
      <w:start w:val="1"/>
      <w:numFmt w:val="bullet"/>
      <w:lvlText w:val=""/>
      <w:lvlJc w:val="left"/>
      <w:pPr>
        <w:ind w:left="6480" w:hanging="360"/>
      </w:pPr>
      <w:rPr>
        <w:rFonts w:ascii="Wingdings" w:hAnsi="Wingdings" w:hint="default"/>
      </w:rPr>
    </w:lvl>
  </w:abstractNum>
  <w:abstractNum w:abstractNumId="173" w15:restartNumberingAfterBreak="0">
    <w:nsid w:val="528F05C0"/>
    <w:multiLevelType w:val="hybridMultilevel"/>
    <w:tmpl w:val="7B481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39D00E1"/>
    <w:multiLevelType w:val="hybridMultilevel"/>
    <w:tmpl w:val="AEF4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4806895"/>
    <w:multiLevelType w:val="hybridMultilevel"/>
    <w:tmpl w:val="F47839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54B6395C"/>
    <w:multiLevelType w:val="hybridMultilevel"/>
    <w:tmpl w:val="CB98FCD4"/>
    <w:lvl w:ilvl="0" w:tplc="04C67BD6">
      <w:start w:val="1"/>
      <w:numFmt w:val="bullet"/>
      <w:lvlText w:val="-"/>
      <w:lvlJc w:val="left"/>
      <w:pPr>
        <w:ind w:left="720" w:hanging="360"/>
      </w:pPr>
      <w:rPr>
        <w:rFonts w:ascii="Aptos" w:hAnsi="Aptos" w:hint="default"/>
      </w:rPr>
    </w:lvl>
    <w:lvl w:ilvl="1" w:tplc="2EC0C616">
      <w:start w:val="1"/>
      <w:numFmt w:val="bullet"/>
      <w:lvlText w:val="o"/>
      <w:lvlJc w:val="left"/>
      <w:pPr>
        <w:ind w:left="1440" w:hanging="360"/>
      </w:pPr>
      <w:rPr>
        <w:rFonts w:ascii="Courier New" w:hAnsi="Courier New" w:hint="default"/>
      </w:rPr>
    </w:lvl>
    <w:lvl w:ilvl="2" w:tplc="EEAAB0EA">
      <w:start w:val="1"/>
      <w:numFmt w:val="bullet"/>
      <w:lvlText w:val=""/>
      <w:lvlJc w:val="left"/>
      <w:pPr>
        <w:ind w:left="2160" w:hanging="360"/>
      </w:pPr>
      <w:rPr>
        <w:rFonts w:ascii="Wingdings" w:hAnsi="Wingdings" w:hint="default"/>
      </w:rPr>
    </w:lvl>
    <w:lvl w:ilvl="3" w:tplc="8E26BA7E">
      <w:start w:val="1"/>
      <w:numFmt w:val="bullet"/>
      <w:lvlText w:val=""/>
      <w:lvlJc w:val="left"/>
      <w:pPr>
        <w:ind w:left="2880" w:hanging="360"/>
      </w:pPr>
      <w:rPr>
        <w:rFonts w:ascii="Symbol" w:hAnsi="Symbol" w:hint="default"/>
      </w:rPr>
    </w:lvl>
    <w:lvl w:ilvl="4" w:tplc="F1AE4B98">
      <w:start w:val="1"/>
      <w:numFmt w:val="bullet"/>
      <w:lvlText w:val="o"/>
      <w:lvlJc w:val="left"/>
      <w:pPr>
        <w:ind w:left="3600" w:hanging="360"/>
      </w:pPr>
      <w:rPr>
        <w:rFonts w:ascii="Courier New" w:hAnsi="Courier New" w:hint="default"/>
      </w:rPr>
    </w:lvl>
    <w:lvl w:ilvl="5" w:tplc="90D26D42">
      <w:start w:val="1"/>
      <w:numFmt w:val="bullet"/>
      <w:lvlText w:val=""/>
      <w:lvlJc w:val="left"/>
      <w:pPr>
        <w:ind w:left="4320" w:hanging="360"/>
      </w:pPr>
      <w:rPr>
        <w:rFonts w:ascii="Wingdings" w:hAnsi="Wingdings" w:hint="default"/>
      </w:rPr>
    </w:lvl>
    <w:lvl w:ilvl="6" w:tplc="133C65B6">
      <w:start w:val="1"/>
      <w:numFmt w:val="bullet"/>
      <w:lvlText w:val=""/>
      <w:lvlJc w:val="left"/>
      <w:pPr>
        <w:ind w:left="5040" w:hanging="360"/>
      </w:pPr>
      <w:rPr>
        <w:rFonts w:ascii="Symbol" w:hAnsi="Symbol" w:hint="default"/>
      </w:rPr>
    </w:lvl>
    <w:lvl w:ilvl="7" w:tplc="5D82DBC8">
      <w:start w:val="1"/>
      <w:numFmt w:val="bullet"/>
      <w:lvlText w:val="o"/>
      <w:lvlJc w:val="left"/>
      <w:pPr>
        <w:ind w:left="5760" w:hanging="360"/>
      </w:pPr>
      <w:rPr>
        <w:rFonts w:ascii="Courier New" w:hAnsi="Courier New" w:hint="default"/>
      </w:rPr>
    </w:lvl>
    <w:lvl w:ilvl="8" w:tplc="0DD03728">
      <w:start w:val="1"/>
      <w:numFmt w:val="bullet"/>
      <w:lvlText w:val=""/>
      <w:lvlJc w:val="left"/>
      <w:pPr>
        <w:ind w:left="6480" w:hanging="360"/>
      </w:pPr>
      <w:rPr>
        <w:rFonts w:ascii="Wingdings" w:hAnsi="Wingdings" w:hint="default"/>
      </w:rPr>
    </w:lvl>
  </w:abstractNum>
  <w:abstractNum w:abstractNumId="177" w15:restartNumberingAfterBreak="0">
    <w:nsid w:val="55DD4491"/>
    <w:multiLevelType w:val="hybridMultilevel"/>
    <w:tmpl w:val="4338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658CF79"/>
    <w:multiLevelType w:val="hybridMultilevel"/>
    <w:tmpl w:val="FFFFFFFF"/>
    <w:lvl w:ilvl="0" w:tplc="B2DC3C48">
      <w:start w:val="1"/>
      <w:numFmt w:val="bullet"/>
      <w:lvlText w:val=""/>
      <w:lvlJc w:val="left"/>
      <w:pPr>
        <w:ind w:left="720" w:hanging="360"/>
      </w:pPr>
      <w:rPr>
        <w:rFonts w:ascii="Wingdings" w:hAnsi="Wingdings" w:hint="default"/>
      </w:rPr>
    </w:lvl>
    <w:lvl w:ilvl="1" w:tplc="FC5618A8">
      <w:start w:val="1"/>
      <w:numFmt w:val="bullet"/>
      <w:lvlText w:val="o"/>
      <w:lvlJc w:val="left"/>
      <w:pPr>
        <w:ind w:left="1440" w:hanging="360"/>
      </w:pPr>
      <w:rPr>
        <w:rFonts w:ascii="Courier New" w:hAnsi="Courier New" w:hint="default"/>
      </w:rPr>
    </w:lvl>
    <w:lvl w:ilvl="2" w:tplc="5DC4B850">
      <w:start w:val="1"/>
      <w:numFmt w:val="bullet"/>
      <w:lvlText w:val=""/>
      <w:lvlJc w:val="left"/>
      <w:pPr>
        <w:ind w:left="2160" w:hanging="360"/>
      </w:pPr>
      <w:rPr>
        <w:rFonts w:ascii="Wingdings" w:hAnsi="Wingdings" w:hint="default"/>
      </w:rPr>
    </w:lvl>
    <w:lvl w:ilvl="3" w:tplc="4A60BE02">
      <w:start w:val="1"/>
      <w:numFmt w:val="bullet"/>
      <w:lvlText w:val=""/>
      <w:lvlJc w:val="left"/>
      <w:pPr>
        <w:ind w:left="2880" w:hanging="360"/>
      </w:pPr>
      <w:rPr>
        <w:rFonts w:ascii="Symbol" w:hAnsi="Symbol" w:hint="default"/>
      </w:rPr>
    </w:lvl>
    <w:lvl w:ilvl="4" w:tplc="DB6EA7D8">
      <w:start w:val="1"/>
      <w:numFmt w:val="bullet"/>
      <w:lvlText w:val="o"/>
      <w:lvlJc w:val="left"/>
      <w:pPr>
        <w:ind w:left="3600" w:hanging="360"/>
      </w:pPr>
      <w:rPr>
        <w:rFonts w:ascii="Courier New" w:hAnsi="Courier New" w:hint="default"/>
      </w:rPr>
    </w:lvl>
    <w:lvl w:ilvl="5" w:tplc="94200A1C">
      <w:start w:val="1"/>
      <w:numFmt w:val="bullet"/>
      <w:lvlText w:val=""/>
      <w:lvlJc w:val="left"/>
      <w:pPr>
        <w:ind w:left="4320" w:hanging="360"/>
      </w:pPr>
      <w:rPr>
        <w:rFonts w:ascii="Wingdings" w:hAnsi="Wingdings" w:hint="default"/>
      </w:rPr>
    </w:lvl>
    <w:lvl w:ilvl="6" w:tplc="1408F09C">
      <w:start w:val="1"/>
      <w:numFmt w:val="bullet"/>
      <w:lvlText w:val=""/>
      <w:lvlJc w:val="left"/>
      <w:pPr>
        <w:ind w:left="5040" w:hanging="360"/>
      </w:pPr>
      <w:rPr>
        <w:rFonts w:ascii="Symbol" w:hAnsi="Symbol" w:hint="default"/>
      </w:rPr>
    </w:lvl>
    <w:lvl w:ilvl="7" w:tplc="3F841960">
      <w:start w:val="1"/>
      <w:numFmt w:val="bullet"/>
      <w:lvlText w:val="o"/>
      <w:lvlJc w:val="left"/>
      <w:pPr>
        <w:ind w:left="5760" w:hanging="360"/>
      </w:pPr>
      <w:rPr>
        <w:rFonts w:ascii="Courier New" w:hAnsi="Courier New" w:hint="default"/>
      </w:rPr>
    </w:lvl>
    <w:lvl w:ilvl="8" w:tplc="017C511E">
      <w:start w:val="1"/>
      <w:numFmt w:val="bullet"/>
      <w:lvlText w:val=""/>
      <w:lvlJc w:val="left"/>
      <w:pPr>
        <w:ind w:left="6480" w:hanging="360"/>
      </w:pPr>
      <w:rPr>
        <w:rFonts w:ascii="Wingdings" w:hAnsi="Wingdings" w:hint="default"/>
      </w:rPr>
    </w:lvl>
  </w:abstractNum>
  <w:abstractNum w:abstractNumId="179" w15:restartNumberingAfterBreak="0">
    <w:nsid w:val="57B03A2D"/>
    <w:multiLevelType w:val="hybridMultilevel"/>
    <w:tmpl w:val="1E065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8766681"/>
    <w:multiLevelType w:val="hybridMultilevel"/>
    <w:tmpl w:val="65526F9C"/>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81" w15:restartNumberingAfterBreak="0">
    <w:nsid w:val="58E51F4D"/>
    <w:multiLevelType w:val="hybridMultilevel"/>
    <w:tmpl w:val="2DEAB3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5972340E"/>
    <w:multiLevelType w:val="hybridMultilevel"/>
    <w:tmpl w:val="76D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9BC5664"/>
    <w:multiLevelType w:val="hybridMultilevel"/>
    <w:tmpl w:val="FFB44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B410865"/>
    <w:multiLevelType w:val="hybridMultilevel"/>
    <w:tmpl w:val="50EC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BEA5763"/>
    <w:multiLevelType w:val="multilevel"/>
    <w:tmpl w:val="5DBA3E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6" w15:restartNumberingAfterBreak="0">
    <w:nsid w:val="5C240825"/>
    <w:multiLevelType w:val="multilevel"/>
    <w:tmpl w:val="5EC0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5C6E249D"/>
    <w:multiLevelType w:val="hybridMultilevel"/>
    <w:tmpl w:val="817CE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C9E623F"/>
    <w:multiLevelType w:val="hybridMultilevel"/>
    <w:tmpl w:val="CC987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DAC5D96"/>
    <w:multiLevelType w:val="hybridMultilevel"/>
    <w:tmpl w:val="203E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DF67AF0"/>
    <w:multiLevelType w:val="hybridMultilevel"/>
    <w:tmpl w:val="1366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EAC2663"/>
    <w:multiLevelType w:val="hybridMultilevel"/>
    <w:tmpl w:val="D95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ED5991B"/>
    <w:multiLevelType w:val="hybridMultilevel"/>
    <w:tmpl w:val="6068F956"/>
    <w:lvl w:ilvl="0" w:tplc="1AE41A8C">
      <w:start w:val="1"/>
      <w:numFmt w:val="bullet"/>
      <w:lvlText w:val=""/>
      <w:lvlJc w:val="left"/>
      <w:pPr>
        <w:ind w:left="720" w:hanging="360"/>
      </w:pPr>
      <w:rPr>
        <w:rFonts w:ascii="Symbol" w:hAnsi="Symbol" w:hint="default"/>
      </w:rPr>
    </w:lvl>
    <w:lvl w:ilvl="1" w:tplc="ED7E8FC8">
      <w:start w:val="1"/>
      <w:numFmt w:val="bullet"/>
      <w:lvlText w:val="o"/>
      <w:lvlJc w:val="left"/>
      <w:pPr>
        <w:ind w:left="1440" w:hanging="360"/>
      </w:pPr>
      <w:rPr>
        <w:rFonts w:ascii="Courier New" w:hAnsi="Courier New" w:hint="default"/>
      </w:rPr>
    </w:lvl>
    <w:lvl w:ilvl="2" w:tplc="505E7CBC">
      <w:start w:val="1"/>
      <w:numFmt w:val="bullet"/>
      <w:lvlText w:val=""/>
      <w:lvlJc w:val="left"/>
      <w:pPr>
        <w:ind w:left="2160" w:hanging="360"/>
      </w:pPr>
      <w:rPr>
        <w:rFonts w:ascii="Wingdings" w:hAnsi="Wingdings" w:hint="default"/>
      </w:rPr>
    </w:lvl>
    <w:lvl w:ilvl="3" w:tplc="D58010C8">
      <w:start w:val="1"/>
      <w:numFmt w:val="bullet"/>
      <w:lvlText w:val=""/>
      <w:lvlJc w:val="left"/>
      <w:pPr>
        <w:ind w:left="2880" w:hanging="360"/>
      </w:pPr>
      <w:rPr>
        <w:rFonts w:ascii="Symbol" w:hAnsi="Symbol" w:hint="default"/>
      </w:rPr>
    </w:lvl>
    <w:lvl w:ilvl="4" w:tplc="2228C374">
      <w:start w:val="1"/>
      <w:numFmt w:val="bullet"/>
      <w:lvlText w:val="o"/>
      <w:lvlJc w:val="left"/>
      <w:pPr>
        <w:ind w:left="3600" w:hanging="360"/>
      </w:pPr>
      <w:rPr>
        <w:rFonts w:ascii="Courier New" w:hAnsi="Courier New" w:hint="default"/>
      </w:rPr>
    </w:lvl>
    <w:lvl w:ilvl="5" w:tplc="CA84AB40">
      <w:start w:val="1"/>
      <w:numFmt w:val="bullet"/>
      <w:lvlText w:val=""/>
      <w:lvlJc w:val="left"/>
      <w:pPr>
        <w:ind w:left="4320" w:hanging="360"/>
      </w:pPr>
      <w:rPr>
        <w:rFonts w:ascii="Wingdings" w:hAnsi="Wingdings" w:hint="default"/>
      </w:rPr>
    </w:lvl>
    <w:lvl w:ilvl="6" w:tplc="421EDD4C">
      <w:start w:val="1"/>
      <w:numFmt w:val="bullet"/>
      <w:lvlText w:val=""/>
      <w:lvlJc w:val="left"/>
      <w:pPr>
        <w:ind w:left="5040" w:hanging="360"/>
      </w:pPr>
      <w:rPr>
        <w:rFonts w:ascii="Symbol" w:hAnsi="Symbol" w:hint="default"/>
      </w:rPr>
    </w:lvl>
    <w:lvl w:ilvl="7" w:tplc="49E06C9C">
      <w:start w:val="1"/>
      <w:numFmt w:val="bullet"/>
      <w:lvlText w:val="o"/>
      <w:lvlJc w:val="left"/>
      <w:pPr>
        <w:ind w:left="5760" w:hanging="360"/>
      </w:pPr>
      <w:rPr>
        <w:rFonts w:ascii="Courier New" w:hAnsi="Courier New" w:hint="default"/>
      </w:rPr>
    </w:lvl>
    <w:lvl w:ilvl="8" w:tplc="02804686">
      <w:start w:val="1"/>
      <w:numFmt w:val="bullet"/>
      <w:lvlText w:val=""/>
      <w:lvlJc w:val="left"/>
      <w:pPr>
        <w:ind w:left="6480" w:hanging="360"/>
      </w:pPr>
      <w:rPr>
        <w:rFonts w:ascii="Wingdings" w:hAnsi="Wingdings" w:hint="default"/>
      </w:rPr>
    </w:lvl>
  </w:abstractNum>
  <w:abstractNum w:abstractNumId="193" w15:restartNumberingAfterBreak="0">
    <w:nsid w:val="5F2E268B"/>
    <w:multiLevelType w:val="hybridMultilevel"/>
    <w:tmpl w:val="F8125DD6"/>
    <w:lvl w:ilvl="0" w:tplc="0C090003">
      <w:start w:val="1"/>
      <w:numFmt w:val="bullet"/>
      <w:lvlText w:val="o"/>
      <w:lvlJc w:val="left"/>
      <w:pPr>
        <w:ind w:left="720" w:hanging="360"/>
      </w:pPr>
      <w:rPr>
        <w:rFonts w:ascii="Courier New" w:hAnsi="Courier New" w:cs="Courier New" w:hint="default"/>
      </w:rPr>
    </w:lvl>
    <w:lvl w:ilvl="1" w:tplc="71B23F42">
      <w:numFmt w:val="bullet"/>
      <w:lvlText w:val="•"/>
      <w:lvlJc w:val="left"/>
      <w:pPr>
        <w:ind w:left="1800" w:hanging="72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600F7416"/>
    <w:multiLevelType w:val="hybridMultilevel"/>
    <w:tmpl w:val="0C40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60556602"/>
    <w:multiLevelType w:val="hybridMultilevel"/>
    <w:tmpl w:val="36720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60BC5EE1"/>
    <w:multiLevelType w:val="hybridMultilevel"/>
    <w:tmpl w:val="39420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1B366FB"/>
    <w:multiLevelType w:val="hybridMultilevel"/>
    <w:tmpl w:val="F7A28992"/>
    <w:lvl w:ilvl="0" w:tplc="1E6464E8">
      <w:start w:val="1"/>
      <w:numFmt w:val="bullet"/>
      <w:lvlText w:val="-"/>
      <w:lvlJc w:val="left"/>
      <w:pPr>
        <w:ind w:left="751" w:hanging="360"/>
      </w:pPr>
      <w:rPr>
        <w:rFonts w:ascii="Aptos" w:hAnsi="Aptos"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98" w15:restartNumberingAfterBreak="0">
    <w:nsid w:val="61E714F6"/>
    <w:multiLevelType w:val="hybridMultilevel"/>
    <w:tmpl w:val="2D20B3A8"/>
    <w:lvl w:ilvl="0" w:tplc="89027498">
      <w:start w:val="1"/>
      <w:numFmt w:val="bullet"/>
      <w:lvlText w:val="-"/>
      <w:lvlJc w:val="left"/>
      <w:pPr>
        <w:ind w:left="720" w:hanging="360"/>
      </w:pPr>
      <w:rPr>
        <w:rFonts w:ascii="Aptos" w:hAnsi="Apto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6219D9D0"/>
    <w:multiLevelType w:val="hybridMultilevel"/>
    <w:tmpl w:val="FFFFFFFF"/>
    <w:lvl w:ilvl="0" w:tplc="DA8E101A">
      <w:start w:val="1"/>
      <w:numFmt w:val="bullet"/>
      <w:lvlText w:val=""/>
      <w:lvlJc w:val="left"/>
      <w:pPr>
        <w:ind w:left="720" w:hanging="360"/>
      </w:pPr>
      <w:rPr>
        <w:rFonts w:ascii="Wingdings" w:hAnsi="Wingdings" w:hint="default"/>
      </w:rPr>
    </w:lvl>
    <w:lvl w:ilvl="1" w:tplc="202EC7EC">
      <w:start w:val="1"/>
      <w:numFmt w:val="bullet"/>
      <w:lvlText w:val="o"/>
      <w:lvlJc w:val="left"/>
      <w:pPr>
        <w:ind w:left="1440" w:hanging="360"/>
      </w:pPr>
      <w:rPr>
        <w:rFonts w:ascii="Courier New" w:hAnsi="Courier New" w:hint="default"/>
      </w:rPr>
    </w:lvl>
    <w:lvl w:ilvl="2" w:tplc="2E6C6650">
      <w:start w:val="1"/>
      <w:numFmt w:val="bullet"/>
      <w:lvlText w:val=""/>
      <w:lvlJc w:val="left"/>
      <w:pPr>
        <w:ind w:left="2160" w:hanging="360"/>
      </w:pPr>
      <w:rPr>
        <w:rFonts w:ascii="Wingdings" w:hAnsi="Wingdings" w:hint="default"/>
      </w:rPr>
    </w:lvl>
    <w:lvl w:ilvl="3" w:tplc="77C673E4">
      <w:start w:val="1"/>
      <w:numFmt w:val="bullet"/>
      <w:lvlText w:val=""/>
      <w:lvlJc w:val="left"/>
      <w:pPr>
        <w:ind w:left="2880" w:hanging="360"/>
      </w:pPr>
      <w:rPr>
        <w:rFonts w:ascii="Symbol" w:hAnsi="Symbol" w:hint="default"/>
      </w:rPr>
    </w:lvl>
    <w:lvl w:ilvl="4" w:tplc="841C9982">
      <w:start w:val="1"/>
      <w:numFmt w:val="bullet"/>
      <w:lvlText w:val="o"/>
      <w:lvlJc w:val="left"/>
      <w:pPr>
        <w:ind w:left="3600" w:hanging="360"/>
      </w:pPr>
      <w:rPr>
        <w:rFonts w:ascii="Courier New" w:hAnsi="Courier New" w:hint="default"/>
      </w:rPr>
    </w:lvl>
    <w:lvl w:ilvl="5" w:tplc="A3A8D682">
      <w:start w:val="1"/>
      <w:numFmt w:val="bullet"/>
      <w:lvlText w:val=""/>
      <w:lvlJc w:val="left"/>
      <w:pPr>
        <w:ind w:left="4320" w:hanging="360"/>
      </w:pPr>
      <w:rPr>
        <w:rFonts w:ascii="Wingdings" w:hAnsi="Wingdings" w:hint="default"/>
      </w:rPr>
    </w:lvl>
    <w:lvl w:ilvl="6" w:tplc="D0560E22">
      <w:start w:val="1"/>
      <w:numFmt w:val="bullet"/>
      <w:lvlText w:val=""/>
      <w:lvlJc w:val="left"/>
      <w:pPr>
        <w:ind w:left="5040" w:hanging="360"/>
      </w:pPr>
      <w:rPr>
        <w:rFonts w:ascii="Symbol" w:hAnsi="Symbol" w:hint="default"/>
      </w:rPr>
    </w:lvl>
    <w:lvl w:ilvl="7" w:tplc="70E0D8BA">
      <w:start w:val="1"/>
      <w:numFmt w:val="bullet"/>
      <w:lvlText w:val="o"/>
      <w:lvlJc w:val="left"/>
      <w:pPr>
        <w:ind w:left="5760" w:hanging="360"/>
      </w:pPr>
      <w:rPr>
        <w:rFonts w:ascii="Courier New" w:hAnsi="Courier New" w:hint="default"/>
      </w:rPr>
    </w:lvl>
    <w:lvl w:ilvl="8" w:tplc="11703BD2">
      <w:start w:val="1"/>
      <w:numFmt w:val="bullet"/>
      <w:lvlText w:val=""/>
      <w:lvlJc w:val="left"/>
      <w:pPr>
        <w:ind w:left="6480" w:hanging="360"/>
      </w:pPr>
      <w:rPr>
        <w:rFonts w:ascii="Wingdings" w:hAnsi="Wingdings" w:hint="default"/>
      </w:rPr>
    </w:lvl>
  </w:abstractNum>
  <w:abstractNum w:abstractNumId="200" w15:restartNumberingAfterBreak="0">
    <w:nsid w:val="63312DF0"/>
    <w:multiLevelType w:val="hybridMultilevel"/>
    <w:tmpl w:val="1D28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333749B"/>
    <w:multiLevelType w:val="hybridMultilevel"/>
    <w:tmpl w:val="40F8E512"/>
    <w:lvl w:ilvl="0" w:tplc="89027498">
      <w:start w:val="1"/>
      <w:numFmt w:val="bullet"/>
      <w:lvlText w:val="-"/>
      <w:lvlJc w:val="left"/>
      <w:pPr>
        <w:ind w:left="751" w:hanging="360"/>
      </w:pPr>
      <w:rPr>
        <w:rFonts w:ascii="Aptos" w:hAnsi="Aptos"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202" w15:restartNumberingAfterBreak="0">
    <w:nsid w:val="6370790A"/>
    <w:multiLevelType w:val="hybridMultilevel"/>
    <w:tmpl w:val="6DAA7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63963676"/>
    <w:multiLevelType w:val="multilevel"/>
    <w:tmpl w:val="0AD4D1AA"/>
    <w:lvl w:ilvl="0">
      <w:start w:val="1"/>
      <w:numFmt w:val="bullet"/>
      <w:lvlText w:val=""/>
      <w:lvlJc w:val="left"/>
      <w:pPr>
        <w:ind w:left="720" w:hanging="360"/>
      </w:pPr>
      <w:rPr>
        <w:rFonts w:ascii="Symbol" w:hAnsi="Symbol" w:hint="default"/>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648ECDDC"/>
    <w:multiLevelType w:val="hybridMultilevel"/>
    <w:tmpl w:val="FFFFFFFF"/>
    <w:lvl w:ilvl="0" w:tplc="5A9C728A">
      <w:start w:val="1"/>
      <w:numFmt w:val="bullet"/>
      <w:lvlText w:val=""/>
      <w:lvlJc w:val="left"/>
      <w:pPr>
        <w:ind w:left="720" w:hanging="360"/>
      </w:pPr>
      <w:rPr>
        <w:rFonts w:ascii="Wingdings" w:hAnsi="Wingdings" w:hint="default"/>
      </w:rPr>
    </w:lvl>
    <w:lvl w:ilvl="1" w:tplc="73A02550">
      <w:start w:val="1"/>
      <w:numFmt w:val="bullet"/>
      <w:lvlText w:val="o"/>
      <w:lvlJc w:val="left"/>
      <w:pPr>
        <w:ind w:left="1440" w:hanging="360"/>
      </w:pPr>
      <w:rPr>
        <w:rFonts w:ascii="Courier New" w:hAnsi="Courier New" w:hint="default"/>
      </w:rPr>
    </w:lvl>
    <w:lvl w:ilvl="2" w:tplc="D13A56CC">
      <w:start w:val="1"/>
      <w:numFmt w:val="bullet"/>
      <w:lvlText w:val=""/>
      <w:lvlJc w:val="left"/>
      <w:pPr>
        <w:ind w:left="2160" w:hanging="360"/>
      </w:pPr>
      <w:rPr>
        <w:rFonts w:ascii="Wingdings" w:hAnsi="Wingdings" w:hint="default"/>
      </w:rPr>
    </w:lvl>
    <w:lvl w:ilvl="3" w:tplc="2D36D444">
      <w:start w:val="1"/>
      <w:numFmt w:val="bullet"/>
      <w:lvlText w:val=""/>
      <w:lvlJc w:val="left"/>
      <w:pPr>
        <w:ind w:left="2880" w:hanging="360"/>
      </w:pPr>
      <w:rPr>
        <w:rFonts w:ascii="Symbol" w:hAnsi="Symbol" w:hint="default"/>
      </w:rPr>
    </w:lvl>
    <w:lvl w:ilvl="4" w:tplc="E14A8828">
      <w:start w:val="1"/>
      <w:numFmt w:val="bullet"/>
      <w:lvlText w:val="o"/>
      <w:lvlJc w:val="left"/>
      <w:pPr>
        <w:ind w:left="3600" w:hanging="360"/>
      </w:pPr>
      <w:rPr>
        <w:rFonts w:ascii="Courier New" w:hAnsi="Courier New" w:hint="default"/>
      </w:rPr>
    </w:lvl>
    <w:lvl w:ilvl="5" w:tplc="F9086134">
      <w:start w:val="1"/>
      <w:numFmt w:val="bullet"/>
      <w:lvlText w:val=""/>
      <w:lvlJc w:val="left"/>
      <w:pPr>
        <w:ind w:left="4320" w:hanging="360"/>
      </w:pPr>
      <w:rPr>
        <w:rFonts w:ascii="Wingdings" w:hAnsi="Wingdings" w:hint="default"/>
      </w:rPr>
    </w:lvl>
    <w:lvl w:ilvl="6" w:tplc="7C82F278">
      <w:start w:val="1"/>
      <w:numFmt w:val="bullet"/>
      <w:lvlText w:val=""/>
      <w:lvlJc w:val="left"/>
      <w:pPr>
        <w:ind w:left="5040" w:hanging="360"/>
      </w:pPr>
      <w:rPr>
        <w:rFonts w:ascii="Symbol" w:hAnsi="Symbol" w:hint="default"/>
      </w:rPr>
    </w:lvl>
    <w:lvl w:ilvl="7" w:tplc="68A05AF6">
      <w:start w:val="1"/>
      <w:numFmt w:val="bullet"/>
      <w:lvlText w:val="o"/>
      <w:lvlJc w:val="left"/>
      <w:pPr>
        <w:ind w:left="5760" w:hanging="360"/>
      </w:pPr>
      <w:rPr>
        <w:rFonts w:ascii="Courier New" w:hAnsi="Courier New" w:hint="default"/>
      </w:rPr>
    </w:lvl>
    <w:lvl w:ilvl="8" w:tplc="269A4228">
      <w:start w:val="1"/>
      <w:numFmt w:val="bullet"/>
      <w:lvlText w:val=""/>
      <w:lvlJc w:val="left"/>
      <w:pPr>
        <w:ind w:left="6480" w:hanging="360"/>
      </w:pPr>
      <w:rPr>
        <w:rFonts w:ascii="Wingdings" w:hAnsi="Wingdings" w:hint="default"/>
      </w:rPr>
    </w:lvl>
  </w:abstractNum>
  <w:abstractNum w:abstractNumId="205" w15:restartNumberingAfterBreak="0">
    <w:nsid w:val="64B00BCC"/>
    <w:multiLevelType w:val="hybridMultilevel"/>
    <w:tmpl w:val="7292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65B47B12"/>
    <w:multiLevelType w:val="hybridMultilevel"/>
    <w:tmpl w:val="6C86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5E3D9A7"/>
    <w:multiLevelType w:val="hybridMultilevel"/>
    <w:tmpl w:val="FFFFFFFF"/>
    <w:lvl w:ilvl="0" w:tplc="AFB68050">
      <w:start w:val="1"/>
      <w:numFmt w:val="bullet"/>
      <w:lvlText w:val=""/>
      <w:lvlJc w:val="left"/>
      <w:pPr>
        <w:ind w:left="720" w:hanging="360"/>
      </w:pPr>
      <w:rPr>
        <w:rFonts w:ascii="Wingdings" w:hAnsi="Wingdings" w:hint="default"/>
      </w:rPr>
    </w:lvl>
    <w:lvl w:ilvl="1" w:tplc="E15E9480">
      <w:start w:val="1"/>
      <w:numFmt w:val="bullet"/>
      <w:lvlText w:val="o"/>
      <w:lvlJc w:val="left"/>
      <w:pPr>
        <w:ind w:left="1440" w:hanging="360"/>
      </w:pPr>
      <w:rPr>
        <w:rFonts w:ascii="Courier New" w:hAnsi="Courier New" w:hint="default"/>
      </w:rPr>
    </w:lvl>
    <w:lvl w:ilvl="2" w:tplc="8DCAE9E6">
      <w:start w:val="1"/>
      <w:numFmt w:val="bullet"/>
      <w:lvlText w:val=""/>
      <w:lvlJc w:val="left"/>
      <w:pPr>
        <w:ind w:left="2160" w:hanging="360"/>
      </w:pPr>
      <w:rPr>
        <w:rFonts w:ascii="Wingdings" w:hAnsi="Wingdings" w:hint="default"/>
      </w:rPr>
    </w:lvl>
    <w:lvl w:ilvl="3" w:tplc="B7E8DB6C">
      <w:start w:val="1"/>
      <w:numFmt w:val="bullet"/>
      <w:lvlText w:val=""/>
      <w:lvlJc w:val="left"/>
      <w:pPr>
        <w:ind w:left="2880" w:hanging="360"/>
      </w:pPr>
      <w:rPr>
        <w:rFonts w:ascii="Symbol" w:hAnsi="Symbol" w:hint="default"/>
      </w:rPr>
    </w:lvl>
    <w:lvl w:ilvl="4" w:tplc="4DF888E2">
      <w:start w:val="1"/>
      <w:numFmt w:val="bullet"/>
      <w:lvlText w:val="o"/>
      <w:lvlJc w:val="left"/>
      <w:pPr>
        <w:ind w:left="3600" w:hanging="360"/>
      </w:pPr>
      <w:rPr>
        <w:rFonts w:ascii="Courier New" w:hAnsi="Courier New" w:hint="default"/>
      </w:rPr>
    </w:lvl>
    <w:lvl w:ilvl="5" w:tplc="CE589F00">
      <w:start w:val="1"/>
      <w:numFmt w:val="bullet"/>
      <w:lvlText w:val=""/>
      <w:lvlJc w:val="left"/>
      <w:pPr>
        <w:ind w:left="4320" w:hanging="360"/>
      </w:pPr>
      <w:rPr>
        <w:rFonts w:ascii="Wingdings" w:hAnsi="Wingdings" w:hint="default"/>
      </w:rPr>
    </w:lvl>
    <w:lvl w:ilvl="6" w:tplc="3DF66584">
      <w:start w:val="1"/>
      <w:numFmt w:val="bullet"/>
      <w:lvlText w:val=""/>
      <w:lvlJc w:val="left"/>
      <w:pPr>
        <w:ind w:left="5040" w:hanging="360"/>
      </w:pPr>
      <w:rPr>
        <w:rFonts w:ascii="Symbol" w:hAnsi="Symbol" w:hint="default"/>
      </w:rPr>
    </w:lvl>
    <w:lvl w:ilvl="7" w:tplc="06A4323A">
      <w:start w:val="1"/>
      <w:numFmt w:val="bullet"/>
      <w:lvlText w:val="o"/>
      <w:lvlJc w:val="left"/>
      <w:pPr>
        <w:ind w:left="5760" w:hanging="360"/>
      </w:pPr>
      <w:rPr>
        <w:rFonts w:ascii="Courier New" w:hAnsi="Courier New" w:hint="default"/>
      </w:rPr>
    </w:lvl>
    <w:lvl w:ilvl="8" w:tplc="2736B2E0">
      <w:start w:val="1"/>
      <w:numFmt w:val="bullet"/>
      <w:lvlText w:val=""/>
      <w:lvlJc w:val="left"/>
      <w:pPr>
        <w:ind w:left="6480" w:hanging="360"/>
      </w:pPr>
      <w:rPr>
        <w:rFonts w:ascii="Wingdings" w:hAnsi="Wingdings" w:hint="default"/>
      </w:rPr>
    </w:lvl>
  </w:abstractNum>
  <w:abstractNum w:abstractNumId="208" w15:restartNumberingAfterBreak="0">
    <w:nsid w:val="66115BB3"/>
    <w:multiLevelType w:val="hybridMultilevel"/>
    <w:tmpl w:val="5056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6243EB9"/>
    <w:multiLevelType w:val="hybridMultilevel"/>
    <w:tmpl w:val="F1DE7418"/>
    <w:lvl w:ilvl="0" w:tplc="04C67BD6">
      <w:start w:val="1"/>
      <w:numFmt w:val="bullet"/>
      <w:lvlText w:val="-"/>
      <w:lvlJc w:val="left"/>
      <w:pPr>
        <w:ind w:left="720" w:hanging="360"/>
      </w:pPr>
      <w:rPr>
        <w:rFonts w:ascii="Aptos" w:hAnsi="Apto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0" w15:restartNumberingAfterBreak="0">
    <w:nsid w:val="66F46817"/>
    <w:multiLevelType w:val="hybridMultilevel"/>
    <w:tmpl w:val="F732D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677C6A4B"/>
    <w:multiLevelType w:val="hybridMultilevel"/>
    <w:tmpl w:val="FFFFFFFF"/>
    <w:lvl w:ilvl="0" w:tplc="0CB868E4">
      <w:start w:val="1"/>
      <w:numFmt w:val="bullet"/>
      <w:lvlText w:val=""/>
      <w:lvlJc w:val="left"/>
      <w:pPr>
        <w:ind w:left="720" w:hanging="360"/>
      </w:pPr>
      <w:rPr>
        <w:rFonts w:ascii="Wingdings" w:hAnsi="Wingdings" w:hint="default"/>
      </w:rPr>
    </w:lvl>
    <w:lvl w:ilvl="1" w:tplc="8BD4EF9E">
      <w:start w:val="1"/>
      <w:numFmt w:val="bullet"/>
      <w:lvlText w:val="o"/>
      <w:lvlJc w:val="left"/>
      <w:pPr>
        <w:ind w:left="1440" w:hanging="360"/>
      </w:pPr>
      <w:rPr>
        <w:rFonts w:ascii="Courier New" w:hAnsi="Courier New" w:hint="default"/>
      </w:rPr>
    </w:lvl>
    <w:lvl w:ilvl="2" w:tplc="440836AA">
      <w:start w:val="1"/>
      <w:numFmt w:val="bullet"/>
      <w:lvlText w:val=""/>
      <w:lvlJc w:val="left"/>
      <w:pPr>
        <w:ind w:left="2160" w:hanging="360"/>
      </w:pPr>
      <w:rPr>
        <w:rFonts w:ascii="Wingdings" w:hAnsi="Wingdings" w:hint="default"/>
      </w:rPr>
    </w:lvl>
    <w:lvl w:ilvl="3" w:tplc="934437E4">
      <w:start w:val="1"/>
      <w:numFmt w:val="bullet"/>
      <w:lvlText w:val=""/>
      <w:lvlJc w:val="left"/>
      <w:pPr>
        <w:ind w:left="2880" w:hanging="360"/>
      </w:pPr>
      <w:rPr>
        <w:rFonts w:ascii="Symbol" w:hAnsi="Symbol" w:hint="default"/>
      </w:rPr>
    </w:lvl>
    <w:lvl w:ilvl="4" w:tplc="8AA46068">
      <w:start w:val="1"/>
      <w:numFmt w:val="bullet"/>
      <w:lvlText w:val="o"/>
      <w:lvlJc w:val="left"/>
      <w:pPr>
        <w:ind w:left="3600" w:hanging="360"/>
      </w:pPr>
      <w:rPr>
        <w:rFonts w:ascii="Courier New" w:hAnsi="Courier New" w:hint="default"/>
      </w:rPr>
    </w:lvl>
    <w:lvl w:ilvl="5" w:tplc="0308AAB0">
      <w:start w:val="1"/>
      <w:numFmt w:val="bullet"/>
      <w:lvlText w:val=""/>
      <w:lvlJc w:val="left"/>
      <w:pPr>
        <w:ind w:left="4320" w:hanging="360"/>
      </w:pPr>
      <w:rPr>
        <w:rFonts w:ascii="Wingdings" w:hAnsi="Wingdings" w:hint="default"/>
      </w:rPr>
    </w:lvl>
    <w:lvl w:ilvl="6" w:tplc="95682F9E">
      <w:start w:val="1"/>
      <w:numFmt w:val="bullet"/>
      <w:lvlText w:val=""/>
      <w:lvlJc w:val="left"/>
      <w:pPr>
        <w:ind w:left="5040" w:hanging="360"/>
      </w:pPr>
      <w:rPr>
        <w:rFonts w:ascii="Symbol" w:hAnsi="Symbol" w:hint="default"/>
      </w:rPr>
    </w:lvl>
    <w:lvl w:ilvl="7" w:tplc="36CCB9C8">
      <w:start w:val="1"/>
      <w:numFmt w:val="bullet"/>
      <w:lvlText w:val="o"/>
      <w:lvlJc w:val="left"/>
      <w:pPr>
        <w:ind w:left="5760" w:hanging="360"/>
      </w:pPr>
      <w:rPr>
        <w:rFonts w:ascii="Courier New" w:hAnsi="Courier New" w:hint="default"/>
      </w:rPr>
    </w:lvl>
    <w:lvl w:ilvl="8" w:tplc="C6D21256">
      <w:start w:val="1"/>
      <w:numFmt w:val="bullet"/>
      <w:lvlText w:val=""/>
      <w:lvlJc w:val="left"/>
      <w:pPr>
        <w:ind w:left="6480" w:hanging="360"/>
      </w:pPr>
      <w:rPr>
        <w:rFonts w:ascii="Wingdings" w:hAnsi="Wingdings" w:hint="default"/>
      </w:rPr>
    </w:lvl>
  </w:abstractNum>
  <w:abstractNum w:abstractNumId="212" w15:restartNumberingAfterBreak="0">
    <w:nsid w:val="67BD7006"/>
    <w:multiLevelType w:val="hybridMultilevel"/>
    <w:tmpl w:val="FFFFFFFF"/>
    <w:lvl w:ilvl="0" w:tplc="FC9A4CE2">
      <w:start w:val="1"/>
      <w:numFmt w:val="bullet"/>
      <w:lvlText w:val=""/>
      <w:lvlJc w:val="left"/>
      <w:pPr>
        <w:ind w:left="720" w:hanging="360"/>
      </w:pPr>
      <w:rPr>
        <w:rFonts w:ascii="Wingdings" w:hAnsi="Wingdings" w:hint="default"/>
      </w:rPr>
    </w:lvl>
    <w:lvl w:ilvl="1" w:tplc="F5DA3360">
      <w:start w:val="1"/>
      <w:numFmt w:val="bullet"/>
      <w:lvlText w:val="o"/>
      <w:lvlJc w:val="left"/>
      <w:pPr>
        <w:ind w:left="1440" w:hanging="360"/>
      </w:pPr>
      <w:rPr>
        <w:rFonts w:ascii="Courier New" w:hAnsi="Courier New" w:hint="default"/>
      </w:rPr>
    </w:lvl>
    <w:lvl w:ilvl="2" w:tplc="49746446">
      <w:start w:val="1"/>
      <w:numFmt w:val="bullet"/>
      <w:lvlText w:val=""/>
      <w:lvlJc w:val="left"/>
      <w:pPr>
        <w:ind w:left="2160" w:hanging="360"/>
      </w:pPr>
      <w:rPr>
        <w:rFonts w:ascii="Wingdings" w:hAnsi="Wingdings" w:hint="default"/>
      </w:rPr>
    </w:lvl>
    <w:lvl w:ilvl="3" w:tplc="640802A2">
      <w:start w:val="1"/>
      <w:numFmt w:val="bullet"/>
      <w:lvlText w:val=""/>
      <w:lvlJc w:val="left"/>
      <w:pPr>
        <w:ind w:left="2880" w:hanging="360"/>
      </w:pPr>
      <w:rPr>
        <w:rFonts w:ascii="Symbol" w:hAnsi="Symbol" w:hint="default"/>
      </w:rPr>
    </w:lvl>
    <w:lvl w:ilvl="4" w:tplc="5E3C82DA">
      <w:start w:val="1"/>
      <w:numFmt w:val="bullet"/>
      <w:lvlText w:val="o"/>
      <w:lvlJc w:val="left"/>
      <w:pPr>
        <w:ind w:left="3600" w:hanging="360"/>
      </w:pPr>
      <w:rPr>
        <w:rFonts w:ascii="Courier New" w:hAnsi="Courier New" w:hint="default"/>
      </w:rPr>
    </w:lvl>
    <w:lvl w:ilvl="5" w:tplc="85B4DE34">
      <w:start w:val="1"/>
      <w:numFmt w:val="bullet"/>
      <w:lvlText w:val=""/>
      <w:lvlJc w:val="left"/>
      <w:pPr>
        <w:ind w:left="4320" w:hanging="360"/>
      </w:pPr>
      <w:rPr>
        <w:rFonts w:ascii="Wingdings" w:hAnsi="Wingdings" w:hint="default"/>
      </w:rPr>
    </w:lvl>
    <w:lvl w:ilvl="6" w:tplc="1AEC3144">
      <w:start w:val="1"/>
      <w:numFmt w:val="bullet"/>
      <w:lvlText w:val=""/>
      <w:lvlJc w:val="left"/>
      <w:pPr>
        <w:ind w:left="5040" w:hanging="360"/>
      </w:pPr>
      <w:rPr>
        <w:rFonts w:ascii="Symbol" w:hAnsi="Symbol" w:hint="default"/>
      </w:rPr>
    </w:lvl>
    <w:lvl w:ilvl="7" w:tplc="6130070A">
      <w:start w:val="1"/>
      <w:numFmt w:val="bullet"/>
      <w:lvlText w:val="o"/>
      <w:lvlJc w:val="left"/>
      <w:pPr>
        <w:ind w:left="5760" w:hanging="360"/>
      </w:pPr>
      <w:rPr>
        <w:rFonts w:ascii="Courier New" w:hAnsi="Courier New" w:hint="default"/>
      </w:rPr>
    </w:lvl>
    <w:lvl w:ilvl="8" w:tplc="513E4546">
      <w:start w:val="1"/>
      <w:numFmt w:val="bullet"/>
      <w:lvlText w:val=""/>
      <w:lvlJc w:val="left"/>
      <w:pPr>
        <w:ind w:left="6480" w:hanging="360"/>
      </w:pPr>
      <w:rPr>
        <w:rFonts w:ascii="Wingdings" w:hAnsi="Wingdings" w:hint="default"/>
      </w:rPr>
    </w:lvl>
  </w:abstractNum>
  <w:abstractNum w:abstractNumId="213" w15:restartNumberingAfterBreak="0">
    <w:nsid w:val="680F4336"/>
    <w:multiLevelType w:val="hybridMultilevel"/>
    <w:tmpl w:val="78D8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897428B"/>
    <w:multiLevelType w:val="hybridMultilevel"/>
    <w:tmpl w:val="3574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8BC308E"/>
    <w:multiLevelType w:val="hybridMultilevel"/>
    <w:tmpl w:val="EC4C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93E4ED5"/>
    <w:multiLevelType w:val="hybridMultilevel"/>
    <w:tmpl w:val="225C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A1A3594"/>
    <w:multiLevelType w:val="hybridMultilevel"/>
    <w:tmpl w:val="53FC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B156200"/>
    <w:multiLevelType w:val="hybridMultilevel"/>
    <w:tmpl w:val="30741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6B38E91A"/>
    <w:multiLevelType w:val="hybridMultilevel"/>
    <w:tmpl w:val="FFFFFFFF"/>
    <w:lvl w:ilvl="0" w:tplc="EFC2A992">
      <w:start w:val="1"/>
      <w:numFmt w:val="bullet"/>
      <w:lvlText w:val=""/>
      <w:lvlJc w:val="left"/>
      <w:pPr>
        <w:ind w:left="720" w:hanging="360"/>
      </w:pPr>
      <w:rPr>
        <w:rFonts w:ascii="Wingdings" w:hAnsi="Wingdings" w:hint="default"/>
      </w:rPr>
    </w:lvl>
    <w:lvl w:ilvl="1" w:tplc="C0CAA35A">
      <w:start w:val="1"/>
      <w:numFmt w:val="bullet"/>
      <w:lvlText w:val="o"/>
      <w:lvlJc w:val="left"/>
      <w:pPr>
        <w:ind w:left="1440" w:hanging="360"/>
      </w:pPr>
      <w:rPr>
        <w:rFonts w:ascii="Courier New" w:hAnsi="Courier New" w:hint="default"/>
      </w:rPr>
    </w:lvl>
    <w:lvl w:ilvl="2" w:tplc="1FEABCF2">
      <w:start w:val="1"/>
      <w:numFmt w:val="bullet"/>
      <w:lvlText w:val=""/>
      <w:lvlJc w:val="left"/>
      <w:pPr>
        <w:ind w:left="2160" w:hanging="360"/>
      </w:pPr>
      <w:rPr>
        <w:rFonts w:ascii="Wingdings" w:hAnsi="Wingdings" w:hint="default"/>
      </w:rPr>
    </w:lvl>
    <w:lvl w:ilvl="3" w:tplc="12B4033A">
      <w:start w:val="1"/>
      <w:numFmt w:val="bullet"/>
      <w:lvlText w:val=""/>
      <w:lvlJc w:val="left"/>
      <w:pPr>
        <w:ind w:left="2880" w:hanging="360"/>
      </w:pPr>
      <w:rPr>
        <w:rFonts w:ascii="Symbol" w:hAnsi="Symbol" w:hint="default"/>
      </w:rPr>
    </w:lvl>
    <w:lvl w:ilvl="4" w:tplc="3E280F60">
      <w:start w:val="1"/>
      <w:numFmt w:val="bullet"/>
      <w:lvlText w:val="o"/>
      <w:lvlJc w:val="left"/>
      <w:pPr>
        <w:ind w:left="3600" w:hanging="360"/>
      </w:pPr>
      <w:rPr>
        <w:rFonts w:ascii="Courier New" w:hAnsi="Courier New" w:hint="default"/>
      </w:rPr>
    </w:lvl>
    <w:lvl w:ilvl="5" w:tplc="49B89C64">
      <w:start w:val="1"/>
      <w:numFmt w:val="bullet"/>
      <w:lvlText w:val=""/>
      <w:lvlJc w:val="left"/>
      <w:pPr>
        <w:ind w:left="4320" w:hanging="360"/>
      </w:pPr>
      <w:rPr>
        <w:rFonts w:ascii="Wingdings" w:hAnsi="Wingdings" w:hint="default"/>
      </w:rPr>
    </w:lvl>
    <w:lvl w:ilvl="6" w:tplc="478079D6">
      <w:start w:val="1"/>
      <w:numFmt w:val="bullet"/>
      <w:lvlText w:val=""/>
      <w:lvlJc w:val="left"/>
      <w:pPr>
        <w:ind w:left="5040" w:hanging="360"/>
      </w:pPr>
      <w:rPr>
        <w:rFonts w:ascii="Symbol" w:hAnsi="Symbol" w:hint="default"/>
      </w:rPr>
    </w:lvl>
    <w:lvl w:ilvl="7" w:tplc="A3FC7E24">
      <w:start w:val="1"/>
      <w:numFmt w:val="bullet"/>
      <w:lvlText w:val="o"/>
      <w:lvlJc w:val="left"/>
      <w:pPr>
        <w:ind w:left="5760" w:hanging="360"/>
      </w:pPr>
      <w:rPr>
        <w:rFonts w:ascii="Courier New" w:hAnsi="Courier New" w:hint="default"/>
      </w:rPr>
    </w:lvl>
    <w:lvl w:ilvl="8" w:tplc="89CAADEE">
      <w:start w:val="1"/>
      <w:numFmt w:val="bullet"/>
      <w:lvlText w:val=""/>
      <w:lvlJc w:val="left"/>
      <w:pPr>
        <w:ind w:left="6480" w:hanging="360"/>
      </w:pPr>
      <w:rPr>
        <w:rFonts w:ascii="Wingdings" w:hAnsi="Wingdings" w:hint="default"/>
      </w:rPr>
    </w:lvl>
  </w:abstractNum>
  <w:abstractNum w:abstractNumId="220" w15:restartNumberingAfterBreak="0">
    <w:nsid w:val="6B40967D"/>
    <w:multiLevelType w:val="hybridMultilevel"/>
    <w:tmpl w:val="FFFFFFFF"/>
    <w:lvl w:ilvl="0" w:tplc="CC40634E">
      <w:start w:val="1"/>
      <w:numFmt w:val="bullet"/>
      <w:lvlText w:val=""/>
      <w:lvlJc w:val="left"/>
      <w:pPr>
        <w:ind w:left="720" w:hanging="360"/>
      </w:pPr>
      <w:rPr>
        <w:rFonts w:ascii="Wingdings" w:hAnsi="Wingdings" w:hint="default"/>
      </w:rPr>
    </w:lvl>
    <w:lvl w:ilvl="1" w:tplc="0000602C">
      <w:start w:val="1"/>
      <w:numFmt w:val="bullet"/>
      <w:lvlText w:val="o"/>
      <w:lvlJc w:val="left"/>
      <w:pPr>
        <w:ind w:left="1440" w:hanging="360"/>
      </w:pPr>
      <w:rPr>
        <w:rFonts w:ascii="Courier New" w:hAnsi="Courier New" w:hint="default"/>
      </w:rPr>
    </w:lvl>
    <w:lvl w:ilvl="2" w:tplc="F9E2098C">
      <w:start w:val="1"/>
      <w:numFmt w:val="bullet"/>
      <w:lvlText w:val=""/>
      <w:lvlJc w:val="left"/>
      <w:pPr>
        <w:ind w:left="2160" w:hanging="360"/>
      </w:pPr>
      <w:rPr>
        <w:rFonts w:ascii="Wingdings" w:hAnsi="Wingdings" w:hint="default"/>
      </w:rPr>
    </w:lvl>
    <w:lvl w:ilvl="3" w:tplc="79A40222">
      <w:start w:val="1"/>
      <w:numFmt w:val="bullet"/>
      <w:lvlText w:val=""/>
      <w:lvlJc w:val="left"/>
      <w:pPr>
        <w:ind w:left="2880" w:hanging="360"/>
      </w:pPr>
      <w:rPr>
        <w:rFonts w:ascii="Symbol" w:hAnsi="Symbol" w:hint="default"/>
      </w:rPr>
    </w:lvl>
    <w:lvl w:ilvl="4" w:tplc="3A7279E0">
      <w:start w:val="1"/>
      <w:numFmt w:val="bullet"/>
      <w:lvlText w:val="o"/>
      <w:lvlJc w:val="left"/>
      <w:pPr>
        <w:ind w:left="3600" w:hanging="360"/>
      </w:pPr>
      <w:rPr>
        <w:rFonts w:ascii="Courier New" w:hAnsi="Courier New" w:hint="default"/>
      </w:rPr>
    </w:lvl>
    <w:lvl w:ilvl="5" w:tplc="E9086792">
      <w:start w:val="1"/>
      <w:numFmt w:val="bullet"/>
      <w:lvlText w:val=""/>
      <w:lvlJc w:val="left"/>
      <w:pPr>
        <w:ind w:left="4320" w:hanging="360"/>
      </w:pPr>
      <w:rPr>
        <w:rFonts w:ascii="Wingdings" w:hAnsi="Wingdings" w:hint="default"/>
      </w:rPr>
    </w:lvl>
    <w:lvl w:ilvl="6" w:tplc="AD0E720A">
      <w:start w:val="1"/>
      <w:numFmt w:val="bullet"/>
      <w:lvlText w:val=""/>
      <w:lvlJc w:val="left"/>
      <w:pPr>
        <w:ind w:left="5040" w:hanging="360"/>
      </w:pPr>
      <w:rPr>
        <w:rFonts w:ascii="Symbol" w:hAnsi="Symbol" w:hint="default"/>
      </w:rPr>
    </w:lvl>
    <w:lvl w:ilvl="7" w:tplc="70FE2294">
      <w:start w:val="1"/>
      <w:numFmt w:val="bullet"/>
      <w:lvlText w:val="o"/>
      <w:lvlJc w:val="left"/>
      <w:pPr>
        <w:ind w:left="5760" w:hanging="360"/>
      </w:pPr>
      <w:rPr>
        <w:rFonts w:ascii="Courier New" w:hAnsi="Courier New" w:hint="default"/>
      </w:rPr>
    </w:lvl>
    <w:lvl w:ilvl="8" w:tplc="D43242A8">
      <w:start w:val="1"/>
      <w:numFmt w:val="bullet"/>
      <w:lvlText w:val=""/>
      <w:lvlJc w:val="left"/>
      <w:pPr>
        <w:ind w:left="6480" w:hanging="360"/>
      </w:pPr>
      <w:rPr>
        <w:rFonts w:ascii="Wingdings" w:hAnsi="Wingdings" w:hint="default"/>
      </w:rPr>
    </w:lvl>
  </w:abstractNum>
  <w:abstractNum w:abstractNumId="221" w15:restartNumberingAfterBreak="0">
    <w:nsid w:val="6B5031B4"/>
    <w:multiLevelType w:val="hybridMultilevel"/>
    <w:tmpl w:val="2246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B972191"/>
    <w:multiLevelType w:val="hybridMultilevel"/>
    <w:tmpl w:val="FFFFFFFF"/>
    <w:lvl w:ilvl="0" w:tplc="F5405400">
      <w:start w:val="1"/>
      <w:numFmt w:val="bullet"/>
      <w:lvlText w:val=""/>
      <w:lvlJc w:val="left"/>
      <w:pPr>
        <w:ind w:left="720" w:hanging="360"/>
      </w:pPr>
      <w:rPr>
        <w:rFonts w:ascii="Wingdings" w:hAnsi="Wingdings" w:hint="default"/>
      </w:rPr>
    </w:lvl>
    <w:lvl w:ilvl="1" w:tplc="1EE6A65A">
      <w:start w:val="1"/>
      <w:numFmt w:val="bullet"/>
      <w:lvlText w:val="o"/>
      <w:lvlJc w:val="left"/>
      <w:pPr>
        <w:ind w:left="1440" w:hanging="360"/>
      </w:pPr>
      <w:rPr>
        <w:rFonts w:ascii="Courier New" w:hAnsi="Courier New" w:hint="default"/>
      </w:rPr>
    </w:lvl>
    <w:lvl w:ilvl="2" w:tplc="6C4030C4">
      <w:start w:val="1"/>
      <w:numFmt w:val="bullet"/>
      <w:lvlText w:val=""/>
      <w:lvlJc w:val="left"/>
      <w:pPr>
        <w:ind w:left="2160" w:hanging="360"/>
      </w:pPr>
      <w:rPr>
        <w:rFonts w:ascii="Wingdings" w:hAnsi="Wingdings" w:hint="default"/>
      </w:rPr>
    </w:lvl>
    <w:lvl w:ilvl="3" w:tplc="5C80EDBE">
      <w:start w:val="1"/>
      <w:numFmt w:val="bullet"/>
      <w:lvlText w:val=""/>
      <w:lvlJc w:val="left"/>
      <w:pPr>
        <w:ind w:left="2880" w:hanging="360"/>
      </w:pPr>
      <w:rPr>
        <w:rFonts w:ascii="Symbol" w:hAnsi="Symbol" w:hint="default"/>
      </w:rPr>
    </w:lvl>
    <w:lvl w:ilvl="4" w:tplc="44ACFB44">
      <w:start w:val="1"/>
      <w:numFmt w:val="bullet"/>
      <w:lvlText w:val="o"/>
      <w:lvlJc w:val="left"/>
      <w:pPr>
        <w:ind w:left="3600" w:hanging="360"/>
      </w:pPr>
      <w:rPr>
        <w:rFonts w:ascii="Courier New" w:hAnsi="Courier New" w:hint="default"/>
      </w:rPr>
    </w:lvl>
    <w:lvl w:ilvl="5" w:tplc="FE940734">
      <w:start w:val="1"/>
      <w:numFmt w:val="bullet"/>
      <w:lvlText w:val=""/>
      <w:lvlJc w:val="left"/>
      <w:pPr>
        <w:ind w:left="4320" w:hanging="360"/>
      </w:pPr>
      <w:rPr>
        <w:rFonts w:ascii="Wingdings" w:hAnsi="Wingdings" w:hint="default"/>
      </w:rPr>
    </w:lvl>
    <w:lvl w:ilvl="6" w:tplc="B754C7E4">
      <w:start w:val="1"/>
      <w:numFmt w:val="bullet"/>
      <w:lvlText w:val=""/>
      <w:lvlJc w:val="left"/>
      <w:pPr>
        <w:ind w:left="5040" w:hanging="360"/>
      </w:pPr>
      <w:rPr>
        <w:rFonts w:ascii="Symbol" w:hAnsi="Symbol" w:hint="default"/>
      </w:rPr>
    </w:lvl>
    <w:lvl w:ilvl="7" w:tplc="2912E514">
      <w:start w:val="1"/>
      <w:numFmt w:val="bullet"/>
      <w:lvlText w:val="o"/>
      <w:lvlJc w:val="left"/>
      <w:pPr>
        <w:ind w:left="5760" w:hanging="360"/>
      </w:pPr>
      <w:rPr>
        <w:rFonts w:ascii="Courier New" w:hAnsi="Courier New" w:hint="default"/>
      </w:rPr>
    </w:lvl>
    <w:lvl w:ilvl="8" w:tplc="F3B64F02">
      <w:start w:val="1"/>
      <w:numFmt w:val="bullet"/>
      <w:lvlText w:val=""/>
      <w:lvlJc w:val="left"/>
      <w:pPr>
        <w:ind w:left="6480" w:hanging="360"/>
      </w:pPr>
      <w:rPr>
        <w:rFonts w:ascii="Wingdings" w:hAnsi="Wingdings" w:hint="default"/>
      </w:rPr>
    </w:lvl>
  </w:abstractNum>
  <w:abstractNum w:abstractNumId="223" w15:restartNumberingAfterBreak="0">
    <w:nsid w:val="6BB7262F"/>
    <w:multiLevelType w:val="hybridMultilevel"/>
    <w:tmpl w:val="1F9A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6BED368E"/>
    <w:multiLevelType w:val="multilevel"/>
    <w:tmpl w:val="6860CCB4"/>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6BF41DA8"/>
    <w:multiLevelType w:val="hybridMultilevel"/>
    <w:tmpl w:val="FFFFFFFF"/>
    <w:lvl w:ilvl="0" w:tplc="97BA53A6">
      <w:start w:val="1"/>
      <w:numFmt w:val="bullet"/>
      <w:lvlText w:val=""/>
      <w:lvlJc w:val="left"/>
      <w:pPr>
        <w:ind w:left="720" w:hanging="360"/>
      </w:pPr>
      <w:rPr>
        <w:rFonts w:ascii="Wingdings" w:hAnsi="Wingdings" w:hint="default"/>
      </w:rPr>
    </w:lvl>
    <w:lvl w:ilvl="1" w:tplc="57667B76">
      <w:start w:val="1"/>
      <w:numFmt w:val="bullet"/>
      <w:lvlText w:val="o"/>
      <w:lvlJc w:val="left"/>
      <w:pPr>
        <w:ind w:left="1440" w:hanging="360"/>
      </w:pPr>
      <w:rPr>
        <w:rFonts w:ascii="Courier New" w:hAnsi="Courier New" w:hint="default"/>
      </w:rPr>
    </w:lvl>
    <w:lvl w:ilvl="2" w:tplc="E38E4EE4">
      <w:start w:val="1"/>
      <w:numFmt w:val="bullet"/>
      <w:lvlText w:val=""/>
      <w:lvlJc w:val="left"/>
      <w:pPr>
        <w:ind w:left="2160" w:hanging="360"/>
      </w:pPr>
      <w:rPr>
        <w:rFonts w:ascii="Wingdings" w:hAnsi="Wingdings" w:hint="default"/>
      </w:rPr>
    </w:lvl>
    <w:lvl w:ilvl="3" w:tplc="E67005C8">
      <w:start w:val="1"/>
      <w:numFmt w:val="bullet"/>
      <w:lvlText w:val=""/>
      <w:lvlJc w:val="left"/>
      <w:pPr>
        <w:ind w:left="2880" w:hanging="360"/>
      </w:pPr>
      <w:rPr>
        <w:rFonts w:ascii="Symbol" w:hAnsi="Symbol" w:hint="default"/>
      </w:rPr>
    </w:lvl>
    <w:lvl w:ilvl="4" w:tplc="2ED4BFB2">
      <w:start w:val="1"/>
      <w:numFmt w:val="bullet"/>
      <w:lvlText w:val="o"/>
      <w:lvlJc w:val="left"/>
      <w:pPr>
        <w:ind w:left="3600" w:hanging="360"/>
      </w:pPr>
      <w:rPr>
        <w:rFonts w:ascii="Courier New" w:hAnsi="Courier New" w:hint="default"/>
      </w:rPr>
    </w:lvl>
    <w:lvl w:ilvl="5" w:tplc="9EFCDB6A">
      <w:start w:val="1"/>
      <w:numFmt w:val="bullet"/>
      <w:lvlText w:val=""/>
      <w:lvlJc w:val="left"/>
      <w:pPr>
        <w:ind w:left="4320" w:hanging="360"/>
      </w:pPr>
      <w:rPr>
        <w:rFonts w:ascii="Wingdings" w:hAnsi="Wingdings" w:hint="default"/>
      </w:rPr>
    </w:lvl>
    <w:lvl w:ilvl="6" w:tplc="0E30AA9A">
      <w:start w:val="1"/>
      <w:numFmt w:val="bullet"/>
      <w:lvlText w:val=""/>
      <w:lvlJc w:val="left"/>
      <w:pPr>
        <w:ind w:left="5040" w:hanging="360"/>
      </w:pPr>
      <w:rPr>
        <w:rFonts w:ascii="Symbol" w:hAnsi="Symbol" w:hint="default"/>
      </w:rPr>
    </w:lvl>
    <w:lvl w:ilvl="7" w:tplc="77EC0054">
      <w:start w:val="1"/>
      <w:numFmt w:val="bullet"/>
      <w:lvlText w:val="o"/>
      <w:lvlJc w:val="left"/>
      <w:pPr>
        <w:ind w:left="5760" w:hanging="360"/>
      </w:pPr>
      <w:rPr>
        <w:rFonts w:ascii="Courier New" w:hAnsi="Courier New" w:hint="default"/>
      </w:rPr>
    </w:lvl>
    <w:lvl w:ilvl="8" w:tplc="F93283C2">
      <w:start w:val="1"/>
      <w:numFmt w:val="bullet"/>
      <w:lvlText w:val=""/>
      <w:lvlJc w:val="left"/>
      <w:pPr>
        <w:ind w:left="6480" w:hanging="360"/>
      </w:pPr>
      <w:rPr>
        <w:rFonts w:ascii="Wingdings" w:hAnsi="Wingdings" w:hint="default"/>
      </w:rPr>
    </w:lvl>
  </w:abstractNum>
  <w:abstractNum w:abstractNumId="226" w15:restartNumberingAfterBreak="0">
    <w:nsid w:val="6C204BA0"/>
    <w:multiLevelType w:val="hybridMultilevel"/>
    <w:tmpl w:val="A8C8A760"/>
    <w:lvl w:ilvl="0" w:tplc="0C090003">
      <w:start w:val="1"/>
      <w:numFmt w:val="bullet"/>
      <w:lvlText w:val="o"/>
      <w:lvlJc w:val="left"/>
      <w:pPr>
        <w:ind w:left="717" w:hanging="360"/>
      </w:pPr>
      <w:rPr>
        <w:rFonts w:ascii="Courier New" w:hAnsi="Courier New" w:cs="Courier New"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27" w15:restartNumberingAfterBreak="0">
    <w:nsid w:val="6C3161F3"/>
    <w:multiLevelType w:val="hybridMultilevel"/>
    <w:tmpl w:val="92E835CA"/>
    <w:lvl w:ilvl="0" w:tplc="F10CF12A">
      <w:start w:val="1"/>
      <w:numFmt w:val="bullet"/>
      <w:lvlText w:val="ü"/>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6C68282A"/>
    <w:multiLevelType w:val="hybridMultilevel"/>
    <w:tmpl w:val="F37209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9" w15:restartNumberingAfterBreak="0">
    <w:nsid w:val="6CC167E3"/>
    <w:multiLevelType w:val="hybridMultilevel"/>
    <w:tmpl w:val="FC8E9F6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0" w15:restartNumberingAfterBreak="0">
    <w:nsid w:val="6CF66CEF"/>
    <w:multiLevelType w:val="hybridMultilevel"/>
    <w:tmpl w:val="A1CC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D2A212F"/>
    <w:multiLevelType w:val="hybridMultilevel"/>
    <w:tmpl w:val="8D3EE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6D937749"/>
    <w:multiLevelType w:val="hybridMultilevel"/>
    <w:tmpl w:val="FFFFFFFF"/>
    <w:lvl w:ilvl="0" w:tplc="122C7F32">
      <w:start w:val="1"/>
      <w:numFmt w:val="bullet"/>
      <w:lvlText w:val=""/>
      <w:lvlJc w:val="left"/>
      <w:pPr>
        <w:ind w:left="720" w:hanging="360"/>
      </w:pPr>
      <w:rPr>
        <w:rFonts w:ascii="Wingdings" w:hAnsi="Wingdings" w:hint="default"/>
      </w:rPr>
    </w:lvl>
    <w:lvl w:ilvl="1" w:tplc="44B8D878">
      <w:start w:val="1"/>
      <w:numFmt w:val="bullet"/>
      <w:lvlText w:val="o"/>
      <w:lvlJc w:val="left"/>
      <w:pPr>
        <w:ind w:left="1440" w:hanging="360"/>
      </w:pPr>
      <w:rPr>
        <w:rFonts w:ascii="Courier New" w:hAnsi="Courier New" w:hint="default"/>
      </w:rPr>
    </w:lvl>
    <w:lvl w:ilvl="2" w:tplc="EBA23980">
      <w:start w:val="1"/>
      <w:numFmt w:val="bullet"/>
      <w:lvlText w:val=""/>
      <w:lvlJc w:val="left"/>
      <w:pPr>
        <w:ind w:left="2160" w:hanging="360"/>
      </w:pPr>
      <w:rPr>
        <w:rFonts w:ascii="Wingdings" w:hAnsi="Wingdings" w:hint="default"/>
      </w:rPr>
    </w:lvl>
    <w:lvl w:ilvl="3" w:tplc="3516F704">
      <w:start w:val="1"/>
      <w:numFmt w:val="bullet"/>
      <w:lvlText w:val=""/>
      <w:lvlJc w:val="left"/>
      <w:pPr>
        <w:ind w:left="2880" w:hanging="360"/>
      </w:pPr>
      <w:rPr>
        <w:rFonts w:ascii="Symbol" w:hAnsi="Symbol" w:hint="default"/>
      </w:rPr>
    </w:lvl>
    <w:lvl w:ilvl="4" w:tplc="089E0036">
      <w:start w:val="1"/>
      <w:numFmt w:val="bullet"/>
      <w:lvlText w:val="o"/>
      <w:lvlJc w:val="left"/>
      <w:pPr>
        <w:ind w:left="3600" w:hanging="360"/>
      </w:pPr>
      <w:rPr>
        <w:rFonts w:ascii="Courier New" w:hAnsi="Courier New" w:hint="default"/>
      </w:rPr>
    </w:lvl>
    <w:lvl w:ilvl="5" w:tplc="888C0BF6">
      <w:start w:val="1"/>
      <w:numFmt w:val="bullet"/>
      <w:lvlText w:val=""/>
      <w:lvlJc w:val="left"/>
      <w:pPr>
        <w:ind w:left="4320" w:hanging="360"/>
      </w:pPr>
      <w:rPr>
        <w:rFonts w:ascii="Wingdings" w:hAnsi="Wingdings" w:hint="default"/>
      </w:rPr>
    </w:lvl>
    <w:lvl w:ilvl="6" w:tplc="31A028BC">
      <w:start w:val="1"/>
      <w:numFmt w:val="bullet"/>
      <w:lvlText w:val=""/>
      <w:lvlJc w:val="left"/>
      <w:pPr>
        <w:ind w:left="5040" w:hanging="360"/>
      </w:pPr>
      <w:rPr>
        <w:rFonts w:ascii="Symbol" w:hAnsi="Symbol" w:hint="default"/>
      </w:rPr>
    </w:lvl>
    <w:lvl w:ilvl="7" w:tplc="FCCA5E42">
      <w:start w:val="1"/>
      <w:numFmt w:val="bullet"/>
      <w:lvlText w:val="o"/>
      <w:lvlJc w:val="left"/>
      <w:pPr>
        <w:ind w:left="5760" w:hanging="360"/>
      </w:pPr>
      <w:rPr>
        <w:rFonts w:ascii="Courier New" w:hAnsi="Courier New" w:hint="default"/>
      </w:rPr>
    </w:lvl>
    <w:lvl w:ilvl="8" w:tplc="A3407798">
      <w:start w:val="1"/>
      <w:numFmt w:val="bullet"/>
      <w:lvlText w:val=""/>
      <w:lvlJc w:val="left"/>
      <w:pPr>
        <w:ind w:left="6480" w:hanging="360"/>
      </w:pPr>
      <w:rPr>
        <w:rFonts w:ascii="Wingdings" w:hAnsi="Wingdings" w:hint="default"/>
      </w:rPr>
    </w:lvl>
  </w:abstractNum>
  <w:abstractNum w:abstractNumId="233" w15:restartNumberingAfterBreak="0">
    <w:nsid w:val="6E604DC1"/>
    <w:multiLevelType w:val="hybridMultilevel"/>
    <w:tmpl w:val="FFFFFFFF"/>
    <w:lvl w:ilvl="0" w:tplc="E7403048">
      <w:start w:val="1"/>
      <w:numFmt w:val="decimal"/>
      <w:lvlText w:val="%1."/>
      <w:lvlJc w:val="left"/>
      <w:pPr>
        <w:ind w:left="1080" w:hanging="360"/>
      </w:pPr>
    </w:lvl>
    <w:lvl w:ilvl="1" w:tplc="AD983E30">
      <w:start w:val="1"/>
      <w:numFmt w:val="lowerLetter"/>
      <w:lvlText w:val="%2."/>
      <w:lvlJc w:val="left"/>
      <w:pPr>
        <w:ind w:left="1800" w:hanging="360"/>
      </w:pPr>
    </w:lvl>
    <w:lvl w:ilvl="2" w:tplc="12E89A96">
      <w:start w:val="1"/>
      <w:numFmt w:val="lowerRoman"/>
      <w:lvlText w:val="%3."/>
      <w:lvlJc w:val="right"/>
      <w:pPr>
        <w:ind w:left="2520" w:hanging="180"/>
      </w:pPr>
    </w:lvl>
    <w:lvl w:ilvl="3" w:tplc="1020E488">
      <w:start w:val="1"/>
      <w:numFmt w:val="decimal"/>
      <w:lvlText w:val="%4."/>
      <w:lvlJc w:val="left"/>
      <w:pPr>
        <w:ind w:left="3240" w:hanging="360"/>
      </w:pPr>
    </w:lvl>
    <w:lvl w:ilvl="4" w:tplc="CA48B956">
      <w:start w:val="1"/>
      <w:numFmt w:val="lowerLetter"/>
      <w:lvlText w:val="%5."/>
      <w:lvlJc w:val="left"/>
      <w:pPr>
        <w:ind w:left="3960" w:hanging="360"/>
      </w:pPr>
    </w:lvl>
    <w:lvl w:ilvl="5" w:tplc="8FF068AA">
      <w:start w:val="1"/>
      <w:numFmt w:val="lowerRoman"/>
      <w:lvlText w:val="%6."/>
      <w:lvlJc w:val="right"/>
      <w:pPr>
        <w:ind w:left="4680" w:hanging="180"/>
      </w:pPr>
    </w:lvl>
    <w:lvl w:ilvl="6" w:tplc="BD223F18">
      <w:start w:val="1"/>
      <w:numFmt w:val="decimal"/>
      <w:lvlText w:val="%7."/>
      <w:lvlJc w:val="left"/>
      <w:pPr>
        <w:ind w:left="5400" w:hanging="360"/>
      </w:pPr>
    </w:lvl>
    <w:lvl w:ilvl="7" w:tplc="E97E1B7E">
      <w:start w:val="1"/>
      <w:numFmt w:val="lowerLetter"/>
      <w:lvlText w:val="%8."/>
      <w:lvlJc w:val="left"/>
      <w:pPr>
        <w:ind w:left="6120" w:hanging="360"/>
      </w:pPr>
    </w:lvl>
    <w:lvl w:ilvl="8" w:tplc="2D34807C">
      <w:start w:val="1"/>
      <w:numFmt w:val="lowerRoman"/>
      <w:lvlText w:val="%9."/>
      <w:lvlJc w:val="right"/>
      <w:pPr>
        <w:ind w:left="6840" w:hanging="180"/>
      </w:pPr>
    </w:lvl>
  </w:abstractNum>
  <w:abstractNum w:abstractNumId="234" w15:restartNumberingAfterBreak="0">
    <w:nsid w:val="6E8D3338"/>
    <w:multiLevelType w:val="hybridMultilevel"/>
    <w:tmpl w:val="FFFFFFFF"/>
    <w:lvl w:ilvl="0" w:tplc="D9D2F274">
      <w:start w:val="1"/>
      <w:numFmt w:val="bullet"/>
      <w:lvlText w:val=""/>
      <w:lvlJc w:val="left"/>
      <w:pPr>
        <w:ind w:left="720" w:hanging="360"/>
      </w:pPr>
      <w:rPr>
        <w:rFonts w:ascii="Wingdings" w:hAnsi="Wingdings" w:hint="default"/>
      </w:rPr>
    </w:lvl>
    <w:lvl w:ilvl="1" w:tplc="0BCAABE6">
      <w:start w:val="1"/>
      <w:numFmt w:val="bullet"/>
      <w:lvlText w:val="o"/>
      <w:lvlJc w:val="left"/>
      <w:pPr>
        <w:ind w:left="1440" w:hanging="360"/>
      </w:pPr>
      <w:rPr>
        <w:rFonts w:ascii="Courier New" w:hAnsi="Courier New" w:hint="default"/>
      </w:rPr>
    </w:lvl>
    <w:lvl w:ilvl="2" w:tplc="498CD356">
      <w:start w:val="1"/>
      <w:numFmt w:val="bullet"/>
      <w:lvlText w:val=""/>
      <w:lvlJc w:val="left"/>
      <w:pPr>
        <w:ind w:left="2160" w:hanging="360"/>
      </w:pPr>
      <w:rPr>
        <w:rFonts w:ascii="Wingdings" w:hAnsi="Wingdings" w:hint="default"/>
      </w:rPr>
    </w:lvl>
    <w:lvl w:ilvl="3" w:tplc="254AFF28">
      <w:start w:val="1"/>
      <w:numFmt w:val="bullet"/>
      <w:lvlText w:val=""/>
      <w:lvlJc w:val="left"/>
      <w:pPr>
        <w:ind w:left="2880" w:hanging="360"/>
      </w:pPr>
      <w:rPr>
        <w:rFonts w:ascii="Symbol" w:hAnsi="Symbol" w:hint="default"/>
      </w:rPr>
    </w:lvl>
    <w:lvl w:ilvl="4" w:tplc="45D0B646">
      <w:start w:val="1"/>
      <w:numFmt w:val="bullet"/>
      <w:lvlText w:val="o"/>
      <w:lvlJc w:val="left"/>
      <w:pPr>
        <w:ind w:left="3600" w:hanging="360"/>
      </w:pPr>
      <w:rPr>
        <w:rFonts w:ascii="Courier New" w:hAnsi="Courier New" w:hint="default"/>
      </w:rPr>
    </w:lvl>
    <w:lvl w:ilvl="5" w:tplc="1EAC11B2">
      <w:start w:val="1"/>
      <w:numFmt w:val="bullet"/>
      <w:lvlText w:val=""/>
      <w:lvlJc w:val="left"/>
      <w:pPr>
        <w:ind w:left="4320" w:hanging="360"/>
      </w:pPr>
      <w:rPr>
        <w:rFonts w:ascii="Wingdings" w:hAnsi="Wingdings" w:hint="default"/>
      </w:rPr>
    </w:lvl>
    <w:lvl w:ilvl="6" w:tplc="1F22CC2A">
      <w:start w:val="1"/>
      <w:numFmt w:val="bullet"/>
      <w:lvlText w:val=""/>
      <w:lvlJc w:val="left"/>
      <w:pPr>
        <w:ind w:left="5040" w:hanging="360"/>
      </w:pPr>
      <w:rPr>
        <w:rFonts w:ascii="Symbol" w:hAnsi="Symbol" w:hint="default"/>
      </w:rPr>
    </w:lvl>
    <w:lvl w:ilvl="7" w:tplc="F45E7A64">
      <w:start w:val="1"/>
      <w:numFmt w:val="bullet"/>
      <w:lvlText w:val="o"/>
      <w:lvlJc w:val="left"/>
      <w:pPr>
        <w:ind w:left="5760" w:hanging="360"/>
      </w:pPr>
      <w:rPr>
        <w:rFonts w:ascii="Courier New" w:hAnsi="Courier New" w:hint="default"/>
      </w:rPr>
    </w:lvl>
    <w:lvl w:ilvl="8" w:tplc="BBB223E8">
      <w:start w:val="1"/>
      <w:numFmt w:val="bullet"/>
      <w:lvlText w:val=""/>
      <w:lvlJc w:val="left"/>
      <w:pPr>
        <w:ind w:left="6480" w:hanging="360"/>
      </w:pPr>
      <w:rPr>
        <w:rFonts w:ascii="Wingdings" w:hAnsi="Wingdings" w:hint="default"/>
      </w:rPr>
    </w:lvl>
  </w:abstractNum>
  <w:abstractNum w:abstractNumId="235" w15:restartNumberingAfterBreak="0">
    <w:nsid w:val="6F030B4B"/>
    <w:multiLevelType w:val="hybridMultilevel"/>
    <w:tmpl w:val="C7A2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6F607627"/>
    <w:multiLevelType w:val="hybridMultilevel"/>
    <w:tmpl w:val="1C46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F9C6F75"/>
    <w:multiLevelType w:val="hybridMultilevel"/>
    <w:tmpl w:val="FFFFFFFF"/>
    <w:lvl w:ilvl="0" w:tplc="0A0002BA">
      <w:start w:val="1"/>
      <w:numFmt w:val="bullet"/>
      <w:lvlText w:val=""/>
      <w:lvlJc w:val="left"/>
      <w:pPr>
        <w:ind w:left="720" w:hanging="360"/>
      </w:pPr>
      <w:rPr>
        <w:rFonts w:ascii="Wingdings" w:hAnsi="Wingdings" w:hint="default"/>
      </w:rPr>
    </w:lvl>
    <w:lvl w:ilvl="1" w:tplc="F5764480">
      <w:start w:val="1"/>
      <w:numFmt w:val="bullet"/>
      <w:lvlText w:val="o"/>
      <w:lvlJc w:val="left"/>
      <w:pPr>
        <w:ind w:left="1440" w:hanging="360"/>
      </w:pPr>
      <w:rPr>
        <w:rFonts w:ascii="Courier New" w:hAnsi="Courier New" w:hint="default"/>
      </w:rPr>
    </w:lvl>
    <w:lvl w:ilvl="2" w:tplc="632AAD1A">
      <w:start w:val="1"/>
      <w:numFmt w:val="bullet"/>
      <w:lvlText w:val=""/>
      <w:lvlJc w:val="left"/>
      <w:pPr>
        <w:ind w:left="2160" w:hanging="360"/>
      </w:pPr>
      <w:rPr>
        <w:rFonts w:ascii="Wingdings" w:hAnsi="Wingdings" w:hint="default"/>
      </w:rPr>
    </w:lvl>
    <w:lvl w:ilvl="3" w:tplc="4356AB7E">
      <w:start w:val="1"/>
      <w:numFmt w:val="bullet"/>
      <w:lvlText w:val=""/>
      <w:lvlJc w:val="left"/>
      <w:pPr>
        <w:ind w:left="2880" w:hanging="360"/>
      </w:pPr>
      <w:rPr>
        <w:rFonts w:ascii="Symbol" w:hAnsi="Symbol" w:hint="default"/>
      </w:rPr>
    </w:lvl>
    <w:lvl w:ilvl="4" w:tplc="79947D70">
      <w:start w:val="1"/>
      <w:numFmt w:val="bullet"/>
      <w:lvlText w:val="o"/>
      <w:lvlJc w:val="left"/>
      <w:pPr>
        <w:ind w:left="3600" w:hanging="360"/>
      </w:pPr>
      <w:rPr>
        <w:rFonts w:ascii="Courier New" w:hAnsi="Courier New" w:hint="default"/>
      </w:rPr>
    </w:lvl>
    <w:lvl w:ilvl="5" w:tplc="C712B6D8">
      <w:start w:val="1"/>
      <w:numFmt w:val="bullet"/>
      <w:lvlText w:val=""/>
      <w:lvlJc w:val="left"/>
      <w:pPr>
        <w:ind w:left="4320" w:hanging="360"/>
      </w:pPr>
      <w:rPr>
        <w:rFonts w:ascii="Wingdings" w:hAnsi="Wingdings" w:hint="default"/>
      </w:rPr>
    </w:lvl>
    <w:lvl w:ilvl="6" w:tplc="0C848804">
      <w:start w:val="1"/>
      <w:numFmt w:val="bullet"/>
      <w:lvlText w:val=""/>
      <w:lvlJc w:val="left"/>
      <w:pPr>
        <w:ind w:left="5040" w:hanging="360"/>
      </w:pPr>
      <w:rPr>
        <w:rFonts w:ascii="Symbol" w:hAnsi="Symbol" w:hint="default"/>
      </w:rPr>
    </w:lvl>
    <w:lvl w:ilvl="7" w:tplc="6CDC9102">
      <w:start w:val="1"/>
      <w:numFmt w:val="bullet"/>
      <w:lvlText w:val="o"/>
      <w:lvlJc w:val="left"/>
      <w:pPr>
        <w:ind w:left="5760" w:hanging="360"/>
      </w:pPr>
      <w:rPr>
        <w:rFonts w:ascii="Courier New" w:hAnsi="Courier New" w:hint="default"/>
      </w:rPr>
    </w:lvl>
    <w:lvl w:ilvl="8" w:tplc="A46A04B8">
      <w:start w:val="1"/>
      <w:numFmt w:val="bullet"/>
      <w:lvlText w:val=""/>
      <w:lvlJc w:val="left"/>
      <w:pPr>
        <w:ind w:left="6480" w:hanging="360"/>
      </w:pPr>
      <w:rPr>
        <w:rFonts w:ascii="Wingdings" w:hAnsi="Wingdings" w:hint="default"/>
      </w:rPr>
    </w:lvl>
  </w:abstractNum>
  <w:abstractNum w:abstractNumId="238" w15:restartNumberingAfterBreak="0">
    <w:nsid w:val="6FBD5567"/>
    <w:multiLevelType w:val="hybridMultilevel"/>
    <w:tmpl w:val="FFFFFFFF"/>
    <w:lvl w:ilvl="0" w:tplc="01AED814">
      <w:start w:val="1"/>
      <w:numFmt w:val="bullet"/>
      <w:lvlText w:val=""/>
      <w:lvlJc w:val="left"/>
      <w:pPr>
        <w:ind w:left="720" w:hanging="360"/>
      </w:pPr>
      <w:rPr>
        <w:rFonts w:ascii="Wingdings" w:hAnsi="Wingdings" w:hint="default"/>
      </w:rPr>
    </w:lvl>
    <w:lvl w:ilvl="1" w:tplc="36D4EA14">
      <w:start w:val="1"/>
      <w:numFmt w:val="bullet"/>
      <w:lvlText w:val="o"/>
      <w:lvlJc w:val="left"/>
      <w:pPr>
        <w:ind w:left="1440" w:hanging="360"/>
      </w:pPr>
      <w:rPr>
        <w:rFonts w:ascii="Courier New" w:hAnsi="Courier New" w:hint="default"/>
      </w:rPr>
    </w:lvl>
    <w:lvl w:ilvl="2" w:tplc="935E2A72">
      <w:start w:val="1"/>
      <w:numFmt w:val="bullet"/>
      <w:lvlText w:val=""/>
      <w:lvlJc w:val="left"/>
      <w:pPr>
        <w:ind w:left="2160" w:hanging="360"/>
      </w:pPr>
      <w:rPr>
        <w:rFonts w:ascii="Wingdings" w:hAnsi="Wingdings" w:hint="default"/>
      </w:rPr>
    </w:lvl>
    <w:lvl w:ilvl="3" w:tplc="C5FE1730">
      <w:start w:val="1"/>
      <w:numFmt w:val="bullet"/>
      <w:lvlText w:val=""/>
      <w:lvlJc w:val="left"/>
      <w:pPr>
        <w:ind w:left="2880" w:hanging="360"/>
      </w:pPr>
      <w:rPr>
        <w:rFonts w:ascii="Symbol" w:hAnsi="Symbol" w:hint="default"/>
      </w:rPr>
    </w:lvl>
    <w:lvl w:ilvl="4" w:tplc="EF32F4D8">
      <w:start w:val="1"/>
      <w:numFmt w:val="bullet"/>
      <w:lvlText w:val="o"/>
      <w:lvlJc w:val="left"/>
      <w:pPr>
        <w:ind w:left="3600" w:hanging="360"/>
      </w:pPr>
      <w:rPr>
        <w:rFonts w:ascii="Courier New" w:hAnsi="Courier New" w:hint="default"/>
      </w:rPr>
    </w:lvl>
    <w:lvl w:ilvl="5" w:tplc="BD8E8B46">
      <w:start w:val="1"/>
      <w:numFmt w:val="bullet"/>
      <w:lvlText w:val=""/>
      <w:lvlJc w:val="left"/>
      <w:pPr>
        <w:ind w:left="4320" w:hanging="360"/>
      </w:pPr>
      <w:rPr>
        <w:rFonts w:ascii="Wingdings" w:hAnsi="Wingdings" w:hint="default"/>
      </w:rPr>
    </w:lvl>
    <w:lvl w:ilvl="6" w:tplc="A2622BA4">
      <w:start w:val="1"/>
      <w:numFmt w:val="bullet"/>
      <w:lvlText w:val=""/>
      <w:lvlJc w:val="left"/>
      <w:pPr>
        <w:ind w:left="5040" w:hanging="360"/>
      </w:pPr>
      <w:rPr>
        <w:rFonts w:ascii="Symbol" w:hAnsi="Symbol" w:hint="default"/>
      </w:rPr>
    </w:lvl>
    <w:lvl w:ilvl="7" w:tplc="7AB03CEA">
      <w:start w:val="1"/>
      <w:numFmt w:val="bullet"/>
      <w:lvlText w:val="o"/>
      <w:lvlJc w:val="left"/>
      <w:pPr>
        <w:ind w:left="5760" w:hanging="360"/>
      </w:pPr>
      <w:rPr>
        <w:rFonts w:ascii="Courier New" w:hAnsi="Courier New" w:hint="default"/>
      </w:rPr>
    </w:lvl>
    <w:lvl w:ilvl="8" w:tplc="6C0A5D12">
      <w:start w:val="1"/>
      <w:numFmt w:val="bullet"/>
      <w:lvlText w:val=""/>
      <w:lvlJc w:val="left"/>
      <w:pPr>
        <w:ind w:left="6480" w:hanging="360"/>
      </w:pPr>
      <w:rPr>
        <w:rFonts w:ascii="Wingdings" w:hAnsi="Wingdings" w:hint="default"/>
      </w:rPr>
    </w:lvl>
  </w:abstractNum>
  <w:abstractNum w:abstractNumId="239" w15:restartNumberingAfterBreak="0">
    <w:nsid w:val="6FEC4385"/>
    <w:multiLevelType w:val="hybridMultilevel"/>
    <w:tmpl w:val="FFFFFFFF"/>
    <w:lvl w:ilvl="0" w:tplc="62FA7048">
      <w:start w:val="1"/>
      <w:numFmt w:val="bullet"/>
      <w:lvlText w:val=""/>
      <w:lvlJc w:val="left"/>
      <w:pPr>
        <w:ind w:left="720" w:hanging="360"/>
      </w:pPr>
      <w:rPr>
        <w:rFonts w:ascii="Wingdings" w:hAnsi="Wingdings" w:hint="default"/>
      </w:rPr>
    </w:lvl>
    <w:lvl w:ilvl="1" w:tplc="E88E3CC2">
      <w:start w:val="1"/>
      <w:numFmt w:val="bullet"/>
      <w:lvlText w:val="o"/>
      <w:lvlJc w:val="left"/>
      <w:pPr>
        <w:ind w:left="1440" w:hanging="360"/>
      </w:pPr>
      <w:rPr>
        <w:rFonts w:ascii="Courier New" w:hAnsi="Courier New" w:hint="default"/>
      </w:rPr>
    </w:lvl>
    <w:lvl w:ilvl="2" w:tplc="6DB8B566">
      <w:start w:val="1"/>
      <w:numFmt w:val="bullet"/>
      <w:lvlText w:val=""/>
      <w:lvlJc w:val="left"/>
      <w:pPr>
        <w:ind w:left="2160" w:hanging="360"/>
      </w:pPr>
      <w:rPr>
        <w:rFonts w:ascii="Wingdings" w:hAnsi="Wingdings" w:hint="default"/>
      </w:rPr>
    </w:lvl>
    <w:lvl w:ilvl="3" w:tplc="BD1E9ECE">
      <w:start w:val="1"/>
      <w:numFmt w:val="bullet"/>
      <w:lvlText w:val=""/>
      <w:lvlJc w:val="left"/>
      <w:pPr>
        <w:ind w:left="2880" w:hanging="360"/>
      </w:pPr>
      <w:rPr>
        <w:rFonts w:ascii="Symbol" w:hAnsi="Symbol" w:hint="default"/>
      </w:rPr>
    </w:lvl>
    <w:lvl w:ilvl="4" w:tplc="D01433F2">
      <w:start w:val="1"/>
      <w:numFmt w:val="bullet"/>
      <w:lvlText w:val="o"/>
      <w:lvlJc w:val="left"/>
      <w:pPr>
        <w:ind w:left="3600" w:hanging="360"/>
      </w:pPr>
      <w:rPr>
        <w:rFonts w:ascii="Courier New" w:hAnsi="Courier New" w:hint="default"/>
      </w:rPr>
    </w:lvl>
    <w:lvl w:ilvl="5" w:tplc="128A765C">
      <w:start w:val="1"/>
      <w:numFmt w:val="bullet"/>
      <w:lvlText w:val=""/>
      <w:lvlJc w:val="left"/>
      <w:pPr>
        <w:ind w:left="4320" w:hanging="360"/>
      </w:pPr>
      <w:rPr>
        <w:rFonts w:ascii="Wingdings" w:hAnsi="Wingdings" w:hint="default"/>
      </w:rPr>
    </w:lvl>
    <w:lvl w:ilvl="6" w:tplc="18CA6302">
      <w:start w:val="1"/>
      <w:numFmt w:val="bullet"/>
      <w:lvlText w:val=""/>
      <w:lvlJc w:val="left"/>
      <w:pPr>
        <w:ind w:left="5040" w:hanging="360"/>
      </w:pPr>
      <w:rPr>
        <w:rFonts w:ascii="Symbol" w:hAnsi="Symbol" w:hint="default"/>
      </w:rPr>
    </w:lvl>
    <w:lvl w:ilvl="7" w:tplc="AB2C585A">
      <w:start w:val="1"/>
      <w:numFmt w:val="bullet"/>
      <w:lvlText w:val="o"/>
      <w:lvlJc w:val="left"/>
      <w:pPr>
        <w:ind w:left="5760" w:hanging="360"/>
      </w:pPr>
      <w:rPr>
        <w:rFonts w:ascii="Courier New" w:hAnsi="Courier New" w:hint="default"/>
      </w:rPr>
    </w:lvl>
    <w:lvl w:ilvl="8" w:tplc="FC5E5D84">
      <w:start w:val="1"/>
      <w:numFmt w:val="bullet"/>
      <w:lvlText w:val=""/>
      <w:lvlJc w:val="left"/>
      <w:pPr>
        <w:ind w:left="6480" w:hanging="360"/>
      </w:pPr>
      <w:rPr>
        <w:rFonts w:ascii="Wingdings" w:hAnsi="Wingdings" w:hint="default"/>
      </w:rPr>
    </w:lvl>
  </w:abstractNum>
  <w:abstractNum w:abstractNumId="240" w15:restartNumberingAfterBreak="0">
    <w:nsid w:val="705E11E1"/>
    <w:multiLevelType w:val="hybridMultilevel"/>
    <w:tmpl w:val="BD0AB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70B091D2"/>
    <w:multiLevelType w:val="hybridMultilevel"/>
    <w:tmpl w:val="FFFFFFFF"/>
    <w:lvl w:ilvl="0" w:tplc="EF400CEE">
      <w:start w:val="1"/>
      <w:numFmt w:val="bullet"/>
      <w:lvlText w:val=""/>
      <w:lvlJc w:val="left"/>
      <w:pPr>
        <w:ind w:left="720" w:hanging="360"/>
      </w:pPr>
      <w:rPr>
        <w:rFonts w:ascii="Wingdings" w:hAnsi="Wingdings" w:hint="default"/>
      </w:rPr>
    </w:lvl>
    <w:lvl w:ilvl="1" w:tplc="65D6199A">
      <w:start w:val="1"/>
      <w:numFmt w:val="bullet"/>
      <w:lvlText w:val="o"/>
      <w:lvlJc w:val="left"/>
      <w:pPr>
        <w:ind w:left="1440" w:hanging="360"/>
      </w:pPr>
      <w:rPr>
        <w:rFonts w:ascii="Courier New" w:hAnsi="Courier New" w:hint="default"/>
      </w:rPr>
    </w:lvl>
    <w:lvl w:ilvl="2" w:tplc="A75CF836">
      <w:start w:val="1"/>
      <w:numFmt w:val="bullet"/>
      <w:lvlText w:val=""/>
      <w:lvlJc w:val="left"/>
      <w:pPr>
        <w:ind w:left="2160" w:hanging="360"/>
      </w:pPr>
      <w:rPr>
        <w:rFonts w:ascii="Wingdings" w:hAnsi="Wingdings" w:hint="default"/>
      </w:rPr>
    </w:lvl>
    <w:lvl w:ilvl="3" w:tplc="C9A416FE">
      <w:start w:val="1"/>
      <w:numFmt w:val="bullet"/>
      <w:lvlText w:val=""/>
      <w:lvlJc w:val="left"/>
      <w:pPr>
        <w:ind w:left="2880" w:hanging="360"/>
      </w:pPr>
      <w:rPr>
        <w:rFonts w:ascii="Symbol" w:hAnsi="Symbol" w:hint="default"/>
      </w:rPr>
    </w:lvl>
    <w:lvl w:ilvl="4" w:tplc="6B389A26">
      <w:start w:val="1"/>
      <w:numFmt w:val="bullet"/>
      <w:lvlText w:val="o"/>
      <w:lvlJc w:val="left"/>
      <w:pPr>
        <w:ind w:left="3600" w:hanging="360"/>
      </w:pPr>
      <w:rPr>
        <w:rFonts w:ascii="Courier New" w:hAnsi="Courier New" w:hint="default"/>
      </w:rPr>
    </w:lvl>
    <w:lvl w:ilvl="5" w:tplc="41BC2694">
      <w:start w:val="1"/>
      <w:numFmt w:val="bullet"/>
      <w:lvlText w:val=""/>
      <w:lvlJc w:val="left"/>
      <w:pPr>
        <w:ind w:left="4320" w:hanging="360"/>
      </w:pPr>
      <w:rPr>
        <w:rFonts w:ascii="Wingdings" w:hAnsi="Wingdings" w:hint="default"/>
      </w:rPr>
    </w:lvl>
    <w:lvl w:ilvl="6" w:tplc="88743D80">
      <w:start w:val="1"/>
      <w:numFmt w:val="bullet"/>
      <w:lvlText w:val=""/>
      <w:lvlJc w:val="left"/>
      <w:pPr>
        <w:ind w:left="5040" w:hanging="360"/>
      </w:pPr>
      <w:rPr>
        <w:rFonts w:ascii="Symbol" w:hAnsi="Symbol" w:hint="default"/>
      </w:rPr>
    </w:lvl>
    <w:lvl w:ilvl="7" w:tplc="BFBE94F8">
      <w:start w:val="1"/>
      <w:numFmt w:val="bullet"/>
      <w:lvlText w:val="o"/>
      <w:lvlJc w:val="left"/>
      <w:pPr>
        <w:ind w:left="5760" w:hanging="360"/>
      </w:pPr>
      <w:rPr>
        <w:rFonts w:ascii="Courier New" w:hAnsi="Courier New" w:hint="default"/>
      </w:rPr>
    </w:lvl>
    <w:lvl w:ilvl="8" w:tplc="52B8E712">
      <w:start w:val="1"/>
      <w:numFmt w:val="bullet"/>
      <w:lvlText w:val=""/>
      <w:lvlJc w:val="left"/>
      <w:pPr>
        <w:ind w:left="6480" w:hanging="360"/>
      </w:pPr>
      <w:rPr>
        <w:rFonts w:ascii="Wingdings" w:hAnsi="Wingdings" w:hint="default"/>
      </w:rPr>
    </w:lvl>
  </w:abstractNum>
  <w:abstractNum w:abstractNumId="242" w15:restartNumberingAfterBreak="0">
    <w:nsid w:val="71BF7D8C"/>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3" w15:restartNumberingAfterBreak="0">
    <w:nsid w:val="72057139"/>
    <w:multiLevelType w:val="hybridMultilevel"/>
    <w:tmpl w:val="4AD0762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7233E88A"/>
    <w:multiLevelType w:val="hybridMultilevel"/>
    <w:tmpl w:val="FFFFFFFF"/>
    <w:lvl w:ilvl="0" w:tplc="7DC8F394">
      <w:start w:val="1"/>
      <w:numFmt w:val="bullet"/>
      <w:lvlText w:val=""/>
      <w:lvlJc w:val="left"/>
      <w:pPr>
        <w:ind w:left="720" w:hanging="360"/>
      </w:pPr>
      <w:rPr>
        <w:rFonts w:ascii="Wingdings" w:hAnsi="Wingdings" w:hint="default"/>
      </w:rPr>
    </w:lvl>
    <w:lvl w:ilvl="1" w:tplc="3440D992">
      <w:start w:val="1"/>
      <w:numFmt w:val="bullet"/>
      <w:lvlText w:val="o"/>
      <w:lvlJc w:val="left"/>
      <w:pPr>
        <w:ind w:left="1440" w:hanging="360"/>
      </w:pPr>
      <w:rPr>
        <w:rFonts w:ascii="Courier New" w:hAnsi="Courier New" w:hint="default"/>
      </w:rPr>
    </w:lvl>
    <w:lvl w:ilvl="2" w:tplc="78945E0A">
      <w:start w:val="1"/>
      <w:numFmt w:val="bullet"/>
      <w:lvlText w:val=""/>
      <w:lvlJc w:val="left"/>
      <w:pPr>
        <w:ind w:left="2160" w:hanging="360"/>
      </w:pPr>
      <w:rPr>
        <w:rFonts w:ascii="Wingdings" w:hAnsi="Wingdings" w:hint="default"/>
      </w:rPr>
    </w:lvl>
    <w:lvl w:ilvl="3" w:tplc="18280B0C">
      <w:start w:val="1"/>
      <w:numFmt w:val="bullet"/>
      <w:lvlText w:val=""/>
      <w:lvlJc w:val="left"/>
      <w:pPr>
        <w:ind w:left="2880" w:hanging="360"/>
      </w:pPr>
      <w:rPr>
        <w:rFonts w:ascii="Symbol" w:hAnsi="Symbol" w:hint="default"/>
      </w:rPr>
    </w:lvl>
    <w:lvl w:ilvl="4" w:tplc="379CD296">
      <w:start w:val="1"/>
      <w:numFmt w:val="bullet"/>
      <w:lvlText w:val="o"/>
      <w:lvlJc w:val="left"/>
      <w:pPr>
        <w:ind w:left="3600" w:hanging="360"/>
      </w:pPr>
      <w:rPr>
        <w:rFonts w:ascii="Courier New" w:hAnsi="Courier New" w:hint="default"/>
      </w:rPr>
    </w:lvl>
    <w:lvl w:ilvl="5" w:tplc="79A6769E">
      <w:start w:val="1"/>
      <w:numFmt w:val="bullet"/>
      <w:lvlText w:val=""/>
      <w:lvlJc w:val="left"/>
      <w:pPr>
        <w:ind w:left="4320" w:hanging="360"/>
      </w:pPr>
      <w:rPr>
        <w:rFonts w:ascii="Wingdings" w:hAnsi="Wingdings" w:hint="default"/>
      </w:rPr>
    </w:lvl>
    <w:lvl w:ilvl="6" w:tplc="E51CF77A">
      <w:start w:val="1"/>
      <w:numFmt w:val="bullet"/>
      <w:lvlText w:val=""/>
      <w:lvlJc w:val="left"/>
      <w:pPr>
        <w:ind w:left="5040" w:hanging="360"/>
      </w:pPr>
      <w:rPr>
        <w:rFonts w:ascii="Symbol" w:hAnsi="Symbol" w:hint="default"/>
      </w:rPr>
    </w:lvl>
    <w:lvl w:ilvl="7" w:tplc="9BC44BD0">
      <w:start w:val="1"/>
      <w:numFmt w:val="bullet"/>
      <w:lvlText w:val="o"/>
      <w:lvlJc w:val="left"/>
      <w:pPr>
        <w:ind w:left="5760" w:hanging="360"/>
      </w:pPr>
      <w:rPr>
        <w:rFonts w:ascii="Courier New" w:hAnsi="Courier New" w:hint="default"/>
      </w:rPr>
    </w:lvl>
    <w:lvl w:ilvl="8" w:tplc="E9F8653A">
      <w:start w:val="1"/>
      <w:numFmt w:val="bullet"/>
      <w:lvlText w:val=""/>
      <w:lvlJc w:val="left"/>
      <w:pPr>
        <w:ind w:left="6480" w:hanging="360"/>
      </w:pPr>
      <w:rPr>
        <w:rFonts w:ascii="Wingdings" w:hAnsi="Wingdings" w:hint="default"/>
      </w:rPr>
    </w:lvl>
  </w:abstractNum>
  <w:abstractNum w:abstractNumId="245" w15:restartNumberingAfterBreak="0">
    <w:nsid w:val="731834D8"/>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6" w15:restartNumberingAfterBreak="0">
    <w:nsid w:val="732D47C4"/>
    <w:multiLevelType w:val="hybridMultilevel"/>
    <w:tmpl w:val="BB38C7AC"/>
    <w:lvl w:ilvl="0" w:tplc="F10CF12A">
      <w:start w:val="1"/>
      <w:numFmt w:val="bullet"/>
      <w:lvlText w:val="ü"/>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7343126B"/>
    <w:multiLevelType w:val="hybridMultilevel"/>
    <w:tmpl w:val="A7AE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73B537BB"/>
    <w:multiLevelType w:val="hybridMultilevel"/>
    <w:tmpl w:val="6B68F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73BAA282"/>
    <w:multiLevelType w:val="hybridMultilevel"/>
    <w:tmpl w:val="FFFFFFFF"/>
    <w:lvl w:ilvl="0" w:tplc="1BF278F6">
      <w:start w:val="1"/>
      <w:numFmt w:val="bullet"/>
      <w:lvlText w:val=""/>
      <w:lvlJc w:val="left"/>
      <w:pPr>
        <w:ind w:left="720" w:hanging="360"/>
      </w:pPr>
      <w:rPr>
        <w:rFonts w:ascii="Wingdings" w:hAnsi="Wingdings" w:hint="default"/>
      </w:rPr>
    </w:lvl>
    <w:lvl w:ilvl="1" w:tplc="ED94EB84">
      <w:start w:val="1"/>
      <w:numFmt w:val="bullet"/>
      <w:lvlText w:val="o"/>
      <w:lvlJc w:val="left"/>
      <w:pPr>
        <w:ind w:left="1440" w:hanging="360"/>
      </w:pPr>
      <w:rPr>
        <w:rFonts w:ascii="Courier New" w:hAnsi="Courier New" w:hint="default"/>
      </w:rPr>
    </w:lvl>
    <w:lvl w:ilvl="2" w:tplc="B37630D6">
      <w:start w:val="1"/>
      <w:numFmt w:val="bullet"/>
      <w:lvlText w:val=""/>
      <w:lvlJc w:val="left"/>
      <w:pPr>
        <w:ind w:left="2160" w:hanging="360"/>
      </w:pPr>
      <w:rPr>
        <w:rFonts w:ascii="Wingdings" w:hAnsi="Wingdings" w:hint="default"/>
      </w:rPr>
    </w:lvl>
    <w:lvl w:ilvl="3" w:tplc="E278BF2A">
      <w:start w:val="1"/>
      <w:numFmt w:val="bullet"/>
      <w:lvlText w:val=""/>
      <w:lvlJc w:val="left"/>
      <w:pPr>
        <w:ind w:left="2880" w:hanging="360"/>
      </w:pPr>
      <w:rPr>
        <w:rFonts w:ascii="Symbol" w:hAnsi="Symbol" w:hint="default"/>
      </w:rPr>
    </w:lvl>
    <w:lvl w:ilvl="4" w:tplc="39805224">
      <w:start w:val="1"/>
      <w:numFmt w:val="bullet"/>
      <w:lvlText w:val="o"/>
      <w:lvlJc w:val="left"/>
      <w:pPr>
        <w:ind w:left="3600" w:hanging="360"/>
      </w:pPr>
      <w:rPr>
        <w:rFonts w:ascii="Courier New" w:hAnsi="Courier New" w:hint="default"/>
      </w:rPr>
    </w:lvl>
    <w:lvl w:ilvl="5" w:tplc="C0C6E704">
      <w:start w:val="1"/>
      <w:numFmt w:val="bullet"/>
      <w:lvlText w:val=""/>
      <w:lvlJc w:val="left"/>
      <w:pPr>
        <w:ind w:left="4320" w:hanging="360"/>
      </w:pPr>
      <w:rPr>
        <w:rFonts w:ascii="Wingdings" w:hAnsi="Wingdings" w:hint="default"/>
      </w:rPr>
    </w:lvl>
    <w:lvl w:ilvl="6" w:tplc="06A669CC">
      <w:start w:val="1"/>
      <w:numFmt w:val="bullet"/>
      <w:lvlText w:val=""/>
      <w:lvlJc w:val="left"/>
      <w:pPr>
        <w:ind w:left="5040" w:hanging="360"/>
      </w:pPr>
      <w:rPr>
        <w:rFonts w:ascii="Symbol" w:hAnsi="Symbol" w:hint="default"/>
      </w:rPr>
    </w:lvl>
    <w:lvl w:ilvl="7" w:tplc="2CB4441E">
      <w:start w:val="1"/>
      <w:numFmt w:val="bullet"/>
      <w:lvlText w:val="o"/>
      <w:lvlJc w:val="left"/>
      <w:pPr>
        <w:ind w:left="5760" w:hanging="360"/>
      </w:pPr>
      <w:rPr>
        <w:rFonts w:ascii="Courier New" w:hAnsi="Courier New" w:hint="default"/>
      </w:rPr>
    </w:lvl>
    <w:lvl w:ilvl="8" w:tplc="849A79DC">
      <w:start w:val="1"/>
      <w:numFmt w:val="bullet"/>
      <w:lvlText w:val=""/>
      <w:lvlJc w:val="left"/>
      <w:pPr>
        <w:ind w:left="6480" w:hanging="360"/>
      </w:pPr>
      <w:rPr>
        <w:rFonts w:ascii="Wingdings" w:hAnsi="Wingdings" w:hint="default"/>
      </w:rPr>
    </w:lvl>
  </w:abstractNum>
  <w:abstractNum w:abstractNumId="250" w15:restartNumberingAfterBreak="0">
    <w:nsid w:val="741063C2"/>
    <w:multiLevelType w:val="hybridMultilevel"/>
    <w:tmpl w:val="BDEC9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7419725E"/>
    <w:multiLevelType w:val="hybridMultilevel"/>
    <w:tmpl w:val="FFFFFFFF"/>
    <w:lvl w:ilvl="0" w:tplc="B5F4F108">
      <w:start w:val="1"/>
      <w:numFmt w:val="bullet"/>
      <w:lvlText w:val=""/>
      <w:lvlJc w:val="left"/>
      <w:pPr>
        <w:ind w:left="720" w:hanging="360"/>
      </w:pPr>
      <w:rPr>
        <w:rFonts w:ascii="Wingdings" w:hAnsi="Wingdings" w:hint="default"/>
      </w:rPr>
    </w:lvl>
    <w:lvl w:ilvl="1" w:tplc="77CC4C6A">
      <w:start w:val="1"/>
      <w:numFmt w:val="bullet"/>
      <w:lvlText w:val="o"/>
      <w:lvlJc w:val="left"/>
      <w:pPr>
        <w:ind w:left="1440" w:hanging="360"/>
      </w:pPr>
      <w:rPr>
        <w:rFonts w:ascii="Courier New" w:hAnsi="Courier New" w:hint="default"/>
      </w:rPr>
    </w:lvl>
    <w:lvl w:ilvl="2" w:tplc="0B6A1E0E">
      <w:start w:val="1"/>
      <w:numFmt w:val="bullet"/>
      <w:lvlText w:val=""/>
      <w:lvlJc w:val="left"/>
      <w:pPr>
        <w:ind w:left="2160" w:hanging="360"/>
      </w:pPr>
      <w:rPr>
        <w:rFonts w:ascii="Wingdings" w:hAnsi="Wingdings" w:hint="default"/>
      </w:rPr>
    </w:lvl>
    <w:lvl w:ilvl="3" w:tplc="60109E9A">
      <w:start w:val="1"/>
      <w:numFmt w:val="bullet"/>
      <w:lvlText w:val=""/>
      <w:lvlJc w:val="left"/>
      <w:pPr>
        <w:ind w:left="2880" w:hanging="360"/>
      </w:pPr>
      <w:rPr>
        <w:rFonts w:ascii="Symbol" w:hAnsi="Symbol" w:hint="default"/>
      </w:rPr>
    </w:lvl>
    <w:lvl w:ilvl="4" w:tplc="F88EE732">
      <w:start w:val="1"/>
      <w:numFmt w:val="bullet"/>
      <w:lvlText w:val="o"/>
      <w:lvlJc w:val="left"/>
      <w:pPr>
        <w:ind w:left="3600" w:hanging="360"/>
      </w:pPr>
      <w:rPr>
        <w:rFonts w:ascii="Courier New" w:hAnsi="Courier New" w:hint="default"/>
      </w:rPr>
    </w:lvl>
    <w:lvl w:ilvl="5" w:tplc="E782E394">
      <w:start w:val="1"/>
      <w:numFmt w:val="bullet"/>
      <w:lvlText w:val=""/>
      <w:lvlJc w:val="left"/>
      <w:pPr>
        <w:ind w:left="4320" w:hanging="360"/>
      </w:pPr>
      <w:rPr>
        <w:rFonts w:ascii="Wingdings" w:hAnsi="Wingdings" w:hint="default"/>
      </w:rPr>
    </w:lvl>
    <w:lvl w:ilvl="6" w:tplc="4C864512">
      <w:start w:val="1"/>
      <w:numFmt w:val="bullet"/>
      <w:lvlText w:val=""/>
      <w:lvlJc w:val="left"/>
      <w:pPr>
        <w:ind w:left="5040" w:hanging="360"/>
      </w:pPr>
      <w:rPr>
        <w:rFonts w:ascii="Symbol" w:hAnsi="Symbol" w:hint="default"/>
      </w:rPr>
    </w:lvl>
    <w:lvl w:ilvl="7" w:tplc="1D18A6AA">
      <w:start w:val="1"/>
      <w:numFmt w:val="bullet"/>
      <w:lvlText w:val="o"/>
      <w:lvlJc w:val="left"/>
      <w:pPr>
        <w:ind w:left="5760" w:hanging="360"/>
      </w:pPr>
      <w:rPr>
        <w:rFonts w:ascii="Courier New" w:hAnsi="Courier New" w:hint="default"/>
      </w:rPr>
    </w:lvl>
    <w:lvl w:ilvl="8" w:tplc="55E23952">
      <w:start w:val="1"/>
      <w:numFmt w:val="bullet"/>
      <w:lvlText w:val=""/>
      <w:lvlJc w:val="left"/>
      <w:pPr>
        <w:ind w:left="6480" w:hanging="360"/>
      </w:pPr>
      <w:rPr>
        <w:rFonts w:ascii="Wingdings" w:hAnsi="Wingdings" w:hint="default"/>
      </w:rPr>
    </w:lvl>
  </w:abstractNum>
  <w:abstractNum w:abstractNumId="252" w15:restartNumberingAfterBreak="0">
    <w:nsid w:val="74E66E3A"/>
    <w:multiLevelType w:val="hybridMultilevel"/>
    <w:tmpl w:val="E96E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4FB023B"/>
    <w:multiLevelType w:val="hybridMultilevel"/>
    <w:tmpl w:val="4EB00B3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4" w15:restartNumberingAfterBreak="0">
    <w:nsid w:val="759C2607"/>
    <w:multiLevelType w:val="multilevel"/>
    <w:tmpl w:val="2390B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762D793A"/>
    <w:multiLevelType w:val="hybridMultilevel"/>
    <w:tmpl w:val="CE32F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6514C1D"/>
    <w:multiLevelType w:val="hybridMultilevel"/>
    <w:tmpl w:val="5BC4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770F40AE"/>
    <w:multiLevelType w:val="hybridMultilevel"/>
    <w:tmpl w:val="334E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8F470FE"/>
    <w:multiLevelType w:val="multilevel"/>
    <w:tmpl w:val="FF249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9" w15:restartNumberingAfterBreak="0">
    <w:nsid w:val="79190F6F"/>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0" w15:restartNumberingAfterBreak="0">
    <w:nsid w:val="79522256"/>
    <w:multiLevelType w:val="hybridMultilevel"/>
    <w:tmpl w:val="F6A26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9630EFA"/>
    <w:multiLevelType w:val="hybridMultilevel"/>
    <w:tmpl w:val="67AED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79A10C6F"/>
    <w:multiLevelType w:val="hybridMultilevel"/>
    <w:tmpl w:val="FFFFFFFF"/>
    <w:lvl w:ilvl="0" w:tplc="7EB8BE9C">
      <w:start w:val="1"/>
      <w:numFmt w:val="bullet"/>
      <w:lvlText w:val=""/>
      <w:lvlJc w:val="left"/>
      <w:pPr>
        <w:ind w:left="720" w:hanging="360"/>
      </w:pPr>
      <w:rPr>
        <w:rFonts w:ascii="Wingdings" w:hAnsi="Wingdings" w:hint="default"/>
      </w:rPr>
    </w:lvl>
    <w:lvl w:ilvl="1" w:tplc="EFDA2344">
      <w:start w:val="1"/>
      <w:numFmt w:val="bullet"/>
      <w:lvlText w:val="o"/>
      <w:lvlJc w:val="left"/>
      <w:pPr>
        <w:ind w:left="1440" w:hanging="360"/>
      </w:pPr>
      <w:rPr>
        <w:rFonts w:ascii="Courier New" w:hAnsi="Courier New" w:hint="default"/>
      </w:rPr>
    </w:lvl>
    <w:lvl w:ilvl="2" w:tplc="44BAEC32">
      <w:start w:val="1"/>
      <w:numFmt w:val="bullet"/>
      <w:lvlText w:val=""/>
      <w:lvlJc w:val="left"/>
      <w:pPr>
        <w:ind w:left="2160" w:hanging="360"/>
      </w:pPr>
      <w:rPr>
        <w:rFonts w:ascii="Wingdings" w:hAnsi="Wingdings" w:hint="default"/>
      </w:rPr>
    </w:lvl>
    <w:lvl w:ilvl="3" w:tplc="CA98C1B4">
      <w:start w:val="1"/>
      <w:numFmt w:val="bullet"/>
      <w:lvlText w:val=""/>
      <w:lvlJc w:val="left"/>
      <w:pPr>
        <w:ind w:left="2880" w:hanging="360"/>
      </w:pPr>
      <w:rPr>
        <w:rFonts w:ascii="Symbol" w:hAnsi="Symbol" w:hint="default"/>
      </w:rPr>
    </w:lvl>
    <w:lvl w:ilvl="4" w:tplc="BB1EFD62">
      <w:start w:val="1"/>
      <w:numFmt w:val="bullet"/>
      <w:lvlText w:val="o"/>
      <w:lvlJc w:val="left"/>
      <w:pPr>
        <w:ind w:left="3600" w:hanging="360"/>
      </w:pPr>
      <w:rPr>
        <w:rFonts w:ascii="Courier New" w:hAnsi="Courier New" w:hint="default"/>
      </w:rPr>
    </w:lvl>
    <w:lvl w:ilvl="5" w:tplc="4C02664C">
      <w:start w:val="1"/>
      <w:numFmt w:val="bullet"/>
      <w:lvlText w:val=""/>
      <w:lvlJc w:val="left"/>
      <w:pPr>
        <w:ind w:left="4320" w:hanging="360"/>
      </w:pPr>
      <w:rPr>
        <w:rFonts w:ascii="Wingdings" w:hAnsi="Wingdings" w:hint="default"/>
      </w:rPr>
    </w:lvl>
    <w:lvl w:ilvl="6" w:tplc="D8E67A20">
      <w:start w:val="1"/>
      <w:numFmt w:val="bullet"/>
      <w:lvlText w:val=""/>
      <w:lvlJc w:val="left"/>
      <w:pPr>
        <w:ind w:left="5040" w:hanging="360"/>
      </w:pPr>
      <w:rPr>
        <w:rFonts w:ascii="Symbol" w:hAnsi="Symbol" w:hint="default"/>
      </w:rPr>
    </w:lvl>
    <w:lvl w:ilvl="7" w:tplc="C4940070">
      <w:start w:val="1"/>
      <w:numFmt w:val="bullet"/>
      <w:lvlText w:val="o"/>
      <w:lvlJc w:val="left"/>
      <w:pPr>
        <w:ind w:left="5760" w:hanging="360"/>
      </w:pPr>
      <w:rPr>
        <w:rFonts w:ascii="Courier New" w:hAnsi="Courier New" w:hint="default"/>
      </w:rPr>
    </w:lvl>
    <w:lvl w:ilvl="8" w:tplc="25C65F94">
      <w:start w:val="1"/>
      <w:numFmt w:val="bullet"/>
      <w:lvlText w:val=""/>
      <w:lvlJc w:val="left"/>
      <w:pPr>
        <w:ind w:left="6480" w:hanging="360"/>
      </w:pPr>
      <w:rPr>
        <w:rFonts w:ascii="Wingdings" w:hAnsi="Wingdings" w:hint="default"/>
      </w:rPr>
    </w:lvl>
  </w:abstractNum>
  <w:abstractNum w:abstractNumId="263" w15:restartNumberingAfterBreak="0">
    <w:nsid w:val="79EA599D"/>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4" w15:restartNumberingAfterBreak="0">
    <w:nsid w:val="7A736C11"/>
    <w:multiLevelType w:val="hybridMultilevel"/>
    <w:tmpl w:val="4F2A6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A8C4A99"/>
    <w:multiLevelType w:val="hybridMultilevel"/>
    <w:tmpl w:val="FFFFFFFF"/>
    <w:lvl w:ilvl="0" w:tplc="133C4FC8">
      <w:start w:val="1"/>
      <w:numFmt w:val="bullet"/>
      <w:lvlText w:val=""/>
      <w:lvlJc w:val="left"/>
      <w:pPr>
        <w:ind w:left="720" w:hanging="360"/>
      </w:pPr>
      <w:rPr>
        <w:rFonts w:ascii="Wingdings" w:hAnsi="Wingdings" w:hint="default"/>
      </w:rPr>
    </w:lvl>
    <w:lvl w:ilvl="1" w:tplc="3698C6D2">
      <w:start w:val="1"/>
      <w:numFmt w:val="bullet"/>
      <w:lvlText w:val="o"/>
      <w:lvlJc w:val="left"/>
      <w:pPr>
        <w:ind w:left="1440" w:hanging="360"/>
      </w:pPr>
      <w:rPr>
        <w:rFonts w:ascii="Courier New" w:hAnsi="Courier New" w:hint="default"/>
      </w:rPr>
    </w:lvl>
    <w:lvl w:ilvl="2" w:tplc="00344614">
      <w:start w:val="1"/>
      <w:numFmt w:val="bullet"/>
      <w:lvlText w:val=""/>
      <w:lvlJc w:val="left"/>
      <w:pPr>
        <w:ind w:left="2160" w:hanging="360"/>
      </w:pPr>
      <w:rPr>
        <w:rFonts w:ascii="Wingdings" w:hAnsi="Wingdings" w:hint="default"/>
      </w:rPr>
    </w:lvl>
    <w:lvl w:ilvl="3" w:tplc="DC5403CA">
      <w:start w:val="1"/>
      <w:numFmt w:val="bullet"/>
      <w:lvlText w:val=""/>
      <w:lvlJc w:val="left"/>
      <w:pPr>
        <w:ind w:left="2880" w:hanging="360"/>
      </w:pPr>
      <w:rPr>
        <w:rFonts w:ascii="Symbol" w:hAnsi="Symbol" w:hint="default"/>
      </w:rPr>
    </w:lvl>
    <w:lvl w:ilvl="4" w:tplc="B88A3758">
      <w:start w:val="1"/>
      <w:numFmt w:val="bullet"/>
      <w:lvlText w:val="o"/>
      <w:lvlJc w:val="left"/>
      <w:pPr>
        <w:ind w:left="3600" w:hanging="360"/>
      </w:pPr>
      <w:rPr>
        <w:rFonts w:ascii="Courier New" w:hAnsi="Courier New" w:hint="default"/>
      </w:rPr>
    </w:lvl>
    <w:lvl w:ilvl="5" w:tplc="AF56EC3C">
      <w:start w:val="1"/>
      <w:numFmt w:val="bullet"/>
      <w:lvlText w:val=""/>
      <w:lvlJc w:val="left"/>
      <w:pPr>
        <w:ind w:left="4320" w:hanging="360"/>
      </w:pPr>
      <w:rPr>
        <w:rFonts w:ascii="Wingdings" w:hAnsi="Wingdings" w:hint="default"/>
      </w:rPr>
    </w:lvl>
    <w:lvl w:ilvl="6" w:tplc="3EE07F12">
      <w:start w:val="1"/>
      <w:numFmt w:val="bullet"/>
      <w:lvlText w:val=""/>
      <w:lvlJc w:val="left"/>
      <w:pPr>
        <w:ind w:left="5040" w:hanging="360"/>
      </w:pPr>
      <w:rPr>
        <w:rFonts w:ascii="Symbol" w:hAnsi="Symbol" w:hint="default"/>
      </w:rPr>
    </w:lvl>
    <w:lvl w:ilvl="7" w:tplc="5B2046EC">
      <w:start w:val="1"/>
      <w:numFmt w:val="bullet"/>
      <w:lvlText w:val="o"/>
      <w:lvlJc w:val="left"/>
      <w:pPr>
        <w:ind w:left="5760" w:hanging="360"/>
      </w:pPr>
      <w:rPr>
        <w:rFonts w:ascii="Courier New" w:hAnsi="Courier New" w:hint="default"/>
      </w:rPr>
    </w:lvl>
    <w:lvl w:ilvl="8" w:tplc="6124FDB8">
      <w:start w:val="1"/>
      <w:numFmt w:val="bullet"/>
      <w:lvlText w:val=""/>
      <w:lvlJc w:val="left"/>
      <w:pPr>
        <w:ind w:left="6480" w:hanging="360"/>
      </w:pPr>
      <w:rPr>
        <w:rFonts w:ascii="Wingdings" w:hAnsi="Wingdings" w:hint="default"/>
      </w:rPr>
    </w:lvl>
  </w:abstractNum>
  <w:abstractNum w:abstractNumId="266" w15:restartNumberingAfterBreak="0">
    <w:nsid w:val="7AEC12C1"/>
    <w:multiLevelType w:val="hybridMultilevel"/>
    <w:tmpl w:val="740A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B2A5346"/>
    <w:multiLevelType w:val="hybridMultilevel"/>
    <w:tmpl w:val="490E18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8" w15:restartNumberingAfterBreak="0">
    <w:nsid w:val="7C1D3B4A"/>
    <w:multiLevelType w:val="hybridMultilevel"/>
    <w:tmpl w:val="786E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C2C65E3"/>
    <w:multiLevelType w:val="hybridMultilevel"/>
    <w:tmpl w:val="C6F07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0" w15:restartNumberingAfterBreak="0">
    <w:nsid w:val="7C842B75"/>
    <w:multiLevelType w:val="hybridMultilevel"/>
    <w:tmpl w:val="C1EE5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7CB2288E"/>
    <w:multiLevelType w:val="hybridMultilevel"/>
    <w:tmpl w:val="FFFFFFFF"/>
    <w:lvl w:ilvl="0" w:tplc="6C44F4B6">
      <w:start w:val="1"/>
      <w:numFmt w:val="bullet"/>
      <w:lvlText w:val=""/>
      <w:lvlJc w:val="left"/>
      <w:pPr>
        <w:ind w:left="720" w:hanging="360"/>
      </w:pPr>
      <w:rPr>
        <w:rFonts w:ascii="Wingdings" w:hAnsi="Wingdings" w:hint="default"/>
      </w:rPr>
    </w:lvl>
    <w:lvl w:ilvl="1" w:tplc="9550BF16">
      <w:start w:val="1"/>
      <w:numFmt w:val="bullet"/>
      <w:lvlText w:val="o"/>
      <w:lvlJc w:val="left"/>
      <w:pPr>
        <w:ind w:left="1440" w:hanging="360"/>
      </w:pPr>
      <w:rPr>
        <w:rFonts w:ascii="Courier New" w:hAnsi="Courier New" w:hint="default"/>
      </w:rPr>
    </w:lvl>
    <w:lvl w:ilvl="2" w:tplc="4DCAB0C2">
      <w:start w:val="1"/>
      <w:numFmt w:val="bullet"/>
      <w:lvlText w:val=""/>
      <w:lvlJc w:val="left"/>
      <w:pPr>
        <w:ind w:left="2160" w:hanging="360"/>
      </w:pPr>
      <w:rPr>
        <w:rFonts w:ascii="Wingdings" w:hAnsi="Wingdings" w:hint="default"/>
      </w:rPr>
    </w:lvl>
    <w:lvl w:ilvl="3" w:tplc="9DBCE106">
      <w:start w:val="1"/>
      <w:numFmt w:val="bullet"/>
      <w:lvlText w:val=""/>
      <w:lvlJc w:val="left"/>
      <w:pPr>
        <w:ind w:left="2880" w:hanging="360"/>
      </w:pPr>
      <w:rPr>
        <w:rFonts w:ascii="Symbol" w:hAnsi="Symbol" w:hint="default"/>
      </w:rPr>
    </w:lvl>
    <w:lvl w:ilvl="4" w:tplc="58320634">
      <w:start w:val="1"/>
      <w:numFmt w:val="bullet"/>
      <w:lvlText w:val="o"/>
      <w:lvlJc w:val="left"/>
      <w:pPr>
        <w:ind w:left="3600" w:hanging="360"/>
      </w:pPr>
      <w:rPr>
        <w:rFonts w:ascii="Courier New" w:hAnsi="Courier New" w:hint="default"/>
      </w:rPr>
    </w:lvl>
    <w:lvl w:ilvl="5" w:tplc="4F501DFC">
      <w:start w:val="1"/>
      <w:numFmt w:val="bullet"/>
      <w:lvlText w:val=""/>
      <w:lvlJc w:val="left"/>
      <w:pPr>
        <w:ind w:left="4320" w:hanging="360"/>
      </w:pPr>
      <w:rPr>
        <w:rFonts w:ascii="Wingdings" w:hAnsi="Wingdings" w:hint="default"/>
      </w:rPr>
    </w:lvl>
    <w:lvl w:ilvl="6" w:tplc="D264C32E">
      <w:start w:val="1"/>
      <w:numFmt w:val="bullet"/>
      <w:lvlText w:val=""/>
      <w:lvlJc w:val="left"/>
      <w:pPr>
        <w:ind w:left="5040" w:hanging="360"/>
      </w:pPr>
      <w:rPr>
        <w:rFonts w:ascii="Symbol" w:hAnsi="Symbol" w:hint="default"/>
      </w:rPr>
    </w:lvl>
    <w:lvl w:ilvl="7" w:tplc="548CFA3E">
      <w:start w:val="1"/>
      <w:numFmt w:val="bullet"/>
      <w:lvlText w:val="o"/>
      <w:lvlJc w:val="left"/>
      <w:pPr>
        <w:ind w:left="5760" w:hanging="360"/>
      </w:pPr>
      <w:rPr>
        <w:rFonts w:ascii="Courier New" w:hAnsi="Courier New" w:hint="default"/>
      </w:rPr>
    </w:lvl>
    <w:lvl w:ilvl="8" w:tplc="ACCCAA76">
      <w:start w:val="1"/>
      <w:numFmt w:val="bullet"/>
      <w:lvlText w:val=""/>
      <w:lvlJc w:val="left"/>
      <w:pPr>
        <w:ind w:left="6480" w:hanging="360"/>
      </w:pPr>
      <w:rPr>
        <w:rFonts w:ascii="Wingdings" w:hAnsi="Wingdings" w:hint="default"/>
      </w:rPr>
    </w:lvl>
  </w:abstractNum>
  <w:abstractNum w:abstractNumId="272" w15:restartNumberingAfterBreak="0">
    <w:nsid w:val="7D771769"/>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3" w15:restartNumberingAfterBreak="0">
    <w:nsid w:val="7DA8761D"/>
    <w:multiLevelType w:val="multilevel"/>
    <w:tmpl w:val="10A873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4" w15:restartNumberingAfterBreak="0">
    <w:nsid w:val="7DC186E2"/>
    <w:multiLevelType w:val="hybridMultilevel"/>
    <w:tmpl w:val="FFFFFFFF"/>
    <w:lvl w:ilvl="0" w:tplc="476C635A">
      <w:start w:val="1"/>
      <w:numFmt w:val="decimal"/>
      <w:lvlText w:val="%1."/>
      <w:lvlJc w:val="left"/>
      <w:pPr>
        <w:ind w:left="720" w:hanging="360"/>
      </w:pPr>
    </w:lvl>
    <w:lvl w:ilvl="1" w:tplc="08EEECDE">
      <w:start w:val="1"/>
      <w:numFmt w:val="lowerLetter"/>
      <w:lvlText w:val="%2."/>
      <w:lvlJc w:val="left"/>
      <w:pPr>
        <w:ind w:left="1440" w:hanging="360"/>
      </w:pPr>
    </w:lvl>
    <w:lvl w:ilvl="2" w:tplc="BB2ADE5A">
      <w:start w:val="1"/>
      <w:numFmt w:val="lowerRoman"/>
      <w:lvlText w:val="%3."/>
      <w:lvlJc w:val="right"/>
      <w:pPr>
        <w:ind w:left="2160" w:hanging="180"/>
      </w:pPr>
    </w:lvl>
    <w:lvl w:ilvl="3" w:tplc="C1DA480E">
      <w:start w:val="1"/>
      <w:numFmt w:val="decimal"/>
      <w:lvlText w:val="%4."/>
      <w:lvlJc w:val="left"/>
      <w:pPr>
        <w:ind w:left="2880" w:hanging="360"/>
      </w:pPr>
    </w:lvl>
    <w:lvl w:ilvl="4" w:tplc="CD1E7F2A">
      <w:start w:val="1"/>
      <w:numFmt w:val="lowerLetter"/>
      <w:lvlText w:val="%5."/>
      <w:lvlJc w:val="left"/>
      <w:pPr>
        <w:ind w:left="3600" w:hanging="360"/>
      </w:pPr>
    </w:lvl>
    <w:lvl w:ilvl="5" w:tplc="D94006AC">
      <w:start w:val="1"/>
      <w:numFmt w:val="lowerRoman"/>
      <w:lvlText w:val="%6."/>
      <w:lvlJc w:val="right"/>
      <w:pPr>
        <w:ind w:left="4320" w:hanging="180"/>
      </w:pPr>
    </w:lvl>
    <w:lvl w:ilvl="6" w:tplc="3D36AB84">
      <w:start w:val="1"/>
      <w:numFmt w:val="decimal"/>
      <w:lvlText w:val="%7."/>
      <w:lvlJc w:val="left"/>
      <w:pPr>
        <w:ind w:left="5040" w:hanging="360"/>
      </w:pPr>
    </w:lvl>
    <w:lvl w:ilvl="7" w:tplc="75743D86">
      <w:start w:val="1"/>
      <w:numFmt w:val="lowerLetter"/>
      <w:lvlText w:val="%8."/>
      <w:lvlJc w:val="left"/>
      <w:pPr>
        <w:ind w:left="5760" w:hanging="360"/>
      </w:pPr>
    </w:lvl>
    <w:lvl w:ilvl="8" w:tplc="9334C88C">
      <w:start w:val="1"/>
      <w:numFmt w:val="lowerRoman"/>
      <w:lvlText w:val="%9."/>
      <w:lvlJc w:val="right"/>
      <w:pPr>
        <w:ind w:left="6480" w:hanging="180"/>
      </w:pPr>
    </w:lvl>
  </w:abstractNum>
  <w:abstractNum w:abstractNumId="275" w15:restartNumberingAfterBreak="0">
    <w:nsid w:val="7E619558"/>
    <w:multiLevelType w:val="hybridMultilevel"/>
    <w:tmpl w:val="FFFFFFFF"/>
    <w:lvl w:ilvl="0" w:tplc="8D22CF50">
      <w:start w:val="1"/>
      <w:numFmt w:val="bullet"/>
      <w:lvlText w:val=""/>
      <w:lvlJc w:val="left"/>
      <w:pPr>
        <w:ind w:left="720" w:hanging="360"/>
      </w:pPr>
      <w:rPr>
        <w:rFonts w:ascii="Wingdings" w:hAnsi="Wingdings" w:hint="default"/>
      </w:rPr>
    </w:lvl>
    <w:lvl w:ilvl="1" w:tplc="E6BC5B14">
      <w:start w:val="1"/>
      <w:numFmt w:val="bullet"/>
      <w:lvlText w:val="o"/>
      <w:lvlJc w:val="left"/>
      <w:pPr>
        <w:ind w:left="1440" w:hanging="360"/>
      </w:pPr>
      <w:rPr>
        <w:rFonts w:ascii="Courier New" w:hAnsi="Courier New" w:hint="default"/>
      </w:rPr>
    </w:lvl>
    <w:lvl w:ilvl="2" w:tplc="91B2055C">
      <w:start w:val="1"/>
      <w:numFmt w:val="bullet"/>
      <w:lvlText w:val=""/>
      <w:lvlJc w:val="left"/>
      <w:pPr>
        <w:ind w:left="2160" w:hanging="360"/>
      </w:pPr>
      <w:rPr>
        <w:rFonts w:ascii="Wingdings" w:hAnsi="Wingdings" w:hint="default"/>
      </w:rPr>
    </w:lvl>
    <w:lvl w:ilvl="3" w:tplc="D592E6D0">
      <w:start w:val="1"/>
      <w:numFmt w:val="bullet"/>
      <w:lvlText w:val=""/>
      <w:lvlJc w:val="left"/>
      <w:pPr>
        <w:ind w:left="2880" w:hanging="360"/>
      </w:pPr>
      <w:rPr>
        <w:rFonts w:ascii="Symbol" w:hAnsi="Symbol" w:hint="default"/>
      </w:rPr>
    </w:lvl>
    <w:lvl w:ilvl="4" w:tplc="7FE63ACE">
      <w:start w:val="1"/>
      <w:numFmt w:val="bullet"/>
      <w:lvlText w:val="o"/>
      <w:lvlJc w:val="left"/>
      <w:pPr>
        <w:ind w:left="3600" w:hanging="360"/>
      </w:pPr>
      <w:rPr>
        <w:rFonts w:ascii="Courier New" w:hAnsi="Courier New" w:hint="default"/>
      </w:rPr>
    </w:lvl>
    <w:lvl w:ilvl="5" w:tplc="6BF615E4">
      <w:start w:val="1"/>
      <w:numFmt w:val="bullet"/>
      <w:lvlText w:val=""/>
      <w:lvlJc w:val="left"/>
      <w:pPr>
        <w:ind w:left="4320" w:hanging="360"/>
      </w:pPr>
      <w:rPr>
        <w:rFonts w:ascii="Wingdings" w:hAnsi="Wingdings" w:hint="default"/>
      </w:rPr>
    </w:lvl>
    <w:lvl w:ilvl="6" w:tplc="3D2E8656">
      <w:start w:val="1"/>
      <w:numFmt w:val="bullet"/>
      <w:lvlText w:val=""/>
      <w:lvlJc w:val="left"/>
      <w:pPr>
        <w:ind w:left="5040" w:hanging="360"/>
      </w:pPr>
      <w:rPr>
        <w:rFonts w:ascii="Symbol" w:hAnsi="Symbol" w:hint="default"/>
      </w:rPr>
    </w:lvl>
    <w:lvl w:ilvl="7" w:tplc="17580AF4">
      <w:start w:val="1"/>
      <w:numFmt w:val="bullet"/>
      <w:lvlText w:val="o"/>
      <w:lvlJc w:val="left"/>
      <w:pPr>
        <w:ind w:left="5760" w:hanging="360"/>
      </w:pPr>
      <w:rPr>
        <w:rFonts w:ascii="Courier New" w:hAnsi="Courier New" w:hint="default"/>
      </w:rPr>
    </w:lvl>
    <w:lvl w:ilvl="8" w:tplc="862E12AE">
      <w:start w:val="1"/>
      <w:numFmt w:val="bullet"/>
      <w:lvlText w:val=""/>
      <w:lvlJc w:val="left"/>
      <w:pPr>
        <w:ind w:left="6480" w:hanging="360"/>
      </w:pPr>
      <w:rPr>
        <w:rFonts w:ascii="Wingdings" w:hAnsi="Wingdings" w:hint="default"/>
      </w:rPr>
    </w:lvl>
  </w:abstractNum>
  <w:abstractNum w:abstractNumId="276" w15:restartNumberingAfterBreak="0">
    <w:nsid w:val="7F3C6976"/>
    <w:multiLevelType w:val="hybridMultilevel"/>
    <w:tmpl w:val="23C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FFD64B3"/>
    <w:multiLevelType w:val="hybridMultilevel"/>
    <w:tmpl w:val="CD94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144990">
    <w:abstractNumId w:val="192"/>
  </w:num>
  <w:num w:numId="2" w16cid:durableId="122119545">
    <w:abstractNumId w:val="109"/>
  </w:num>
  <w:num w:numId="3" w16cid:durableId="177895623">
    <w:abstractNumId w:val="166"/>
  </w:num>
  <w:num w:numId="4" w16cid:durableId="1518420330">
    <w:abstractNumId w:val="175"/>
  </w:num>
  <w:num w:numId="5" w16cid:durableId="1465385839">
    <w:abstractNumId w:val="181"/>
  </w:num>
  <w:num w:numId="6" w16cid:durableId="1283683071">
    <w:abstractNumId w:val="229"/>
  </w:num>
  <w:num w:numId="7" w16cid:durableId="1500923879">
    <w:abstractNumId w:val="83"/>
  </w:num>
  <w:num w:numId="8" w16cid:durableId="858473729">
    <w:abstractNumId w:val="87"/>
  </w:num>
  <w:num w:numId="9" w16cid:durableId="1352683725">
    <w:abstractNumId w:val="193"/>
  </w:num>
  <w:num w:numId="10" w16cid:durableId="1374842348">
    <w:abstractNumId w:val="55"/>
  </w:num>
  <w:num w:numId="11" w16cid:durableId="1991136355">
    <w:abstractNumId w:val="243"/>
  </w:num>
  <w:num w:numId="12" w16cid:durableId="151874242">
    <w:abstractNumId w:val="226"/>
  </w:num>
  <w:num w:numId="13" w16cid:durableId="1481850771">
    <w:abstractNumId w:val="51"/>
  </w:num>
  <w:num w:numId="14" w16cid:durableId="1252662223">
    <w:abstractNumId w:val="34"/>
  </w:num>
  <w:num w:numId="15" w16cid:durableId="1141654652">
    <w:abstractNumId w:val="32"/>
  </w:num>
  <w:num w:numId="16" w16cid:durableId="787235537">
    <w:abstractNumId w:val="277"/>
  </w:num>
  <w:num w:numId="17" w16cid:durableId="1480028327">
    <w:abstractNumId w:val="257"/>
  </w:num>
  <w:num w:numId="18" w16cid:durableId="633172980">
    <w:abstractNumId w:val="68"/>
  </w:num>
  <w:num w:numId="19" w16cid:durableId="925576583">
    <w:abstractNumId w:val="188"/>
  </w:num>
  <w:num w:numId="20" w16cid:durableId="599222659">
    <w:abstractNumId w:val="35"/>
  </w:num>
  <w:num w:numId="21" w16cid:durableId="1094739540">
    <w:abstractNumId w:val="217"/>
  </w:num>
  <w:num w:numId="22" w16cid:durableId="2144804880">
    <w:abstractNumId w:val="118"/>
  </w:num>
  <w:num w:numId="23" w16cid:durableId="1504197509">
    <w:abstractNumId w:val="58"/>
  </w:num>
  <w:num w:numId="24" w16cid:durableId="1119571764">
    <w:abstractNumId w:val="140"/>
  </w:num>
  <w:num w:numId="25" w16cid:durableId="1774015022">
    <w:abstractNumId w:val="252"/>
  </w:num>
  <w:num w:numId="26" w16cid:durableId="228661945">
    <w:abstractNumId w:val="231"/>
  </w:num>
  <w:num w:numId="27" w16cid:durableId="489953851">
    <w:abstractNumId w:val="26"/>
  </w:num>
  <w:num w:numId="28" w16cid:durableId="623581609">
    <w:abstractNumId w:val="81"/>
  </w:num>
  <w:num w:numId="29" w16cid:durableId="1580285250">
    <w:abstractNumId w:val="141"/>
  </w:num>
  <w:num w:numId="30" w16cid:durableId="1297376790">
    <w:abstractNumId w:val="49"/>
  </w:num>
  <w:num w:numId="31" w16cid:durableId="1902789053">
    <w:abstractNumId w:val="97"/>
  </w:num>
  <w:num w:numId="32" w16cid:durableId="1504515143">
    <w:abstractNumId w:val="77"/>
  </w:num>
  <w:num w:numId="33" w16cid:durableId="1050836918">
    <w:abstractNumId w:val="144"/>
  </w:num>
  <w:num w:numId="34" w16cid:durableId="1532260554">
    <w:abstractNumId w:val="120"/>
  </w:num>
  <w:num w:numId="35" w16cid:durableId="522475869">
    <w:abstractNumId w:val="19"/>
  </w:num>
  <w:num w:numId="36" w16cid:durableId="2105110962">
    <w:abstractNumId w:val="47"/>
  </w:num>
  <w:num w:numId="37" w16cid:durableId="2071616847">
    <w:abstractNumId w:val="264"/>
  </w:num>
  <w:num w:numId="38" w16cid:durableId="344552770">
    <w:abstractNumId w:val="110"/>
  </w:num>
  <w:num w:numId="39" w16cid:durableId="2039115218">
    <w:abstractNumId w:val="208"/>
  </w:num>
  <w:num w:numId="40" w16cid:durableId="2044866623">
    <w:abstractNumId w:val="43"/>
  </w:num>
  <w:num w:numId="41" w16cid:durableId="1883859111">
    <w:abstractNumId w:val="62"/>
  </w:num>
  <w:num w:numId="42" w16cid:durableId="985474872">
    <w:abstractNumId w:val="152"/>
  </w:num>
  <w:num w:numId="43" w16cid:durableId="1893147984">
    <w:abstractNumId w:val="100"/>
  </w:num>
  <w:num w:numId="44" w16cid:durableId="1083531201">
    <w:abstractNumId w:val="107"/>
  </w:num>
  <w:num w:numId="45" w16cid:durableId="416023500">
    <w:abstractNumId w:val="194"/>
  </w:num>
  <w:num w:numId="46" w16cid:durableId="1224951422">
    <w:abstractNumId w:val="74"/>
  </w:num>
  <w:num w:numId="47" w16cid:durableId="47071575">
    <w:abstractNumId w:val="182"/>
  </w:num>
  <w:num w:numId="48" w16cid:durableId="1310675953">
    <w:abstractNumId w:val="7"/>
  </w:num>
  <w:num w:numId="49" w16cid:durableId="1033772124">
    <w:abstractNumId w:val="72"/>
  </w:num>
  <w:num w:numId="50" w16cid:durableId="1832911047">
    <w:abstractNumId w:val="266"/>
  </w:num>
  <w:num w:numId="51" w16cid:durableId="351028138">
    <w:abstractNumId w:val="84"/>
  </w:num>
  <w:num w:numId="52" w16cid:durableId="790561067">
    <w:abstractNumId w:val="255"/>
  </w:num>
  <w:num w:numId="53" w16cid:durableId="958754902">
    <w:abstractNumId w:val="187"/>
  </w:num>
  <w:num w:numId="54" w16cid:durableId="1089153493">
    <w:abstractNumId w:val="0"/>
  </w:num>
  <w:num w:numId="55" w16cid:durableId="1819377153">
    <w:abstractNumId w:val="155"/>
  </w:num>
  <w:num w:numId="56" w16cid:durableId="900824188">
    <w:abstractNumId w:val="1"/>
  </w:num>
  <w:num w:numId="57" w16cid:durableId="744258435">
    <w:abstractNumId w:val="42"/>
  </w:num>
  <w:num w:numId="58" w16cid:durableId="346293476">
    <w:abstractNumId w:val="191"/>
  </w:num>
  <w:num w:numId="59" w16cid:durableId="287856090">
    <w:abstractNumId w:val="159"/>
  </w:num>
  <w:num w:numId="60" w16cid:durableId="2115175280">
    <w:abstractNumId w:val="59"/>
  </w:num>
  <w:num w:numId="61" w16cid:durableId="947157460">
    <w:abstractNumId w:val="64"/>
  </w:num>
  <w:num w:numId="62" w16cid:durableId="127088126">
    <w:abstractNumId w:val="240"/>
  </w:num>
  <w:num w:numId="63" w16cid:durableId="637536909">
    <w:abstractNumId w:val="235"/>
  </w:num>
  <w:num w:numId="64" w16cid:durableId="613244101">
    <w:abstractNumId w:val="99"/>
  </w:num>
  <w:num w:numId="65" w16cid:durableId="1351179151">
    <w:abstractNumId w:val="173"/>
  </w:num>
  <w:num w:numId="66" w16cid:durableId="1394036854">
    <w:abstractNumId w:val="23"/>
  </w:num>
  <w:num w:numId="67" w16cid:durableId="588151426">
    <w:abstractNumId w:val="106"/>
  </w:num>
  <w:num w:numId="68" w16cid:durableId="155079355">
    <w:abstractNumId w:val="21"/>
  </w:num>
  <w:num w:numId="69" w16cid:durableId="229116633">
    <w:abstractNumId w:val="214"/>
  </w:num>
  <w:num w:numId="70" w16cid:durableId="1563104322">
    <w:abstractNumId w:val="236"/>
  </w:num>
  <w:num w:numId="71" w16cid:durableId="1120077005">
    <w:abstractNumId w:val="216"/>
  </w:num>
  <w:num w:numId="72" w16cid:durableId="1380473074">
    <w:abstractNumId w:val="268"/>
  </w:num>
  <w:num w:numId="73" w16cid:durableId="1377580508">
    <w:abstractNumId w:val="213"/>
  </w:num>
  <w:num w:numId="74" w16cid:durableId="231620417">
    <w:abstractNumId w:val="88"/>
  </w:num>
  <w:num w:numId="75" w16cid:durableId="1341351854">
    <w:abstractNumId w:val="157"/>
  </w:num>
  <w:num w:numId="76" w16cid:durableId="572351038">
    <w:abstractNumId w:val="67"/>
  </w:num>
  <w:num w:numId="77" w16cid:durableId="1834295752">
    <w:abstractNumId w:val="69"/>
  </w:num>
  <w:num w:numId="78" w16cid:durableId="1539313345">
    <w:abstractNumId w:val="127"/>
  </w:num>
  <w:num w:numId="79" w16cid:durableId="1976137884">
    <w:abstractNumId w:val="30"/>
  </w:num>
  <w:num w:numId="80" w16cid:durableId="1475681204">
    <w:abstractNumId w:val="230"/>
  </w:num>
  <w:num w:numId="81" w16cid:durableId="1558394310">
    <w:abstractNumId w:val="90"/>
  </w:num>
  <w:num w:numId="82" w16cid:durableId="1924295122">
    <w:abstractNumId w:val="247"/>
  </w:num>
  <w:num w:numId="83" w16cid:durableId="1026059298">
    <w:abstractNumId w:val="39"/>
  </w:num>
  <w:num w:numId="84" w16cid:durableId="1213300629">
    <w:abstractNumId w:val="184"/>
  </w:num>
  <w:num w:numId="85" w16cid:durableId="1775514155">
    <w:abstractNumId w:val="163"/>
  </w:num>
  <w:num w:numId="86" w16cid:durableId="971061168">
    <w:abstractNumId w:val="3"/>
  </w:num>
  <w:num w:numId="87" w16cid:durableId="295451547">
    <w:abstractNumId w:val="190"/>
  </w:num>
  <w:num w:numId="88" w16cid:durableId="1736590065">
    <w:abstractNumId w:val="165"/>
  </w:num>
  <w:num w:numId="89" w16cid:durableId="1535923020">
    <w:abstractNumId w:val="200"/>
  </w:num>
  <w:num w:numId="90" w16cid:durableId="1987662158">
    <w:abstractNumId w:val="256"/>
  </w:num>
  <w:num w:numId="91" w16cid:durableId="114952846">
    <w:abstractNumId w:val="73"/>
  </w:num>
  <w:num w:numId="92" w16cid:durableId="486478044">
    <w:abstractNumId w:val="223"/>
  </w:num>
  <w:num w:numId="93" w16cid:durableId="712970680">
    <w:abstractNumId w:val="221"/>
  </w:num>
  <w:num w:numId="94" w16cid:durableId="930509354">
    <w:abstractNumId w:val="228"/>
  </w:num>
  <w:num w:numId="95" w16cid:durableId="480000597">
    <w:abstractNumId w:val="37"/>
  </w:num>
  <w:num w:numId="96" w16cid:durableId="946737031">
    <w:abstractNumId w:val="174"/>
  </w:num>
  <w:num w:numId="97" w16cid:durableId="2044090717">
    <w:abstractNumId w:val="22"/>
  </w:num>
  <w:num w:numId="98" w16cid:durableId="925267416">
    <w:abstractNumId w:val="102"/>
  </w:num>
  <w:num w:numId="99" w16cid:durableId="1660040621">
    <w:abstractNumId w:val="260"/>
  </w:num>
  <w:num w:numId="100" w16cid:durableId="1495489377">
    <w:abstractNumId w:val="215"/>
  </w:num>
  <w:num w:numId="101" w16cid:durableId="1664355143">
    <w:abstractNumId w:val="202"/>
  </w:num>
  <w:num w:numId="102" w16cid:durableId="553850653">
    <w:abstractNumId w:val="267"/>
  </w:num>
  <w:num w:numId="103" w16cid:durableId="210075320">
    <w:abstractNumId w:val="115"/>
  </w:num>
  <w:num w:numId="104" w16cid:durableId="1398741331">
    <w:abstractNumId w:val="164"/>
  </w:num>
  <w:num w:numId="105" w16cid:durableId="990408343">
    <w:abstractNumId w:val="248"/>
  </w:num>
  <w:num w:numId="106" w16cid:durableId="1022440196">
    <w:abstractNumId w:val="179"/>
  </w:num>
  <w:num w:numId="107" w16cid:durableId="1757510529">
    <w:abstractNumId w:val="160"/>
  </w:num>
  <w:num w:numId="108" w16cid:durableId="9066364">
    <w:abstractNumId w:val="11"/>
  </w:num>
  <w:num w:numId="109" w16cid:durableId="64686486">
    <w:abstractNumId w:val="276"/>
  </w:num>
  <w:num w:numId="110" w16cid:durableId="1079445742">
    <w:abstractNumId w:val="129"/>
  </w:num>
  <w:num w:numId="111" w16cid:durableId="915164992">
    <w:abstractNumId w:val="48"/>
  </w:num>
  <w:num w:numId="112" w16cid:durableId="312950733">
    <w:abstractNumId w:val="206"/>
  </w:num>
  <w:num w:numId="113" w16cid:durableId="10421953">
    <w:abstractNumId w:val="136"/>
  </w:num>
  <w:num w:numId="114" w16cid:durableId="370114163">
    <w:abstractNumId w:val="205"/>
  </w:num>
  <w:num w:numId="115" w16cid:durableId="1900508229">
    <w:abstractNumId w:val="92"/>
  </w:num>
  <w:num w:numId="116" w16cid:durableId="132258056">
    <w:abstractNumId w:val="114"/>
  </w:num>
  <w:num w:numId="117" w16cid:durableId="7342594">
    <w:abstractNumId w:val="93"/>
  </w:num>
  <w:num w:numId="118" w16cid:durableId="837765726">
    <w:abstractNumId w:val="130"/>
  </w:num>
  <w:num w:numId="119" w16cid:durableId="984773951">
    <w:abstractNumId w:val="270"/>
  </w:num>
  <w:num w:numId="120" w16cid:durableId="875696031">
    <w:abstractNumId w:val="12"/>
  </w:num>
  <w:num w:numId="121" w16cid:durableId="1729570633">
    <w:abstractNumId w:val="36"/>
  </w:num>
  <w:num w:numId="122" w16cid:durableId="170685659">
    <w:abstractNumId w:val="161"/>
  </w:num>
  <w:num w:numId="123" w16cid:durableId="1696690527">
    <w:abstractNumId w:val="25"/>
  </w:num>
  <w:num w:numId="124" w16cid:durableId="1233739288">
    <w:abstractNumId w:val="177"/>
  </w:num>
  <w:num w:numId="125" w16cid:durableId="282199395">
    <w:abstractNumId w:val="183"/>
  </w:num>
  <w:num w:numId="126" w16cid:durableId="1049961768">
    <w:abstractNumId w:val="195"/>
  </w:num>
  <w:num w:numId="127" w16cid:durableId="693075283">
    <w:abstractNumId w:val="45"/>
  </w:num>
  <w:num w:numId="128" w16cid:durableId="1704402157">
    <w:abstractNumId w:val="29"/>
  </w:num>
  <w:num w:numId="129" w16cid:durableId="1895502547">
    <w:abstractNumId w:val="162"/>
  </w:num>
  <w:num w:numId="130" w16cid:durableId="1020351393">
    <w:abstractNumId w:val="180"/>
  </w:num>
  <w:num w:numId="131" w16cid:durableId="1540360742">
    <w:abstractNumId w:val="156"/>
  </w:num>
  <w:num w:numId="132" w16cid:durableId="1552963233">
    <w:abstractNumId w:val="153"/>
  </w:num>
  <w:num w:numId="133" w16cid:durableId="2143696028">
    <w:abstractNumId w:val="75"/>
  </w:num>
  <w:num w:numId="134" w16cid:durableId="1426073544">
    <w:abstractNumId w:val="31"/>
  </w:num>
  <w:num w:numId="135" w16cid:durableId="437678493">
    <w:abstractNumId w:val="154"/>
  </w:num>
  <w:num w:numId="136" w16cid:durableId="1139498608">
    <w:abstractNumId w:val="134"/>
  </w:num>
  <w:num w:numId="137" w16cid:durableId="231938836">
    <w:abstractNumId w:val="146"/>
  </w:num>
  <w:num w:numId="138" w16cid:durableId="930939050">
    <w:abstractNumId w:val="258"/>
  </w:num>
  <w:num w:numId="139" w16cid:durableId="1961643584">
    <w:abstractNumId w:val="98"/>
  </w:num>
  <w:num w:numId="140" w16cid:durableId="2131363778">
    <w:abstractNumId w:val="113"/>
  </w:num>
  <w:num w:numId="141" w16cid:durableId="987590078">
    <w:abstractNumId w:val="44"/>
  </w:num>
  <w:num w:numId="142" w16cid:durableId="1365325170">
    <w:abstractNumId w:val="137"/>
  </w:num>
  <w:num w:numId="143" w16cid:durableId="1314793138">
    <w:abstractNumId w:val="186"/>
  </w:num>
  <w:num w:numId="144" w16cid:durableId="1891305083">
    <w:abstractNumId w:val="53"/>
  </w:num>
  <w:num w:numId="145" w16cid:durableId="1963920495">
    <w:abstractNumId w:val="254"/>
  </w:num>
  <w:num w:numId="146" w16cid:durableId="1155537696">
    <w:abstractNumId w:val="94"/>
  </w:num>
  <w:num w:numId="147" w16cid:durableId="1111777220">
    <w:abstractNumId w:val="185"/>
  </w:num>
  <w:num w:numId="148" w16cid:durableId="512652006">
    <w:abstractNumId w:val="66"/>
  </w:num>
  <w:num w:numId="149" w16cid:durableId="491531242">
    <w:abstractNumId w:val="54"/>
  </w:num>
  <w:num w:numId="150" w16cid:durableId="65803621">
    <w:abstractNumId w:val="169"/>
  </w:num>
  <w:num w:numId="151" w16cid:durableId="414477285">
    <w:abstractNumId w:val="4"/>
  </w:num>
  <w:num w:numId="152" w16cid:durableId="201022860">
    <w:abstractNumId w:val="125"/>
  </w:num>
  <w:num w:numId="153" w16cid:durableId="1351418175">
    <w:abstractNumId w:val="250"/>
  </w:num>
  <w:num w:numId="154" w16cid:durableId="209076502">
    <w:abstractNumId w:val="123"/>
  </w:num>
  <w:num w:numId="155" w16cid:durableId="2019960293">
    <w:abstractNumId w:val="10"/>
  </w:num>
  <w:num w:numId="156" w16cid:durableId="1673486630">
    <w:abstractNumId w:val="145"/>
  </w:num>
  <w:num w:numId="157" w16cid:durableId="1658877580">
    <w:abstractNumId w:val="119"/>
  </w:num>
  <w:num w:numId="158" w16cid:durableId="1987709522">
    <w:abstractNumId w:val="57"/>
  </w:num>
  <w:num w:numId="159" w16cid:durableId="1213275579">
    <w:abstractNumId w:val="150"/>
  </w:num>
  <w:num w:numId="160" w16cid:durableId="1630352885">
    <w:abstractNumId w:val="135"/>
  </w:num>
  <w:num w:numId="161" w16cid:durableId="865798732">
    <w:abstractNumId w:val="224"/>
  </w:num>
  <w:num w:numId="162" w16cid:durableId="827408310">
    <w:abstractNumId w:val="189"/>
  </w:num>
  <w:num w:numId="163" w16cid:durableId="928345542">
    <w:abstractNumId w:val="70"/>
  </w:num>
  <w:num w:numId="164" w16cid:durableId="1181628049">
    <w:abstractNumId w:val="40"/>
  </w:num>
  <w:num w:numId="165" w16cid:durableId="1159272058">
    <w:abstractNumId w:val="269"/>
  </w:num>
  <w:num w:numId="166" w16cid:durableId="1400128696">
    <w:abstractNumId w:val="261"/>
  </w:num>
  <w:num w:numId="167" w16cid:durableId="1261063140">
    <w:abstractNumId w:val="128"/>
  </w:num>
  <w:num w:numId="168" w16cid:durableId="1622030561">
    <w:abstractNumId w:val="147"/>
  </w:num>
  <w:num w:numId="169" w16cid:durableId="550265612">
    <w:abstractNumId w:val="61"/>
  </w:num>
  <w:num w:numId="170" w16cid:durableId="21588257">
    <w:abstractNumId w:val="218"/>
  </w:num>
  <w:num w:numId="171" w16cid:durableId="149449041">
    <w:abstractNumId w:val="63"/>
  </w:num>
  <w:num w:numId="172" w16cid:durableId="803156818">
    <w:abstractNumId w:val="8"/>
  </w:num>
  <w:num w:numId="173" w16cid:durableId="1239048604">
    <w:abstractNumId w:val="210"/>
  </w:num>
  <w:num w:numId="174" w16cid:durableId="336348951">
    <w:abstractNumId w:val="203"/>
  </w:num>
  <w:num w:numId="175" w16cid:durableId="1691644489">
    <w:abstractNumId w:val="71"/>
  </w:num>
  <w:num w:numId="176" w16cid:durableId="232013914">
    <w:abstractNumId w:val="50"/>
  </w:num>
  <w:num w:numId="177" w16cid:durableId="182788729">
    <w:abstractNumId w:val="149"/>
  </w:num>
  <w:num w:numId="178" w16cid:durableId="411926447">
    <w:abstractNumId w:val="124"/>
  </w:num>
  <w:num w:numId="179" w16cid:durableId="1971281392">
    <w:abstractNumId w:val="209"/>
  </w:num>
  <w:num w:numId="180" w16cid:durableId="1236822727">
    <w:abstractNumId w:val="111"/>
  </w:num>
  <w:num w:numId="181" w16cid:durableId="1722972920">
    <w:abstractNumId w:val="222"/>
  </w:num>
  <w:num w:numId="182" w16cid:durableId="1738356856">
    <w:abstractNumId w:val="126"/>
  </w:num>
  <w:num w:numId="183" w16cid:durableId="1713142761">
    <w:abstractNumId w:val="15"/>
  </w:num>
  <w:num w:numId="184" w16cid:durableId="2043479665">
    <w:abstractNumId w:val="211"/>
  </w:num>
  <w:num w:numId="185" w16cid:durableId="1096288810">
    <w:abstractNumId w:val="131"/>
  </w:num>
  <w:num w:numId="186" w16cid:durableId="1586573403">
    <w:abstractNumId w:val="170"/>
  </w:num>
  <w:num w:numId="187" w16cid:durableId="944271386">
    <w:abstractNumId w:val="151"/>
  </w:num>
  <w:num w:numId="188" w16cid:durableId="1791588917">
    <w:abstractNumId w:val="86"/>
  </w:num>
  <w:num w:numId="189" w16cid:durableId="226457198">
    <w:abstractNumId w:val="132"/>
  </w:num>
  <w:num w:numId="190" w16cid:durableId="1962689663">
    <w:abstractNumId w:val="262"/>
  </w:num>
  <w:num w:numId="191" w16cid:durableId="1291856843">
    <w:abstractNumId w:val="41"/>
  </w:num>
  <w:num w:numId="192" w16cid:durableId="879629763">
    <w:abstractNumId w:val="91"/>
  </w:num>
  <w:num w:numId="193" w16cid:durableId="2085031101">
    <w:abstractNumId w:val="24"/>
  </w:num>
  <w:num w:numId="194" w16cid:durableId="893812119">
    <w:abstractNumId w:val="116"/>
  </w:num>
  <w:num w:numId="195" w16cid:durableId="996033364">
    <w:abstractNumId w:val="265"/>
  </w:num>
  <w:num w:numId="196" w16cid:durableId="154492127">
    <w:abstractNumId w:val="172"/>
  </w:num>
  <w:num w:numId="197" w16cid:durableId="1253390194">
    <w:abstractNumId w:val="38"/>
  </w:num>
  <w:num w:numId="198" w16cid:durableId="1067339119">
    <w:abstractNumId w:val="101"/>
  </w:num>
  <w:num w:numId="199" w16cid:durableId="303245478">
    <w:abstractNumId w:val="89"/>
  </w:num>
  <w:num w:numId="200" w16cid:durableId="1028527704">
    <w:abstractNumId w:val="20"/>
  </w:num>
  <w:num w:numId="201" w16cid:durableId="1246958546">
    <w:abstractNumId w:val="5"/>
  </w:num>
  <w:num w:numId="202" w16cid:durableId="95449049">
    <w:abstractNumId w:val="212"/>
  </w:num>
  <w:num w:numId="203" w16cid:durableId="56050536">
    <w:abstractNumId w:val="2"/>
  </w:num>
  <w:num w:numId="204" w16cid:durableId="2016957896">
    <w:abstractNumId w:val="60"/>
  </w:num>
  <w:num w:numId="205" w16cid:durableId="309940456">
    <w:abstractNumId w:val="14"/>
  </w:num>
  <w:num w:numId="206" w16cid:durableId="1311061852">
    <w:abstractNumId w:val="65"/>
  </w:num>
  <w:num w:numId="207" w16cid:durableId="1757481255">
    <w:abstractNumId w:val="207"/>
  </w:num>
  <w:num w:numId="208" w16cid:durableId="947548072">
    <w:abstractNumId w:val="238"/>
  </w:num>
  <w:num w:numId="209" w16cid:durableId="1764376443">
    <w:abstractNumId w:val="33"/>
  </w:num>
  <w:num w:numId="210" w16cid:durableId="673846932">
    <w:abstractNumId w:val="271"/>
  </w:num>
  <w:num w:numId="211" w16cid:durableId="149298520">
    <w:abstractNumId w:val="275"/>
  </w:num>
  <w:num w:numId="212" w16cid:durableId="499271691">
    <w:abstractNumId w:val="112"/>
  </w:num>
  <w:num w:numId="213" w16cid:durableId="1230463800">
    <w:abstractNumId w:val="6"/>
  </w:num>
  <w:num w:numId="214" w16cid:durableId="223641569">
    <w:abstractNumId w:val="234"/>
  </w:num>
  <w:num w:numId="215" w16cid:durableId="345794774">
    <w:abstractNumId w:val="171"/>
  </w:num>
  <w:num w:numId="216" w16cid:durableId="1196236965">
    <w:abstractNumId w:val="204"/>
  </w:num>
  <w:num w:numId="217" w16cid:durableId="1656298810">
    <w:abstractNumId w:val="227"/>
  </w:num>
  <w:num w:numId="218" w16cid:durableId="1896119922">
    <w:abstractNumId w:val="108"/>
  </w:num>
  <w:num w:numId="219" w16cid:durableId="921717619">
    <w:abstractNumId w:val="122"/>
  </w:num>
  <w:num w:numId="220" w16cid:durableId="1755858254">
    <w:abstractNumId w:val="246"/>
  </w:num>
  <w:num w:numId="221" w16cid:durableId="684096983">
    <w:abstractNumId w:val="241"/>
  </w:num>
  <w:num w:numId="222" w16cid:durableId="1312949289">
    <w:abstractNumId w:val="249"/>
  </w:num>
  <w:num w:numId="223" w16cid:durableId="533540780">
    <w:abstractNumId w:val="95"/>
  </w:num>
  <w:num w:numId="224" w16cid:durableId="1353848286">
    <w:abstractNumId w:val="219"/>
  </w:num>
  <w:num w:numId="225" w16cid:durableId="1399980428">
    <w:abstractNumId w:val="18"/>
  </w:num>
  <w:num w:numId="226" w16cid:durableId="1322274029">
    <w:abstractNumId w:val="237"/>
  </w:num>
  <w:num w:numId="227" w16cid:durableId="1903053519">
    <w:abstractNumId w:val="133"/>
  </w:num>
  <w:num w:numId="228" w16cid:durableId="2118985723">
    <w:abstractNumId w:val="80"/>
  </w:num>
  <w:num w:numId="229" w16cid:durableId="1720125300">
    <w:abstractNumId w:val="225"/>
  </w:num>
  <w:num w:numId="230" w16cid:durableId="450050890">
    <w:abstractNumId w:val="232"/>
  </w:num>
  <w:num w:numId="231" w16cid:durableId="644507980">
    <w:abstractNumId w:val="199"/>
  </w:num>
  <w:num w:numId="232" w16cid:durableId="1630280213">
    <w:abstractNumId w:val="13"/>
  </w:num>
  <w:num w:numId="233" w16cid:durableId="1466388782">
    <w:abstractNumId w:val="239"/>
  </w:num>
  <w:num w:numId="234" w16cid:durableId="1998799150">
    <w:abstractNumId w:val="178"/>
  </w:num>
  <w:num w:numId="235" w16cid:durableId="547106128">
    <w:abstractNumId w:val="17"/>
  </w:num>
  <w:num w:numId="236" w16cid:durableId="1438216095">
    <w:abstractNumId w:val="251"/>
  </w:num>
  <w:num w:numId="237" w16cid:durableId="816995406">
    <w:abstractNumId w:val="220"/>
  </w:num>
  <w:num w:numId="238" w16cid:durableId="1511290480">
    <w:abstractNumId w:val="79"/>
  </w:num>
  <w:num w:numId="239" w16cid:durableId="1795904685">
    <w:abstractNumId w:val="244"/>
  </w:num>
  <w:num w:numId="240" w16cid:durableId="317535136">
    <w:abstractNumId w:val="176"/>
  </w:num>
  <w:num w:numId="241" w16cid:durableId="287323955">
    <w:abstractNumId w:val="103"/>
  </w:num>
  <w:num w:numId="242" w16cid:durableId="333384212">
    <w:abstractNumId w:val="96"/>
  </w:num>
  <w:num w:numId="243" w16cid:durableId="455635772">
    <w:abstractNumId w:val="82"/>
  </w:num>
  <w:num w:numId="244" w16cid:durableId="53050074">
    <w:abstractNumId w:val="105"/>
  </w:num>
  <w:num w:numId="245" w16cid:durableId="1785273492">
    <w:abstractNumId w:val="274"/>
  </w:num>
  <w:num w:numId="246" w16cid:durableId="527109011">
    <w:abstractNumId w:val="233"/>
  </w:num>
  <w:num w:numId="247" w16cid:durableId="1230117179">
    <w:abstractNumId w:val="198"/>
  </w:num>
  <w:num w:numId="248" w16cid:durableId="1987660640">
    <w:abstractNumId w:val="201"/>
  </w:num>
  <w:num w:numId="249" w16cid:durableId="362944905">
    <w:abstractNumId w:val="197"/>
  </w:num>
  <w:num w:numId="250" w16cid:durableId="2117094620">
    <w:abstractNumId w:val="167"/>
  </w:num>
  <w:num w:numId="251" w16cid:durableId="144594500">
    <w:abstractNumId w:val="142"/>
  </w:num>
  <w:num w:numId="252" w16cid:durableId="1324971522">
    <w:abstractNumId w:val="9"/>
  </w:num>
  <w:num w:numId="253" w16cid:durableId="1782383309">
    <w:abstractNumId w:val="52"/>
  </w:num>
  <w:num w:numId="254" w16cid:durableId="1038311832">
    <w:abstractNumId w:val="138"/>
  </w:num>
  <w:num w:numId="255" w16cid:durableId="312376256">
    <w:abstractNumId w:val="121"/>
  </w:num>
  <w:num w:numId="256" w16cid:durableId="909123226">
    <w:abstractNumId w:val="78"/>
  </w:num>
  <w:num w:numId="257" w16cid:durableId="231157629">
    <w:abstractNumId w:val="56"/>
  </w:num>
  <w:num w:numId="258" w16cid:durableId="1889292516">
    <w:abstractNumId w:val="27"/>
  </w:num>
  <w:num w:numId="259" w16cid:durableId="951788103">
    <w:abstractNumId w:val="158"/>
  </w:num>
  <w:num w:numId="260" w16cid:durableId="1662469876">
    <w:abstractNumId w:val="104"/>
  </w:num>
  <w:num w:numId="261" w16cid:durableId="375475351">
    <w:abstractNumId w:val="272"/>
  </w:num>
  <w:num w:numId="262" w16cid:durableId="1608656122">
    <w:abstractNumId w:val="139"/>
  </w:num>
  <w:num w:numId="263" w16cid:durableId="1176578847">
    <w:abstractNumId w:val="259"/>
  </w:num>
  <w:num w:numId="264" w16cid:durableId="1236819590">
    <w:abstractNumId w:val="273"/>
  </w:num>
  <w:num w:numId="265" w16cid:durableId="1323315560">
    <w:abstractNumId w:val="46"/>
  </w:num>
  <w:num w:numId="266" w16cid:durableId="2015722853">
    <w:abstractNumId w:val="242"/>
  </w:num>
  <w:num w:numId="267" w16cid:durableId="172191120">
    <w:abstractNumId w:val="245"/>
  </w:num>
  <w:num w:numId="268" w16cid:durableId="611666686">
    <w:abstractNumId w:val="85"/>
  </w:num>
  <w:num w:numId="269" w16cid:durableId="1199124055">
    <w:abstractNumId w:val="28"/>
  </w:num>
  <w:num w:numId="270" w16cid:durableId="515775382">
    <w:abstractNumId w:val="16"/>
  </w:num>
  <w:num w:numId="271" w16cid:durableId="813109123">
    <w:abstractNumId w:val="117"/>
  </w:num>
  <w:num w:numId="272" w16cid:durableId="1586912980">
    <w:abstractNumId w:val="76"/>
  </w:num>
  <w:num w:numId="273" w16cid:durableId="377510020">
    <w:abstractNumId w:val="263"/>
  </w:num>
  <w:num w:numId="274" w16cid:durableId="262957421">
    <w:abstractNumId w:val="143"/>
  </w:num>
  <w:num w:numId="275" w16cid:durableId="203905642">
    <w:abstractNumId w:val="196"/>
  </w:num>
  <w:num w:numId="276" w16cid:durableId="1638754565">
    <w:abstractNumId w:val="148"/>
  </w:num>
  <w:num w:numId="277" w16cid:durableId="1093823773">
    <w:abstractNumId w:val="168"/>
  </w:num>
  <w:num w:numId="278" w16cid:durableId="816603540">
    <w:abstractNumId w:val="253"/>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4C"/>
    <w:rsid w:val="00000B73"/>
    <w:rsid w:val="00001B00"/>
    <w:rsid w:val="0000335F"/>
    <w:rsid w:val="000053CE"/>
    <w:rsid w:val="00005528"/>
    <w:rsid w:val="00005EFD"/>
    <w:rsid w:val="000076B2"/>
    <w:rsid w:val="00011EF2"/>
    <w:rsid w:val="000122C1"/>
    <w:rsid w:val="0001337D"/>
    <w:rsid w:val="00020779"/>
    <w:rsid w:val="00023CA0"/>
    <w:rsid w:val="00024CC9"/>
    <w:rsid w:val="000305CF"/>
    <w:rsid w:val="00031D9D"/>
    <w:rsid w:val="00035495"/>
    <w:rsid w:val="00041E74"/>
    <w:rsid w:val="000440D8"/>
    <w:rsid w:val="00045112"/>
    <w:rsid w:val="000459CD"/>
    <w:rsid w:val="0004641D"/>
    <w:rsid w:val="0005000E"/>
    <w:rsid w:val="0005018E"/>
    <w:rsid w:val="00050ED5"/>
    <w:rsid w:val="00052E3C"/>
    <w:rsid w:val="00055909"/>
    <w:rsid w:val="000616C3"/>
    <w:rsid w:val="00064AB5"/>
    <w:rsid w:val="000660C3"/>
    <w:rsid w:val="00066E21"/>
    <w:rsid w:val="0006727B"/>
    <w:rsid w:val="00071D47"/>
    <w:rsid w:val="000729EE"/>
    <w:rsid w:val="00072E79"/>
    <w:rsid w:val="000765E4"/>
    <w:rsid w:val="00083BD5"/>
    <w:rsid w:val="00090188"/>
    <w:rsid w:val="00093575"/>
    <w:rsid w:val="00094A51"/>
    <w:rsid w:val="000A174C"/>
    <w:rsid w:val="000A62A4"/>
    <w:rsid w:val="000A756A"/>
    <w:rsid w:val="000B0AF9"/>
    <w:rsid w:val="000B1B4F"/>
    <w:rsid w:val="000B6CCC"/>
    <w:rsid w:val="000B7C7B"/>
    <w:rsid w:val="000C2D01"/>
    <w:rsid w:val="000C5F79"/>
    <w:rsid w:val="000C7456"/>
    <w:rsid w:val="000C7CA8"/>
    <w:rsid w:val="000D2858"/>
    <w:rsid w:val="000D3501"/>
    <w:rsid w:val="000D4AEC"/>
    <w:rsid w:val="000D7FC0"/>
    <w:rsid w:val="000E0E91"/>
    <w:rsid w:val="000E11F2"/>
    <w:rsid w:val="000E2DE9"/>
    <w:rsid w:val="000E4D9B"/>
    <w:rsid w:val="000E571A"/>
    <w:rsid w:val="000E5A21"/>
    <w:rsid w:val="000F0600"/>
    <w:rsid w:val="000F33DF"/>
    <w:rsid w:val="000F6F46"/>
    <w:rsid w:val="0010068D"/>
    <w:rsid w:val="00103E62"/>
    <w:rsid w:val="00110AD8"/>
    <w:rsid w:val="00112706"/>
    <w:rsid w:val="00112965"/>
    <w:rsid w:val="00112F4A"/>
    <w:rsid w:val="00112FF0"/>
    <w:rsid w:val="001151BF"/>
    <w:rsid w:val="00115702"/>
    <w:rsid w:val="001172BF"/>
    <w:rsid w:val="00121AEE"/>
    <w:rsid w:val="00122B55"/>
    <w:rsid w:val="00124F25"/>
    <w:rsid w:val="00125FA7"/>
    <w:rsid w:val="00127109"/>
    <w:rsid w:val="00127BA5"/>
    <w:rsid w:val="0013462F"/>
    <w:rsid w:val="00134EC7"/>
    <w:rsid w:val="00135331"/>
    <w:rsid w:val="00135B36"/>
    <w:rsid w:val="0013618A"/>
    <w:rsid w:val="00140FCC"/>
    <w:rsid w:val="00141501"/>
    <w:rsid w:val="0014156A"/>
    <w:rsid w:val="001420DD"/>
    <w:rsid w:val="0014404C"/>
    <w:rsid w:val="001445ED"/>
    <w:rsid w:val="001459CF"/>
    <w:rsid w:val="00146344"/>
    <w:rsid w:val="00146EBC"/>
    <w:rsid w:val="001474D8"/>
    <w:rsid w:val="00150405"/>
    <w:rsid w:val="00152148"/>
    <w:rsid w:val="00157793"/>
    <w:rsid w:val="001619F0"/>
    <w:rsid w:val="00163735"/>
    <w:rsid w:val="0016396D"/>
    <w:rsid w:val="001671CA"/>
    <w:rsid w:val="00171991"/>
    <w:rsid w:val="001757A4"/>
    <w:rsid w:val="0018038F"/>
    <w:rsid w:val="00186D66"/>
    <w:rsid w:val="00191490"/>
    <w:rsid w:val="001969B7"/>
    <w:rsid w:val="00196A91"/>
    <w:rsid w:val="001A1FC0"/>
    <w:rsid w:val="001B03E4"/>
    <w:rsid w:val="001B1A8F"/>
    <w:rsid w:val="001B506C"/>
    <w:rsid w:val="001C0541"/>
    <w:rsid w:val="001C07F4"/>
    <w:rsid w:val="001C238C"/>
    <w:rsid w:val="001C2A89"/>
    <w:rsid w:val="001C306E"/>
    <w:rsid w:val="001C3A47"/>
    <w:rsid w:val="001C567C"/>
    <w:rsid w:val="001C6249"/>
    <w:rsid w:val="001C7687"/>
    <w:rsid w:val="001D16EF"/>
    <w:rsid w:val="001D5FFB"/>
    <w:rsid w:val="001D6B3B"/>
    <w:rsid w:val="001D765A"/>
    <w:rsid w:val="001E00C5"/>
    <w:rsid w:val="001E2044"/>
    <w:rsid w:val="001E2E34"/>
    <w:rsid w:val="001F0E5E"/>
    <w:rsid w:val="001F17CE"/>
    <w:rsid w:val="001F2527"/>
    <w:rsid w:val="001F4995"/>
    <w:rsid w:val="001F7350"/>
    <w:rsid w:val="0020543C"/>
    <w:rsid w:val="00205E9F"/>
    <w:rsid w:val="00206289"/>
    <w:rsid w:val="00210F93"/>
    <w:rsid w:val="0021125F"/>
    <w:rsid w:val="00213B2D"/>
    <w:rsid w:val="00222E93"/>
    <w:rsid w:val="00223B8C"/>
    <w:rsid w:val="00223EA3"/>
    <w:rsid w:val="0022724B"/>
    <w:rsid w:val="00230126"/>
    <w:rsid w:val="002316EF"/>
    <w:rsid w:val="00231EC0"/>
    <w:rsid w:val="00232B2B"/>
    <w:rsid w:val="002342BC"/>
    <w:rsid w:val="00234853"/>
    <w:rsid w:val="00235766"/>
    <w:rsid w:val="00235BF5"/>
    <w:rsid w:val="002367D0"/>
    <w:rsid w:val="00245895"/>
    <w:rsid w:val="00245AF4"/>
    <w:rsid w:val="0024695B"/>
    <w:rsid w:val="00247EE8"/>
    <w:rsid w:val="00256D29"/>
    <w:rsid w:val="00257539"/>
    <w:rsid w:val="002579B2"/>
    <w:rsid w:val="00257DE4"/>
    <w:rsid w:val="00266C8B"/>
    <w:rsid w:val="00272F72"/>
    <w:rsid w:val="002746ED"/>
    <w:rsid w:val="00276329"/>
    <w:rsid w:val="00276B84"/>
    <w:rsid w:val="002772D2"/>
    <w:rsid w:val="002806A4"/>
    <w:rsid w:val="00281801"/>
    <w:rsid w:val="00283AD2"/>
    <w:rsid w:val="002840F5"/>
    <w:rsid w:val="002841B9"/>
    <w:rsid w:val="002842C6"/>
    <w:rsid w:val="00284CDA"/>
    <w:rsid w:val="00286BF5"/>
    <w:rsid w:val="0028763F"/>
    <w:rsid w:val="002878CB"/>
    <w:rsid w:val="002878D2"/>
    <w:rsid w:val="0029023C"/>
    <w:rsid w:val="002911BC"/>
    <w:rsid w:val="0029199F"/>
    <w:rsid w:val="00293860"/>
    <w:rsid w:val="00293DA6"/>
    <w:rsid w:val="00296AA1"/>
    <w:rsid w:val="00297B1B"/>
    <w:rsid w:val="002A10B2"/>
    <w:rsid w:val="002A21F2"/>
    <w:rsid w:val="002A289E"/>
    <w:rsid w:val="002A2B69"/>
    <w:rsid w:val="002A43BD"/>
    <w:rsid w:val="002A77A5"/>
    <w:rsid w:val="002C266F"/>
    <w:rsid w:val="002C3700"/>
    <w:rsid w:val="002C3BC9"/>
    <w:rsid w:val="002C4DF5"/>
    <w:rsid w:val="002D2332"/>
    <w:rsid w:val="002D28AB"/>
    <w:rsid w:val="002D375A"/>
    <w:rsid w:val="002D3970"/>
    <w:rsid w:val="002D3E34"/>
    <w:rsid w:val="002D62F8"/>
    <w:rsid w:val="002D64D9"/>
    <w:rsid w:val="002D74A6"/>
    <w:rsid w:val="002E2B72"/>
    <w:rsid w:val="002E3D44"/>
    <w:rsid w:val="002E65BA"/>
    <w:rsid w:val="002E74E9"/>
    <w:rsid w:val="002F0BE1"/>
    <w:rsid w:val="00300864"/>
    <w:rsid w:val="0030178D"/>
    <w:rsid w:val="003028BE"/>
    <w:rsid w:val="00303407"/>
    <w:rsid w:val="00304173"/>
    <w:rsid w:val="00304818"/>
    <w:rsid w:val="0030567B"/>
    <w:rsid w:val="003064C5"/>
    <w:rsid w:val="00311529"/>
    <w:rsid w:val="00311866"/>
    <w:rsid w:val="00311BB1"/>
    <w:rsid w:val="00311FC3"/>
    <w:rsid w:val="00312995"/>
    <w:rsid w:val="00313C4C"/>
    <w:rsid w:val="0031511B"/>
    <w:rsid w:val="003172D7"/>
    <w:rsid w:val="00317BD6"/>
    <w:rsid w:val="00323775"/>
    <w:rsid w:val="00323A0B"/>
    <w:rsid w:val="00325967"/>
    <w:rsid w:val="003259EF"/>
    <w:rsid w:val="003265DB"/>
    <w:rsid w:val="003270E9"/>
    <w:rsid w:val="0032741E"/>
    <w:rsid w:val="0034394B"/>
    <w:rsid w:val="00343BD0"/>
    <w:rsid w:val="00344947"/>
    <w:rsid w:val="003449F7"/>
    <w:rsid w:val="00347C33"/>
    <w:rsid w:val="00353AB1"/>
    <w:rsid w:val="00354721"/>
    <w:rsid w:val="00356402"/>
    <w:rsid w:val="00356BB0"/>
    <w:rsid w:val="003607BC"/>
    <w:rsid w:val="00361D12"/>
    <w:rsid w:val="0036262E"/>
    <w:rsid w:val="0036466C"/>
    <w:rsid w:val="00367558"/>
    <w:rsid w:val="00367828"/>
    <w:rsid w:val="00367A88"/>
    <w:rsid w:val="003707B7"/>
    <w:rsid w:val="00370C11"/>
    <w:rsid w:val="00370FC2"/>
    <w:rsid w:val="00371101"/>
    <w:rsid w:val="003719F0"/>
    <w:rsid w:val="00371CF2"/>
    <w:rsid w:val="00372354"/>
    <w:rsid w:val="0037620C"/>
    <w:rsid w:val="00377FDF"/>
    <w:rsid w:val="003802C6"/>
    <w:rsid w:val="00380332"/>
    <w:rsid w:val="0038276C"/>
    <w:rsid w:val="00386FA5"/>
    <w:rsid w:val="0039438C"/>
    <w:rsid w:val="003A342C"/>
    <w:rsid w:val="003A4EBA"/>
    <w:rsid w:val="003A6E40"/>
    <w:rsid w:val="003B0B17"/>
    <w:rsid w:val="003B475A"/>
    <w:rsid w:val="003B5778"/>
    <w:rsid w:val="003B5FFB"/>
    <w:rsid w:val="003C11B6"/>
    <w:rsid w:val="003C2F14"/>
    <w:rsid w:val="003C36B5"/>
    <w:rsid w:val="003C64CA"/>
    <w:rsid w:val="003C77C9"/>
    <w:rsid w:val="003D017C"/>
    <w:rsid w:val="003D1DEE"/>
    <w:rsid w:val="003D3E46"/>
    <w:rsid w:val="003D5968"/>
    <w:rsid w:val="003D6D2B"/>
    <w:rsid w:val="003E0A0E"/>
    <w:rsid w:val="003E17FD"/>
    <w:rsid w:val="003E25EE"/>
    <w:rsid w:val="003E2ABD"/>
    <w:rsid w:val="003E5596"/>
    <w:rsid w:val="003E5760"/>
    <w:rsid w:val="003E79F6"/>
    <w:rsid w:val="003F056C"/>
    <w:rsid w:val="003F4668"/>
    <w:rsid w:val="003F5195"/>
    <w:rsid w:val="003F6AFE"/>
    <w:rsid w:val="004056A9"/>
    <w:rsid w:val="00405BA5"/>
    <w:rsid w:val="0040690C"/>
    <w:rsid w:val="004075EE"/>
    <w:rsid w:val="004134B4"/>
    <w:rsid w:val="004137A7"/>
    <w:rsid w:val="00413B6B"/>
    <w:rsid w:val="00413D94"/>
    <w:rsid w:val="0041524A"/>
    <w:rsid w:val="004200E4"/>
    <w:rsid w:val="00420F2A"/>
    <w:rsid w:val="00420F2E"/>
    <w:rsid w:val="00422E40"/>
    <w:rsid w:val="0042462A"/>
    <w:rsid w:val="00424BA7"/>
    <w:rsid w:val="004316C5"/>
    <w:rsid w:val="00433E7C"/>
    <w:rsid w:val="00437158"/>
    <w:rsid w:val="004419AB"/>
    <w:rsid w:val="004419DB"/>
    <w:rsid w:val="00453384"/>
    <w:rsid w:val="00454B5D"/>
    <w:rsid w:val="00456CB2"/>
    <w:rsid w:val="0046220F"/>
    <w:rsid w:val="004630AA"/>
    <w:rsid w:val="00463CD7"/>
    <w:rsid w:val="0047077F"/>
    <w:rsid w:val="004742CF"/>
    <w:rsid w:val="00474AC4"/>
    <w:rsid w:val="00475584"/>
    <w:rsid w:val="00476B3A"/>
    <w:rsid w:val="004772DF"/>
    <w:rsid w:val="004801EA"/>
    <w:rsid w:val="004848E8"/>
    <w:rsid w:val="004A0588"/>
    <w:rsid w:val="004A0623"/>
    <w:rsid w:val="004A0BE2"/>
    <w:rsid w:val="004A2837"/>
    <w:rsid w:val="004A2BC2"/>
    <w:rsid w:val="004A5006"/>
    <w:rsid w:val="004A770D"/>
    <w:rsid w:val="004B0B20"/>
    <w:rsid w:val="004B3C58"/>
    <w:rsid w:val="004B7855"/>
    <w:rsid w:val="004C0496"/>
    <w:rsid w:val="004C0D7F"/>
    <w:rsid w:val="004C44AA"/>
    <w:rsid w:val="004C5B46"/>
    <w:rsid w:val="004C6996"/>
    <w:rsid w:val="004C6D79"/>
    <w:rsid w:val="004D09D2"/>
    <w:rsid w:val="004D10EE"/>
    <w:rsid w:val="004D1CD1"/>
    <w:rsid w:val="004D6067"/>
    <w:rsid w:val="004D7B00"/>
    <w:rsid w:val="004E011C"/>
    <w:rsid w:val="004E316F"/>
    <w:rsid w:val="004E7607"/>
    <w:rsid w:val="004F13BA"/>
    <w:rsid w:val="004F214D"/>
    <w:rsid w:val="004F29D0"/>
    <w:rsid w:val="004F2EEE"/>
    <w:rsid w:val="004F3EFD"/>
    <w:rsid w:val="004F3F37"/>
    <w:rsid w:val="004F497E"/>
    <w:rsid w:val="00500826"/>
    <w:rsid w:val="00501096"/>
    <w:rsid w:val="00503EB9"/>
    <w:rsid w:val="00504A60"/>
    <w:rsid w:val="00505733"/>
    <w:rsid w:val="00510DE3"/>
    <w:rsid w:val="00511686"/>
    <w:rsid w:val="005116EF"/>
    <w:rsid w:val="005124EE"/>
    <w:rsid w:val="0051266A"/>
    <w:rsid w:val="0051425F"/>
    <w:rsid w:val="00521F80"/>
    <w:rsid w:val="00522B18"/>
    <w:rsid w:val="00525077"/>
    <w:rsid w:val="005321DB"/>
    <w:rsid w:val="00532870"/>
    <w:rsid w:val="00533BF4"/>
    <w:rsid w:val="00535898"/>
    <w:rsid w:val="0053662F"/>
    <w:rsid w:val="00536BE9"/>
    <w:rsid w:val="00537A0A"/>
    <w:rsid w:val="00540AA1"/>
    <w:rsid w:val="00541322"/>
    <w:rsid w:val="00541592"/>
    <w:rsid w:val="0054218A"/>
    <w:rsid w:val="0054349C"/>
    <w:rsid w:val="00543FC0"/>
    <w:rsid w:val="005449BB"/>
    <w:rsid w:val="005463F9"/>
    <w:rsid w:val="005472BC"/>
    <w:rsid w:val="00547845"/>
    <w:rsid w:val="00550572"/>
    <w:rsid w:val="0055108F"/>
    <w:rsid w:val="00555F0D"/>
    <w:rsid w:val="00556A16"/>
    <w:rsid w:val="00557FBA"/>
    <w:rsid w:val="00560647"/>
    <w:rsid w:val="005606C8"/>
    <w:rsid w:val="005608C6"/>
    <w:rsid w:val="0056189F"/>
    <w:rsid w:val="0056205A"/>
    <w:rsid w:val="00562337"/>
    <w:rsid w:val="00564930"/>
    <w:rsid w:val="00566735"/>
    <w:rsid w:val="00567CC0"/>
    <w:rsid w:val="005722D4"/>
    <w:rsid w:val="00573E9A"/>
    <w:rsid w:val="005808C6"/>
    <w:rsid w:val="005811DB"/>
    <w:rsid w:val="0058681B"/>
    <w:rsid w:val="00587056"/>
    <w:rsid w:val="005912C2"/>
    <w:rsid w:val="005916C5"/>
    <w:rsid w:val="005922BA"/>
    <w:rsid w:val="00592A68"/>
    <w:rsid w:val="0059331D"/>
    <w:rsid w:val="00593D4D"/>
    <w:rsid w:val="005A2895"/>
    <w:rsid w:val="005A56EB"/>
    <w:rsid w:val="005B3D19"/>
    <w:rsid w:val="005B461A"/>
    <w:rsid w:val="005B50DA"/>
    <w:rsid w:val="005C070C"/>
    <w:rsid w:val="005C2AC6"/>
    <w:rsid w:val="005C36EC"/>
    <w:rsid w:val="005C435F"/>
    <w:rsid w:val="005C50E3"/>
    <w:rsid w:val="005C6ADB"/>
    <w:rsid w:val="005D1125"/>
    <w:rsid w:val="005D2086"/>
    <w:rsid w:val="005D2797"/>
    <w:rsid w:val="005D310C"/>
    <w:rsid w:val="005D3808"/>
    <w:rsid w:val="005D452E"/>
    <w:rsid w:val="005D629B"/>
    <w:rsid w:val="005D72F5"/>
    <w:rsid w:val="005E1D8F"/>
    <w:rsid w:val="005E4BE8"/>
    <w:rsid w:val="005E5A49"/>
    <w:rsid w:val="005F19E2"/>
    <w:rsid w:val="005F2780"/>
    <w:rsid w:val="005F2E2C"/>
    <w:rsid w:val="005F2E58"/>
    <w:rsid w:val="005F35FA"/>
    <w:rsid w:val="005F4EE5"/>
    <w:rsid w:val="005F6B45"/>
    <w:rsid w:val="005F7F52"/>
    <w:rsid w:val="006026EB"/>
    <w:rsid w:val="00603742"/>
    <w:rsid w:val="0061449D"/>
    <w:rsid w:val="00616437"/>
    <w:rsid w:val="00616B10"/>
    <w:rsid w:val="00621D05"/>
    <w:rsid w:val="00622CA7"/>
    <w:rsid w:val="00625DCE"/>
    <w:rsid w:val="00627239"/>
    <w:rsid w:val="00627716"/>
    <w:rsid w:val="00631593"/>
    <w:rsid w:val="00631FDD"/>
    <w:rsid w:val="006322E7"/>
    <w:rsid w:val="00633517"/>
    <w:rsid w:val="00633F8E"/>
    <w:rsid w:val="00634C1F"/>
    <w:rsid w:val="006368F0"/>
    <w:rsid w:val="00637D5C"/>
    <w:rsid w:val="00640349"/>
    <w:rsid w:val="00640909"/>
    <w:rsid w:val="00642E15"/>
    <w:rsid w:val="00644400"/>
    <w:rsid w:val="00645B8E"/>
    <w:rsid w:val="006478C1"/>
    <w:rsid w:val="00652157"/>
    <w:rsid w:val="00653B4B"/>
    <w:rsid w:val="00660458"/>
    <w:rsid w:val="00661DE4"/>
    <w:rsid w:val="0066275A"/>
    <w:rsid w:val="00663B82"/>
    <w:rsid w:val="0066456D"/>
    <w:rsid w:val="00670ED0"/>
    <w:rsid w:val="00674ED8"/>
    <w:rsid w:val="00677DBA"/>
    <w:rsid w:val="00682B4E"/>
    <w:rsid w:val="00695E2F"/>
    <w:rsid w:val="006A2103"/>
    <w:rsid w:val="006A28FC"/>
    <w:rsid w:val="006A3E58"/>
    <w:rsid w:val="006A4E34"/>
    <w:rsid w:val="006B7AF6"/>
    <w:rsid w:val="006C0C73"/>
    <w:rsid w:val="006C2502"/>
    <w:rsid w:val="006C4A00"/>
    <w:rsid w:val="006C64CB"/>
    <w:rsid w:val="006C73B0"/>
    <w:rsid w:val="006D08A4"/>
    <w:rsid w:val="006D3C73"/>
    <w:rsid w:val="006D4402"/>
    <w:rsid w:val="006D6CE7"/>
    <w:rsid w:val="006D70D6"/>
    <w:rsid w:val="006E0955"/>
    <w:rsid w:val="006E0A6C"/>
    <w:rsid w:val="006E3A0F"/>
    <w:rsid w:val="006E3A84"/>
    <w:rsid w:val="006E5D5D"/>
    <w:rsid w:val="006E60B1"/>
    <w:rsid w:val="006F0406"/>
    <w:rsid w:val="006F1287"/>
    <w:rsid w:val="006F3862"/>
    <w:rsid w:val="006F50E6"/>
    <w:rsid w:val="006F6847"/>
    <w:rsid w:val="006F792D"/>
    <w:rsid w:val="007000BB"/>
    <w:rsid w:val="007003A7"/>
    <w:rsid w:val="0070044D"/>
    <w:rsid w:val="00700F05"/>
    <w:rsid w:val="007018DC"/>
    <w:rsid w:val="00701E41"/>
    <w:rsid w:val="00711214"/>
    <w:rsid w:val="00711AF4"/>
    <w:rsid w:val="0071336A"/>
    <w:rsid w:val="00713642"/>
    <w:rsid w:val="00713855"/>
    <w:rsid w:val="00716FB8"/>
    <w:rsid w:val="00722B68"/>
    <w:rsid w:val="00723BFA"/>
    <w:rsid w:val="00724319"/>
    <w:rsid w:val="007245C6"/>
    <w:rsid w:val="00724EB5"/>
    <w:rsid w:val="007250E8"/>
    <w:rsid w:val="00725D9C"/>
    <w:rsid w:val="0073289A"/>
    <w:rsid w:val="007354D9"/>
    <w:rsid w:val="007378B5"/>
    <w:rsid w:val="00737946"/>
    <w:rsid w:val="00737D3B"/>
    <w:rsid w:val="007413C4"/>
    <w:rsid w:val="00744368"/>
    <w:rsid w:val="00744966"/>
    <w:rsid w:val="0074683C"/>
    <w:rsid w:val="00746AF2"/>
    <w:rsid w:val="00746E89"/>
    <w:rsid w:val="00754031"/>
    <w:rsid w:val="00755A77"/>
    <w:rsid w:val="007568F6"/>
    <w:rsid w:val="007622A9"/>
    <w:rsid w:val="0076397A"/>
    <w:rsid w:val="007670EA"/>
    <w:rsid w:val="00767FCD"/>
    <w:rsid w:val="0077013A"/>
    <w:rsid w:val="0077432D"/>
    <w:rsid w:val="007752FF"/>
    <w:rsid w:val="0078517B"/>
    <w:rsid w:val="00786158"/>
    <w:rsid w:val="007870C7"/>
    <w:rsid w:val="00787D71"/>
    <w:rsid w:val="007914B9"/>
    <w:rsid w:val="00792913"/>
    <w:rsid w:val="00795824"/>
    <w:rsid w:val="0079725D"/>
    <w:rsid w:val="007A09A1"/>
    <w:rsid w:val="007A2397"/>
    <w:rsid w:val="007A2E75"/>
    <w:rsid w:val="007A2F62"/>
    <w:rsid w:val="007A4B51"/>
    <w:rsid w:val="007A6096"/>
    <w:rsid w:val="007A76F8"/>
    <w:rsid w:val="007B1C55"/>
    <w:rsid w:val="007B3AA1"/>
    <w:rsid w:val="007B4E3F"/>
    <w:rsid w:val="007B6CF4"/>
    <w:rsid w:val="007C6ACB"/>
    <w:rsid w:val="007C7976"/>
    <w:rsid w:val="007D1385"/>
    <w:rsid w:val="007E0D16"/>
    <w:rsid w:val="007E1342"/>
    <w:rsid w:val="007E4C11"/>
    <w:rsid w:val="007F2492"/>
    <w:rsid w:val="007F4A7D"/>
    <w:rsid w:val="007F6D5E"/>
    <w:rsid w:val="00800BF3"/>
    <w:rsid w:val="00806FF4"/>
    <w:rsid w:val="008144A0"/>
    <w:rsid w:val="0081625E"/>
    <w:rsid w:val="008207C4"/>
    <w:rsid w:val="0082248D"/>
    <w:rsid w:val="008236E3"/>
    <w:rsid w:val="00825497"/>
    <w:rsid w:val="00826EEF"/>
    <w:rsid w:val="0083053E"/>
    <w:rsid w:val="0083066B"/>
    <w:rsid w:val="0083234F"/>
    <w:rsid w:val="00833F24"/>
    <w:rsid w:val="00835881"/>
    <w:rsid w:val="00835896"/>
    <w:rsid w:val="00835C48"/>
    <w:rsid w:val="00837CC0"/>
    <w:rsid w:val="00840466"/>
    <w:rsid w:val="00841BAC"/>
    <w:rsid w:val="00843F6C"/>
    <w:rsid w:val="00846585"/>
    <w:rsid w:val="00847148"/>
    <w:rsid w:val="008506B3"/>
    <w:rsid w:val="00850954"/>
    <w:rsid w:val="00852275"/>
    <w:rsid w:val="0085541C"/>
    <w:rsid w:val="00856841"/>
    <w:rsid w:val="008613ED"/>
    <w:rsid w:val="008614EB"/>
    <w:rsid w:val="00861FDC"/>
    <w:rsid w:val="00862623"/>
    <w:rsid w:val="00863C23"/>
    <w:rsid w:val="00867BC9"/>
    <w:rsid w:val="00870E26"/>
    <w:rsid w:val="00876FCF"/>
    <w:rsid w:val="00882F41"/>
    <w:rsid w:val="008863D7"/>
    <w:rsid w:val="00890FF0"/>
    <w:rsid w:val="00894821"/>
    <w:rsid w:val="0089525F"/>
    <w:rsid w:val="00895E0B"/>
    <w:rsid w:val="008A2BAD"/>
    <w:rsid w:val="008A4826"/>
    <w:rsid w:val="008A65AA"/>
    <w:rsid w:val="008A6A77"/>
    <w:rsid w:val="008A73B0"/>
    <w:rsid w:val="008A7994"/>
    <w:rsid w:val="008B182E"/>
    <w:rsid w:val="008B3403"/>
    <w:rsid w:val="008B363E"/>
    <w:rsid w:val="008B45B3"/>
    <w:rsid w:val="008B5D92"/>
    <w:rsid w:val="008C2507"/>
    <w:rsid w:val="008C2579"/>
    <w:rsid w:val="008C3D4A"/>
    <w:rsid w:val="008D0DBC"/>
    <w:rsid w:val="008D2561"/>
    <w:rsid w:val="008D3596"/>
    <w:rsid w:val="008D40D7"/>
    <w:rsid w:val="008D63E2"/>
    <w:rsid w:val="008D6FC9"/>
    <w:rsid w:val="008E3DE1"/>
    <w:rsid w:val="008F2A11"/>
    <w:rsid w:val="008F4197"/>
    <w:rsid w:val="008F41FA"/>
    <w:rsid w:val="008F482B"/>
    <w:rsid w:val="008F6F3E"/>
    <w:rsid w:val="009008D2"/>
    <w:rsid w:val="00900990"/>
    <w:rsid w:val="00902EB6"/>
    <w:rsid w:val="009030BA"/>
    <w:rsid w:val="0090419D"/>
    <w:rsid w:val="0090429A"/>
    <w:rsid w:val="00906A42"/>
    <w:rsid w:val="00907A4D"/>
    <w:rsid w:val="009103FC"/>
    <w:rsid w:val="00910C40"/>
    <w:rsid w:val="00911261"/>
    <w:rsid w:val="009112ED"/>
    <w:rsid w:val="00911FCA"/>
    <w:rsid w:val="009124FC"/>
    <w:rsid w:val="00912559"/>
    <w:rsid w:val="00912C3E"/>
    <w:rsid w:val="00921660"/>
    <w:rsid w:val="00921921"/>
    <w:rsid w:val="00921C5A"/>
    <w:rsid w:val="009233BF"/>
    <w:rsid w:val="00923F02"/>
    <w:rsid w:val="009247A0"/>
    <w:rsid w:val="009248B3"/>
    <w:rsid w:val="009263A9"/>
    <w:rsid w:val="00926EFE"/>
    <w:rsid w:val="00926F79"/>
    <w:rsid w:val="0093016C"/>
    <w:rsid w:val="009322D2"/>
    <w:rsid w:val="00937CF3"/>
    <w:rsid w:val="00940607"/>
    <w:rsid w:val="00941624"/>
    <w:rsid w:val="00942297"/>
    <w:rsid w:val="009422AA"/>
    <w:rsid w:val="009440FE"/>
    <w:rsid w:val="00945C50"/>
    <w:rsid w:val="00946AFB"/>
    <w:rsid w:val="00946B50"/>
    <w:rsid w:val="009474CB"/>
    <w:rsid w:val="00952FED"/>
    <w:rsid w:val="00953E0B"/>
    <w:rsid w:val="00956D46"/>
    <w:rsid w:val="009573AA"/>
    <w:rsid w:val="009576CE"/>
    <w:rsid w:val="009633A6"/>
    <w:rsid w:val="0096548F"/>
    <w:rsid w:val="009669C0"/>
    <w:rsid w:val="0097215B"/>
    <w:rsid w:val="0097294A"/>
    <w:rsid w:val="00972AF4"/>
    <w:rsid w:val="009733C7"/>
    <w:rsid w:val="00973D8C"/>
    <w:rsid w:val="00973F66"/>
    <w:rsid w:val="0098120F"/>
    <w:rsid w:val="00984ECB"/>
    <w:rsid w:val="00985518"/>
    <w:rsid w:val="00987938"/>
    <w:rsid w:val="009923C0"/>
    <w:rsid w:val="0099264A"/>
    <w:rsid w:val="00992A10"/>
    <w:rsid w:val="009932CF"/>
    <w:rsid w:val="00997DE0"/>
    <w:rsid w:val="009A13A9"/>
    <w:rsid w:val="009A33EB"/>
    <w:rsid w:val="009A42D2"/>
    <w:rsid w:val="009A52E4"/>
    <w:rsid w:val="009A6361"/>
    <w:rsid w:val="009A73A8"/>
    <w:rsid w:val="009A76F1"/>
    <w:rsid w:val="009B1067"/>
    <w:rsid w:val="009B10ED"/>
    <w:rsid w:val="009B34AE"/>
    <w:rsid w:val="009B62E7"/>
    <w:rsid w:val="009B6469"/>
    <w:rsid w:val="009B66D2"/>
    <w:rsid w:val="009B7BC4"/>
    <w:rsid w:val="009C2CB0"/>
    <w:rsid w:val="009C4157"/>
    <w:rsid w:val="009C446E"/>
    <w:rsid w:val="009D270E"/>
    <w:rsid w:val="009D2908"/>
    <w:rsid w:val="009D310C"/>
    <w:rsid w:val="009D5041"/>
    <w:rsid w:val="009E307B"/>
    <w:rsid w:val="009E480E"/>
    <w:rsid w:val="009E4BED"/>
    <w:rsid w:val="009E6454"/>
    <w:rsid w:val="009F0551"/>
    <w:rsid w:val="009F20DE"/>
    <w:rsid w:val="009F37E7"/>
    <w:rsid w:val="009F79D0"/>
    <w:rsid w:val="00A00347"/>
    <w:rsid w:val="00A00EB0"/>
    <w:rsid w:val="00A033BD"/>
    <w:rsid w:val="00A04237"/>
    <w:rsid w:val="00A06F50"/>
    <w:rsid w:val="00A107CE"/>
    <w:rsid w:val="00A13F7B"/>
    <w:rsid w:val="00A14905"/>
    <w:rsid w:val="00A14D19"/>
    <w:rsid w:val="00A15255"/>
    <w:rsid w:val="00A17779"/>
    <w:rsid w:val="00A2215A"/>
    <w:rsid w:val="00A224C8"/>
    <w:rsid w:val="00A235B2"/>
    <w:rsid w:val="00A242D8"/>
    <w:rsid w:val="00A24AF6"/>
    <w:rsid w:val="00A27E23"/>
    <w:rsid w:val="00A27FC7"/>
    <w:rsid w:val="00A33948"/>
    <w:rsid w:val="00A35293"/>
    <w:rsid w:val="00A36D0B"/>
    <w:rsid w:val="00A36E8D"/>
    <w:rsid w:val="00A40728"/>
    <w:rsid w:val="00A41301"/>
    <w:rsid w:val="00A44F61"/>
    <w:rsid w:val="00A47DDB"/>
    <w:rsid w:val="00A52D8B"/>
    <w:rsid w:val="00A533A1"/>
    <w:rsid w:val="00A550E6"/>
    <w:rsid w:val="00A57D49"/>
    <w:rsid w:val="00A61440"/>
    <w:rsid w:val="00A62703"/>
    <w:rsid w:val="00A644D3"/>
    <w:rsid w:val="00A66529"/>
    <w:rsid w:val="00A73BC4"/>
    <w:rsid w:val="00A743C1"/>
    <w:rsid w:val="00A75507"/>
    <w:rsid w:val="00A762C7"/>
    <w:rsid w:val="00A76E2B"/>
    <w:rsid w:val="00A834F5"/>
    <w:rsid w:val="00A92E47"/>
    <w:rsid w:val="00A939F9"/>
    <w:rsid w:val="00AA161E"/>
    <w:rsid w:val="00AA2090"/>
    <w:rsid w:val="00AA4B19"/>
    <w:rsid w:val="00AA4DDD"/>
    <w:rsid w:val="00AA772B"/>
    <w:rsid w:val="00AB0C23"/>
    <w:rsid w:val="00AB0DAE"/>
    <w:rsid w:val="00AB1951"/>
    <w:rsid w:val="00AB3448"/>
    <w:rsid w:val="00AB4C51"/>
    <w:rsid w:val="00AC25B1"/>
    <w:rsid w:val="00AC2C8D"/>
    <w:rsid w:val="00AC3613"/>
    <w:rsid w:val="00AC4280"/>
    <w:rsid w:val="00AC4980"/>
    <w:rsid w:val="00AC5759"/>
    <w:rsid w:val="00AC7B3E"/>
    <w:rsid w:val="00AD0DEC"/>
    <w:rsid w:val="00AD1D46"/>
    <w:rsid w:val="00AD409F"/>
    <w:rsid w:val="00AD4D6D"/>
    <w:rsid w:val="00AE0B48"/>
    <w:rsid w:val="00AE1D87"/>
    <w:rsid w:val="00AE7D23"/>
    <w:rsid w:val="00AF2DB3"/>
    <w:rsid w:val="00AF2EC0"/>
    <w:rsid w:val="00AF390C"/>
    <w:rsid w:val="00B0094D"/>
    <w:rsid w:val="00B013DA"/>
    <w:rsid w:val="00B0155C"/>
    <w:rsid w:val="00B01BDE"/>
    <w:rsid w:val="00B022D5"/>
    <w:rsid w:val="00B03061"/>
    <w:rsid w:val="00B05970"/>
    <w:rsid w:val="00B06DB5"/>
    <w:rsid w:val="00B0718B"/>
    <w:rsid w:val="00B07A57"/>
    <w:rsid w:val="00B14CD8"/>
    <w:rsid w:val="00B16410"/>
    <w:rsid w:val="00B16931"/>
    <w:rsid w:val="00B21B72"/>
    <w:rsid w:val="00B225C7"/>
    <w:rsid w:val="00B23D6D"/>
    <w:rsid w:val="00B24A63"/>
    <w:rsid w:val="00B27689"/>
    <w:rsid w:val="00B31042"/>
    <w:rsid w:val="00B35017"/>
    <w:rsid w:val="00B40491"/>
    <w:rsid w:val="00B412C2"/>
    <w:rsid w:val="00B4279E"/>
    <w:rsid w:val="00B42805"/>
    <w:rsid w:val="00B42C33"/>
    <w:rsid w:val="00B4333D"/>
    <w:rsid w:val="00B46B67"/>
    <w:rsid w:val="00B47D79"/>
    <w:rsid w:val="00B5106F"/>
    <w:rsid w:val="00B51FA3"/>
    <w:rsid w:val="00B51FB9"/>
    <w:rsid w:val="00B53C63"/>
    <w:rsid w:val="00B550DC"/>
    <w:rsid w:val="00B62878"/>
    <w:rsid w:val="00B6346C"/>
    <w:rsid w:val="00B6395A"/>
    <w:rsid w:val="00B64A4F"/>
    <w:rsid w:val="00B66875"/>
    <w:rsid w:val="00B71039"/>
    <w:rsid w:val="00B71855"/>
    <w:rsid w:val="00B7209F"/>
    <w:rsid w:val="00B72CFF"/>
    <w:rsid w:val="00B73EDB"/>
    <w:rsid w:val="00B75DF2"/>
    <w:rsid w:val="00B776EA"/>
    <w:rsid w:val="00B7770B"/>
    <w:rsid w:val="00B81224"/>
    <w:rsid w:val="00B83587"/>
    <w:rsid w:val="00B85407"/>
    <w:rsid w:val="00B903D6"/>
    <w:rsid w:val="00B90E1A"/>
    <w:rsid w:val="00B9370D"/>
    <w:rsid w:val="00B937A4"/>
    <w:rsid w:val="00BA15E3"/>
    <w:rsid w:val="00BA1A25"/>
    <w:rsid w:val="00BA60CA"/>
    <w:rsid w:val="00BA6C78"/>
    <w:rsid w:val="00BA6E83"/>
    <w:rsid w:val="00BB0227"/>
    <w:rsid w:val="00BB13EF"/>
    <w:rsid w:val="00BB1872"/>
    <w:rsid w:val="00BB4943"/>
    <w:rsid w:val="00BB61BD"/>
    <w:rsid w:val="00BC114D"/>
    <w:rsid w:val="00BC2632"/>
    <w:rsid w:val="00BC372A"/>
    <w:rsid w:val="00BC3B07"/>
    <w:rsid w:val="00BC5C2C"/>
    <w:rsid w:val="00BC6CA1"/>
    <w:rsid w:val="00BC767A"/>
    <w:rsid w:val="00BD1C41"/>
    <w:rsid w:val="00BD552D"/>
    <w:rsid w:val="00BD5AEC"/>
    <w:rsid w:val="00BD68C2"/>
    <w:rsid w:val="00BE00D9"/>
    <w:rsid w:val="00BE1E68"/>
    <w:rsid w:val="00BE1E6D"/>
    <w:rsid w:val="00BE2053"/>
    <w:rsid w:val="00BE4714"/>
    <w:rsid w:val="00BE5B91"/>
    <w:rsid w:val="00BE60DE"/>
    <w:rsid w:val="00BF2357"/>
    <w:rsid w:val="00BF388C"/>
    <w:rsid w:val="00BF3C21"/>
    <w:rsid w:val="00BF6A77"/>
    <w:rsid w:val="00C00596"/>
    <w:rsid w:val="00C009DD"/>
    <w:rsid w:val="00C051DE"/>
    <w:rsid w:val="00C07DF3"/>
    <w:rsid w:val="00C10A14"/>
    <w:rsid w:val="00C152C6"/>
    <w:rsid w:val="00C15F4C"/>
    <w:rsid w:val="00C15F5B"/>
    <w:rsid w:val="00C163DA"/>
    <w:rsid w:val="00C2509C"/>
    <w:rsid w:val="00C26692"/>
    <w:rsid w:val="00C279E6"/>
    <w:rsid w:val="00C30E56"/>
    <w:rsid w:val="00C34B29"/>
    <w:rsid w:val="00C34C8F"/>
    <w:rsid w:val="00C358B2"/>
    <w:rsid w:val="00C360EF"/>
    <w:rsid w:val="00C36D7B"/>
    <w:rsid w:val="00C36F4E"/>
    <w:rsid w:val="00C40344"/>
    <w:rsid w:val="00C41CE9"/>
    <w:rsid w:val="00C42033"/>
    <w:rsid w:val="00C43DBC"/>
    <w:rsid w:val="00C46422"/>
    <w:rsid w:val="00C469FC"/>
    <w:rsid w:val="00C474BA"/>
    <w:rsid w:val="00C477CD"/>
    <w:rsid w:val="00C47A42"/>
    <w:rsid w:val="00C5086C"/>
    <w:rsid w:val="00C53EDB"/>
    <w:rsid w:val="00C546CD"/>
    <w:rsid w:val="00C55D62"/>
    <w:rsid w:val="00C603B8"/>
    <w:rsid w:val="00C6261C"/>
    <w:rsid w:val="00C63E92"/>
    <w:rsid w:val="00C63F8B"/>
    <w:rsid w:val="00C648C9"/>
    <w:rsid w:val="00C659D2"/>
    <w:rsid w:val="00C65C25"/>
    <w:rsid w:val="00C663EC"/>
    <w:rsid w:val="00C6667A"/>
    <w:rsid w:val="00C77C1D"/>
    <w:rsid w:val="00C83AA6"/>
    <w:rsid w:val="00C8581F"/>
    <w:rsid w:val="00C8608A"/>
    <w:rsid w:val="00C8708C"/>
    <w:rsid w:val="00C90615"/>
    <w:rsid w:val="00C91194"/>
    <w:rsid w:val="00C92546"/>
    <w:rsid w:val="00C92657"/>
    <w:rsid w:val="00C92BBA"/>
    <w:rsid w:val="00C93248"/>
    <w:rsid w:val="00C96389"/>
    <w:rsid w:val="00C978C9"/>
    <w:rsid w:val="00CA2032"/>
    <w:rsid w:val="00CA2F6B"/>
    <w:rsid w:val="00CA4472"/>
    <w:rsid w:val="00CA46E3"/>
    <w:rsid w:val="00CA6D24"/>
    <w:rsid w:val="00CB1DDE"/>
    <w:rsid w:val="00CB263D"/>
    <w:rsid w:val="00CB2B49"/>
    <w:rsid w:val="00CB2D89"/>
    <w:rsid w:val="00CB2DA7"/>
    <w:rsid w:val="00CB5F91"/>
    <w:rsid w:val="00CB7DB3"/>
    <w:rsid w:val="00CC4EAB"/>
    <w:rsid w:val="00CC61CD"/>
    <w:rsid w:val="00CC6967"/>
    <w:rsid w:val="00CC71CC"/>
    <w:rsid w:val="00CC7EC9"/>
    <w:rsid w:val="00CD0941"/>
    <w:rsid w:val="00CD225B"/>
    <w:rsid w:val="00CD4ABC"/>
    <w:rsid w:val="00CD620A"/>
    <w:rsid w:val="00CE08B1"/>
    <w:rsid w:val="00CE164C"/>
    <w:rsid w:val="00CE5452"/>
    <w:rsid w:val="00CE650F"/>
    <w:rsid w:val="00CF0234"/>
    <w:rsid w:val="00CF133A"/>
    <w:rsid w:val="00CF136A"/>
    <w:rsid w:val="00CF1CBF"/>
    <w:rsid w:val="00CF3383"/>
    <w:rsid w:val="00D00139"/>
    <w:rsid w:val="00D00A54"/>
    <w:rsid w:val="00D0118E"/>
    <w:rsid w:val="00D05187"/>
    <w:rsid w:val="00D104E1"/>
    <w:rsid w:val="00D12774"/>
    <w:rsid w:val="00D14E75"/>
    <w:rsid w:val="00D14EED"/>
    <w:rsid w:val="00D1578A"/>
    <w:rsid w:val="00D174CA"/>
    <w:rsid w:val="00D2222F"/>
    <w:rsid w:val="00D23DE4"/>
    <w:rsid w:val="00D24804"/>
    <w:rsid w:val="00D257C2"/>
    <w:rsid w:val="00D25EA5"/>
    <w:rsid w:val="00D3224D"/>
    <w:rsid w:val="00D358F9"/>
    <w:rsid w:val="00D36613"/>
    <w:rsid w:val="00D37C27"/>
    <w:rsid w:val="00D40484"/>
    <w:rsid w:val="00D408B6"/>
    <w:rsid w:val="00D42569"/>
    <w:rsid w:val="00D447BE"/>
    <w:rsid w:val="00D44CF5"/>
    <w:rsid w:val="00D500F1"/>
    <w:rsid w:val="00D502E3"/>
    <w:rsid w:val="00D51C07"/>
    <w:rsid w:val="00D52DB7"/>
    <w:rsid w:val="00D53F2F"/>
    <w:rsid w:val="00D54815"/>
    <w:rsid w:val="00D60DC9"/>
    <w:rsid w:val="00D635B3"/>
    <w:rsid w:val="00D63AD3"/>
    <w:rsid w:val="00D64880"/>
    <w:rsid w:val="00D67508"/>
    <w:rsid w:val="00D67597"/>
    <w:rsid w:val="00D722BD"/>
    <w:rsid w:val="00D74022"/>
    <w:rsid w:val="00D775A6"/>
    <w:rsid w:val="00D82034"/>
    <w:rsid w:val="00D82CA5"/>
    <w:rsid w:val="00D83DE5"/>
    <w:rsid w:val="00D84A04"/>
    <w:rsid w:val="00D84FC2"/>
    <w:rsid w:val="00D8641A"/>
    <w:rsid w:val="00D86A31"/>
    <w:rsid w:val="00D91DD9"/>
    <w:rsid w:val="00D95EA0"/>
    <w:rsid w:val="00D96A04"/>
    <w:rsid w:val="00D973D5"/>
    <w:rsid w:val="00DA04E1"/>
    <w:rsid w:val="00DA061A"/>
    <w:rsid w:val="00DA6178"/>
    <w:rsid w:val="00DA68D3"/>
    <w:rsid w:val="00DB0794"/>
    <w:rsid w:val="00DB25FC"/>
    <w:rsid w:val="00DB263D"/>
    <w:rsid w:val="00DB4275"/>
    <w:rsid w:val="00DB479D"/>
    <w:rsid w:val="00DB53D0"/>
    <w:rsid w:val="00DB6115"/>
    <w:rsid w:val="00DB6646"/>
    <w:rsid w:val="00DB6DE8"/>
    <w:rsid w:val="00DB730E"/>
    <w:rsid w:val="00DC0BF0"/>
    <w:rsid w:val="00DC3758"/>
    <w:rsid w:val="00DC3B94"/>
    <w:rsid w:val="00DD10EE"/>
    <w:rsid w:val="00DD1A20"/>
    <w:rsid w:val="00DD3A4F"/>
    <w:rsid w:val="00DD5526"/>
    <w:rsid w:val="00DE0B96"/>
    <w:rsid w:val="00DE2681"/>
    <w:rsid w:val="00DE2A15"/>
    <w:rsid w:val="00DE418F"/>
    <w:rsid w:val="00DE4355"/>
    <w:rsid w:val="00DE5CCB"/>
    <w:rsid w:val="00DE5ED5"/>
    <w:rsid w:val="00DE74F1"/>
    <w:rsid w:val="00DE7ABC"/>
    <w:rsid w:val="00DF0079"/>
    <w:rsid w:val="00DF03F9"/>
    <w:rsid w:val="00DF1049"/>
    <w:rsid w:val="00DF6838"/>
    <w:rsid w:val="00DF6D89"/>
    <w:rsid w:val="00E02865"/>
    <w:rsid w:val="00E04C84"/>
    <w:rsid w:val="00E06DB4"/>
    <w:rsid w:val="00E073F0"/>
    <w:rsid w:val="00E10B59"/>
    <w:rsid w:val="00E114EB"/>
    <w:rsid w:val="00E1371B"/>
    <w:rsid w:val="00E13EB9"/>
    <w:rsid w:val="00E16A30"/>
    <w:rsid w:val="00E22EB6"/>
    <w:rsid w:val="00E2429C"/>
    <w:rsid w:val="00E24CFB"/>
    <w:rsid w:val="00E24E4C"/>
    <w:rsid w:val="00E300D7"/>
    <w:rsid w:val="00E3054B"/>
    <w:rsid w:val="00E30E40"/>
    <w:rsid w:val="00E336B2"/>
    <w:rsid w:val="00E33C01"/>
    <w:rsid w:val="00E351FA"/>
    <w:rsid w:val="00E3551C"/>
    <w:rsid w:val="00E377D8"/>
    <w:rsid w:val="00E4003B"/>
    <w:rsid w:val="00E40FEF"/>
    <w:rsid w:val="00E435A5"/>
    <w:rsid w:val="00E438C0"/>
    <w:rsid w:val="00E52148"/>
    <w:rsid w:val="00E54CC3"/>
    <w:rsid w:val="00E557C0"/>
    <w:rsid w:val="00E60093"/>
    <w:rsid w:val="00E619DB"/>
    <w:rsid w:val="00E61CDB"/>
    <w:rsid w:val="00E61D04"/>
    <w:rsid w:val="00E64675"/>
    <w:rsid w:val="00E64F30"/>
    <w:rsid w:val="00E663E7"/>
    <w:rsid w:val="00E67855"/>
    <w:rsid w:val="00E67DBE"/>
    <w:rsid w:val="00E72529"/>
    <w:rsid w:val="00E735F6"/>
    <w:rsid w:val="00E757E6"/>
    <w:rsid w:val="00E75F49"/>
    <w:rsid w:val="00E81B3A"/>
    <w:rsid w:val="00E84A85"/>
    <w:rsid w:val="00E85D46"/>
    <w:rsid w:val="00E91047"/>
    <w:rsid w:val="00E9357F"/>
    <w:rsid w:val="00E94626"/>
    <w:rsid w:val="00E95B33"/>
    <w:rsid w:val="00E95F6C"/>
    <w:rsid w:val="00EA11E9"/>
    <w:rsid w:val="00EA1AB8"/>
    <w:rsid w:val="00EA1C7E"/>
    <w:rsid w:val="00EA29EF"/>
    <w:rsid w:val="00EA39F9"/>
    <w:rsid w:val="00EA3B83"/>
    <w:rsid w:val="00EA546F"/>
    <w:rsid w:val="00EA5718"/>
    <w:rsid w:val="00EA7BC6"/>
    <w:rsid w:val="00EB1646"/>
    <w:rsid w:val="00EB405F"/>
    <w:rsid w:val="00EB72E2"/>
    <w:rsid w:val="00EC0255"/>
    <w:rsid w:val="00EC037E"/>
    <w:rsid w:val="00EC29EA"/>
    <w:rsid w:val="00EC4C0B"/>
    <w:rsid w:val="00EC4C9F"/>
    <w:rsid w:val="00EC564D"/>
    <w:rsid w:val="00EC742D"/>
    <w:rsid w:val="00ED08AC"/>
    <w:rsid w:val="00ED240E"/>
    <w:rsid w:val="00ED4A01"/>
    <w:rsid w:val="00ED5EBD"/>
    <w:rsid w:val="00ED749D"/>
    <w:rsid w:val="00EE0689"/>
    <w:rsid w:val="00EE3CAD"/>
    <w:rsid w:val="00EE6994"/>
    <w:rsid w:val="00EE6E91"/>
    <w:rsid w:val="00EF0E76"/>
    <w:rsid w:val="00EF19ED"/>
    <w:rsid w:val="00EF3D29"/>
    <w:rsid w:val="00EF3F27"/>
    <w:rsid w:val="00EF46FA"/>
    <w:rsid w:val="00EF6E6D"/>
    <w:rsid w:val="00F003EA"/>
    <w:rsid w:val="00F03B2F"/>
    <w:rsid w:val="00F11045"/>
    <w:rsid w:val="00F120FD"/>
    <w:rsid w:val="00F15800"/>
    <w:rsid w:val="00F158A0"/>
    <w:rsid w:val="00F15D5F"/>
    <w:rsid w:val="00F15D93"/>
    <w:rsid w:val="00F163AC"/>
    <w:rsid w:val="00F20CA9"/>
    <w:rsid w:val="00F20CF0"/>
    <w:rsid w:val="00F21DEB"/>
    <w:rsid w:val="00F24DCD"/>
    <w:rsid w:val="00F257D7"/>
    <w:rsid w:val="00F25C82"/>
    <w:rsid w:val="00F31E94"/>
    <w:rsid w:val="00F31FB2"/>
    <w:rsid w:val="00F33350"/>
    <w:rsid w:val="00F36B7C"/>
    <w:rsid w:val="00F37836"/>
    <w:rsid w:val="00F37CCA"/>
    <w:rsid w:val="00F4120D"/>
    <w:rsid w:val="00F438E1"/>
    <w:rsid w:val="00F4456C"/>
    <w:rsid w:val="00F44689"/>
    <w:rsid w:val="00F44940"/>
    <w:rsid w:val="00F46E9A"/>
    <w:rsid w:val="00F4749F"/>
    <w:rsid w:val="00F51052"/>
    <w:rsid w:val="00F51D81"/>
    <w:rsid w:val="00F53506"/>
    <w:rsid w:val="00F544F8"/>
    <w:rsid w:val="00F55254"/>
    <w:rsid w:val="00F554D4"/>
    <w:rsid w:val="00F56BE5"/>
    <w:rsid w:val="00F56C80"/>
    <w:rsid w:val="00F65695"/>
    <w:rsid w:val="00F733B3"/>
    <w:rsid w:val="00F75C86"/>
    <w:rsid w:val="00F8544C"/>
    <w:rsid w:val="00F879E4"/>
    <w:rsid w:val="00F955D0"/>
    <w:rsid w:val="00F95C3B"/>
    <w:rsid w:val="00F974B9"/>
    <w:rsid w:val="00F97873"/>
    <w:rsid w:val="00FA061E"/>
    <w:rsid w:val="00FA1CC4"/>
    <w:rsid w:val="00FA4B3B"/>
    <w:rsid w:val="00FA62B6"/>
    <w:rsid w:val="00FB1CDB"/>
    <w:rsid w:val="00FB3048"/>
    <w:rsid w:val="00FB58C6"/>
    <w:rsid w:val="00FB7C9D"/>
    <w:rsid w:val="00FC164A"/>
    <w:rsid w:val="00FC1B04"/>
    <w:rsid w:val="00FC5370"/>
    <w:rsid w:val="00FC623D"/>
    <w:rsid w:val="00FD4998"/>
    <w:rsid w:val="00FD49D8"/>
    <w:rsid w:val="00FD6BBA"/>
    <w:rsid w:val="00FE043E"/>
    <w:rsid w:val="00FE0E76"/>
    <w:rsid w:val="00FE5D2A"/>
    <w:rsid w:val="00FE7887"/>
    <w:rsid w:val="00FF37C0"/>
    <w:rsid w:val="0169AAF4"/>
    <w:rsid w:val="02407465"/>
    <w:rsid w:val="062E726A"/>
    <w:rsid w:val="093E9AF6"/>
    <w:rsid w:val="09C42DD5"/>
    <w:rsid w:val="0ACDD017"/>
    <w:rsid w:val="0BC6E249"/>
    <w:rsid w:val="0E3E4482"/>
    <w:rsid w:val="103BA2F9"/>
    <w:rsid w:val="136D0A4D"/>
    <w:rsid w:val="15B465E9"/>
    <w:rsid w:val="185A015D"/>
    <w:rsid w:val="1B5EE331"/>
    <w:rsid w:val="1CEA7B8C"/>
    <w:rsid w:val="1D164F2E"/>
    <w:rsid w:val="1E0A7A0C"/>
    <w:rsid w:val="20C24036"/>
    <w:rsid w:val="24EC41E3"/>
    <w:rsid w:val="2A24CF75"/>
    <w:rsid w:val="2A4B0F73"/>
    <w:rsid w:val="2C7D75B0"/>
    <w:rsid w:val="31CCD05E"/>
    <w:rsid w:val="35AD94DC"/>
    <w:rsid w:val="3933A08B"/>
    <w:rsid w:val="39E2D4A5"/>
    <w:rsid w:val="3B99FB7A"/>
    <w:rsid w:val="409AC8FB"/>
    <w:rsid w:val="41B8ADDA"/>
    <w:rsid w:val="41CA00C9"/>
    <w:rsid w:val="45958013"/>
    <w:rsid w:val="559DC0DF"/>
    <w:rsid w:val="60E78F6F"/>
    <w:rsid w:val="61DBA690"/>
    <w:rsid w:val="6655A71E"/>
    <w:rsid w:val="66F2CE83"/>
    <w:rsid w:val="674228CD"/>
    <w:rsid w:val="676C76E3"/>
    <w:rsid w:val="68E4A2D1"/>
    <w:rsid w:val="69428FF5"/>
    <w:rsid w:val="69FD897B"/>
    <w:rsid w:val="6A439164"/>
    <w:rsid w:val="6E01FEED"/>
    <w:rsid w:val="6E12FFB4"/>
    <w:rsid w:val="72BF0397"/>
    <w:rsid w:val="7766C97E"/>
    <w:rsid w:val="7860AE91"/>
    <w:rsid w:val="79F651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62595"/>
  <w15:chartTrackingRefBased/>
  <w15:docId w15:val="{35019BF3-594C-5346-9DEE-77ACF171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BF4"/>
    <w:pPr>
      <w:spacing w:before="120" w:after="120"/>
    </w:pPr>
    <w:rPr>
      <w:rFonts w:ascii="Arial" w:hAnsi="Arial"/>
    </w:rPr>
  </w:style>
  <w:style w:type="paragraph" w:styleId="Heading1">
    <w:name w:val="heading 1"/>
    <w:basedOn w:val="Normal"/>
    <w:next w:val="Normal"/>
    <w:link w:val="Heading1Char"/>
    <w:autoRedefine/>
    <w:uiPriority w:val="9"/>
    <w:qFormat/>
    <w:rsid w:val="00B64A4F"/>
    <w:pPr>
      <w:keepNext/>
      <w:keepLines/>
      <w:numPr>
        <w:numId w:val="2"/>
      </w:numPr>
      <w:spacing w:before="360" w:after="80"/>
      <w:outlineLvl w:val="0"/>
    </w:pPr>
    <w:rPr>
      <w:rFonts w:eastAsiaTheme="majorEastAsia" w:cstheme="majorBidi"/>
      <w:color w:val="0F4761" w:themeColor="accent1" w:themeShade="BF"/>
      <w:sz w:val="36"/>
      <w:szCs w:val="40"/>
      <w:lang w:val="en-US"/>
    </w:rPr>
  </w:style>
  <w:style w:type="paragraph" w:styleId="Heading2">
    <w:name w:val="heading 2"/>
    <w:basedOn w:val="Normal"/>
    <w:next w:val="Normal"/>
    <w:link w:val="Heading2Char"/>
    <w:uiPriority w:val="9"/>
    <w:unhideWhenUsed/>
    <w:qFormat/>
    <w:rsid w:val="00C15F4C"/>
    <w:pPr>
      <w:keepNext/>
      <w:keepLines/>
      <w:numPr>
        <w:ilvl w:val="1"/>
        <w:numId w:val="2"/>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5F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5F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5F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5F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5F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5F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5F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autoRedefine/>
    <w:qFormat/>
    <w:rsid w:val="00B6346C"/>
    <w:pPr>
      <w:spacing w:before="0" w:after="0"/>
    </w:pPr>
    <w:rPr>
      <w:rFonts w:eastAsiaTheme="minorEastAsia"/>
      <w:b/>
      <w:color w:val="0E2841" w:themeColor="text2"/>
      <w:kern w:val="0"/>
      <w:sz w:val="40"/>
      <w:lang w:val="en-US"/>
      <w14:ligatures w14:val="none"/>
    </w:rPr>
  </w:style>
  <w:style w:type="paragraph" w:styleId="TOC1">
    <w:name w:val="toc 1"/>
    <w:basedOn w:val="Normal"/>
    <w:next w:val="Normal"/>
    <w:autoRedefine/>
    <w:uiPriority w:val="39"/>
    <w:unhideWhenUsed/>
    <w:rsid w:val="004075EE"/>
    <w:rPr>
      <w:rFonts w:cs="Times New Roman (Body CS)"/>
      <w:b/>
      <w:bCs/>
      <w:szCs w:val="20"/>
    </w:rPr>
  </w:style>
  <w:style w:type="paragraph" w:styleId="TOC2">
    <w:name w:val="toc 2"/>
    <w:basedOn w:val="Normal"/>
    <w:next w:val="Normal"/>
    <w:autoRedefine/>
    <w:uiPriority w:val="39"/>
    <w:unhideWhenUsed/>
    <w:rsid w:val="004075EE"/>
    <w:pPr>
      <w:spacing w:before="0" w:after="0"/>
      <w:ind w:left="240"/>
    </w:pPr>
    <w:rPr>
      <w:rFonts w:cs="Times New Roman (Body CS)"/>
      <w:szCs w:val="20"/>
    </w:rPr>
  </w:style>
  <w:style w:type="character" w:customStyle="1" w:styleId="Heading1Char">
    <w:name w:val="Heading 1 Char"/>
    <w:basedOn w:val="DefaultParagraphFont"/>
    <w:link w:val="Heading1"/>
    <w:uiPriority w:val="9"/>
    <w:rsid w:val="00B64A4F"/>
    <w:rPr>
      <w:rFonts w:ascii="Arial" w:eastAsiaTheme="majorEastAsia" w:hAnsi="Arial" w:cstheme="majorBidi"/>
      <w:color w:val="0F4761" w:themeColor="accent1" w:themeShade="BF"/>
      <w:sz w:val="36"/>
      <w:szCs w:val="40"/>
      <w:lang w:val="en-US"/>
    </w:rPr>
  </w:style>
  <w:style w:type="character" w:customStyle="1" w:styleId="Heading2Char">
    <w:name w:val="Heading 2 Char"/>
    <w:basedOn w:val="DefaultParagraphFont"/>
    <w:link w:val="Heading2"/>
    <w:uiPriority w:val="9"/>
    <w:rsid w:val="00C15F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5F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5F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5F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5F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5F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5F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5F4C"/>
    <w:rPr>
      <w:rFonts w:eastAsiaTheme="majorEastAsia" w:cstheme="majorBidi"/>
      <w:color w:val="272727" w:themeColor="text1" w:themeTint="D8"/>
    </w:rPr>
  </w:style>
  <w:style w:type="paragraph" w:styleId="Title">
    <w:name w:val="Title"/>
    <w:basedOn w:val="Normal"/>
    <w:next w:val="Normal"/>
    <w:link w:val="TitleChar"/>
    <w:uiPriority w:val="10"/>
    <w:qFormat/>
    <w:rsid w:val="00C15F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5F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5F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5F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5F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15F4C"/>
    <w:rPr>
      <w:i/>
      <w:iCs/>
      <w:color w:val="404040" w:themeColor="text1" w:themeTint="BF"/>
    </w:r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uiPriority w:val="34"/>
    <w:qFormat/>
    <w:rsid w:val="00C15F4C"/>
    <w:pPr>
      <w:ind w:left="720"/>
      <w:contextualSpacing/>
    </w:pPr>
  </w:style>
  <w:style w:type="character" w:styleId="IntenseEmphasis">
    <w:name w:val="Intense Emphasis"/>
    <w:basedOn w:val="DefaultParagraphFont"/>
    <w:uiPriority w:val="21"/>
    <w:qFormat/>
    <w:rsid w:val="00C15F4C"/>
    <w:rPr>
      <w:i/>
      <w:iCs/>
      <w:color w:val="0F4761" w:themeColor="accent1" w:themeShade="BF"/>
    </w:rPr>
  </w:style>
  <w:style w:type="paragraph" w:styleId="IntenseQuote">
    <w:name w:val="Intense Quote"/>
    <w:basedOn w:val="Normal"/>
    <w:next w:val="Normal"/>
    <w:link w:val="IntenseQuoteChar"/>
    <w:uiPriority w:val="30"/>
    <w:qFormat/>
    <w:rsid w:val="00C15F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5F4C"/>
    <w:rPr>
      <w:i/>
      <w:iCs/>
      <w:color w:val="0F4761" w:themeColor="accent1" w:themeShade="BF"/>
    </w:rPr>
  </w:style>
  <w:style w:type="character" w:styleId="IntenseReference">
    <w:name w:val="Intense Reference"/>
    <w:basedOn w:val="DefaultParagraphFont"/>
    <w:uiPriority w:val="32"/>
    <w:qFormat/>
    <w:rsid w:val="00C15F4C"/>
    <w:rPr>
      <w:b/>
      <w:bCs/>
      <w:smallCaps/>
      <w:color w:val="0F4761" w:themeColor="accent1" w:themeShade="BF"/>
      <w:spacing w:val="5"/>
    </w:rPr>
  </w:style>
  <w:style w:type="paragraph" w:styleId="Header">
    <w:name w:val="header"/>
    <w:basedOn w:val="Normal"/>
    <w:link w:val="HeaderChar"/>
    <w:uiPriority w:val="99"/>
    <w:unhideWhenUsed/>
    <w:rsid w:val="009D5041"/>
    <w:pPr>
      <w:tabs>
        <w:tab w:val="center" w:pos="4513"/>
        <w:tab w:val="right" w:pos="9026"/>
      </w:tabs>
      <w:spacing w:before="0" w:after="0"/>
    </w:pPr>
  </w:style>
  <w:style w:type="character" w:customStyle="1" w:styleId="HeaderChar">
    <w:name w:val="Header Char"/>
    <w:basedOn w:val="DefaultParagraphFont"/>
    <w:link w:val="Header"/>
    <w:uiPriority w:val="99"/>
    <w:rsid w:val="009D5041"/>
    <w:rPr>
      <w:rFonts w:ascii="Arial" w:hAnsi="Arial"/>
    </w:rPr>
  </w:style>
  <w:style w:type="paragraph" w:styleId="Footer">
    <w:name w:val="footer"/>
    <w:basedOn w:val="Normal"/>
    <w:link w:val="FooterChar"/>
    <w:uiPriority w:val="99"/>
    <w:unhideWhenUsed/>
    <w:rsid w:val="009D5041"/>
    <w:pPr>
      <w:tabs>
        <w:tab w:val="center" w:pos="4513"/>
        <w:tab w:val="right" w:pos="9026"/>
      </w:tabs>
      <w:spacing w:before="0" w:after="0"/>
    </w:pPr>
  </w:style>
  <w:style w:type="character" w:customStyle="1" w:styleId="FooterChar">
    <w:name w:val="Footer Char"/>
    <w:basedOn w:val="DefaultParagraphFont"/>
    <w:link w:val="Footer"/>
    <w:uiPriority w:val="99"/>
    <w:rsid w:val="009D5041"/>
    <w:rPr>
      <w:rFonts w:ascii="Arial" w:hAnsi="Arial"/>
    </w:rPr>
  </w:style>
  <w:style w:type="character" w:styleId="PageNumber">
    <w:name w:val="page number"/>
    <w:basedOn w:val="DefaultParagraphFont"/>
    <w:uiPriority w:val="99"/>
    <w:semiHidden/>
    <w:unhideWhenUsed/>
    <w:rsid w:val="009D5041"/>
  </w:style>
  <w:style w:type="paragraph" w:styleId="TOC3">
    <w:name w:val="toc 3"/>
    <w:basedOn w:val="Normal"/>
    <w:next w:val="Normal"/>
    <w:autoRedefine/>
    <w:uiPriority w:val="39"/>
    <w:unhideWhenUsed/>
    <w:rsid w:val="004075EE"/>
    <w:pPr>
      <w:spacing w:before="0" w:after="0"/>
      <w:ind w:left="480"/>
    </w:pPr>
    <w:rPr>
      <w:rFonts w:cs="Times New Roman (Body CS)"/>
      <w:iCs/>
      <w:szCs w:val="20"/>
    </w:rPr>
  </w:style>
  <w:style w:type="paragraph" w:styleId="TOC4">
    <w:name w:val="toc 4"/>
    <w:basedOn w:val="Normal"/>
    <w:next w:val="Normal"/>
    <w:autoRedefine/>
    <w:uiPriority w:val="39"/>
    <w:unhideWhenUsed/>
    <w:rsid w:val="00535898"/>
    <w:pPr>
      <w:spacing w:before="0" w:after="0"/>
      <w:ind w:left="720"/>
    </w:pPr>
    <w:rPr>
      <w:szCs w:val="18"/>
    </w:rPr>
  </w:style>
  <w:style w:type="paragraph" w:styleId="TOC5">
    <w:name w:val="toc 5"/>
    <w:basedOn w:val="Normal"/>
    <w:next w:val="Normal"/>
    <w:autoRedefine/>
    <w:uiPriority w:val="39"/>
    <w:unhideWhenUsed/>
    <w:rsid w:val="00A27FC7"/>
    <w:pPr>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A27FC7"/>
    <w:pPr>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A27FC7"/>
    <w:pPr>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A27FC7"/>
    <w:pPr>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A27FC7"/>
    <w:pPr>
      <w:spacing w:before="0" w:after="0"/>
      <w:ind w:left="1920"/>
    </w:pPr>
    <w:rPr>
      <w:rFonts w:asciiTheme="minorHAnsi" w:hAnsiTheme="minorHAnsi"/>
      <w:sz w:val="18"/>
      <w:szCs w:val="18"/>
    </w:rPr>
  </w:style>
  <w:style w:type="character" w:styleId="Hyperlink">
    <w:name w:val="Hyperlink"/>
    <w:basedOn w:val="DefaultParagraphFont"/>
    <w:uiPriority w:val="99"/>
    <w:unhideWhenUsed/>
    <w:qFormat/>
    <w:rsid w:val="00A27FC7"/>
    <w:rPr>
      <w:color w:val="467886" w:themeColor="hyperlink"/>
      <w:u w:val="single"/>
    </w:rPr>
  </w:style>
  <w:style w:type="paragraph" w:styleId="NormalWeb">
    <w:name w:val="Normal (Web)"/>
    <w:basedOn w:val="Normal"/>
    <w:uiPriority w:val="99"/>
    <w:unhideWhenUsed/>
    <w:rsid w:val="00344947"/>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44947"/>
  </w:style>
  <w:style w:type="character" w:customStyle="1" w:styleId="eop">
    <w:name w:val="eop"/>
    <w:basedOn w:val="DefaultParagraphFont"/>
    <w:rsid w:val="00344947"/>
  </w:style>
  <w:style w:type="character" w:styleId="FootnoteReference">
    <w:name w:val="footnote reference"/>
    <w:basedOn w:val="DefaultParagraphFont"/>
    <w:uiPriority w:val="99"/>
    <w:semiHidden/>
    <w:unhideWhenUsed/>
    <w:rsid w:val="00344947"/>
    <w:rPr>
      <w:vertAlign w:val="superscript"/>
    </w:rPr>
  </w:style>
  <w:style w:type="paragraph" w:styleId="FootnoteText">
    <w:name w:val="footnote text"/>
    <w:basedOn w:val="Normal"/>
    <w:link w:val="FootnoteTextChar"/>
    <w:uiPriority w:val="99"/>
    <w:unhideWhenUsed/>
    <w:rsid w:val="00344947"/>
    <w:pPr>
      <w:spacing w:before="0" w:after="0"/>
    </w:pPr>
    <w:rPr>
      <w:rFonts w:eastAsia="Calibri" w:cs="Open Sans Light"/>
      <w:kern w:val="0"/>
      <w:sz w:val="20"/>
      <w:szCs w:val="20"/>
      <w:lang w:eastAsia="en-AU"/>
      <w14:ligatures w14:val="none"/>
    </w:rPr>
  </w:style>
  <w:style w:type="character" w:customStyle="1" w:styleId="FootnoteTextChar">
    <w:name w:val="Footnote Text Char"/>
    <w:basedOn w:val="DefaultParagraphFont"/>
    <w:link w:val="FootnoteText"/>
    <w:uiPriority w:val="99"/>
    <w:rsid w:val="00344947"/>
    <w:rPr>
      <w:rFonts w:ascii="Arial" w:eastAsia="Calibri" w:hAnsi="Arial" w:cs="Open Sans Light"/>
      <w:kern w:val="0"/>
      <w:sz w:val="20"/>
      <w:szCs w:val="20"/>
      <w:lang w:eastAsia="en-AU"/>
      <w14:ligatures w14:val="none"/>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344947"/>
    <w:rPr>
      <w:rFonts w:ascii="Arial" w:hAnsi="Arial"/>
    </w:rPr>
  </w:style>
  <w:style w:type="paragraph" w:styleId="ListBullet2">
    <w:name w:val="List Bullet 2"/>
    <w:basedOn w:val="Normal"/>
    <w:next w:val="ListBullet3"/>
    <w:uiPriority w:val="99"/>
    <w:unhideWhenUsed/>
    <w:qFormat/>
    <w:rsid w:val="00DE418F"/>
    <w:pPr>
      <w:numPr>
        <w:ilvl w:val="1"/>
        <w:numId w:val="15"/>
      </w:numPr>
      <w:spacing w:before="0" w:after="80"/>
    </w:pPr>
    <w:rPr>
      <w:rFonts w:ascii="Source Sans Pro" w:hAnsi="Source Sans Pro"/>
      <w:kern w:val="0"/>
      <w14:ligatures w14:val="none"/>
    </w:rPr>
  </w:style>
  <w:style w:type="paragraph" w:styleId="ListBullet3">
    <w:name w:val="List Bullet 3"/>
    <w:basedOn w:val="ListBullet2"/>
    <w:uiPriority w:val="99"/>
    <w:unhideWhenUsed/>
    <w:qFormat/>
    <w:rsid w:val="00DE418F"/>
    <w:pPr>
      <w:numPr>
        <w:ilvl w:val="2"/>
      </w:numPr>
    </w:pPr>
  </w:style>
  <w:style w:type="character" w:styleId="UnresolvedMention">
    <w:name w:val="Unresolved Mention"/>
    <w:basedOn w:val="DefaultParagraphFont"/>
    <w:uiPriority w:val="99"/>
    <w:semiHidden/>
    <w:unhideWhenUsed/>
    <w:rsid w:val="00DB6DE8"/>
    <w:rPr>
      <w:color w:val="605E5C"/>
      <w:shd w:val="clear" w:color="auto" w:fill="E1DFDD"/>
    </w:rPr>
  </w:style>
  <w:style w:type="paragraph" w:styleId="TableofFigures">
    <w:name w:val="table of figures"/>
    <w:basedOn w:val="Normal"/>
    <w:next w:val="Normal"/>
    <w:autoRedefine/>
    <w:uiPriority w:val="99"/>
    <w:unhideWhenUsed/>
    <w:rsid w:val="00E61CDB"/>
    <w:rPr>
      <w:rFonts w:cs="Times New Roman (Body CS)"/>
      <w:bCs/>
      <w:sz w:val="22"/>
      <w:szCs w:val="20"/>
    </w:rPr>
  </w:style>
  <w:style w:type="paragraph" w:customStyle="1" w:styleId="11ECIHEADINGSNEW">
    <w:name w:val="1.1 ECI HEADINGS NEW"/>
    <w:basedOn w:val="Heading3"/>
    <w:link w:val="11ECIHEADINGSNEWChar"/>
    <w:qFormat/>
    <w:rsid w:val="00DE418F"/>
    <w:pPr>
      <w:keepNext w:val="0"/>
      <w:keepLines w:val="0"/>
      <w:spacing w:before="360" w:after="240"/>
      <w:ind w:left="360"/>
    </w:pPr>
    <w:rPr>
      <w:rFonts w:asciiTheme="majorHAnsi" w:hAnsiTheme="majorHAnsi" w:cs="Calibri"/>
      <w:b/>
      <w:color w:val="000000"/>
      <w:kern w:val="0"/>
      <w:sz w:val="32"/>
      <w:szCs w:val="26"/>
      <w:shd w:val="clear" w:color="auto" w:fill="FFFFFF"/>
      <w:lang w:val="en-US" w:eastAsia="en-AU"/>
      <w14:ligatures w14:val="none"/>
    </w:rPr>
  </w:style>
  <w:style w:type="character" w:customStyle="1" w:styleId="11ECIHEADINGSNEWChar">
    <w:name w:val="1.1 ECI HEADINGS NEW Char"/>
    <w:basedOn w:val="Heading3Char"/>
    <w:link w:val="11ECIHEADINGSNEW"/>
    <w:rsid w:val="00DE418F"/>
    <w:rPr>
      <w:rFonts w:asciiTheme="majorHAnsi" w:eastAsiaTheme="majorEastAsia" w:hAnsiTheme="majorHAnsi" w:cs="Calibri"/>
      <w:b/>
      <w:color w:val="000000"/>
      <w:kern w:val="0"/>
      <w:sz w:val="32"/>
      <w:szCs w:val="26"/>
      <w:lang w:val="en-US" w:eastAsia="en-AU"/>
      <w14:ligatures w14:val="none"/>
    </w:rPr>
  </w:style>
  <w:style w:type="character" w:styleId="CommentReference">
    <w:name w:val="annotation reference"/>
    <w:basedOn w:val="DefaultParagraphFont"/>
    <w:uiPriority w:val="99"/>
    <w:semiHidden/>
    <w:unhideWhenUsed/>
    <w:rsid w:val="009D310C"/>
    <w:rPr>
      <w:sz w:val="16"/>
      <w:szCs w:val="16"/>
    </w:rPr>
  </w:style>
  <w:style w:type="paragraph" w:styleId="CommentText">
    <w:name w:val="annotation text"/>
    <w:basedOn w:val="Normal"/>
    <w:link w:val="CommentTextChar"/>
    <w:uiPriority w:val="99"/>
    <w:unhideWhenUsed/>
    <w:rsid w:val="009D310C"/>
    <w:pPr>
      <w:spacing w:before="0"/>
    </w:pPr>
    <w:rPr>
      <w:rFonts w:ascii="Source Sans Pro" w:hAnsi="Source Sans Pro"/>
      <w:kern w:val="0"/>
      <w:sz w:val="20"/>
      <w:szCs w:val="20"/>
      <w14:ligatures w14:val="none"/>
    </w:rPr>
  </w:style>
  <w:style w:type="character" w:customStyle="1" w:styleId="CommentTextChar">
    <w:name w:val="Comment Text Char"/>
    <w:basedOn w:val="DefaultParagraphFont"/>
    <w:link w:val="CommentText"/>
    <w:uiPriority w:val="99"/>
    <w:rsid w:val="009D310C"/>
    <w:rPr>
      <w:rFonts w:ascii="Source Sans Pro" w:hAnsi="Source Sans Pro"/>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C564D"/>
    <w:pPr>
      <w:spacing w:before="120"/>
    </w:pPr>
    <w:rPr>
      <w:rFonts w:ascii="Arial" w:hAnsi="Arial"/>
      <w:b/>
      <w:bCs/>
      <w:kern w:val="2"/>
      <w14:ligatures w14:val="standardContextual"/>
    </w:rPr>
  </w:style>
  <w:style w:type="character" w:customStyle="1" w:styleId="CommentSubjectChar">
    <w:name w:val="Comment Subject Char"/>
    <w:basedOn w:val="CommentTextChar"/>
    <w:link w:val="CommentSubject"/>
    <w:uiPriority w:val="99"/>
    <w:semiHidden/>
    <w:rsid w:val="00EC564D"/>
    <w:rPr>
      <w:rFonts w:ascii="Arial" w:hAnsi="Arial"/>
      <w:b/>
      <w:bCs/>
      <w:kern w:val="0"/>
      <w:sz w:val="20"/>
      <w:szCs w:val="20"/>
      <w14:ligatures w14:val="none"/>
    </w:rPr>
  </w:style>
  <w:style w:type="character" w:styleId="FollowedHyperlink">
    <w:name w:val="FollowedHyperlink"/>
    <w:basedOn w:val="DefaultParagraphFont"/>
    <w:uiPriority w:val="99"/>
    <w:semiHidden/>
    <w:unhideWhenUsed/>
    <w:rsid w:val="00454B5D"/>
    <w:rPr>
      <w:color w:val="96607D" w:themeColor="followedHyperlink"/>
      <w:u w:val="single"/>
    </w:rPr>
  </w:style>
  <w:style w:type="table" w:customStyle="1" w:styleId="UniofMelTable3">
    <w:name w:val="Uni of Mel_Table3"/>
    <w:basedOn w:val="TableNormal"/>
    <w:uiPriority w:val="99"/>
    <w:rsid w:val="00EE6994"/>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paragraph" w:customStyle="1" w:styleId="ECIHead1">
    <w:name w:val="ECI Head1"/>
    <w:basedOn w:val="ListParagraph"/>
    <w:rsid w:val="00045112"/>
    <w:pPr>
      <w:numPr>
        <w:numId w:val="137"/>
      </w:numPr>
      <w:spacing w:before="0" w:line="360" w:lineRule="auto"/>
    </w:pPr>
    <w:rPr>
      <w:rFonts w:ascii="Calibri" w:eastAsiaTheme="minorEastAsia" w:hAnsi="Calibri" w:cs="Calibri"/>
      <w:color w:val="000000" w:themeColor="text1"/>
      <w:kern w:val="0"/>
      <w:sz w:val="32"/>
      <w:lang w:val="en-US" w:eastAsia="en-AU"/>
      <w14:ligatures w14:val="none"/>
    </w:rPr>
  </w:style>
  <w:style w:type="table" w:customStyle="1" w:styleId="UniofMelTable31">
    <w:name w:val="Uni of Mel_Table31"/>
    <w:basedOn w:val="TableNormal"/>
    <w:uiPriority w:val="99"/>
    <w:rsid w:val="00CF3383"/>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paragraph" w:customStyle="1" w:styleId="Body-N">
    <w:name w:val="Body-N"/>
    <w:basedOn w:val="Normal"/>
    <w:link w:val="Body-NChar"/>
    <w:qFormat/>
    <w:rsid w:val="000E0E91"/>
    <w:pPr>
      <w:spacing w:before="0" w:after="0" w:line="276" w:lineRule="auto"/>
    </w:pPr>
    <w:rPr>
      <w:rFonts w:asciiTheme="minorHAnsi" w:eastAsiaTheme="minorEastAsia" w:hAnsiTheme="minorHAnsi"/>
      <w:kern w:val="0"/>
      <w:lang w:val="en-US"/>
      <w14:ligatures w14:val="none"/>
    </w:rPr>
  </w:style>
  <w:style w:type="character" w:customStyle="1" w:styleId="Body-NChar">
    <w:name w:val="Body-N Char"/>
    <w:basedOn w:val="DefaultParagraphFont"/>
    <w:link w:val="Body-N"/>
    <w:rsid w:val="000E0E91"/>
    <w:rPr>
      <w:rFonts w:eastAsiaTheme="minorEastAsia"/>
      <w:kern w:val="0"/>
      <w:lang w:val="en-US"/>
      <w14:ligatures w14:val="none"/>
    </w:rPr>
  </w:style>
  <w:style w:type="table" w:customStyle="1" w:styleId="UniofMelTable311">
    <w:name w:val="Uni of Mel_Table311"/>
    <w:basedOn w:val="TableNormal"/>
    <w:uiPriority w:val="99"/>
    <w:rsid w:val="00787D71"/>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12">
    <w:name w:val="Uni of Mel_Table312"/>
    <w:basedOn w:val="TableNormal"/>
    <w:uiPriority w:val="99"/>
    <w:rsid w:val="006E60B1"/>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2">
    <w:name w:val="Uni of Mel_Table32"/>
    <w:basedOn w:val="TableNormal"/>
    <w:uiPriority w:val="99"/>
    <w:rsid w:val="00437158"/>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3">
    <w:name w:val="Uni of Mel_Table33"/>
    <w:basedOn w:val="TableNormal"/>
    <w:uiPriority w:val="99"/>
    <w:rsid w:val="007E4C11"/>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7">
    <w:name w:val="Uni of Mel_Table37"/>
    <w:basedOn w:val="TableNormal"/>
    <w:uiPriority w:val="99"/>
    <w:rsid w:val="002772D2"/>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8">
    <w:name w:val="Uni of Mel_Table38"/>
    <w:basedOn w:val="TableNormal"/>
    <w:uiPriority w:val="99"/>
    <w:rsid w:val="001C7687"/>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42">
    <w:name w:val="Uni of Mel_Table342"/>
    <w:basedOn w:val="TableNormal"/>
    <w:uiPriority w:val="99"/>
    <w:rsid w:val="00FE5D2A"/>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5">
    <w:name w:val="Uni of Mel_Table35"/>
    <w:basedOn w:val="TableNormal"/>
    <w:uiPriority w:val="99"/>
    <w:rsid w:val="00A13F7B"/>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6">
    <w:name w:val="Uni of Mel_Table36"/>
    <w:basedOn w:val="TableNormal"/>
    <w:uiPriority w:val="99"/>
    <w:rsid w:val="007914B9"/>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9">
    <w:name w:val="Uni of Mel_Table39"/>
    <w:basedOn w:val="TableNormal"/>
    <w:uiPriority w:val="99"/>
    <w:rsid w:val="00C40344"/>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10">
    <w:name w:val="Uni of Mel_Table310"/>
    <w:basedOn w:val="TableNormal"/>
    <w:uiPriority w:val="99"/>
    <w:rsid w:val="00361D12"/>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14">
    <w:name w:val="Uni of Mel_Table314"/>
    <w:basedOn w:val="TableNormal"/>
    <w:uiPriority w:val="99"/>
    <w:rsid w:val="00DE5ED5"/>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15">
    <w:name w:val="Uni of Mel_Table315"/>
    <w:basedOn w:val="TableNormal"/>
    <w:uiPriority w:val="99"/>
    <w:rsid w:val="0000335F"/>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paragraph" w:styleId="Caption">
    <w:name w:val="caption"/>
    <w:basedOn w:val="Normal"/>
    <w:next w:val="Normal"/>
    <w:autoRedefine/>
    <w:uiPriority w:val="35"/>
    <w:unhideWhenUsed/>
    <w:qFormat/>
    <w:rsid w:val="00722B68"/>
    <w:pPr>
      <w:spacing w:before="0" w:after="200"/>
    </w:pPr>
    <w:rPr>
      <w:iCs/>
      <w:color w:val="0E2841" w:themeColor="text2"/>
      <w:szCs w:val="18"/>
    </w:rPr>
  </w:style>
  <w:style w:type="table" w:styleId="TableGrid">
    <w:name w:val="Table Grid"/>
    <w:basedOn w:val="TableNormal"/>
    <w:uiPriority w:val="39"/>
    <w:rsid w:val="00732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0178D"/>
    <w:pPr>
      <w:spacing w:before="0" w:after="0" w:line="278" w:lineRule="auto"/>
      <w:jc w:val="center"/>
    </w:pPr>
    <w:rPr>
      <w:rFonts w:cs="Arial"/>
      <w:noProof/>
      <w:sz w:val="22"/>
      <w:lang w:val="en-US"/>
    </w:rPr>
  </w:style>
  <w:style w:type="character" w:customStyle="1" w:styleId="EndNoteBibliographyTitleChar">
    <w:name w:val="EndNote Bibliography Title Char"/>
    <w:basedOn w:val="DefaultParagraphFont"/>
    <w:link w:val="EndNoteBibliographyTitle"/>
    <w:rsid w:val="0030178D"/>
    <w:rPr>
      <w:rFonts w:ascii="Arial" w:hAnsi="Arial" w:cs="Arial"/>
      <w:noProof/>
      <w:sz w:val="22"/>
      <w:lang w:val="en-US"/>
    </w:rPr>
  </w:style>
  <w:style w:type="paragraph" w:customStyle="1" w:styleId="EndNoteBibliography">
    <w:name w:val="EndNote Bibliography"/>
    <w:basedOn w:val="Normal"/>
    <w:link w:val="EndNoteBibliographyChar"/>
    <w:rsid w:val="0030178D"/>
    <w:pPr>
      <w:spacing w:before="0" w:after="160"/>
    </w:pPr>
    <w:rPr>
      <w:rFonts w:cs="Arial"/>
      <w:noProof/>
      <w:sz w:val="22"/>
      <w:lang w:val="en-US"/>
    </w:rPr>
  </w:style>
  <w:style w:type="character" w:customStyle="1" w:styleId="EndNoteBibliographyChar">
    <w:name w:val="EndNote Bibliography Char"/>
    <w:basedOn w:val="DefaultParagraphFont"/>
    <w:link w:val="EndNoteBibliography"/>
    <w:rsid w:val="0030178D"/>
    <w:rPr>
      <w:rFonts w:ascii="Arial" w:hAnsi="Arial" w:cs="Arial"/>
      <w:noProof/>
      <w:sz w:val="22"/>
      <w:lang w:val="en-US"/>
    </w:rPr>
  </w:style>
  <w:style w:type="paragraph" w:styleId="Revision">
    <w:name w:val="Revision"/>
    <w:hidden/>
    <w:uiPriority w:val="99"/>
    <w:semiHidden/>
    <w:rsid w:val="00257DE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967464">
      <w:bodyDiv w:val="1"/>
      <w:marLeft w:val="0"/>
      <w:marRight w:val="0"/>
      <w:marTop w:val="0"/>
      <w:marBottom w:val="0"/>
      <w:divBdr>
        <w:top w:val="none" w:sz="0" w:space="0" w:color="auto"/>
        <w:left w:val="none" w:sz="0" w:space="0" w:color="auto"/>
        <w:bottom w:val="none" w:sz="0" w:space="0" w:color="auto"/>
        <w:right w:val="none" w:sz="0" w:space="0" w:color="auto"/>
      </w:divBdr>
    </w:div>
    <w:div w:id="68271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cch.12098" TargetMode="External"/><Relationship Id="rId671" Type="http://schemas.openxmlformats.org/officeDocument/2006/relationships/hyperlink" Target="https://doi.org/10.1080/17549507.2016.1276963" TargetMode="External"/><Relationship Id="rId21" Type="http://schemas.openxmlformats.org/officeDocument/2006/relationships/hyperlink" Target="https://www.acecqa.gov.au/sites/default/files/2023-01/EYLF-2022-V2.0.pdf" TargetMode="External"/><Relationship Id="rId324" Type="http://schemas.openxmlformats.org/officeDocument/2006/relationships/hyperlink" Target="https://doi.org/10.1080/09638288.2023.2280084" TargetMode="External"/><Relationship Id="rId531" Type="http://schemas.openxmlformats.org/officeDocument/2006/relationships/hyperlink" Target="https://doi.org/10.1080/09638288.2023.2229733" TargetMode="External"/><Relationship Id="rId629" Type="http://schemas.openxmlformats.org/officeDocument/2006/relationships/hyperlink" Target="https://www.gov.uk/government/publications/individual-budgets-for-families-with-disabled-children" TargetMode="External"/><Relationship Id="rId170" Type="http://schemas.openxmlformats.org/officeDocument/2006/relationships/hyperlink" Target="http://www.in-control.org.uk/media/120711/building%20a%20new%20relationship%20final.pdf" TargetMode="External"/><Relationship Id="rId268" Type="http://schemas.openxmlformats.org/officeDocument/2006/relationships/hyperlink" Target="https://doi.org/10.1016/s2214-109x(18)30309-7" TargetMode="External"/><Relationship Id="rId475" Type="http://schemas.openxmlformats.org/officeDocument/2006/relationships/hyperlink" Target="https://www.researchgate.net/publication/237126419_Co_production_An_Emerging_Evidence_Base_for_Adult_Social_Care_Transformation" TargetMode="External"/><Relationship Id="rId682" Type="http://schemas.openxmlformats.org/officeDocument/2006/relationships/hyperlink" Target="http://www.who.int/classifications/icf/en/" TargetMode="External"/><Relationship Id="rId32" Type="http://schemas.openxmlformats.org/officeDocument/2006/relationships/hyperlink" Target="https://www.european-agency.org/" TargetMode="External"/><Relationship Id="rId128" Type="http://schemas.openxmlformats.org/officeDocument/2006/relationships/hyperlink" Target="https://doi.org/10.1016/S0140-6736(16)31390-3" TargetMode="External"/><Relationship Id="rId335" Type="http://schemas.openxmlformats.org/officeDocument/2006/relationships/hyperlink" Target="https://doi.org/10.1111/dmcn.13237" TargetMode="External"/><Relationship Id="rId542" Type="http://schemas.openxmlformats.org/officeDocument/2006/relationships/hyperlink" Target="http://www.cecll.org/download/ECLLReport_4_Responsive.pdf" TargetMode="External"/><Relationship Id="rId181" Type="http://schemas.openxmlformats.org/officeDocument/2006/relationships/hyperlink" Target="https://dcj.nsw.gov.au/documents/about-us/facsiar/pocls/pocls-publications/aboriginal-children-in-out-of-home-care-in-nsw.pdf" TargetMode="External"/><Relationship Id="rId402" Type="http://schemas.openxmlformats.org/officeDocument/2006/relationships/hyperlink" Target="https://doi.org/10.1177/10538151231159638" TargetMode="External"/><Relationship Id="rId279" Type="http://schemas.openxmlformats.org/officeDocument/2006/relationships/hyperlink" Target="https://dhs.sa.gov.au/__data/assets/pdf_file/0004/128803/Trauma-Framework_2022.pdf" TargetMode="External"/><Relationship Id="rId486" Type="http://schemas.openxmlformats.org/officeDocument/2006/relationships/hyperlink" Target="https://doi.org/10.1037/a0022161" TargetMode="External"/><Relationship Id="rId693" Type="http://schemas.openxmlformats.org/officeDocument/2006/relationships/hyperlink" Target="https://doi.org/10.1097/IYC.0b013e31822a6b77" TargetMode="External"/><Relationship Id="rId43" Type="http://schemas.openxmlformats.org/officeDocument/2006/relationships/hyperlink" Target="https://www.dec-sped.org/" TargetMode="External"/><Relationship Id="rId139" Type="http://schemas.openxmlformats.org/officeDocument/2006/relationships/hyperlink" Target="https://doi.org/10.1017/jse.2014.4" TargetMode="External"/><Relationship Id="rId346" Type="http://schemas.openxmlformats.org/officeDocument/2006/relationships/hyperlink" Target="http://dera.ioe.ac.uk/15776/1/DFE-RR232b%20report.pdf" TargetMode="External"/><Relationship Id="rId553" Type="http://schemas.openxmlformats.org/officeDocument/2006/relationships/hyperlink" Target="https://doi.org/10.1111/dmcn.13280" TargetMode="External"/><Relationship Id="rId192" Type="http://schemas.openxmlformats.org/officeDocument/2006/relationships/hyperlink" Target="https://doi.org/10.21307/eb-2017-003" TargetMode="External"/><Relationship Id="rId206" Type="http://schemas.openxmlformats.org/officeDocument/2006/relationships/hyperlink" Target="http://aboriginal.telethonkids.org.au/media/699863/Working-Together-Book.pdf" TargetMode="External"/><Relationship Id="rId413" Type="http://schemas.openxmlformats.org/officeDocument/2006/relationships/hyperlink" Target="https://www.abc.net.au/listen/programs/bigideas/boyers-3&amp;4/7819306" TargetMode="External"/><Relationship Id="rId497" Type="http://schemas.openxmlformats.org/officeDocument/2006/relationships/hyperlink" Target="https://doi.org/10.1177/0271121408329171" TargetMode="External"/><Relationship Id="rId620" Type="http://schemas.openxmlformats.org/officeDocument/2006/relationships/hyperlink" Target="https://doi.org/10.1177/1053815115602880" TargetMode="External"/><Relationship Id="rId357" Type="http://schemas.openxmlformats.org/officeDocument/2006/relationships/hyperlink" Target="https://doi.org/10.1097/IYC.0000000000000062" TargetMode="External"/><Relationship Id="rId54" Type="http://schemas.openxmlformats.org/officeDocument/2006/relationships/hyperlink" Target="https://ectacenter.org/decrp/type-pgfamily.asp" TargetMode="External"/><Relationship Id="rId217" Type="http://schemas.openxmlformats.org/officeDocument/2006/relationships/hyperlink" Target="https://tudr.org/id/eprint/85" TargetMode="External"/><Relationship Id="rId564" Type="http://schemas.openxmlformats.org/officeDocument/2006/relationships/hyperlink" Target="https://doi.org/10.1016/S2352-4642(23)00292-4" TargetMode="External"/><Relationship Id="rId424" Type="http://schemas.openxmlformats.org/officeDocument/2006/relationships/hyperlink" Target="https://doi.org/10.1111/jpc.14151" TargetMode="External"/><Relationship Id="rId631" Type="http://schemas.openxmlformats.org/officeDocument/2006/relationships/hyperlink" Target="https://doi.org/10.1016/j.ridd.2024.104697" TargetMode="External"/><Relationship Id="rId270" Type="http://schemas.openxmlformats.org/officeDocument/2006/relationships/hyperlink" Target="https://doi.org/10.1007/s12178-015-9273-z" TargetMode="External"/><Relationship Id="rId65" Type="http://schemas.openxmlformats.org/officeDocument/2006/relationships/hyperlink" Target="https://doi.org/10.1002/dev.22089" TargetMode="External"/><Relationship Id="rId130" Type="http://schemas.openxmlformats.org/officeDocument/2006/relationships/hyperlink" Target="https://doi.org/https://doi.org/10.1037/0012-1649.22.6.723" TargetMode="External"/><Relationship Id="rId368" Type="http://schemas.openxmlformats.org/officeDocument/2006/relationships/hyperlink" Target="https://www.acf.hhs.gov/opre/report/understanding-family-engagement-home-visiting-literature-synthesis" TargetMode="External"/><Relationship Id="rId575" Type="http://schemas.openxmlformats.org/officeDocument/2006/relationships/hyperlink" Target="https://doi.org/10.1111/cch.12223" TargetMode="External"/><Relationship Id="rId228" Type="http://schemas.openxmlformats.org/officeDocument/2006/relationships/hyperlink" Target="https://www.flipsnack.com/earlychildhoodintervention/ecia-inclusion-self-reflection-tool/full-view.html" TargetMode="External"/><Relationship Id="rId435" Type="http://schemas.openxmlformats.org/officeDocument/2006/relationships/hyperlink" Target="https://www.smh.com.au/national/australasia-rising-who-we-are-becoming-20190122-p50ssx.html" TargetMode="External"/><Relationship Id="rId642" Type="http://schemas.openxmlformats.org/officeDocument/2006/relationships/hyperlink" Target="https://www.acf.hhs.gov/ecd/policy-guidance/policy-statement-inclusion-children-disability-early-childhood-programs" TargetMode="External"/><Relationship Id="rId281" Type="http://schemas.openxmlformats.org/officeDocument/2006/relationships/hyperlink" Target="https://www.taylorfrancis.com/chapters/edit/10.4324/9780367142025-26/early-childhood-education-care-indigenous-children-families-colonised-nations-rebekah-grace-mere-skerrett-jenny-ritchie-margo-greenwood-michelle-trudgett" TargetMode="External"/><Relationship Id="rId502" Type="http://schemas.openxmlformats.org/officeDocument/2006/relationships/hyperlink" Target="https://doi.org/10.3389/fpubh.2024.1390107" TargetMode="External"/><Relationship Id="rId76" Type="http://schemas.openxmlformats.org/officeDocument/2006/relationships/hyperlink" Target="https://doi.org/10.1007/s00406-005-0624-4" TargetMode="External"/><Relationship Id="rId141" Type="http://schemas.openxmlformats.org/officeDocument/2006/relationships/hyperlink" Target="https://www.eurlyaid.eu/wp-content/uploads/2016/05/eaei_eci_development_eng.pdf" TargetMode="External"/><Relationship Id="rId379" Type="http://schemas.openxmlformats.org/officeDocument/2006/relationships/hyperlink" Target="https://doi.org/10.1177/1473325015589402" TargetMode="External"/><Relationship Id="rId586" Type="http://schemas.openxmlformats.org/officeDocument/2006/relationships/hyperlink" Target="https://ectacenter.org/sig/" TargetMode="External"/><Relationship Id="rId7" Type="http://schemas.openxmlformats.org/officeDocument/2006/relationships/settings" Target="settings.xml"/><Relationship Id="rId239" Type="http://schemas.openxmlformats.org/officeDocument/2006/relationships/hyperlink" Target="https://www.european-agency.org/sites/default/files/eci-key-policy-messages_en.pdf" TargetMode="External"/><Relationship Id="rId446" Type="http://schemas.openxmlformats.org/officeDocument/2006/relationships/hyperlink" Target="https://lifecoursecentre.org.au/wp-content/uploads/2022/02/Life-Course-Centre-Working-Paper-2022-06-Monks-et-al..pdf" TargetMode="External"/><Relationship Id="rId653" Type="http://schemas.openxmlformats.org/officeDocument/2006/relationships/hyperlink" Target="https://doi.org/10.1111/jpc.14176" TargetMode="External"/><Relationship Id="rId292" Type="http://schemas.openxmlformats.org/officeDocument/2006/relationships/hyperlink" Target="https://doi.org/10.1097/IYC.0b013e3182002cfe" TargetMode="External"/><Relationship Id="rId306" Type="http://schemas.openxmlformats.org/officeDocument/2006/relationships/hyperlink" Target="https://doi.org/10.1016/S0140-6736(71)92410-X" TargetMode="External"/><Relationship Id="rId87" Type="http://schemas.openxmlformats.org/officeDocument/2006/relationships/hyperlink" Target="https://www.education.gov.au/review-inform-better-and-fairer-education-system/resources/expert-panels-report" TargetMode="External"/><Relationship Id="rId513" Type="http://schemas.openxmlformats.org/officeDocument/2006/relationships/hyperlink" Target="https://doi.org/10.1016/j.disamonth.2010.02.001" TargetMode="External"/><Relationship Id="rId597" Type="http://schemas.openxmlformats.org/officeDocument/2006/relationships/hyperlink" Target="https://healthinfonet.ecu.edu.au/key-resources/policies-and-strategies/2940/?title=Social+and+emotional+well+being+framework++a+national+strategic+framework+for+Aboriginal+and+Torres+Strait+Islander+mental+health+and+social+and+emotional+well+being+2004+2009&amp;contenttypeid=1&amp;contentid=2940_1" TargetMode="External"/><Relationship Id="rId152" Type="http://schemas.openxmlformats.org/officeDocument/2006/relationships/hyperlink" Target="https://doi.org/10.5694/mja2.52368" TargetMode="External"/><Relationship Id="rId457" Type="http://schemas.openxmlformats.org/officeDocument/2006/relationships/hyperlink" Target="https://www.vichealth.vic.gov.au/media-and-resources/publications/the-vichealth-framework-for-health-equity" TargetMode="External"/><Relationship Id="rId664" Type="http://schemas.openxmlformats.org/officeDocument/2006/relationships/hyperlink" Target="https://aifs.gov.au/cfca/publications/trauma-informed-care-child-family-welfare-services" TargetMode="External"/><Relationship Id="rId14" Type="http://schemas.openxmlformats.org/officeDocument/2006/relationships/hyperlink" Target="http://www.noahsarkinc.org.au/training" TargetMode="External"/><Relationship Id="rId317" Type="http://schemas.openxmlformats.org/officeDocument/2006/relationships/hyperlink" Target="https://www.plumtree.org.au/wp-content/uploads/2020/04/Literature-Review_Families-as-Peer-Workers_Plumtree-IWF-Project_july-version.pdf" TargetMode="External"/><Relationship Id="rId524" Type="http://schemas.openxmlformats.org/officeDocument/2006/relationships/hyperlink" Target="https://doi.org/10.1038/pr.2014.122" TargetMode="External"/><Relationship Id="rId98" Type="http://schemas.openxmlformats.org/officeDocument/2006/relationships/hyperlink" Target="https://doi.org/10.1016/S0140-6736(17)30569-X" TargetMode="External"/><Relationship Id="rId163" Type="http://schemas.openxmlformats.org/officeDocument/2006/relationships/hyperlink" Target="https://doi.org/10.1177/001440291307900201" TargetMode="External"/><Relationship Id="rId370" Type="http://schemas.openxmlformats.org/officeDocument/2006/relationships/hyperlink" Target="https://doi.org/10.1111/dmcn.13546" TargetMode="External"/><Relationship Id="rId230" Type="http://schemas.openxmlformats.org/officeDocument/2006/relationships/hyperlink" Target="https://www.sciencedirect.com/science/article/pii/S1747938X19304889" TargetMode="External"/><Relationship Id="rId468" Type="http://schemas.openxmlformats.org/officeDocument/2006/relationships/hyperlink" Target="https://doi.org/10.17226/25201" TargetMode="External"/><Relationship Id="rId675" Type="http://schemas.openxmlformats.org/officeDocument/2006/relationships/hyperlink" Target="https://doi.org/10.1136/jech-2019-213384" TargetMode="External"/><Relationship Id="rId25" Type="http://schemas.openxmlformats.org/officeDocument/2006/relationships/hyperlink" Target="https://www.disabilitygateway.gov.au/sites/default/files/documents/2021-11/1786-australias-disability.pdf" TargetMode="External"/><Relationship Id="rId328" Type="http://schemas.openxmlformats.org/officeDocument/2006/relationships/hyperlink" Target="https://doi.org/10.1016/S2468-2667(17)30118-4" TargetMode="External"/><Relationship Id="rId535" Type="http://schemas.openxmlformats.org/officeDocument/2006/relationships/hyperlink" Target="https://www.preventioninstitute.org/projects/advancing-system-prevention-achieve-health-equity" TargetMode="External"/><Relationship Id="rId174" Type="http://schemas.openxmlformats.org/officeDocument/2006/relationships/hyperlink" Target="https://doi.org/10.1136/archdischild-2019-316929" TargetMode="External"/><Relationship Id="rId381" Type="http://schemas.openxmlformats.org/officeDocument/2006/relationships/hyperlink" Target="https://doi.org/10.1177/0883073814533151" TargetMode="External"/><Relationship Id="rId602" Type="http://schemas.openxmlformats.org/officeDocument/2006/relationships/hyperlink" Target="https://doi.org/10.1111/jcpp.13886" TargetMode="External"/><Relationship Id="rId241" Type="http://schemas.openxmlformats.org/officeDocument/2006/relationships/hyperlink" Target="https://www.european-agency.org/resources/publications/inclusive-early-childhood-education-new-insights-and-tools-final-summary" TargetMode="External"/><Relationship Id="rId479" Type="http://schemas.openxmlformats.org/officeDocument/2006/relationships/hyperlink" Target="https://doi.org/10.1016/j.tins.2020.01.002" TargetMode="External"/><Relationship Id="rId686" Type="http://schemas.openxmlformats.org/officeDocument/2006/relationships/hyperlink" Target="https://iris.who.int/handle/10665/75355" TargetMode="External"/><Relationship Id="rId36" Type="http://schemas.openxmlformats.org/officeDocument/2006/relationships/hyperlink" Target="https://assets.education.govt.nz/public/Documents/Ministry-/Changes-in-education/Learning-Support-Delivery-Model-working-together-Nov-2019.PDF" TargetMode="External"/><Relationship Id="rId339" Type="http://schemas.openxmlformats.org/officeDocument/2006/relationships/hyperlink" Target="https://www.iriss.org.uk/resources/tools/leading-outcomes-guide" TargetMode="External"/><Relationship Id="rId546" Type="http://schemas.openxmlformats.org/officeDocument/2006/relationships/hyperlink" Target="https://doi.org/10.3109/01942638.2010.540311" TargetMode="External"/><Relationship Id="rId101" Type="http://schemas.openxmlformats.org/officeDocument/2006/relationships/hyperlink" Target="https://doi.org/10.1177/1362361312442597" TargetMode="External"/><Relationship Id="rId185" Type="http://schemas.openxmlformats.org/officeDocument/2006/relationships/hyperlink" Target="https://www.dffh.vic.gov.au/framework-trauma-informed-practice" TargetMode="External"/><Relationship Id="rId406" Type="http://schemas.openxmlformats.org/officeDocument/2006/relationships/hyperlink" Target="https://doi.org/10.20489/intjecse.107926" TargetMode="External"/><Relationship Id="rId392" Type="http://schemas.openxmlformats.org/officeDocument/2006/relationships/hyperlink" Target="https://doi.org/10.1080/10522158.2017.1348105" TargetMode="External"/><Relationship Id="rId613" Type="http://schemas.openxmlformats.org/officeDocument/2006/relationships/hyperlink" Target="https://ectacenter.org/~pdfs/topics/families/Principles_LooksLike_DoesntLookLike3_11_08.pdf" TargetMode="External"/><Relationship Id="rId697" Type="http://schemas.openxmlformats.org/officeDocument/2006/relationships/theme" Target="theme/theme1.xml"/><Relationship Id="rId252" Type="http://schemas.openxmlformats.org/officeDocument/2006/relationships/hyperlink" Target="https://doi.org/10.1177/001440291307900206" TargetMode="External"/><Relationship Id="rId47" Type="http://schemas.openxmlformats.org/officeDocument/2006/relationships/hyperlink" Target="https://challengingbehavior.org/" TargetMode="External"/><Relationship Id="rId112" Type="http://schemas.openxmlformats.org/officeDocument/2006/relationships/hyperlink" Target="https://doi.org/10.1037/h0080419" TargetMode="External"/><Relationship Id="rId557" Type="http://schemas.openxmlformats.org/officeDocument/2006/relationships/hyperlink" Target="https://doi.org/10.1080/09638288.2024.2394647" TargetMode="External"/><Relationship Id="rId196" Type="http://schemas.openxmlformats.org/officeDocument/2006/relationships/hyperlink" Target="https://doi.org/10.1023/a:1025802515241" TargetMode="External"/><Relationship Id="rId417" Type="http://schemas.openxmlformats.org/officeDocument/2006/relationships/hyperlink" Target="https://doi.org/10.1002/pd.4698" TargetMode="External"/><Relationship Id="rId624" Type="http://schemas.openxmlformats.org/officeDocument/2006/relationships/hyperlink" Target="https://assets.education.govt.nz/public/Documents/Ministry/Publications/Statements-of-intent/SPG-0775-Statement-of-Intent-2021-2026_AW-Web-1.pdf" TargetMode="External"/><Relationship Id="rId263" Type="http://schemas.openxmlformats.org/officeDocument/2006/relationships/hyperlink" Target="https://doi.org/10.1111/hex.13812" TargetMode="External"/><Relationship Id="rId470" Type="http://schemas.openxmlformats.org/officeDocument/2006/relationships/hyperlink" Target="https://www.niaa.gov.au/resource-centre/national-aboriginal-and-torres-strait-islander-early-childhood-strategy" TargetMode="External"/><Relationship Id="rId58" Type="http://schemas.openxmlformats.org/officeDocument/2006/relationships/hyperlink" Target="https://ectacenter.org/sig/boq.asp" TargetMode="External"/><Relationship Id="rId123" Type="http://schemas.openxmlformats.org/officeDocument/2006/relationships/hyperlink" Target="https://ojs.unbc.ca/index.php/design/article/view/1661" TargetMode="External"/><Relationship Id="rId330" Type="http://schemas.openxmlformats.org/officeDocument/2006/relationships/hyperlink" Target="https://doi.org/10.1016/j.ridd.2013.06.037" TargetMode="External"/><Relationship Id="rId568" Type="http://schemas.openxmlformats.org/officeDocument/2006/relationships/hyperlink" Target="https://www.aracy.org.au/publication-resources/area?command=record&amp;id=83&amp;cid=6" TargetMode="External"/><Relationship Id="rId428" Type="http://schemas.openxmlformats.org/officeDocument/2006/relationships/hyperlink" Target="https://www.iriss.org.uk/sites/default/files/2019-01/insights-45_1.pdf" TargetMode="External"/><Relationship Id="rId635" Type="http://schemas.openxmlformats.org/officeDocument/2006/relationships/hyperlink" Target="https://doi.org/10.1007/s40489-019-00186-7" TargetMode="External"/><Relationship Id="rId274" Type="http://schemas.openxmlformats.org/officeDocument/2006/relationships/hyperlink" Target="https://doi.org/10.1093/ije/dyy086" TargetMode="External"/><Relationship Id="rId481" Type="http://schemas.openxmlformats.org/officeDocument/2006/relationships/hyperlink" Target="https://doi.org/10.1111/jomf.12312" TargetMode="External"/><Relationship Id="rId69" Type="http://schemas.openxmlformats.org/officeDocument/2006/relationships/hyperlink" Target="https://doi.org/10.1111/cch.12866" TargetMode="External"/><Relationship Id="rId134" Type="http://schemas.openxmlformats.org/officeDocument/2006/relationships/hyperlink" Target="https://www.smh.com.au/lifestyle/health-and-wellness/risk-and-reward-dna-tests-alone-shouldn-t-make-our-biggest-decision-20190213-p50xii.html" TargetMode="External"/><Relationship Id="rId579" Type="http://schemas.openxmlformats.org/officeDocument/2006/relationships/hyperlink" Target="https://www.oecd-ilibrary.org/education/the-power-and-promise-of-early-learning_f9b2e53f-en" TargetMode="External"/><Relationship Id="rId341" Type="http://schemas.openxmlformats.org/officeDocument/2006/relationships/hyperlink" Target="https://iriss.org.uk/sites/default/files/iriss-insight-24.pdf" TargetMode="External"/><Relationship Id="rId439" Type="http://schemas.openxmlformats.org/officeDocument/2006/relationships/hyperlink" Target="https://doi.org/10.1080/09638288.2022.2143579" TargetMode="External"/><Relationship Id="rId646" Type="http://schemas.openxmlformats.org/officeDocument/2006/relationships/hyperlink" Target="https://doi.org/10.18357/ijcyfs43201312431" TargetMode="External"/><Relationship Id="rId201" Type="http://schemas.openxmlformats.org/officeDocument/2006/relationships/hyperlink" Target="https://files.eric.ed.gov/fulltext/ED370253.pdf" TargetMode="External"/><Relationship Id="rId285" Type="http://schemas.openxmlformats.org/officeDocument/2006/relationships/hyperlink" Target="https://doi.org/10.1007/s10464-007-9127-y" TargetMode="External"/><Relationship Id="rId506" Type="http://schemas.openxmlformats.org/officeDocument/2006/relationships/hyperlink" Target="https://doi.org/10.1111/j.1939-0025.2011.01129.x" TargetMode="External"/><Relationship Id="rId492" Type="http://schemas.openxmlformats.org/officeDocument/2006/relationships/hyperlink" Target="https://doi.org/10.1111/dmcn.12246" TargetMode="External"/><Relationship Id="rId145" Type="http://schemas.openxmlformats.org/officeDocument/2006/relationships/hyperlink" Target="http://www.rch.org.au/emplibrary/ccch/PB18_Vulnerable_families.pdf" TargetMode="External"/><Relationship Id="rId352" Type="http://schemas.openxmlformats.org/officeDocument/2006/relationships/hyperlink" Target="https://doi.org/10.1177/1053815113515181" TargetMode="External"/><Relationship Id="rId212" Type="http://schemas.openxmlformats.org/officeDocument/2006/relationships/hyperlink" Target="https://doi.org/10.1177/0271121400020002" TargetMode="External"/><Relationship Id="rId657" Type="http://schemas.openxmlformats.org/officeDocument/2006/relationships/hyperlink" Target="http://www.gpcwd.org/uploads/2/6/0/9/26097656/global_survey_of_iecd_and_eci_programs_-_2019.pdf" TargetMode="External"/><Relationship Id="rId296" Type="http://schemas.openxmlformats.org/officeDocument/2006/relationships/hyperlink" Target="https://doi.org/10.1136/bmj.39489.470347" TargetMode="External"/><Relationship Id="rId517" Type="http://schemas.openxmlformats.org/officeDocument/2006/relationships/hyperlink" Target="https://doi.org/10.1186/s13643-021-01821-3" TargetMode="External"/><Relationship Id="rId60" Type="http://schemas.openxmlformats.org/officeDocument/2006/relationships/image" Target="media/image4.png"/><Relationship Id="rId156" Type="http://schemas.openxmlformats.org/officeDocument/2006/relationships/hyperlink" Target="https://doi.org/10.1371/journal.pmed.1002393" TargetMode="External"/><Relationship Id="rId363" Type="http://schemas.openxmlformats.org/officeDocument/2006/relationships/hyperlink" Target="https://doi.org/10.1177/0883073814533009" TargetMode="External"/><Relationship Id="rId570" Type="http://schemas.openxmlformats.org/officeDocument/2006/relationships/hyperlink" Target="https://doi.org/10.1001/jamanetworkopen.2023.5847" TargetMode="External"/><Relationship Id="rId223" Type="http://schemas.openxmlformats.org/officeDocument/2006/relationships/hyperlink" Target="https://doi.org/10.1159/000523723" TargetMode="External"/><Relationship Id="rId430" Type="http://schemas.openxmlformats.org/officeDocument/2006/relationships/hyperlink" Target="https://doi.org/10.3390/ijerph17228308" TargetMode="External"/><Relationship Id="rId668" Type="http://schemas.openxmlformats.org/officeDocument/2006/relationships/hyperlink" Target="https://whatworkswellbeing.org/resources/joint-decision-making/" TargetMode="External"/><Relationship Id="rId18" Type="http://schemas.openxmlformats.org/officeDocument/2006/relationships/hyperlink" Target="https://www.niaa.gov.au/resource-centre/national-aboriginal-and-torres-strait-islander-early-childhood-strategy" TargetMode="External"/><Relationship Id="rId265" Type="http://schemas.openxmlformats.org/officeDocument/2006/relationships/hyperlink" Target="https://doi.org/10.3109/13668250.2014.983056" TargetMode="External"/><Relationship Id="rId472" Type="http://schemas.openxmlformats.org/officeDocument/2006/relationships/hyperlink" Target="https://harvardcenter.wpenginepowered.com/wp-content/uploads/2023/03/HCDC_WP16_R2A.pdf" TargetMode="External"/><Relationship Id="rId528" Type="http://schemas.openxmlformats.org/officeDocument/2006/relationships/hyperlink" Target="https://doi.org/10.1111/cch.13255" TargetMode="External"/><Relationship Id="rId125" Type="http://schemas.openxmlformats.org/officeDocument/2006/relationships/hyperlink" Target="https://www.rwjf.org/en/library/research/2018/05/early-childhood-is-critical-to-health-equity.html" TargetMode="External"/><Relationship Id="rId167" Type="http://schemas.openxmlformats.org/officeDocument/2006/relationships/hyperlink" Target="https://doi.org/10.1177/0271121415595551" TargetMode="External"/><Relationship Id="rId332" Type="http://schemas.openxmlformats.org/officeDocument/2006/relationships/hyperlink" Target="https://doi.org/10.1111/dmcn.14399" TargetMode="External"/><Relationship Id="rId374" Type="http://schemas.openxmlformats.org/officeDocument/2006/relationships/hyperlink" Target="https://doi.org/10.1177/1096250615576807" TargetMode="External"/><Relationship Id="rId581" Type="http://schemas.openxmlformats.org/officeDocument/2006/relationships/hyperlink" Target="https://doi.org/10.1111/j.1741-1130.2009.00215.x" TargetMode="External"/><Relationship Id="rId71" Type="http://schemas.openxmlformats.org/officeDocument/2006/relationships/hyperlink" Target="https://doi.org/10.1080/19411243.2023.2177237" TargetMode="External"/><Relationship Id="rId234" Type="http://schemas.openxmlformats.org/officeDocument/2006/relationships/hyperlink" Target="https://doi.org/10.1080/10522150903514017" TargetMode="External"/><Relationship Id="rId637" Type="http://schemas.openxmlformats.org/officeDocument/2006/relationships/hyperlink" Target="https://doi.org/10.7326/m18-0850" TargetMode="External"/><Relationship Id="rId679" Type="http://schemas.openxmlformats.org/officeDocument/2006/relationships/hyperlink" Target="https://ectacenter.org/~pdfs/topics/families/agreeduponpractices_finaldraft2_01_08.pdf" TargetMode="External"/><Relationship Id="rId2" Type="http://schemas.openxmlformats.org/officeDocument/2006/relationships/customXml" Target="../customXml/item2.xml"/><Relationship Id="rId29" Type="http://schemas.openxmlformats.org/officeDocument/2006/relationships/hyperlink" Target="https://www.dss.gov.au/sites/default/files/documents/05_2024/early-years-strategy-2024-2034.pdf" TargetMode="External"/><Relationship Id="rId276" Type="http://schemas.openxmlformats.org/officeDocument/2006/relationships/hyperlink" Target="https://www.childtrends.org/publications/5-things-know-about-indigenous-knowledge-when-working-with-indigenous-children-youth-families" TargetMode="External"/><Relationship Id="rId441" Type="http://schemas.openxmlformats.org/officeDocument/2006/relationships/hyperlink" Target="https://www.natsem.canberra.edu.au/publications/?publication=child-social-exclusion-poverty-and-disadvantage-in-australia" TargetMode="External"/><Relationship Id="rId483" Type="http://schemas.openxmlformats.org/officeDocument/2006/relationships/hyperlink" Target="https://hepikorua.education.govt.nz/our-principles/" TargetMode="External"/><Relationship Id="rId539" Type="http://schemas.openxmlformats.org/officeDocument/2006/relationships/hyperlink" Target="https://www.pc.gov.au/inquiries/completed/disability-support/report" TargetMode="External"/><Relationship Id="rId690" Type="http://schemas.openxmlformats.org/officeDocument/2006/relationships/hyperlink" Target="https://doi.org/10.1037/a0028015" TargetMode="External"/><Relationship Id="rId40" Type="http://schemas.openxmlformats.org/officeDocument/2006/relationships/hyperlink" Target="https://nasen.org.uk/resources?title=&amp;field_category_target_id%5B696%5D=696" TargetMode="External"/><Relationship Id="rId136" Type="http://schemas.openxmlformats.org/officeDocument/2006/relationships/hyperlink" Target="https://doi.org/10.1080/10888691.2017.1398649" TargetMode="External"/><Relationship Id="rId178" Type="http://schemas.openxmlformats.org/officeDocument/2006/relationships/hyperlink" Target="http://povertyandinequality.acoss.org.au/wp-content/uploads/2020/09/Inequality-in-Australia-2020-Part-1_FINAL.pdf" TargetMode="External"/><Relationship Id="rId301" Type="http://schemas.openxmlformats.org/officeDocument/2006/relationships/hyperlink" Target="https://doi.org/10.1007/s10995-013-1346-2" TargetMode="External"/><Relationship Id="rId343" Type="http://schemas.openxmlformats.org/officeDocument/2006/relationships/hyperlink" Target="https://doi.org/10.1111/dmcn.15055" TargetMode="External"/><Relationship Id="rId550" Type="http://schemas.openxmlformats.org/officeDocument/2006/relationships/hyperlink" Target="https://www.menzies.edu.au/icms_docs/312386_Ngaripirliga%E2%80%99ajirri_An_Early_Intervention_Program_on_the_Tiwi_Islands.pdf" TargetMode="External"/><Relationship Id="rId82" Type="http://schemas.openxmlformats.org/officeDocument/2006/relationships/hyperlink" Target="https://doi.org/10.1111/jcpp.13481" TargetMode="External"/><Relationship Id="rId203" Type="http://schemas.openxmlformats.org/officeDocument/2006/relationships/hyperlink" Target="https://doi.org/10.1111/jpc.16598" TargetMode="External"/><Relationship Id="rId385" Type="http://schemas.openxmlformats.org/officeDocument/2006/relationships/hyperlink" Target="https://doi.org/10.1007/s10972-015-9443-2" TargetMode="External"/><Relationship Id="rId592" Type="http://schemas.openxmlformats.org/officeDocument/2006/relationships/hyperlink" Target="https://www.snaicc.org.au/wp-content/uploads/2021/11/211101_8_National-Framework-Protecting-Australias-Children.pdf" TargetMode="External"/><Relationship Id="rId606" Type="http://schemas.openxmlformats.org/officeDocument/2006/relationships/hyperlink" Target="https://doi.org/https://doi.org/10.1177/1053815115569732" TargetMode="External"/><Relationship Id="rId648" Type="http://schemas.openxmlformats.org/officeDocument/2006/relationships/hyperlink" Target="https://www.unicef.org/ukraine/media/36326/file/Unicef_Ealy%20childhood_ENG_.pdf" TargetMode="External"/><Relationship Id="rId245" Type="http://schemas.openxmlformats.org/officeDocument/2006/relationships/hyperlink" Target="https://easpd.eu/fileadmin/user_upload/Publications/easpd_2020_es_report.pdf" TargetMode="External"/><Relationship Id="rId287" Type="http://schemas.openxmlformats.org/officeDocument/2006/relationships/hyperlink" Target="https://doi.org/10.1136/bmj.g3725" TargetMode="External"/><Relationship Id="rId410" Type="http://schemas.openxmlformats.org/officeDocument/2006/relationships/hyperlink" Target="https://doi.org/10.1186/s12889-022-13301-x" TargetMode="External"/><Relationship Id="rId452" Type="http://schemas.openxmlformats.org/officeDocument/2006/relationships/hyperlink" Target="https://www.berrystreet.org.au/shop/products/strengthening-evidence-use-in-practice-an-evidence-informed-decision-making-framework" TargetMode="External"/><Relationship Id="rId494" Type="http://schemas.openxmlformats.org/officeDocument/2006/relationships/hyperlink" Target="https://doi.org/10.1080/09638288.2019.1629652" TargetMode="External"/><Relationship Id="rId508" Type="http://schemas.openxmlformats.org/officeDocument/2006/relationships/hyperlink" Target="https://doi.org/10.1007/s41252-019-00106-0" TargetMode="External"/><Relationship Id="rId105" Type="http://schemas.openxmlformats.org/officeDocument/2006/relationships/hyperlink" Target="https://doi.org/10.1177/10538151231164902" TargetMode="External"/><Relationship Id="rId147" Type="http://schemas.openxmlformats.org/officeDocument/2006/relationships/hyperlink" Target="https://www.rch.org.au/uploadedFiles/Main/Content/ccchdev/1711-CCCH-PolicyBrief-27.pdf" TargetMode="External"/><Relationship Id="rId312" Type="http://schemas.openxmlformats.org/officeDocument/2006/relationships/hyperlink" Target="https://doi.org/10.1016/j.psyneuen.2018.12.011" TargetMode="External"/><Relationship Id="rId354" Type="http://schemas.openxmlformats.org/officeDocument/2006/relationships/hyperlink" Target="https://doi.org/10.1787/9789264246010-en" TargetMode="External"/><Relationship Id="rId51" Type="http://schemas.openxmlformats.org/officeDocument/2006/relationships/footer" Target="footer2.xml"/><Relationship Id="rId93" Type="http://schemas.openxmlformats.org/officeDocument/2006/relationships/hyperlink" Target="https://www.autismcrc.com.au/best-practice/assessment-and-diagnosis" TargetMode="External"/><Relationship Id="rId189" Type="http://schemas.openxmlformats.org/officeDocument/2006/relationships/hyperlink" Target="https://healthinfonet.ecu.edu.au/key-resources/policies-and-strategies/33834/?title=National+strategic+framework+for+Aboriginal+and+Torres+Strait+Islander+peoples++mental+health+and+social+and+emotional+wellbeing+2017+2023&amp;contenttypeid=1&amp;contentid=33834_1" TargetMode="External"/><Relationship Id="rId396" Type="http://schemas.openxmlformats.org/officeDocument/2006/relationships/hyperlink" Target="https://doi.org/10.1111/cch.12592" TargetMode="External"/><Relationship Id="rId561" Type="http://schemas.openxmlformats.org/officeDocument/2006/relationships/hyperlink" Target="https://www.abc.net.au/news/2016-05-08/queensland-worst-state-to-be-a-mother,-report-finds/7392280" TargetMode="External"/><Relationship Id="rId617" Type="http://schemas.openxmlformats.org/officeDocument/2006/relationships/hyperlink" Target="https://doi.org/10.4300/JGME-D-22-00480.1" TargetMode="External"/><Relationship Id="rId659" Type="http://schemas.openxmlformats.org/officeDocument/2006/relationships/hyperlink" Target="http://www.covidence.org" TargetMode="External"/><Relationship Id="rId214" Type="http://schemas.openxmlformats.org/officeDocument/2006/relationships/hyperlink" Target="https://www.wbpress.com/wp-content/uploads/2018/12/WP-EBP-Monograph.pdf" TargetMode="External"/><Relationship Id="rId256" Type="http://schemas.openxmlformats.org/officeDocument/2006/relationships/hyperlink" Target="https://doi.org/10.1111/cch.12075" TargetMode="External"/><Relationship Id="rId298" Type="http://schemas.openxmlformats.org/officeDocument/2006/relationships/hyperlink" Target="https://doi.org/10.1542/peds.2023-061813" TargetMode="External"/><Relationship Id="rId421" Type="http://schemas.openxmlformats.org/officeDocument/2006/relationships/hyperlink" Target="https://doi.org/10.3109/09638288.2014.946157" TargetMode="External"/><Relationship Id="rId463" Type="http://schemas.openxmlformats.org/officeDocument/2006/relationships/hyperlink" Target="https://doi.org/10.1111/jpc.14177" TargetMode="External"/><Relationship Id="rId519" Type="http://schemas.openxmlformats.org/officeDocument/2006/relationships/hyperlink" Target="https://doi.org/10.1016/j.chiabu.2019.104127" TargetMode="External"/><Relationship Id="rId670" Type="http://schemas.openxmlformats.org/officeDocument/2006/relationships/hyperlink" Target="http://phrc.lshtm.ac.uk/papers/PHRC_004_Final_Report.pdf" TargetMode="External"/><Relationship Id="rId116" Type="http://schemas.openxmlformats.org/officeDocument/2006/relationships/hyperlink" Target="https://doi.org/10.1186/s12889-018-5168-4" TargetMode="External"/><Relationship Id="rId158" Type="http://schemas.openxmlformats.org/officeDocument/2006/relationships/hyperlink" Target="https://www.flipsnack.com/cedamelbourne/addressing-entrenched-disadvantage-in-australia-fdu36if3d.html" TargetMode="External"/><Relationship Id="rId323" Type="http://schemas.openxmlformats.org/officeDocument/2006/relationships/hyperlink" Target="https://doi.org/10.1111/j.1365-2206.2006.00397.x" TargetMode="External"/><Relationship Id="rId530" Type="http://schemas.openxmlformats.org/officeDocument/2006/relationships/hyperlink" Target="https://researchbriefings.files.parliament.uk/documents/CBP-9292/CBP-9292.pdf" TargetMode="External"/><Relationship Id="rId20" Type="http://schemas.openxmlformats.org/officeDocument/2006/relationships/hyperlink" Target="https://www.autismcrc.com.au/best-practice/supporting-children" TargetMode="External"/><Relationship Id="rId62" Type="http://schemas.openxmlformats.org/officeDocument/2006/relationships/chart" Target="charts/chart2.xml"/><Relationship Id="rId365" Type="http://schemas.openxmlformats.org/officeDocument/2006/relationships/hyperlink" Target="https://doi.org/10.1080/09638288.2023.2266372" TargetMode="External"/><Relationship Id="rId572" Type="http://schemas.openxmlformats.org/officeDocument/2006/relationships/hyperlink" Target="https://doi.org/10.1016/j.jclinepi.2008.10.009" TargetMode="External"/><Relationship Id="rId628" Type="http://schemas.openxmlformats.org/officeDocument/2006/relationships/hyperlink" Target="https://cdn.healingfoundation.org.au/app/uploads/2021/05/18121806/Make-Healing-Happen-Report-FINAL-May-2021.pdf" TargetMode="External"/><Relationship Id="rId225" Type="http://schemas.openxmlformats.org/officeDocument/2006/relationships/hyperlink" Target="https://doi.org/10.1111/jpc.13607" TargetMode="External"/><Relationship Id="rId267" Type="http://schemas.openxmlformats.org/officeDocument/2006/relationships/hyperlink" Target="https://doi.org/10.1007/s10803-014-2163-1" TargetMode="External"/><Relationship Id="rId432" Type="http://schemas.openxmlformats.org/officeDocument/2006/relationships/hyperlink" Target="https://doi.org/10.1177/1088357613517504" TargetMode="External"/><Relationship Id="rId474" Type="http://schemas.openxmlformats.org/officeDocument/2006/relationships/hyperlink" Target="https://doi.org/10.1080/09540961003794246" TargetMode="External"/><Relationship Id="rId127" Type="http://schemas.openxmlformats.org/officeDocument/2006/relationships/hyperlink" Target="https://www.unicef.org/media/files/UNICEF_Early_Moments_Matter_for_Every_Child_report.pdf" TargetMode="External"/><Relationship Id="rId681" Type="http://schemas.openxmlformats.org/officeDocument/2006/relationships/hyperlink" Target="https://apps.who.int/classifications/icfbrowser/" TargetMode="External"/><Relationship Id="rId31" Type="http://schemas.openxmlformats.org/officeDocument/2006/relationships/hyperlink" Target="https://ses.library.usyd.edu.au/handle/2123/32516" TargetMode="External"/><Relationship Id="rId73" Type="http://schemas.openxmlformats.org/officeDocument/2006/relationships/hyperlink" Target="https://doi.org/10.3109/09638288.2013.797510" TargetMode="External"/><Relationship Id="rId169" Type="http://schemas.openxmlformats.org/officeDocument/2006/relationships/hyperlink" Target="http://www.in-control.org.uk/media/15332/children%20briefing%20paper%201.pdf" TargetMode="External"/><Relationship Id="rId334" Type="http://schemas.openxmlformats.org/officeDocument/2006/relationships/hyperlink" Target="https://doi.org/10.1111/dmcn.12932" TargetMode="External"/><Relationship Id="rId376" Type="http://schemas.openxmlformats.org/officeDocument/2006/relationships/hyperlink" Target="https://doi.org/10.2511/027494812800903247" TargetMode="External"/><Relationship Id="rId541" Type="http://schemas.openxmlformats.org/officeDocument/2006/relationships/hyperlink" Target="https://doi.org/10.1016/j.acap.2017.03.002" TargetMode="External"/><Relationship Id="rId583" Type="http://schemas.openxmlformats.org/officeDocument/2006/relationships/hyperlink" Target="http://www.neweconomics.org/publications/entry/co-production-in-mental-health-a-literature-review" TargetMode="External"/><Relationship Id="rId639" Type="http://schemas.openxmlformats.org/officeDocument/2006/relationships/hyperlink" Target="https://www.child-encyclopedia.com/parenting-skills/according-experts/community-based-parent-support-programs" TargetMode="External"/><Relationship Id="rId4" Type="http://schemas.openxmlformats.org/officeDocument/2006/relationships/customXml" Target="../customXml/item4.xml"/><Relationship Id="rId180" Type="http://schemas.openxmlformats.org/officeDocument/2006/relationships/hyperlink" Target="http://www.health.org.uk/publications/evidence-helping-people-help-themselves/" TargetMode="External"/><Relationship Id="rId236" Type="http://schemas.openxmlformats.org/officeDocument/2006/relationships/hyperlink" Target="https://doi.org/10.1007/s10643-015-0710-9" TargetMode="External"/><Relationship Id="rId278" Type="http://schemas.openxmlformats.org/officeDocument/2006/relationships/hyperlink" Target="https://dhs.sa.gov.au/__data/assets/pdf_file/0007/143557/Aboriginal-Cultural-Practice-Framework.pdf" TargetMode="External"/><Relationship Id="rId401" Type="http://schemas.openxmlformats.org/officeDocument/2006/relationships/hyperlink" Target="https://doi.org/10.1080/01411920701657033" TargetMode="External"/><Relationship Id="rId443" Type="http://schemas.openxmlformats.org/officeDocument/2006/relationships/hyperlink" Target="https://www.lowitja.org.au/wp-content/uploads/2024/08/CulturalSafetyinAustralia_DiscussionPaper_August2024.pdf" TargetMode="External"/><Relationship Id="rId650" Type="http://schemas.openxmlformats.org/officeDocument/2006/relationships/hyperlink" Target="http://www.un.org/ga/search/view_doc.asp?symbol=A/69/L.85&amp;Lang=E" TargetMode="External"/><Relationship Id="rId303" Type="http://schemas.openxmlformats.org/officeDocument/2006/relationships/hyperlink" Target="https://doi.org/10.1111/jcpp.13176" TargetMode="External"/><Relationship Id="rId485" Type="http://schemas.openxmlformats.org/officeDocument/2006/relationships/hyperlink" Target="https://doi.org/10.1038/nn.3983" TargetMode="External"/><Relationship Id="rId692" Type="http://schemas.openxmlformats.org/officeDocument/2006/relationships/hyperlink" Target="https://doi.org/10.1016/j.evalprogplan.2010.05.001" TargetMode="External"/><Relationship Id="rId42" Type="http://schemas.openxmlformats.org/officeDocument/2006/relationships/hyperlink" Target="https://www.ed.gov/about/ed-offices/osers/osep/office-of-special-education-programs-osep--home-page" TargetMode="External"/><Relationship Id="rId84" Type="http://schemas.openxmlformats.org/officeDocument/2006/relationships/hyperlink" Target="https://cpregister.com/wp-content/uploads/2019/02/Report-of-the-Australian-Cerebral-PalsyRegister-Birth-Years-1995-2012.pdf" TargetMode="External"/><Relationship Id="rId138" Type="http://schemas.openxmlformats.org/officeDocument/2006/relationships/hyperlink" Target="https://doi.org/10.1007/s10882-014-9415-z" TargetMode="External"/><Relationship Id="rId345" Type="http://schemas.openxmlformats.org/officeDocument/2006/relationships/hyperlink" Target="https://doi.org/10.1097/IYC.0000000000000048" TargetMode="External"/><Relationship Id="rId387" Type="http://schemas.openxmlformats.org/officeDocument/2006/relationships/hyperlink" Target="https://respectfullyconnected.com/2015/11/10-neurodiversity-friendly" TargetMode="External"/><Relationship Id="rId510" Type="http://schemas.openxmlformats.org/officeDocument/2006/relationships/hyperlink" Target="https://doi.org/10.59620/2694-1104.1064" TargetMode="External"/><Relationship Id="rId552" Type="http://schemas.openxmlformats.org/officeDocument/2006/relationships/hyperlink" Target="https://doi.org/10.4103/2395-4264.153555" TargetMode="External"/><Relationship Id="rId594" Type="http://schemas.openxmlformats.org/officeDocument/2006/relationships/hyperlink" Target="https://www.snaicc.org.au/wp-content/uploads/2023/09/190201_9_Working-Together-Ensure-Equality-Paper.pdf" TargetMode="External"/><Relationship Id="rId608" Type="http://schemas.openxmlformats.org/officeDocument/2006/relationships/hyperlink" Target="https://doi.org/10.1017/S1463423622000329" TargetMode="External"/><Relationship Id="rId191" Type="http://schemas.openxmlformats.org/officeDocument/2006/relationships/hyperlink" Target="https://doi.org/10.1007/s40474-018-0152-3" TargetMode="External"/><Relationship Id="rId205" Type="http://schemas.openxmlformats.org/officeDocument/2006/relationships/hyperlink" Target="https://doi.org/10.1177/0271121419829899" TargetMode="External"/><Relationship Id="rId247" Type="http://schemas.openxmlformats.org/officeDocument/2006/relationships/hyperlink" Target="https://fecca.org.au/wp-content/uploads/2019/05/Cultural-Competence-in-Australia-A-Guide.pdf" TargetMode="External"/><Relationship Id="rId412" Type="http://schemas.openxmlformats.org/officeDocument/2006/relationships/hyperlink" Target="https://doi.org/10.1111/cch.12646" TargetMode="External"/><Relationship Id="rId107" Type="http://schemas.openxmlformats.org/officeDocument/2006/relationships/hyperlink" Target="https://s41967.pcdn.co/wp-content/uploads/Deep_Value-1.pdf" TargetMode="External"/><Relationship Id="rId289" Type="http://schemas.openxmlformats.org/officeDocument/2006/relationships/hyperlink" Target="https://core-prod-assets.s3.ap-southeast-2.amazonaws.com/public/eFellows/Bringing-to-life-He-Pikorua-Leanne-Greep.pdf" TargetMode="External"/><Relationship Id="rId454" Type="http://schemas.openxmlformats.org/officeDocument/2006/relationships/hyperlink" Target="http://www.rch.org.au/uploadedFiles/Main/Content/ccchdev/CCCH-The-First-Thousand-Days-An-Evidence-Paper-September-2017.pdf" TargetMode="External"/><Relationship Id="rId496" Type="http://schemas.openxmlformats.org/officeDocument/2006/relationships/hyperlink" Target="http://www.cebm.net/index.aspx?o=5653" TargetMode="External"/><Relationship Id="rId661" Type="http://schemas.openxmlformats.org/officeDocument/2006/relationships/hyperlink" Target="https://ifs.org.uk/inequality/individuals-as-active-co-creators-of-their-environments-implications-for-prevention-of-inequalities" TargetMode="External"/><Relationship Id="rId11" Type="http://schemas.openxmlformats.org/officeDocument/2006/relationships/image" Target="media/image1.png"/><Relationship Id="rId53" Type="http://schemas.openxmlformats.org/officeDocument/2006/relationships/hyperlink" Target="https://ectacenter.org/" TargetMode="External"/><Relationship Id="rId149" Type="http://schemas.openxmlformats.org/officeDocument/2006/relationships/hyperlink" Target="https://doi.org/10.25374/MCRI.14587047" TargetMode="External"/><Relationship Id="rId314" Type="http://schemas.openxmlformats.org/officeDocument/2006/relationships/hyperlink" Target="https://doi.org/10.1177/0271121416653386" TargetMode="External"/><Relationship Id="rId356" Type="http://schemas.openxmlformats.org/officeDocument/2006/relationships/hyperlink" Target="https://blogs.glowscotland.org.uk/glowblogs/public/fvpp/uploads/sites/9924/2017/12/14153756/sds-and-early-intervention-final.pdf" TargetMode="External"/><Relationship Id="rId398" Type="http://schemas.openxmlformats.org/officeDocument/2006/relationships/hyperlink" Target="https://doi.org/10.1001/jamapediatrics.2015.1682" TargetMode="External"/><Relationship Id="rId521" Type="http://schemas.openxmlformats.org/officeDocument/2006/relationships/hyperlink" Target="https://doi.org/10.1080/01942638.2019.1665155" TargetMode="External"/><Relationship Id="rId563" Type="http://schemas.openxmlformats.org/officeDocument/2006/relationships/hyperlink" Target="https://doi.org/10.1352/1934-9556-60.5.42" TargetMode="External"/><Relationship Id="rId619" Type="http://schemas.openxmlformats.org/officeDocument/2006/relationships/hyperlink" Target="https://doi.org/10.1177/02711214050250010501" TargetMode="External"/><Relationship Id="rId95" Type="http://schemas.openxmlformats.org/officeDocument/2006/relationships/hyperlink" Target="https://www.savethechildren.org.uk/content/dam/gb/reports/evidence-review.pdf" TargetMode="External"/><Relationship Id="rId160" Type="http://schemas.openxmlformats.org/officeDocument/2006/relationships/hyperlink" Target="https://www.ndisreview.gov.au/resources/reports/working-together-deliver-ndis" TargetMode="External"/><Relationship Id="rId216" Type="http://schemas.openxmlformats.org/officeDocument/2006/relationships/hyperlink" Target="https://doi.org/10.21814/childstudies.4126" TargetMode="External"/><Relationship Id="rId423" Type="http://schemas.openxmlformats.org/officeDocument/2006/relationships/hyperlink" Target="https://doi.org/https://dx.doi.org/10.1097/IYC.0000000000000160" TargetMode="External"/><Relationship Id="rId258" Type="http://schemas.openxmlformats.org/officeDocument/2006/relationships/hyperlink" Target="https://ectacenter.org/~calls/2017/learninglab-supporting.asp" TargetMode="External"/><Relationship Id="rId465" Type="http://schemas.openxmlformats.org/officeDocument/2006/relationships/hyperlink" Target="https://doi.org/10.1186/s12874-018-0611-x" TargetMode="External"/><Relationship Id="rId630" Type="http://schemas.openxmlformats.org/officeDocument/2006/relationships/hyperlink" Target="https://drive.google.com/file/d/1WX-lcLBT3mcenAdRDHrhI3-15IhbNWwd/view" TargetMode="External"/><Relationship Id="rId672" Type="http://schemas.openxmlformats.org/officeDocument/2006/relationships/hyperlink" Target="https://doi.org/10.1001/jamapediatrics.2021.3298" TargetMode="External"/><Relationship Id="rId22" Type="http://schemas.openxmlformats.org/officeDocument/2006/relationships/hyperlink" Target="https://www.mentalhealthcommission.gov.au/sites/default/files/2024-03/national-children-s-mental-health-and-wellbeing-strategy---full-report.pdf" TargetMode="External"/><Relationship Id="rId64" Type="http://schemas.openxmlformats.org/officeDocument/2006/relationships/chart" Target="charts/chart4.xml"/><Relationship Id="rId118" Type="http://schemas.openxmlformats.org/officeDocument/2006/relationships/hyperlink" Target="https://doi.org/10.1016/j.jclinepi.2005.05.004" TargetMode="External"/><Relationship Id="rId325" Type="http://schemas.openxmlformats.org/officeDocument/2006/relationships/hyperlink" Target="https://doi.org/10.1177/0271121415589546" TargetMode="External"/><Relationship Id="rId367" Type="http://schemas.openxmlformats.org/officeDocument/2006/relationships/hyperlink" Target="https://doi.org/10.1111/j.1365-2214.2006.00571.x" TargetMode="External"/><Relationship Id="rId532" Type="http://schemas.openxmlformats.org/officeDocument/2006/relationships/hyperlink" Target="https://dera.ioe.ac.uk/id/eprint/15777/1/DFE-RR232%20Report.pdf" TargetMode="External"/><Relationship Id="rId574" Type="http://schemas.openxmlformats.org/officeDocument/2006/relationships/hyperlink" Target="https://doi.org/10.5694/mja2.52238" TargetMode="External"/><Relationship Id="rId171" Type="http://schemas.openxmlformats.org/officeDocument/2006/relationships/hyperlink" Target="https://councilfordisabledchildren.org.uk/sites/default/files/uploads/files/nspcc-guide-safeguarding-managing-risk-personal-budgets.pdf" TargetMode="External"/><Relationship Id="rId227" Type="http://schemas.openxmlformats.org/officeDocument/2006/relationships/hyperlink" Target="https://www.flipsnack.com/earlychildhoodintervention/ecia-inclusion-tool-family-feedback-form/full-view.html" TargetMode="External"/><Relationship Id="rId269" Type="http://schemas.openxmlformats.org/officeDocument/2006/relationships/hyperlink" Target="https://doi.org/10.1016/B978-0-12-801383-0.00001-3" TargetMode="External"/><Relationship Id="rId434" Type="http://schemas.openxmlformats.org/officeDocument/2006/relationships/hyperlink" Target="https://doi.org/10.1177/1053815116630327" TargetMode="External"/><Relationship Id="rId476" Type="http://schemas.openxmlformats.org/officeDocument/2006/relationships/hyperlink" Target="https://doi.org/10.1111/spol.12320" TargetMode="External"/><Relationship Id="rId641" Type="http://schemas.openxmlformats.org/officeDocument/2006/relationships/hyperlink" Target="http://www.cecll.org/download/ECLLReport_7_LearnOps.pdf" TargetMode="External"/><Relationship Id="rId683" Type="http://schemas.openxmlformats.org/officeDocument/2006/relationships/hyperlink" Target="https://iris.who.int/bitstream/handle/10665/69832/WHO_IER_CSDH_08.1_eng.pdf?sequence=1" TargetMode="External"/><Relationship Id="rId33" Type="http://schemas.openxmlformats.org/officeDocument/2006/relationships/hyperlink" Target="https://www.european-agency.org/resources/publications" TargetMode="External"/><Relationship Id="rId129" Type="http://schemas.openxmlformats.org/officeDocument/2006/relationships/hyperlink" Target="https://doi.org/10.5694/mja2.50040" TargetMode="External"/><Relationship Id="rId280" Type="http://schemas.openxmlformats.org/officeDocument/2006/relationships/hyperlink" Target="https://assets.publishing.service.gov.uk/media/65aa5e42ed27ca001327b2c7/EYFS_statutory_framework_for_group_and_school_based_providers.pdf" TargetMode="External"/><Relationship Id="rId336" Type="http://schemas.openxmlformats.org/officeDocument/2006/relationships/hyperlink" Target="https://www.ideainfanttoddler.org/pdf/at_a_glance_an_introduction_to_part_c_1.pdf" TargetMode="External"/><Relationship Id="rId501" Type="http://schemas.openxmlformats.org/officeDocument/2006/relationships/hyperlink" Target="https://doi.org/10.3390/children10010155" TargetMode="External"/><Relationship Id="rId543" Type="http://schemas.openxmlformats.org/officeDocument/2006/relationships/hyperlink" Target="https://doi.org/10.1002/14651858.CD009044.pub2" TargetMode="External"/><Relationship Id="rId75" Type="http://schemas.openxmlformats.org/officeDocument/2006/relationships/hyperlink" Target="https://doi.org/10.1080/09638288.2021.1903102" TargetMode="External"/><Relationship Id="rId140" Type="http://schemas.openxmlformats.org/officeDocument/2006/relationships/hyperlink" Target="https://doi.org/10.1111/1460-6984.12210" TargetMode="External"/><Relationship Id="rId182" Type="http://schemas.openxmlformats.org/officeDocument/2006/relationships/hyperlink" Target="https://www.gov.uk/government/publications/send-code-of-practice-0-to-25" TargetMode="External"/><Relationship Id="rId378" Type="http://schemas.openxmlformats.org/officeDocument/2006/relationships/hyperlink" Target="https://doi.org/10.1007/s10912-005-2914-2" TargetMode="External"/><Relationship Id="rId403" Type="http://schemas.openxmlformats.org/officeDocument/2006/relationships/hyperlink" Target="https://plumtree.org.au/family-centred-practice-are-we-thereyet/" TargetMode="External"/><Relationship Id="rId585" Type="http://schemas.openxmlformats.org/officeDocument/2006/relationships/hyperlink" Target="https://files.eric.ed.gov/fulltext/ED575699.pdf" TargetMode="External"/><Relationship Id="rId6" Type="http://schemas.openxmlformats.org/officeDocument/2006/relationships/styles" Target="styles.xml"/><Relationship Id="rId238" Type="http://schemas.openxmlformats.org/officeDocument/2006/relationships/hyperlink" Target="https://doi.org/10.1111/j.1467-9604.2008.00384.x" TargetMode="External"/><Relationship Id="rId445" Type="http://schemas.openxmlformats.org/officeDocument/2006/relationships/hyperlink" Target="https://aifs.gov.au/cfca/publications/defining-and-delivering-effective-counselling-and-psychotherapy" TargetMode="External"/><Relationship Id="rId487" Type="http://schemas.openxmlformats.org/officeDocument/2006/relationships/hyperlink" Target="https://doi.org/10.3390/ijerph20216983" TargetMode="External"/><Relationship Id="rId610" Type="http://schemas.openxmlformats.org/officeDocument/2006/relationships/hyperlink" Target="https://www.vic.gov.au/early-years-assessment-and-learning-tool" TargetMode="External"/><Relationship Id="rId652" Type="http://schemas.openxmlformats.org/officeDocument/2006/relationships/hyperlink" Target="https://www.refworld.org/legal/resolution/unga/2007/en/49751" TargetMode="External"/><Relationship Id="rId694" Type="http://schemas.openxmlformats.org/officeDocument/2006/relationships/hyperlink" Target="https://doi.org/10.1097/IYC.0000000000000260" TargetMode="External"/><Relationship Id="rId291" Type="http://schemas.openxmlformats.org/officeDocument/2006/relationships/hyperlink" Target="https://doi.org/10.1177/1053815107313483" TargetMode="External"/><Relationship Id="rId305" Type="http://schemas.openxmlformats.org/officeDocument/2006/relationships/hyperlink" Target="https://cssp.org/resource/the-strengthening-families-approach-and-protective-factors-framework-branching-out-and-reaching-deeper/" TargetMode="External"/><Relationship Id="rId347" Type="http://schemas.openxmlformats.org/officeDocument/2006/relationships/hyperlink" Target="https://assets.publishing.service.gov.uk/media/5a7ade3fed915d670dd7f21d/DFE-RR145b.pdf" TargetMode="External"/><Relationship Id="rId512" Type="http://schemas.openxmlformats.org/officeDocument/2006/relationships/hyperlink" Target="https://doi.org/10.5694/mja2.52352" TargetMode="External"/><Relationship Id="rId44" Type="http://schemas.openxmlformats.org/officeDocument/2006/relationships/hyperlink" Target="https://ectacenter.org/eco/pages/childoutcomes.asp" TargetMode="External"/><Relationship Id="rId86" Type="http://schemas.openxmlformats.org/officeDocument/2006/relationships/hyperlink" Target="https://acoss.org.au/images/uploads/Inequality_in_Australia_FINAL.pdf" TargetMode="External"/><Relationship Id="rId151" Type="http://schemas.openxmlformats.org/officeDocument/2006/relationships/hyperlink" Target="http://developingchild.harvard.edu/index.php/download_file/-/view/700" TargetMode="External"/><Relationship Id="rId389" Type="http://schemas.openxmlformats.org/officeDocument/2006/relationships/hyperlink" Target="https://doi.org/10.1007/s40556-017-0122-6" TargetMode="External"/><Relationship Id="rId554" Type="http://schemas.openxmlformats.org/officeDocument/2006/relationships/hyperlink" Target="https://doi.org/10.1111/dmcn.14216" TargetMode="External"/><Relationship Id="rId596" Type="http://schemas.openxmlformats.org/officeDocument/2006/relationships/hyperlink" Target="https://www.oecd-ilibrary.org/education/the-simple-the-complicated-and-the-complex-educational-reform-through-the-lens-of-complexity-theory_5k3txnpt1lnr-en" TargetMode="External"/><Relationship Id="rId193" Type="http://schemas.openxmlformats.org/officeDocument/2006/relationships/hyperlink" Target="https://doi.org/https://doi.org/10.1186/1475-9276-12-7" TargetMode="External"/><Relationship Id="rId207" Type="http://schemas.openxmlformats.org/officeDocument/2006/relationships/hyperlink" Target="https://doi.org/10.3109/13668250.2017.1310812" TargetMode="External"/><Relationship Id="rId249" Type="http://schemas.openxmlformats.org/officeDocument/2006/relationships/hyperlink" Target="https://doi.org/10.1111/j.1540-5834.2011.00660.x" TargetMode="External"/><Relationship Id="rId414" Type="http://schemas.openxmlformats.org/officeDocument/2006/relationships/hyperlink" Target="https://doi.org/10.1136/bmj.k3216" TargetMode="External"/><Relationship Id="rId456" Type="http://schemas.openxmlformats.org/officeDocument/2006/relationships/hyperlink" Target="http://www.benevolent.org.au/~/media/Benevolent/Think/Actingearlychanginglives%20pdf.ashx" TargetMode="External"/><Relationship Id="rId498" Type="http://schemas.openxmlformats.org/officeDocument/2006/relationships/hyperlink" Target="https://doi.org/10.1177/001440290507100201" TargetMode="External"/><Relationship Id="rId621" Type="http://schemas.openxmlformats.org/officeDocument/2006/relationships/hyperlink" Target="https://doi.org/10.1017/jsi.2021.15" TargetMode="External"/><Relationship Id="rId663" Type="http://schemas.openxmlformats.org/officeDocument/2006/relationships/hyperlink" Target="https://static1.squarespace.com/static/618309342c2ee8376ef9f36e/t/6387e9ca81597b3880147ba0/1669851598123/NickWalker_NEURODIVERSITY-SOME-BASIC-TERMS-AND-DEFINITIONS.pdf" TargetMode="External"/><Relationship Id="rId13" Type="http://schemas.openxmlformats.org/officeDocument/2006/relationships/hyperlink" Target="https://healthy-trajectories.com.au/eci-review/" TargetMode="External"/><Relationship Id="rId109" Type="http://schemas.openxmlformats.org/officeDocument/2006/relationships/hyperlink" Target="https://doi.org/10.1186/s12916-017-0895-4" TargetMode="External"/><Relationship Id="rId260" Type="http://schemas.openxmlformats.org/officeDocument/2006/relationships/hyperlink" Target="https://doi.org/10.1097/PSY.0000000000000147" TargetMode="External"/><Relationship Id="rId316" Type="http://schemas.openxmlformats.org/officeDocument/2006/relationships/hyperlink" Target="https://doi.org/10.1146/annurev.publhealth.012809.103538" TargetMode="External"/><Relationship Id="rId523" Type="http://schemas.openxmlformats.org/officeDocument/2006/relationships/hyperlink" Target="http://www.hrb.ie/uploads/tx_hrbpublications/Individualised_budgeting_for_social_care_2016.pdf" TargetMode="External"/><Relationship Id="rId55" Type="http://schemas.openxmlformats.org/officeDocument/2006/relationships/hyperlink" Target="https://ectacenter.org/decrp/type-checklists.asp" TargetMode="External"/><Relationship Id="rId97" Type="http://schemas.openxmlformats.org/officeDocument/2006/relationships/hyperlink" Target="https://doi.org/10.1542/peds.2006-2775" TargetMode="External"/><Relationship Id="rId120" Type="http://schemas.openxmlformats.org/officeDocument/2006/relationships/hyperlink" Target="https://doi.org/10.1177/1096250613493446" TargetMode="External"/><Relationship Id="rId358" Type="http://schemas.openxmlformats.org/officeDocument/2006/relationships/hyperlink" Target="https://doi.org/10.1080/17439760.2019.1639799" TargetMode="External"/><Relationship Id="rId565" Type="http://schemas.openxmlformats.org/officeDocument/2006/relationships/hyperlink" Target="https://doi.org/10.1111/cch.12354" TargetMode="External"/><Relationship Id="rId162" Type="http://schemas.openxmlformats.org/officeDocument/2006/relationships/hyperlink" Target="https://ctgreport.niaa.gov.au/sites/default/files/pdf/closing-the-gap-report-2020.pdf" TargetMode="External"/><Relationship Id="rId218" Type="http://schemas.openxmlformats.org/officeDocument/2006/relationships/hyperlink" Target="https://doi.org/10.5539/ies.v13n9p36" TargetMode="External"/><Relationship Id="rId425" Type="http://schemas.openxmlformats.org/officeDocument/2006/relationships/hyperlink" Target="https://doi.org/10.1037/0000195-001" TargetMode="External"/><Relationship Id="rId467" Type="http://schemas.openxmlformats.org/officeDocument/2006/relationships/hyperlink" Target="https://doi.org/10.17226/21868" TargetMode="External"/><Relationship Id="rId632" Type="http://schemas.openxmlformats.org/officeDocument/2006/relationships/hyperlink" Target="https://doi.org/10.1352/2326-6988-2.2.86" TargetMode="External"/><Relationship Id="rId271" Type="http://schemas.openxmlformats.org/officeDocument/2006/relationships/hyperlink" Target="https://doi.org/10.1080/10522150903487081" TargetMode="External"/><Relationship Id="rId674" Type="http://schemas.openxmlformats.org/officeDocument/2006/relationships/hyperlink" Target="https://www.aracy.org.au/publications-resources/command/download_file/id/296/filename/Researching-parent-engagement-A-qualitative-field-study-2016.pdf" TargetMode="External"/><Relationship Id="rId24" Type="http://schemas.openxmlformats.org/officeDocument/2006/relationships/hyperlink" Target="https://www.education.gov.au/alice-springs-mparntwe-education-declaration/resources/alice-springs-mparntwe-education-declaration" TargetMode="External"/><Relationship Id="rId66" Type="http://schemas.openxmlformats.org/officeDocument/2006/relationships/hyperlink" Target="https://doi.org/10.1111/dmcn.12932" TargetMode="External"/><Relationship Id="rId131" Type="http://schemas.openxmlformats.org/officeDocument/2006/relationships/hyperlink" Target="https://doi.org/10.1111/jppi.12270" TargetMode="External"/><Relationship Id="rId327" Type="http://schemas.openxmlformats.org/officeDocument/2006/relationships/hyperlink" Target="https://doi.org/10.3109/13668250.2017.1326591" TargetMode="External"/><Relationship Id="rId369" Type="http://schemas.openxmlformats.org/officeDocument/2006/relationships/hyperlink" Target="https://doi.org/10.1542/peds.2017-4161" TargetMode="External"/><Relationship Id="rId534" Type="http://schemas.openxmlformats.org/officeDocument/2006/relationships/hyperlink" Target="https://www.crenewbornmedicine.org.au/media/dhgapqa3/02072024_preterm_followup_guideline.pdf" TargetMode="External"/><Relationship Id="rId576" Type="http://schemas.openxmlformats.org/officeDocument/2006/relationships/hyperlink" Target="https://doi.org/10.1111/cch.12222" TargetMode="External"/><Relationship Id="rId173" Type="http://schemas.openxmlformats.org/officeDocument/2006/relationships/hyperlink" Target="https://doi.org/10.1186/s12939-019-1082-3" TargetMode="External"/><Relationship Id="rId229" Type="http://schemas.openxmlformats.org/officeDocument/2006/relationships/hyperlink" Target="https://ectacenter.org/outcomes.asp" TargetMode="External"/><Relationship Id="rId380" Type="http://schemas.openxmlformats.org/officeDocument/2006/relationships/hyperlink" Target="https://doi.org/10.1111/j.1741-1130.2011.00283.x" TargetMode="External"/><Relationship Id="rId436" Type="http://schemas.openxmlformats.org/officeDocument/2006/relationships/hyperlink" Target="https://implementation.fpg.unc.edu/wpcontent/uploads/NIRN-Hexagon-Discussion-Analysis-Tool_September2020_1.pdf" TargetMode="External"/><Relationship Id="rId601" Type="http://schemas.openxmlformats.org/officeDocument/2006/relationships/hyperlink" Target="https://doi.org/10.1007/s10803-023-06198-x" TargetMode="External"/><Relationship Id="rId643" Type="http://schemas.openxmlformats.org/officeDocument/2006/relationships/hyperlink" Target="http://www.oecd.org/officialdocuments/publicdisplaydocumentpdf/?cote=EDU/WKP(2020)10&amp;docLanguage=En" TargetMode="External"/><Relationship Id="rId240" Type="http://schemas.openxmlformats.org/officeDocument/2006/relationships/hyperlink" Target="https://www.european-agency.org/resources/publications/inclusive-early-childhood-education-environment-self-reflection-tool" TargetMode="External"/><Relationship Id="rId478" Type="http://schemas.openxmlformats.org/officeDocument/2006/relationships/hyperlink" Target="https://doi.org/10.1016/S2352-4642(18)30238-4" TargetMode="External"/><Relationship Id="rId685" Type="http://schemas.openxmlformats.org/officeDocument/2006/relationships/hyperlink" Target="https://www.who.int/publications/i/item/9789240080539" TargetMode="External"/><Relationship Id="rId35" Type="http://schemas.openxmlformats.org/officeDocument/2006/relationships/hyperlink" Target="https://www.education.govt.nz/" TargetMode="External"/><Relationship Id="rId77" Type="http://schemas.openxmlformats.org/officeDocument/2006/relationships/hyperlink" Target="http://www.aracy.org.au/documents/item/182" TargetMode="External"/><Relationship Id="rId100" Type="http://schemas.openxmlformats.org/officeDocument/2006/relationships/hyperlink" Target="https://doi.org/10.1097/DBP.0b013e3181df7f3c" TargetMode="External"/><Relationship Id="rId282" Type="http://schemas.openxmlformats.org/officeDocument/2006/relationships/hyperlink" Target="https://doi.org/10.5694/mja2.12106" TargetMode="External"/><Relationship Id="rId338" Type="http://schemas.openxmlformats.org/officeDocument/2006/relationships/hyperlink" Target="https://www.iriss.org.uk/resources/insights/relationship-based-practice-emergent-themes-social-work-literature" TargetMode="External"/><Relationship Id="rId503" Type="http://schemas.openxmlformats.org/officeDocument/2006/relationships/hyperlink" Target="https://doi.org/10.1542/peds.2024-067259" TargetMode="External"/><Relationship Id="rId545" Type="http://schemas.openxmlformats.org/officeDocument/2006/relationships/hyperlink" Target="https://doi.org/10.1111/cch.12889" TargetMode="External"/><Relationship Id="rId587" Type="http://schemas.openxmlformats.org/officeDocument/2006/relationships/hyperlink" Target="https://doi.org/10.1177/105381510202500208" TargetMode="External"/><Relationship Id="rId8" Type="http://schemas.openxmlformats.org/officeDocument/2006/relationships/webSettings" Target="webSettings.xml"/><Relationship Id="rId142" Type="http://schemas.openxmlformats.org/officeDocument/2006/relationships/hyperlink" Target="https://www.eurlyaid.eu/eciguidebook-englishversion/" TargetMode="External"/><Relationship Id="rId184" Type="http://schemas.openxmlformats.org/officeDocument/2006/relationships/hyperlink" Target="https://www.education.gov.au/early-childhood/resources/evaluation-connected-beginnings-midterm-report-2023" TargetMode="External"/><Relationship Id="rId391" Type="http://schemas.openxmlformats.org/officeDocument/2006/relationships/hyperlink" Target="https://doi.org/10.5172/hesr.451.17.1.64" TargetMode="External"/><Relationship Id="rId405" Type="http://schemas.openxmlformats.org/officeDocument/2006/relationships/hyperlink" Target="https://doi.org/10.3389/fpsyg.2021.663640" TargetMode="External"/><Relationship Id="rId447" Type="http://schemas.openxmlformats.org/officeDocument/2006/relationships/hyperlink" Target="https://doi.org/10.1097/IYC.0b013e31823d0592" TargetMode="External"/><Relationship Id="rId612" Type="http://schemas.openxmlformats.org/officeDocument/2006/relationships/hyperlink" Target="https://doi.org/10.1177/02711214231165192" TargetMode="External"/><Relationship Id="rId251" Type="http://schemas.openxmlformats.org/officeDocument/2006/relationships/hyperlink" Target="https://www.activeimplementation.org/s/AIRN-AFixsen-FrameworksAnalysis-2021.pdf" TargetMode="External"/><Relationship Id="rId489" Type="http://schemas.openxmlformats.org/officeDocument/2006/relationships/hyperlink" Target="https://doi.org/10.3109/01942638.2014.903060" TargetMode="External"/><Relationship Id="rId654" Type="http://schemas.openxmlformats.org/officeDocument/2006/relationships/hyperlink" Target="https://doi.org/10.1016/j.socscimed.2010.06.010" TargetMode="External"/><Relationship Id="rId696" Type="http://schemas.openxmlformats.org/officeDocument/2006/relationships/fontTable" Target="fontTable.xml"/><Relationship Id="rId46" Type="http://schemas.openxmlformats.org/officeDocument/2006/relationships/hyperlink" Target="https://ectacenter.org/eco/assets/pdfs/FOS-Revised.pdf" TargetMode="External"/><Relationship Id="rId293" Type="http://schemas.openxmlformats.org/officeDocument/2006/relationships/hyperlink" Target="https://doi.org/10.1111/jar.12233" TargetMode="External"/><Relationship Id="rId307" Type="http://schemas.openxmlformats.org/officeDocument/2006/relationships/hyperlink" Target="https://doi.org/10.1352/0895-8017(2002)107%3c0116:PPIFOC%3e2.0.CO;2" TargetMode="External"/><Relationship Id="rId349" Type="http://schemas.openxmlformats.org/officeDocument/2006/relationships/hyperlink" Target="https://doi.org/10.1071/PY15035" TargetMode="External"/><Relationship Id="rId514" Type="http://schemas.openxmlformats.org/officeDocument/2006/relationships/hyperlink" Target="https://www.iriss.org.uk/resources/insights/strengths-based-approaches-working-individuals" TargetMode="External"/><Relationship Id="rId556" Type="http://schemas.openxmlformats.org/officeDocument/2006/relationships/hyperlink" Target="https://doi.org/10.1111/dmcn.14838" TargetMode="External"/><Relationship Id="rId88" Type="http://schemas.openxmlformats.org/officeDocument/2006/relationships/hyperlink" Target="https://www.closingthegap.gov.au/resources" TargetMode="External"/><Relationship Id="rId111" Type="http://schemas.openxmlformats.org/officeDocument/2006/relationships/hyperlink" Target="https://doi.org/10.1111/jppi.12433" TargetMode="External"/><Relationship Id="rId153" Type="http://schemas.openxmlformats.org/officeDocument/2006/relationships/hyperlink" Target="https://doi.org/10.1186/s12916-017-1002-6" TargetMode="External"/><Relationship Id="rId195" Type="http://schemas.openxmlformats.org/officeDocument/2006/relationships/hyperlink" Target="https://doi.org/10.1111/j.1469-7610.1996.tb01386.x" TargetMode="External"/><Relationship Id="rId209" Type="http://schemas.openxmlformats.org/officeDocument/2006/relationships/hyperlink" Target="https://doi.org/10.1179/175016810X12676214008969" TargetMode="External"/><Relationship Id="rId360" Type="http://schemas.openxmlformats.org/officeDocument/2006/relationships/hyperlink" Target="https://ifs.org.uk/inequality/families-andinequalities" TargetMode="External"/><Relationship Id="rId416" Type="http://schemas.openxmlformats.org/officeDocument/2006/relationships/hyperlink" Target="https://www.parentingrc.org.au/wpcontent/uploads/2017/11/PITV_Research_Brief_Additional_Needs_Nov2017-1.pdf" TargetMode="External"/><Relationship Id="rId598" Type="http://schemas.openxmlformats.org/officeDocument/2006/relationships/hyperlink" Target="https://www.aracy.org.au/publication-resources/command/download_file/id/384/filename/ARACY_Measuring_child_deprivation_and_opportunity_in_Australia.pdf" TargetMode="External"/><Relationship Id="rId220" Type="http://schemas.openxmlformats.org/officeDocument/2006/relationships/hyperlink" Target="https://doi.org/10.1002/mrdd.20176" TargetMode="External"/><Relationship Id="rId458" Type="http://schemas.openxmlformats.org/officeDocument/2006/relationships/hyperlink" Target="https://aifs.gov.au/cfca/sites/default/files/cfca39-community-engagement.pdf" TargetMode="External"/><Relationship Id="rId623" Type="http://schemas.openxmlformats.org/officeDocument/2006/relationships/hyperlink" Target="https://hepikorua.education.govt.nz/" TargetMode="External"/><Relationship Id="rId665" Type="http://schemas.openxmlformats.org/officeDocument/2006/relationships/hyperlink" Target="https://doi.org/10.1080/20473869.2020.1870419" TargetMode="External"/><Relationship Id="rId15" Type="http://schemas.openxmlformats.org/officeDocument/2006/relationships/image" Target="media/image3.png"/><Relationship Id="rId57" Type="http://schemas.openxmlformats.org/officeDocument/2006/relationships/hyperlink" Target="https://ectacenter.org/sig/" TargetMode="External"/><Relationship Id="rId262" Type="http://schemas.openxmlformats.org/officeDocument/2006/relationships/hyperlink" Target="https://doi.org/10.1542/peds.2021-052582" TargetMode="External"/><Relationship Id="rId318" Type="http://schemas.openxmlformats.org/officeDocument/2006/relationships/hyperlink" Target="https://doi.org/10.1177/00027162211005690" TargetMode="External"/><Relationship Id="rId525" Type="http://schemas.openxmlformats.org/officeDocument/2006/relationships/hyperlink" Target="https://councilfordisabledchildren.org.uk/resources/all-resources/filter/inclusion-send/understanding-needs-disabled-children-complex-needs" TargetMode="External"/><Relationship Id="rId567" Type="http://schemas.openxmlformats.org/officeDocument/2006/relationships/hyperlink" Target="https://doi.org/10.3109/09638288.2014.962105" TargetMode="External"/><Relationship Id="rId99" Type="http://schemas.openxmlformats.org/officeDocument/2006/relationships/hyperlink" Target="https://doi.org/10.3109/01942638.2013.784718" TargetMode="External"/><Relationship Id="rId122" Type="http://schemas.openxmlformats.org/officeDocument/2006/relationships/hyperlink" Target="https://neweconomics.org/2010/07/right-right-now" TargetMode="External"/><Relationship Id="rId164" Type="http://schemas.openxmlformats.org/officeDocument/2006/relationships/hyperlink" Target="https://www.ippr.org/articles/the-relational-state-how-recognising-the-importance-of-human-relationships-could-revolutionise-the-role-of-the-state" TargetMode="External"/><Relationship Id="rId371" Type="http://schemas.openxmlformats.org/officeDocument/2006/relationships/hyperlink" Target="https://doi.org/10.1080/09362835.2024.2333774" TargetMode="External"/><Relationship Id="rId427" Type="http://schemas.openxmlformats.org/officeDocument/2006/relationships/hyperlink" Target="https://doi.org/10.1177/10538151231159639" TargetMode="External"/><Relationship Id="rId469" Type="http://schemas.openxmlformats.org/officeDocument/2006/relationships/hyperlink" Target="https://doi.org/10.17226/25466" TargetMode="External"/><Relationship Id="rId634" Type="http://schemas.openxmlformats.org/officeDocument/2006/relationships/hyperlink" Target="https://doi.org/10.1080/10522150903503010" TargetMode="External"/><Relationship Id="rId676" Type="http://schemas.openxmlformats.org/officeDocument/2006/relationships/hyperlink" Target="https://doi.org/10.1111/jpc.12171" TargetMode="External"/><Relationship Id="rId26" Type="http://schemas.openxmlformats.org/officeDocument/2006/relationships/hyperlink" Target="https://www.niaa.gov.au/resource-centre/national-aboriginal-and-torres-strait-islander-early-childhood-strategy" TargetMode="External"/><Relationship Id="rId231" Type="http://schemas.openxmlformats.org/officeDocument/2006/relationships/hyperlink" Target="https://www.lowitja.org.au/wp-content/uploads/2023/05/Early-Childhood-web.pdf" TargetMode="External"/><Relationship Id="rId273" Type="http://schemas.openxmlformats.org/officeDocument/2006/relationships/hyperlink" Target="https://doi.org/10.1016/j.acap.2021.04.019" TargetMode="External"/><Relationship Id="rId329" Type="http://schemas.openxmlformats.org/officeDocument/2006/relationships/hyperlink" Target="https://doi.org/10.1097/IYC.0b013e3182008b39" TargetMode="External"/><Relationship Id="rId480" Type="http://schemas.openxmlformats.org/officeDocument/2006/relationships/hyperlink" Target="https://doi.org/10.1111/jcpp.13858" TargetMode="External"/><Relationship Id="rId536" Type="http://schemas.openxmlformats.org/officeDocument/2006/relationships/hyperlink" Target="https://www.vichealth.vic.gov.au/-/media/Final_Racism-full-technical-report.pdf" TargetMode="External"/><Relationship Id="rId68" Type="http://schemas.openxmlformats.org/officeDocument/2006/relationships/hyperlink" Target="https://doi.org/10.1111/dmcn.14493" TargetMode="External"/><Relationship Id="rId133" Type="http://schemas.openxmlformats.org/officeDocument/2006/relationships/hyperlink" Target="https://doi.org/10.1080/09638288.2017.1353144" TargetMode="External"/><Relationship Id="rId175" Type="http://schemas.openxmlformats.org/officeDocument/2006/relationships/hyperlink" Target="https://doi.org/10.1111/j.1469-8749.2011.03959.x" TargetMode="External"/><Relationship Id="rId340" Type="http://schemas.openxmlformats.org/officeDocument/2006/relationships/hyperlink" Target="http://www.iriss.org.uk/sites/default/files/iriss-leading-for-outcomes-children-and-young-people.pdf?sid=1140" TargetMode="External"/><Relationship Id="rId578" Type="http://schemas.openxmlformats.org/officeDocument/2006/relationships/hyperlink" Target="https://doi.org/10.1146/annurev-publhealth-090419-101940" TargetMode="External"/><Relationship Id="rId200" Type="http://schemas.openxmlformats.org/officeDocument/2006/relationships/hyperlink" Target="https://www.decdocs.org/position-statement-mtss" TargetMode="External"/><Relationship Id="rId382" Type="http://schemas.openxmlformats.org/officeDocument/2006/relationships/hyperlink" Target="https://www.canchild.ca/system/tenon/assets/attachments/000/001/273/original/FCS8.pdf" TargetMode="External"/><Relationship Id="rId438" Type="http://schemas.openxmlformats.org/officeDocument/2006/relationships/hyperlink" Target="https://doi.org/10.1111/dmcn.14182" TargetMode="External"/><Relationship Id="rId603" Type="http://schemas.openxmlformats.org/officeDocument/2006/relationships/hyperlink" Target="https://doi.org/10.1080/13603116.2017.1416188" TargetMode="External"/><Relationship Id="rId645" Type="http://schemas.openxmlformats.org/officeDocument/2006/relationships/hyperlink" Target="https://unesdoc.unesco.org/ark:/48223/pf0000378078" TargetMode="External"/><Relationship Id="rId687" Type="http://schemas.openxmlformats.org/officeDocument/2006/relationships/hyperlink" Target="https://iris.who.int/bitstream/handle/10665/272603/9789241514064-eng.pdf" TargetMode="External"/><Relationship Id="rId242" Type="http://schemas.openxmlformats.org/officeDocument/2006/relationships/hyperlink" Target="https://www.european-agency.org/resources/publications/inclusive-early-childhood-education-literature-review" TargetMode="External"/><Relationship Id="rId284" Type="http://schemas.openxmlformats.org/officeDocument/2006/relationships/hyperlink" Target="https://doi.org/10.1136/archdischild-2019-317522" TargetMode="External"/><Relationship Id="rId491" Type="http://schemas.openxmlformats.org/officeDocument/2006/relationships/hyperlink" Target="https://doi.org/10.1111/1440-1630.12573" TargetMode="External"/><Relationship Id="rId505" Type="http://schemas.openxmlformats.org/officeDocument/2006/relationships/hyperlink" Target="https://doi.org/10.18203/2349-3291.ijcp20182421" TargetMode="External"/><Relationship Id="rId37" Type="http://schemas.openxmlformats.org/officeDocument/2006/relationships/hyperlink" Target="https://assets.education.govt.nz/public/Documents/Ministry/Publications/Statements-of-intent/SPG-0775-Statement-of-Intent-2021-2026_AW-Web-1.pdf" TargetMode="External"/><Relationship Id="rId79" Type="http://schemas.openxmlformats.org/officeDocument/2006/relationships/hyperlink" Target="https://research.monash.edu/en/publications/realising-the-potential-early-childhood-intervention-under-the-nd/" TargetMode="External"/><Relationship Id="rId102" Type="http://schemas.openxmlformats.org/officeDocument/2006/relationships/hyperlink" Target="https://doi.org/10.13140/RG.2.2.34633.72800" TargetMode="External"/><Relationship Id="rId144" Type="http://schemas.openxmlformats.org/officeDocument/2006/relationships/hyperlink" Target="https://ifs.org.uk/inequality/early-childhood-inequalities-chapter" TargetMode="External"/><Relationship Id="rId547" Type="http://schemas.openxmlformats.org/officeDocument/2006/relationships/hyperlink" Target="https://doi.org/10.1146/annurev-publhealth-040119-094239" TargetMode="External"/><Relationship Id="rId589" Type="http://schemas.openxmlformats.org/officeDocument/2006/relationships/hyperlink" Target="https://doi.org/10.5014/ajot.2023.050156" TargetMode="External"/><Relationship Id="rId90" Type="http://schemas.openxmlformats.org/officeDocument/2006/relationships/hyperlink" Target="https://www.snaicc.org.au/resources/framework-to-inform-the-development-of-a-national-aboriginal-and-torres-strait-islander-early-childhood-strategy/" TargetMode="External"/><Relationship Id="rId186" Type="http://schemas.openxmlformats.org/officeDocument/2006/relationships/hyperlink" Target="https://www.health.gov.au/resources/publications/national-framework-for-neonatal-hearing-screening?language=en" TargetMode="External"/><Relationship Id="rId351" Type="http://schemas.openxmlformats.org/officeDocument/2006/relationships/hyperlink" Target="https://doi.org/10.1542/peds.2023-061363" TargetMode="External"/><Relationship Id="rId393" Type="http://schemas.openxmlformats.org/officeDocument/2006/relationships/hyperlink" Target="https://doi.org/10.2307/2626958" TargetMode="External"/><Relationship Id="rId407" Type="http://schemas.openxmlformats.org/officeDocument/2006/relationships/hyperlink" Target="https://doi.org/https://doi.org/10.1016/B978-0-12-386495-6.00003-5" TargetMode="External"/><Relationship Id="rId449" Type="http://schemas.openxmlformats.org/officeDocument/2006/relationships/hyperlink" Target="https://www.rch.org.au/uploadedfiles/main/content/ccch/profdev/ecia_national_conference_2012.pdf" TargetMode="External"/><Relationship Id="rId614" Type="http://schemas.openxmlformats.org/officeDocument/2006/relationships/hyperlink" Target="https://doi.org/10.1016/0277-9536(89)90157-3" TargetMode="External"/><Relationship Id="rId656" Type="http://schemas.openxmlformats.org/officeDocument/2006/relationships/hyperlink" Target="https://doi.org/10.1017/S0954579499002035" TargetMode="External"/><Relationship Id="rId211" Type="http://schemas.openxmlformats.org/officeDocument/2006/relationships/hyperlink" Target="https://doi.org/10.1037/10236-004" TargetMode="External"/><Relationship Id="rId253" Type="http://schemas.openxmlformats.org/officeDocument/2006/relationships/hyperlink" Target="https://nirn.fpg.unc.edu/sites/nirn.fpg.unc.edu/files/resources/NIRN-Briefs-1-ActiveImplementationPracticeAndScience-10-07-2016.pdf" TargetMode="External"/><Relationship Id="rId295" Type="http://schemas.openxmlformats.org/officeDocument/2006/relationships/hyperlink" Target="https://doi.org/https://doi.org/10.1016/j.jclinepi.2010.04.026" TargetMode="External"/><Relationship Id="rId309" Type="http://schemas.openxmlformats.org/officeDocument/2006/relationships/hyperlink" Target="https://doi.org/10.1353/foc.2016.0018" TargetMode="External"/><Relationship Id="rId460" Type="http://schemas.openxmlformats.org/officeDocument/2006/relationships/hyperlink" Target="http://www.rch.org.au/uploadedFiles/Main/Content/ccch/CCCH_Collaborate_for_Children_Report_The_Evidence_Nov2014.pdf" TargetMode="External"/><Relationship Id="rId516" Type="http://schemas.openxmlformats.org/officeDocument/2006/relationships/hyperlink" Target="https://whatworkswellbeing.org/resources/joint-decision-making/" TargetMode="External"/><Relationship Id="rId48" Type="http://schemas.openxmlformats.org/officeDocument/2006/relationships/hyperlink" Target="https://ecpcta.org/" TargetMode="External"/><Relationship Id="rId113" Type="http://schemas.openxmlformats.org/officeDocument/2006/relationships/hyperlink" Target="https://doi.org/10.1016/S2214-109X(18)30399-1" TargetMode="External"/><Relationship Id="rId320" Type="http://schemas.openxmlformats.org/officeDocument/2006/relationships/hyperlink" Target="https://assets.publishing.service.gov.uk/media/63ff39d28fa8f527fb67cb06/SEND_and_alternative_provision_improvement_plan.pdf" TargetMode="External"/><Relationship Id="rId558" Type="http://schemas.openxmlformats.org/officeDocument/2006/relationships/hyperlink" Target="https://cccrg.cochrane.org/" TargetMode="External"/><Relationship Id="rId155" Type="http://schemas.openxmlformats.org/officeDocument/2006/relationships/hyperlink" Target="https://doi.org/10.1016/j.jpeds.2018.12.040" TargetMode="External"/><Relationship Id="rId197" Type="http://schemas.openxmlformats.org/officeDocument/2006/relationships/hyperlink" Target="http://www.dec-sped.org/dec-recommended-practices" TargetMode="External"/><Relationship Id="rId362" Type="http://schemas.openxmlformats.org/officeDocument/2006/relationships/hyperlink" Target="https://doi.org/10.1080/09638288.2021.1982026" TargetMode="External"/><Relationship Id="rId418" Type="http://schemas.openxmlformats.org/officeDocument/2006/relationships/hyperlink" Target="https://doi.org/10.1177/1053815116686118" TargetMode="External"/><Relationship Id="rId625" Type="http://schemas.openxmlformats.org/officeDocument/2006/relationships/hyperlink" Target="https://inclusive.tki.org.nz/guides/collaborative-planning-for-learning/understanding-the-learning-support-delivery-model/" TargetMode="External"/><Relationship Id="rId222" Type="http://schemas.openxmlformats.org/officeDocument/2006/relationships/hyperlink" Target="https://doi.org/10.1080/0305764X.2016.1142504" TargetMode="External"/><Relationship Id="rId264" Type="http://schemas.openxmlformats.org/officeDocument/2006/relationships/hyperlink" Target="https://doi.org/10.1097/IYC.0000000000000169" TargetMode="External"/><Relationship Id="rId471" Type="http://schemas.openxmlformats.org/officeDocument/2006/relationships/hyperlink" Target="https://developingchild.harvard.edu/resources/connecting-the-brain-to-the-rest-of-the-body-early-childhood-development-and-lifelong-health-are-deeply-intertwined/" TargetMode="External"/><Relationship Id="rId667" Type="http://schemas.openxmlformats.org/officeDocument/2006/relationships/hyperlink" Target="https://researchrepository.rmit.edu.au/esploro/outputs/doctoral/Early-childhood-inclusion-in-Victoria-Australia/9922193311401341" TargetMode="External"/><Relationship Id="rId17" Type="http://schemas.openxmlformats.org/officeDocument/2006/relationships/hyperlink" Target="https://aim.gov.ie/" TargetMode="External"/><Relationship Id="rId59" Type="http://schemas.openxmlformats.org/officeDocument/2006/relationships/hyperlink" Target="https://dasycenter.org/" TargetMode="External"/><Relationship Id="rId124" Type="http://schemas.openxmlformats.org/officeDocument/2006/relationships/hyperlink" Target="https://www.careforthefamily.org.uk/wp-content/uploads/2014/06/How-helping-works.pdf" TargetMode="External"/><Relationship Id="rId527" Type="http://schemas.openxmlformats.org/officeDocument/2006/relationships/hyperlink" Target="https://www.frbsf.org/wp-content/uploads/S_Popkins.pdf" TargetMode="External"/><Relationship Id="rId569" Type="http://schemas.openxmlformats.org/officeDocument/2006/relationships/hyperlink" Target="https://doi.org/10.4278/0890-1171-14.6.362" TargetMode="External"/><Relationship Id="rId70" Type="http://schemas.openxmlformats.org/officeDocument/2006/relationships/hyperlink" Target="https://doi.org/10.1177/10538151221142794" TargetMode="External"/><Relationship Id="rId166" Type="http://schemas.openxmlformats.org/officeDocument/2006/relationships/hyperlink" Target="https://doi.org/10.1606/1044-3894.3923" TargetMode="External"/><Relationship Id="rId331" Type="http://schemas.openxmlformats.org/officeDocument/2006/relationships/hyperlink" Target="https://doi.org/10.1080/00461520.2019.1633924" TargetMode="External"/><Relationship Id="rId373" Type="http://schemas.openxmlformats.org/officeDocument/2006/relationships/hyperlink" Target="https://doi.org/10.1002/hec.2876" TargetMode="External"/><Relationship Id="rId429" Type="http://schemas.openxmlformats.org/officeDocument/2006/relationships/hyperlink" Target="https://doi.org/10.1177/0741932514554105" TargetMode="External"/><Relationship Id="rId580" Type="http://schemas.openxmlformats.org/officeDocument/2006/relationships/hyperlink" Target="https://doi.org/10.4135/9781446252161" TargetMode="External"/><Relationship Id="rId636" Type="http://schemas.openxmlformats.org/officeDocument/2006/relationships/hyperlink" Target="https://doi.org/10.1186/s12916-015-0465-6" TargetMode="External"/><Relationship Id="rId1" Type="http://schemas.openxmlformats.org/officeDocument/2006/relationships/customXml" Target="../customXml/item1.xml"/><Relationship Id="rId233" Type="http://schemas.openxmlformats.org/officeDocument/2006/relationships/hyperlink" Target="https://doi.org/10.1177/0271121410363400" TargetMode="External"/><Relationship Id="rId440" Type="http://schemas.openxmlformats.org/officeDocument/2006/relationships/hyperlink" Target="https://doi.org/10.1016/j.ridd.2021.104150" TargetMode="External"/><Relationship Id="rId678" Type="http://schemas.openxmlformats.org/officeDocument/2006/relationships/hyperlink" Target="https://ectacenter.org/~pdfs/topics/families/Finalmissionandprinciples3_11_08.pdf" TargetMode="External"/><Relationship Id="rId28" Type="http://schemas.openxmlformats.org/officeDocument/2006/relationships/hyperlink" Target="https://engage.dss.gov.au/developing-the-national-autism-strategy/draft-strategy/" TargetMode="External"/><Relationship Id="rId275" Type="http://schemas.openxmlformats.org/officeDocument/2006/relationships/hyperlink" Target="https://www.mcri.edu.au/sites/default/files/media/kics_final_report_v2_020518.pdf" TargetMode="External"/><Relationship Id="rId300" Type="http://schemas.openxmlformats.org/officeDocument/2006/relationships/hyperlink" Target="https://doi.org/10.1353/foc.2012.0004" TargetMode="External"/><Relationship Id="rId482" Type="http://schemas.openxmlformats.org/officeDocument/2006/relationships/hyperlink" Target="https://doi.org/10.1016/j.neuron.2016.01.019" TargetMode="External"/><Relationship Id="rId538" Type="http://schemas.openxmlformats.org/officeDocument/2006/relationships/hyperlink" Target="https://doi.org/10.1097/00001163-200310000-00004" TargetMode="External"/><Relationship Id="rId81" Type="http://schemas.openxmlformats.org/officeDocument/2006/relationships/hyperlink" Target="https://www.eif.org.uk/report/adverse-childhood-experiences-what-we-know-what-we-dont-know-and-what-should-happen-next" TargetMode="External"/><Relationship Id="rId135" Type="http://schemas.openxmlformats.org/officeDocument/2006/relationships/hyperlink" Target="https://doi.org/10.16993/sjdr.6" TargetMode="External"/><Relationship Id="rId177" Type="http://schemas.openxmlformats.org/officeDocument/2006/relationships/hyperlink" Target="https://povertyandinequality.acoss.org.au/a-snapshot-of-poverty-in-australia-2022/" TargetMode="External"/><Relationship Id="rId342" Type="http://schemas.openxmlformats.org/officeDocument/2006/relationships/hyperlink" Target="https://doi.org/10.1016/j.ejpn.2016.07.007" TargetMode="External"/><Relationship Id="rId384" Type="http://schemas.openxmlformats.org/officeDocument/2006/relationships/hyperlink" Target="https://doi.org/10.1111/jppi.12486" TargetMode="External"/><Relationship Id="rId591" Type="http://schemas.openxmlformats.org/officeDocument/2006/relationships/hyperlink" Target="https://www.snaicc.org.au/wp-content/uploads/2023/09/211207_9_National-Early-Childhood-Strategy-Report.pdf" TargetMode="External"/><Relationship Id="rId605" Type="http://schemas.openxmlformats.org/officeDocument/2006/relationships/hyperlink" Target="https://doi.org/10.1016/j.ecresq.2011.12.003" TargetMode="External"/><Relationship Id="rId202" Type="http://schemas.openxmlformats.org/officeDocument/2006/relationships/hyperlink" Target="https://doi.org/10.1044/persp2.SIG1.56" TargetMode="External"/><Relationship Id="rId244" Type="http://schemas.openxmlformats.org/officeDocument/2006/relationships/hyperlink" Target="https://www.european-agency.org/resources/publications/voices-action-literature-review" TargetMode="External"/><Relationship Id="rId647" Type="http://schemas.openxmlformats.org/officeDocument/2006/relationships/hyperlink" Target="https://doi.org/10.1111/jcpp.12025" TargetMode="External"/><Relationship Id="rId689" Type="http://schemas.openxmlformats.org/officeDocument/2006/relationships/hyperlink" Target="https://doi.org/10.1111/cch.13087" TargetMode="External"/><Relationship Id="rId39" Type="http://schemas.openxmlformats.org/officeDocument/2006/relationships/hyperlink" Target="https://www.gov.uk/government/collections/family-hubs-and-start-for-life-programme" TargetMode="External"/><Relationship Id="rId286" Type="http://schemas.openxmlformats.org/officeDocument/2006/relationships/hyperlink" Target="https://doi.org/10.3399/bjgp12X652418" TargetMode="External"/><Relationship Id="rId451" Type="http://schemas.openxmlformats.org/officeDocument/2006/relationships/hyperlink" Target="https://www.youtube.com/watch?v=AKvRXvXTZ6w" TargetMode="External"/><Relationship Id="rId493" Type="http://schemas.openxmlformats.org/officeDocument/2006/relationships/hyperlink" Target="https://doi.org/10.1001/jamapediatrics.2017.1689" TargetMode="External"/><Relationship Id="rId507" Type="http://schemas.openxmlformats.org/officeDocument/2006/relationships/hyperlink" Target="https://doi.org/10.3109/09638288.2011.628740" TargetMode="External"/><Relationship Id="rId549" Type="http://schemas.openxmlformats.org/officeDocument/2006/relationships/hyperlink" Target="https://doi.org/10.1111/j.1475-6811.2006.00114.x" TargetMode="External"/><Relationship Id="rId50" Type="http://schemas.openxmlformats.org/officeDocument/2006/relationships/footer" Target="footer1.xml"/><Relationship Id="rId104" Type="http://schemas.openxmlformats.org/officeDocument/2006/relationships/hyperlink" Target="https://www.european-agency.org/sites/default/files/IECE%20%C2%AD%20An%20Analysis%20of%2032%20European%20Examples.pdf" TargetMode="External"/><Relationship Id="rId146" Type="http://schemas.openxmlformats.org/officeDocument/2006/relationships/hyperlink" Target="http://www.rch.org.au/emplibrary/ccch/Policy_Brief_21_-Evidence_based_practice_final_web.pdf" TargetMode="External"/><Relationship Id="rId188" Type="http://schemas.openxmlformats.org/officeDocument/2006/relationships/hyperlink" Target="https://www.dss.gov.au/disability-and-carers/national-autism-strategy" TargetMode="External"/><Relationship Id="rId311" Type="http://schemas.openxmlformats.org/officeDocument/2006/relationships/hyperlink" Target="https://doi.org/10.3386/w19925" TargetMode="External"/><Relationship Id="rId353" Type="http://schemas.openxmlformats.org/officeDocument/2006/relationships/hyperlink" Target="https://oadd.org/wp-content/uploads/2016/12/kauser_etal.pdf" TargetMode="External"/><Relationship Id="rId395" Type="http://schemas.openxmlformats.org/officeDocument/2006/relationships/hyperlink" Target="https://doi.org/10.1097/PEP.0000000000001111" TargetMode="External"/><Relationship Id="rId409" Type="http://schemas.openxmlformats.org/officeDocument/2006/relationships/hyperlink" Target="https://doi.org/10.1186/s12889-019-7168-4" TargetMode="External"/><Relationship Id="rId560" Type="http://schemas.openxmlformats.org/officeDocument/2006/relationships/hyperlink" Target="https://doi.org/10.1177/0271121417708036" TargetMode="External"/><Relationship Id="rId92" Type="http://schemas.openxmlformats.org/officeDocument/2006/relationships/hyperlink" Target="https://preventioncentre.org.au/wp-content/uploads/2022/08/First-2000-days-Policy-BriefFINAL.pdf" TargetMode="External"/><Relationship Id="rId213" Type="http://schemas.openxmlformats.org/officeDocument/2006/relationships/hyperlink" Target="https://doi.org/10.3390/educsci7040078" TargetMode="External"/><Relationship Id="rId420" Type="http://schemas.openxmlformats.org/officeDocument/2006/relationships/hyperlink" Target="https://doi.org/10.3310/hta19410" TargetMode="External"/><Relationship Id="rId616" Type="http://schemas.openxmlformats.org/officeDocument/2006/relationships/hyperlink" Target="https://aifs.gov.au/resources/short-articles/peer-support-parents-children-complex-needs" TargetMode="External"/><Relationship Id="rId658" Type="http://schemas.openxmlformats.org/officeDocument/2006/relationships/hyperlink" Target="https://doi.org/10.1177/0883073814533595" TargetMode="External"/><Relationship Id="rId255" Type="http://schemas.openxmlformats.org/officeDocument/2006/relationships/hyperlink" Target="https://www.aracy.org.au/publications-resources/command/download_file/id/246/filename/Inclusive_education_for_students_with_disability_-_A_review_of_the_best_evidence_in_relation_to_theory_and_practice.pdf" TargetMode="External"/><Relationship Id="rId297" Type="http://schemas.openxmlformats.org/officeDocument/2006/relationships/hyperlink" Target="https://doi.org/10.3389/fneur.2014.00185" TargetMode="External"/><Relationship Id="rId462" Type="http://schemas.openxmlformats.org/officeDocument/2006/relationships/hyperlink" Target="https://reimagine.org.au/practitioner/inclusion-in-practice/" TargetMode="External"/><Relationship Id="rId518" Type="http://schemas.openxmlformats.org/officeDocument/2006/relationships/hyperlink" Target="https://doi.org/10.11124/jbies-20-00167" TargetMode="External"/><Relationship Id="rId115" Type="http://schemas.openxmlformats.org/officeDocument/2006/relationships/hyperlink" Target="https://doi.org/10.1111/1467-8500.12310" TargetMode="External"/><Relationship Id="rId157" Type="http://schemas.openxmlformats.org/officeDocument/2006/relationships/hyperlink" Target="https://ccyp.vic.gov.au/child-safe-standards/cultural-safety/" TargetMode="External"/><Relationship Id="rId322" Type="http://schemas.openxmlformats.org/officeDocument/2006/relationships/hyperlink" Target="https://doi.org/10.1136/bmj.g1687" TargetMode="External"/><Relationship Id="rId364" Type="http://schemas.openxmlformats.org/officeDocument/2006/relationships/hyperlink" Target="https://doi.org/10.1080/09638288.2017.1309583" TargetMode="External"/><Relationship Id="rId61" Type="http://schemas.openxmlformats.org/officeDocument/2006/relationships/chart" Target="charts/chart1.xml"/><Relationship Id="rId199" Type="http://schemas.openxmlformats.org/officeDocument/2006/relationships/hyperlink" Target="http://www.dec-sped.org/dec-recommended-practices" TargetMode="External"/><Relationship Id="rId571" Type="http://schemas.openxmlformats.org/officeDocument/2006/relationships/hyperlink" Target="https://doi.org/10.1111/jomf.12759" TargetMode="External"/><Relationship Id="rId627" Type="http://schemas.openxmlformats.org/officeDocument/2006/relationships/hyperlink" Target="https://doi.org/10.5694/mja13.10499" TargetMode="External"/><Relationship Id="rId669" Type="http://schemas.openxmlformats.org/officeDocument/2006/relationships/hyperlink" Target="https://ectacenter.org/~pdfs/topics/eiservices/KeyPrinciplesMatrix_01_30_15.pdf" TargetMode="External"/><Relationship Id="rId19" Type="http://schemas.openxmlformats.org/officeDocument/2006/relationships/hyperlink" Target="https://www.preci.org.au/wp-content/uploads/2023/12/National-Guidelines-for-Best-Practice-in-ECI_2016.pdf" TargetMode="External"/><Relationship Id="rId224" Type="http://schemas.openxmlformats.org/officeDocument/2006/relationships/hyperlink" Target="http://www.ucl.ac.uk/gheg/marmotreview/consultation/Early_years_and_education_report" TargetMode="External"/><Relationship Id="rId266" Type="http://schemas.openxmlformats.org/officeDocument/2006/relationships/hyperlink" Target="https://doi.org/10.1177/09637214211015673" TargetMode="External"/><Relationship Id="rId431" Type="http://schemas.openxmlformats.org/officeDocument/2006/relationships/hyperlink" Target="https://doi.org/10.1097/IYC.0b013e3181abe1dd" TargetMode="External"/><Relationship Id="rId473" Type="http://schemas.openxmlformats.org/officeDocument/2006/relationships/hyperlink" Target="https://doi.org/10.1111/jir.12460" TargetMode="External"/><Relationship Id="rId529" Type="http://schemas.openxmlformats.org/officeDocument/2006/relationships/hyperlink" Target="https://doi.org/10.1016/j.pcl.2017.08.020" TargetMode="External"/><Relationship Id="rId680" Type="http://schemas.openxmlformats.org/officeDocument/2006/relationships/hyperlink" Target="https://www.thelancet.com/pb-assets/Lancet/stories/series/ecd/Lancet_ECD_Executive_Summary-1507044811487.pdf" TargetMode="External"/><Relationship Id="rId30" Type="http://schemas.openxmlformats.org/officeDocument/2006/relationships/hyperlink" Target="https://www.dss.gov.au/sites/default/files/documents/12_2021/dess5016-national-framework-protecting-childrenaccessible.pdf" TargetMode="External"/><Relationship Id="rId126" Type="http://schemas.openxmlformats.org/officeDocument/2006/relationships/hyperlink" Target="https://doi.org/10.1136/bmjopen-2012-001075" TargetMode="External"/><Relationship Id="rId168" Type="http://schemas.openxmlformats.org/officeDocument/2006/relationships/hyperlink" Target="https://doi.org/10.1016/j.tins.2020.03.005" TargetMode="External"/><Relationship Id="rId333" Type="http://schemas.openxmlformats.org/officeDocument/2006/relationships/hyperlink" Target="https://doi.org/10.1111/dmcn.13229" TargetMode="External"/><Relationship Id="rId540" Type="http://schemas.openxmlformats.org/officeDocument/2006/relationships/hyperlink" Target="https://www.pc.gov.au/closing-the-gap-data/dashboard/se/outcome-area4" TargetMode="External"/><Relationship Id="rId72" Type="http://schemas.openxmlformats.org/officeDocument/2006/relationships/hyperlink" Target="https://www.apsreview.gov.au/sites/default/files/resources/delivering-local-solutions.pdf" TargetMode="External"/><Relationship Id="rId375" Type="http://schemas.openxmlformats.org/officeDocument/2006/relationships/hyperlink" Target="https://doi.org/10.1007/s10803-019-03967-5" TargetMode="External"/><Relationship Id="rId582" Type="http://schemas.openxmlformats.org/officeDocument/2006/relationships/hyperlink" Target="https://doi.org/10.1080/19411243.2015.1040941" TargetMode="External"/><Relationship Id="rId638" Type="http://schemas.openxmlformats.org/officeDocument/2006/relationships/hyperlink" Target="https://doi.org/10.1007/978-3-319-90994-3_7" TargetMode="External"/><Relationship Id="rId3" Type="http://schemas.openxmlformats.org/officeDocument/2006/relationships/customXml" Target="../customXml/item3.xml"/><Relationship Id="rId235" Type="http://schemas.openxmlformats.org/officeDocument/2006/relationships/hyperlink" Target="https://doi.org/10.1177/1053815111425929" TargetMode="External"/><Relationship Id="rId277" Type="http://schemas.openxmlformats.org/officeDocument/2006/relationships/hyperlink" Target="https://aim.gov.ie/" TargetMode="External"/><Relationship Id="rId400" Type="http://schemas.openxmlformats.org/officeDocument/2006/relationships/hyperlink" Target="https://doi.org/10.1111/jir.12992" TargetMode="External"/><Relationship Id="rId442" Type="http://schemas.openxmlformats.org/officeDocument/2006/relationships/hyperlink" Target="https://doi.org/10.1080/01942638.2021.1900488" TargetMode="External"/><Relationship Id="rId484" Type="http://schemas.openxmlformats.org/officeDocument/2006/relationships/hyperlink" Target="https://doi.org/10.1111/faam.12018" TargetMode="External"/><Relationship Id="rId137" Type="http://schemas.openxmlformats.org/officeDocument/2006/relationships/hyperlink" Target="https://doi.org/10.1016/j.rasd.2012.10.009" TargetMode="External"/><Relationship Id="rId302" Type="http://schemas.openxmlformats.org/officeDocument/2006/relationships/hyperlink" Target="https://doi.org/10.1007/978-3-319-28492-7_24" TargetMode="External"/><Relationship Id="rId344" Type="http://schemas.openxmlformats.org/officeDocument/2006/relationships/hyperlink" Target="https://doi.org/10.1097/IYC.0b013e3181f2264f" TargetMode="External"/><Relationship Id="rId691" Type="http://schemas.openxmlformats.org/officeDocument/2006/relationships/hyperlink" Target="https://doi.org/10.1111/j.1469-7610.2011.02399.x" TargetMode="External"/><Relationship Id="rId41" Type="http://schemas.openxmlformats.org/officeDocument/2006/relationships/hyperlink" Target="https://www.gov.uk/government/publications/development-matters--2/development-matters" TargetMode="External"/><Relationship Id="rId83" Type="http://schemas.openxmlformats.org/officeDocument/2006/relationships/hyperlink" Target="https://doi.org/10.1038/s41562-018-0384-6" TargetMode="External"/><Relationship Id="rId179" Type="http://schemas.openxmlformats.org/officeDocument/2006/relationships/hyperlink" Target="https://doi.org/10.1097/00004356-199303000-00003" TargetMode="External"/><Relationship Id="rId386" Type="http://schemas.openxmlformats.org/officeDocument/2006/relationships/hyperlink" Target="https://doi.org/10.1007/s10803-014-2317-1" TargetMode="External"/><Relationship Id="rId551" Type="http://schemas.openxmlformats.org/officeDocument/2006/relationships/hyperlink" Target="https://www.acf.hhs.gov/opre/report/conceptual-framework-family-engagement-early-childhood-home-visiting" TargetMode="External"/><Relationship Id="rId593" Type="http://schemas.openxmlformats.org/officeDocument/2006/relationships/hyperlink" Target="https://www.snaicc.org.au/wp-content/uploads/2024/06/240605-BIRD-Research-Report_5_June.pdf" TargetMode="External"/><Relationship Id="rId607" Type="http://schemas.openxmlformats.org/officeDocument/2006/relationships/hyperlink" Target="https://doi.org/10.1093/bjsw/bcs063" TargetMode="External"/><Relationship Id="rId649" Type="http://schemas.openxmlformats.org/officeDocument/2006/relationships/hyperlink" Target="https://www.ohchr.org/en/instruments-mechanisms/instruments/convention-rights-child" TargetMode="External"/><Relationship Id="rId190" Type="http://schemas.openxmlformats.org/officeDocument/2006/relationships/hyperlink" Target="https://doi.org/https://doi.org/10.1111/spol.12838" TargetMode="External"/><Relationship Id="rId204" Type="http://schemas.openxmlformats.org/officeDocument/2006/relationships/hyperlink" Target="https://doi.org/10.1177/01626434231180591" TargetMode="External"/><Relationship Id="rId246" Type="http://schemas.openxmlformats.org/officeDocument/2006/relationships/hyperlink" Target="https://doi.org/10.1513/pats.201208-063ST" TargetMode="External"/><Relationship Id="rId288" Type="http://schemas.openxmlformats.org/officeDocument/2006/relationships/hyperlink" Target="https://doi.org/10.1111/eci.12931" TargetMode="External"/><Relationship Id="rId411" Type="http://schemas.openxmlformats.org/officeDocument/2006/relationships/hyperlink" Target="http://www.scotland.gov.uk/Resource/Doc/348067/0115948.pdf" TargetMode="External"/><Relationship Id="rId453" Type="http://schemas.openxmlformats.org/officeDocument/2006/relationships/hyperlink" Target="https://ccch.org.au/resource-hub/reports/core-care-conditions-for-children-and-families-implications-for-policy-and-practice/" TargetMode="External"/><Relationship Id="rId509" Type="http://schemas.openxmlformats.org/officeDocument/2006/relationships/hyperlink" Target="https://doi.org/10.1177/0271121412445288" TargetMode="External"/><Relationship Id="rId660" Type="http://schemas.openxmlformats.org/officeDocument/2006/relationships/hyperlink" Target="https://www.vacca.org/content/Document/VACCA_Submission_DSS%20Early%20Years%20Strategy_Apr30_23.pdf" TargetMode="External"/><Relationship Id="rId106" Type="http://schemas.openxmlformats.org/officeDocument/2006/relationships/hyperlink" Target="https://doi.org/10.1111/j.1365-2214.2009.01027.x" TargetMode="External"/><Relationship Id="rId313" Type="http://schemas.openxmlformats.org/officeDocument/2006/relationships/hyperlink" Target="https://doi.org/10.1097/MOP.0000000000000191" TargetMode="External"/><Relationship Id="rId495" Type="http://schemas.openxmlformats.org/officeDocument/2006/relationships/hyperlink" Target="https://doi.org/10.1017/S0033291722001702" TargetMode="External"/><Relationship Id="rId10" Type="http://schemas.openxmlformats.org/officeDocument/2006/relationships/endnotes" Target="endnotes.xml"/><Relationship Id="rId52" Type="http://schemas.openxmlformats.org/officeDocument/2006/relationships/hyperlink" Target="https://www.naeyc.org/resources/position-statements/dap/definition" TargetMode="External"/><Relationship Id="rId94" Type="http://schemas.openxmlformats.org/officeDocument/2006/relationships/hyperlink" Target="https://www.autismcrc.com.au/best-practice/supporting-children/guideline" TargetMode="External"/><Relationship Id="rId148" Type="http://schemas.openxmlformats.org/officeDocument/2006/relationships/hyperlink" Target="https://www.rch.org.au/uploadedFiles/Main/Content/ccchdev/CCCH-Changing-Childrens-Chances-Research-Snapshot-May-2018.pdf" TargetMode="External"/><Relationship Id="rId355" Type="http://schemas.openxmlformats.org/officeDocument/2006/relationships/hyperlink" Target="https://doi.org/10.1177/1096250619864076" TargetMode="External"/><Relationship Id="rId397" Type="http://schemas.openxmlformats.org/officeDocument/2006/relationships/hyperlink" Target="https://www.health.org.uk/sites/health/files/What-makes-us-healthy-quick-guide.pdf" TargetMode="External"/><Relationship Id="rId520" Type="http://schemas.openxmlformats.org/officeDocument/2006/relationships/hyperlink" Target="https://doi.org/10.1177/0022146510383498" TargetMode="External"/><Relationship Id="rId562" Type="http://schemas.openxmlformats.org/officeDocument/2006/relationships/hyperlink" Target="https://doi.org/10.1097/IYC.0000000000000094" TargetMode="External"/><Relationship Id="rId618" Type="http://schemas.openxmlformats.org/officeDocument/2006/relationships/hyperlink" Target="https://doi.org/10.1352/2326-6988-2.03.175" TargetMode="External"/><Relationship Id="rId215" Type="http://schemas.openxmlformats.org/officeDocument/2006/relationships/hyperlink" Target="https://ssrn.com/abstract=3905431" TargetMode="External"/><Relationship Id="rId257" Type="http://schemas.openxmlformats.org/officeDocument/2006/relationships/hyperlink" Target="https://doi.org/10.1111/cch.13168" TargetMode="External"/><Relationship Id="rId422" Type="http://schemas.openxmlformats.org/officeDocument/2006/relationships/hyperlink" Target="https://doi.org/https://doi.org/10.1111/jppi.12195" TargetMode="External"/><Relationship Id="rId464" Type="http://schemas.openxmlformats.org/officeDocument/2006/relationships/hyperlink" Target="https://doi.org/10.1007/978-981-13-6975-9_10" TargetMode="External"/><Relationship Id="rId299" Type="http://schemas.openxmlformats.org/officeDocument/2006/relationships/hyperlink" Target="https://doi.org/10.1007/978-3-319-47143-3_1" TargetMode="External"/><Relationship Id="rId63" Type="http://schemas.openxmlformats.org/officeDocument/2006/relationships/chart" Target="charts/chart3.xml"/><Relationship Id="rId159" Type="http://schemas.openxmlformats.org/officeDocument/2006/relationships/hyperlink" Target="https://www.niaa.gov.au/sites/default/files/documents/publications/mhsewb-framework_0.pdf" TargetMode="External"/><Relationship Id="rId366" Type="http://schemas.openxmlformats.org/officeDocument/2006/relationships/hyperlink" Target="https://doi.org/10.1097/IYC.0b013e3181abe1c3" TargetMode="External"/><Relationship Id="rId573" Type="http://schemas.openxmlformats.org/officeDocument/2006/relationships/hyperlink" Target="https://doi.org/10.1016/j.ecresq.2019.01.004" TargetMode="External"/><Relationship Id="rId226" Type="http://schemas.openxmlformats.org/officeDocument/2006/relationships/hyperlink" Target="https://www.flipsnack.com/earlychildhoodintervention/ecia-national-guidelines-bestpractice-in-eci/full-view.html" TargetMode="External"/><Relationship Id="rId433" Type="http://schemas.openxmlformats.org/officeDocument/2006/relationships/hyperlink" Target="https://doi.org/10.1097/IYC.0000000000000118" TargetMode="External"/><Relationship Id="rId640" Type="http://schemas.openxmlformats.org/officeDocument/2006/relationships/hyperlink" Target="https://doi.org/10.1177/0271121410364250" TargetMode="External"/><Relationship Id="rId74" Type="http://schemas.openxmlformats.org/officeDocument/2006/relationships/hyperlink" Target="https://doi.org/10.3109/09638288.2015.1107763" TargetMode="External"/><Relationship Id="rId377" Type="http://schemas.openxmlformats.org/officeDocument/2006/relationships/hyperlink" Target="https://doi.org/10.1111/cch.13236" TargetMode="External"/><Relationship Id="rId500" Type="http://schemas.openxmlformats.org/officeDocument/2006/relationships/hyperlink" Target="https://doi.org/10.1136/bmjpo-2021-001397" TargetMode="External"/><Relationship Id="rId584" Type="http://schemas.openxmlformats.org/officeDocument/2006/relationships/hyperlink" Target="https://doi.org/10.1001/jamapediatrics.2021.3594" TargetMode="External"/><Relationship Id="rId5" Type="http://schemas.openxmlformats.org/officeDocument/2006/relationships/numbering" Target="numbering.xml"/><Relationship Id="rId237" Type="http://schemas.openxmlformats.org/officeDocument/2006/relationships/hyperlink" Target="https://doi.org/10.15448/1981-2582.2020.1.35476" TargetMode="External"/><Relationship Id="rId444" Type="http://schemas.openxmlformats.org/officeDocument/2006/relationships/hyperlink" Target="https://doi.org/10.1136/bmj.b2535" TargetMode="External"/><Relationship Id="rId651" Type="http://schemas.openxmlformats.org/officeDocument/2006/relationships/hyperlink" Target="https://documents.un.org/doc/undoc/gen/g19/013/64/pdf/g1901364.pdf" TargetMode="External"/><Relationship Id="rId290" Type="http://schemas.openxmlformats.org/officeDocument/2006/relationships/hyperlink" Target="https://doi.org/10.1038/pr.2015.195" TargetMode="External"/><Relationship Id="rId304" Type="http://schemas.openxmlformats.org/officeDocument/2006/relationships/hyperlink" Target="https://doi.org/10.1111/bld.12011" TargetMode="External"/><Relationship Id="rId388" Type="http://schemas.openxmlformats.org/officeDocument/2006/relationships/hyperlink" Target="https://doi.org/10.1186/s40723-015-0007-x" TargetMode="External"/><Relationship Id="rId511" Type="http://schemas.openxmlformats.org/officeDocument/2006/relationships/hyperlink" Target="https://doi.org/10.1007/s13412-023-00833-w" TargetMode="External"/><Relationship Id="rId609" Type="http://schemas.openxmlformats.org/officeDocument/2006/relationships/hyperlink" Target="https://doi.org/10.1080/09503153.2020.1713312" TargetMode="External"/><Relationship Id="rId85" Type="http://schemas.openxmlformats.org/officeDocument/2006/relationships/hyperlink" Target="https://povertyandinequality.acoss.org.au/inequality_in_australia_2023_overview/" TargetMode="External"/><Relationship Id="rId150" Type="http://schemas.openxmlformats.org/officeDocument/2006/relationships/hyperlink" Target="https://www.centreforpublicimpact.org/assets/documents/shared-power-principle.pdf" TargetMode="External"/><Relationship Id="rId595" Type="http://schemas.openxmlformats.org/officeDocument/2006/relationships/hyperlink" Target="https://doi.org/10.1177/0271121415594925" TargetMode="External"/><Relationship Id="rId248" Type="http://schemas.openxmlformats.org/officeDocument/2006/relationships/hyperlink" Target="https://doi.org/10.1080/15295192.2012.683342" TargetMode="External"/><Relationship Id="rId455" Type="http://schemas.openxmlformats.org/officeDocument/2006/relationships/hyperlink" Target="http://www.rch.org.au/emplibrary/ccch/EY_Mod2_Reading.pdf" TargetMode="External"/><Relationship Id="rId662" Type="http://schemas.openxmlformats.org/officeDocument/2006/relationships/hyperlink" Target="http://www.australiandisadvantage.org.au/" TargetMode="External"/><Relationship Id="rId12" Type="http://schemas.openxmlformats.org/officeDocument/2006/relationships/image" Target="media/image2.png"/><Relationship Id="rId108" Type="http://schemas.openxmlformats.org/officeDocument/2006/relationships/hyperlink" Target="https://doi.org/10.5694/mja14.00328" TargetMode="External"/><Relationship Id="rId315" Type="http://schemas.openxmlformats.org/officeDocument/2006/relationships/hyperlink" Target="https://doi.org/10.1111/jpc.13157" TargetMode="External"/><Relationship Id="rId522" Type="http://schemas.openxmlformats.org/officeDocument/2006/relationships/hyperlink" Target="https://doi.org/10.1002/ijop.12024" TargetMode="External"/><Relationship Id="rId96" Type="http://schemas.openxmlformats.org/officeDocument/2006/relationships/hyperlink" Target="https://ectacenter.org/~pdfs/eco/Family_Outcomes_Issues_01-17-05.pdf" TargetMode="External"/><Relationship Id="rId161" Type="http://schemas.openxmlformats.org/officeDocument/2006/relationships/hyperlink" Target="https://www.dss.gov.au/sites/default/files/documents/12_2021/dess5016-national-framework-protecting-childrenaccessible.pdf" TargetMode="External"/><Relationship Id="rId399" Type="http://schemas.openxmlformats.org/officeDocument/2006/relationships/hyperlink" Target="https://doi.org/10.1001/jamapediatrics.2024.0143" TargetMode="External"/><Relationship Id="rId259" Type="http://schemas.openxmlformats.org/officeDocument/2006/relationships/hyperlink" Target="https://doi.org/10.1097/IYC.0000000000000109" TargetMode="External"/><Relationship Id="rId466" Type="http://schemas.openxmlformats.org/officeDocument/2006/relationships/hyperlink" Target="http://www.birmingham.ac.uk/Documents/college-social-sciences/social-policy/HSMC/publications/2010/A-Fair-Start.pdf" TargetMode="External"/><Relationship Id="rId673" Type="http://schemas.openxmlformats.org/officeDocument/2006/relationships/hyperlink" Target="https://doi.org/10.1111/jpc.12456" TargetMode="External"/><Relationship Id="rId23" Type="http://schemas.openxmlformats.org/officeDocument/2006/relationships/hyperlink" Target="https://www.aracy.org.au/documents/item/700" TargetMode="External"/><Relationship Id="rId119" Type="http://schemas.openxmlformats.org/officeDocument/2006/relationships/hyperlink" Target="https://doi.org/10.1080/14427591.2014.908816" TargetMode="External"/><Relationship Id="rId326" Type="http://schemas.openxmlformats.org/officeDocument/2006/relationships/hyperlink" Target="https://doi.org/10.1007/s10643-019-00961-5" TargetMode="External"/><Relationship Id="rId533" Type="http://schemas.openxmlformats.org/officeDocument/2006/relationships/hyperlink" Target="https://www.education.gov.uk/publications/eOrderingDownload/DFE-RR145.pdf" TargetMode="External"/><Relationship Id="rId172" Type="http://schemas.openxmlformats.org/officeDocument/2006/relationships/hyperlink" Target="https://doi.org/10.1016/j.yfrne.2015.11.001" TargetMode="External"/><Relationship Id="rId477" Type="http://schemas.openxmlformats.org/officeDocument/2006/relationships/hyperlink" Target="https://doi.org/10.1001/jamapediatrics.2013.3768" TargetMode="External"/><Relationship Id="rId600" Type="http://schemas.openxmlformats.org/officeDocument/2006/relationships/hyperlink" Target="https://doi.org/10.4225/35/5715bcdd2df24" TargetMode="External"/><Relationship Id="rId684" Type="http://schemas.openxmlformats.org/officeDocument/2006/relationships/hyperlink" Target="https://apps.who.int/gb/ebwha/pdf_files/WHA69/A69_39-en.pdf?ua=1" TargetMode="External"/><Relationship Id="rId337" Type="http://schemas.openxmlformats.org/officeDocument/2006/relationships/hyperlink" Target="https://doi.org/10.15353/cjds.v9i3.645" TargetMode="External"/><Relationship Id="rId34" Type="http://schemas.openxmlformats.org/officeDocument/2006/relationships/hyperlink" Target="https://www.eurlyaid.eu/project/agora-project-developing-eci-services-through-participation-co-production/" TargetMode="External"/><Relationship Id="rId544" Type="http://schemas.openxmlformats.org/officeDocument/2006/relationships/hyperlink" Target="https://doi.org/10.1177/1096250620922206" TargetMode="External"/><Relationship Id="rId183" Type="http://schemas.openxmlformats.org/officeDocument/2006/relationships/hyperlink" Target="https://assets.publishing.service.gov.uk/media/5a7e5159e5274a2e8ab473d4/Early_Years_Guide_to_SEND_Code_of_Practice_-_02Sept14.pdf" TargetMode="External"/><Relationship Id="rId390" Type="http://schemas.openxmlformats.org/officeDocument/2006/relationships/hyperlink" Target="https://doi.org/10.1542/peds.2024-065650" TargetMode="External"/><Relationship Id="rId404" Type="http://schemas.openxmlformats.org/officeDocument/2006/relationships/hyperlink" Target="https://citizen-network.org/uploads/attachment/615/now-and-next.pdf" TargetMode="External"/><Relationship Id="rId611" Type="http://schemas.openxmlformats.org/officeDocument/2006/relationships/hyperlink" Target="https://www.vic.gov.au/victorian-early-years-learning-development-framework-veyldf" TargetMode="External"/><Relationship Id="rId250" Type="http://schemas.openxmlformats.org/officeDocument/2006/relationships/hyperlink" Target="https://doi.org/10.1016/j.ridd.2017.04.001" TargetMode="External"/><Relationship Id="rId488" Type="http://schemas.openxmlformats.org/officeDocument/2006/relationships/hyperlink" Target="https://doi.org/10.3109/01942638.2010.533746" TargetMode="External"/><Relationship Id="rId695" Type="http://schemas.openxmlformats.org/officeDocument/2006/relationships/image" Target="media/image5.png"/><Relationship Id="rId45" Type="http://schemas.openxmlformats.org/officeDocument/2006/relationships/hyperlink" Target="https://ectacenter.org/eco/pages/familyoutcomes.asp" TargetMode="External"/><Relationship Id="rId110" Type="http://schemas.openxmlformats.org/officeDocument/2006/relationships/hyperlink" Target="https://doi.org/10.1177/1053815116673182" TargetMode="External"/><Relationship Id="rId348" Type="http://schemas.openxmlformats.org/officeDocument/2006/relationships/hyperlink" Target="https://ses.library.usyd.edu.au/handle/2123/32516" TargetMode="External"/><Relationship Id="rId555" Type="http://schemas.openxmlformats.org/officeDocument/2006/relationships/hyperlink" Target="https://doi.org/10.3389/fresc.2021.709984" TargetMode="External"/><Relationship Id="rId194" Type="http://schemas.openxmlformats.org/officeDocument/2006/relationships/hyperlink" Target="https://doi.org/10.1111/jar.12602" TargetMode="External"/><Relationship Id="rId208" Type="http://schemas.openxmlformats.org/officeDocument/2006/relationships/hyperlink" Target="https://doi.org/10.1108/14769018200600012" TargetMode="External"/><Relationship Id="rId415" Type="http://schemas.openxmlformats.org/officeDocument/2006/relationships/hyperlink" Target="https://www.instituteofhealthequity.org/resources-reports/fair-society-healthy-lives-the-marmot-review" TargetMode="External"/><Relationship Id="rId622" Type="http://schemas.openxmlformats.org/officeDocument/2006/relationships/hyperlink" Target="https://parents-live-storagestack-a8-assetstorages3bucket-1qupg4amje0q.s3.ap-southeast-2.amazonaws.com/public/Documents/Special-Education/Early-Intervention-Service.pdf" TargetMode="External"/><Relationship Id="rId261" Type="http://schemas.openxmlformats.org/officeDocument/2006/relationships/hyperlink" Target="https://doi.org/10.1111/cch.12834" TargetMode="External"/><Relationship Id="rId499" Type="http://schemas.openxmlformats.org/officeDocument/2006/relationships/hyperlink" Target="https://doi.org/10.1007/s10803-017-3379-7" TargetMode="External"/><Relationship Id="rId56" Type="http://schemas.openxmlformats.org/officeDocument/2006/relationships/hyperlink" Target="https://ecpcta.org/" TargetMode="External"/><Relationship Id="rId359" Type="http://schemas.openxmlformats.org/officeDocument/2006/relationships/hyperlink" Target="https://doi.org/10.1016/j.physio.2015.03.3604" TargetMode="External"/><Relationship Id="rId566" Type="http://schemas.openxmlformats.org/officeDocument/2006/relationships/hyperlink" Target="https://doi.org/10.1606/1044-3894.143" TargetMode="External"/><Relationship Id="rId121" Type="http://schemas.openxmlformats.org/officeDocument/2006/relationships/hyperlink" Target="https://doi.org/10.1007/s11125-020-09494-x" TargetMode="External"/><Relationship Id="rId219" Type="http://schemas.openxmlformats.org/officeDocument/2006/relationships/hyperlink" Target="https://doi.org/10.1111/j.1365-2214.1987.tb00528.x" TargetMode="External"/><Relationship Id="rId426" Type="http://schemas.openxmlformats.org/officeDocument/2006/relationships/hyperlink" Target="http://www.pc.gov.au/__data/assets/pdf_file/0007/124549/deep-persistent-disadvantage.pdf" TargetMode="External"/><Relationship Id="rId633" Type="http://schemas.openxmlformats.org/officeDocument/2006/relationships/hyperlink" Target="https://www.aaidd.org/sis/sis-c" TargetMode="External"/><Relationship Id="rId67" Type="http://schemas.openxmlformats.org/officeDocument/2006/relationships/hyperlink" Target="https://www.aihw.gov.au/reports/indigenous-australians/stolen-generations-descendants" TargetMode="External"/><Relationship Id="rId272" Type="http://schemas.openxmlformats.org/officeDocument/2006/relationships/hyperlink" Target="https://insightplus.mja.com.au/2019/4/an-unequal-start-addressing-child-health-inequities/" TargetMode="External"/><Relationship Id="rId577" Type="http://schemas.openxmlformats.org/officeDocument/2006/relationships/hyperlink" Target="https://doi.org/10.1542/peds.2011-2663" TargetMode="External"/><Relationship Id="rId132" Type="http://schemas.openxmlformats.org/officeDocument/2006/relationships/hyperlink" Target="https://doi.org/10.1097/IYC.0b013e318268fa49" TargetMode="External"/><Relationship Id="rId437" Type="http://schemas.openxmlformats.org/officeDocument/2006/relationships/hyperlink" Target="https://doi.org/10.1111/1468-0009.12662" TargetMode="External"/><Relationship Id="rId644" Type="http://schemas.openxmlformats.org/officeDocument/2006/relationships/hyperlink" Target="https://journals.lww.com/iycjournal/fulltext/2012/10000/the_developmental_systems_approach_to_early.3.aspx" TargetMode="External"/><Relationship Id="rId283" Type="http://schemas.openxmlformats.org/officeDocument/2006/relationships/hyperlink" Target="https://doi.org/10.1111/cch.12296" TargetMode="External"/><Relationship Id="rId490" Type="http://schemas.openxmlformats.org/officeDocument/2006/relationships/hyperlink" Target="https://doi.org/10.3109/01942638.2014.964020" TargetMode="External"/><Relationship Id="rId504" Type="http://schemas.openxmlformats.org/officeDocument/2006/relationships/hyperlink" Target="https://doi.org/10.1136/bmj.n71" TargetMode="External"/><Relationship Id="rId78" Type="http://schemas.openxmlformats.org/officeDocument/2006/relationships/hyperlink" Target="https://www.royalfarwest.org.au/wp-content/uploads/2017/12/Murdoch-Report.pdf" TargetMode="External"/><Relationship Id="rId143" Type="http://schemas.openxmlformats.org/officeDocument/2006/relationships/hyperlink" Target="https://fpg.unc.edu/publications/considerations-developing-state-policy-and-guidance-inclusion-children-disabilities" TargetMode="External"/><Relationship Id="rId350" Type="http://schemas.openxmlformats.org/officeDocument/2006/relationships/hyperlink" Target="https://doi.org/10.5014/ajot.2021.041962" TargetMode="External"/><Relationship Id="rId588" Type="http://schemas.openxmlformats.org/officeDocument/2006/relationships/hyperlink" Target="https://doi.org/10.1111/cch.13096" TargetMode="External"/><Relationship Id="rId9" Type="http://schemas.openxmlformats.org/officeDocument/2006/relationships/footnotes" Target="footnotes.xml"/><Relationship Id="rId210" Type="http://schemas.openxmlformats.org/officeDocument/2006/relationships/hyperlink" Target="https://doi.org/10.1111/cch.12473" TargetMode="External"/><Relationship Id="rId448" Type="http://schemas.openxmlformats.org/officeDocument/2006/relationships/hyperlink" Target="http://www.rch.org.au/emplibrary/ccch/TM_EIAANZ_Conference_09.pdf" TargetMode="External"/><Relationship Id="rId655" Type="http://schemas.openxmlformats.org/officeDocument/2006/relationships/hyperlink" Target="https://doi.org/10.1108/JCS-12-2013-0038" TargetMode="External"/><Relationship Id="rId294" Type="http://schemas.openxmlformats.org/officeDocument/2006/relationships/hyperlink" Target="https://doi.org/10.1097/IYC.0000000000000251" TargetMode="External"/><Relationship Id="rId308" Type="http://schemas.openxmlformats.org/officeDocument/2006/relationships/hyperlink" Target="https://healthy-trajectories.com.au/resources/best-practices-in-early-childhood-intervention-towards-effective-implementation-a-position-paper/" TargetMode="External"/><Relationship Id="rId515" Type="http://schemas.openxmlformats.org/officeDocument/2006/relationships/hyperlink" Target="https://www.whatworkswellbeing.org/product/scoping-review-local-decision-making-and-community-wellbeing/" TargetMode="External"/><Relationship Id="rId89" Type="http://schemas.openxmlformats.org/officeDocument/2006/relationships/hyperlink" Target="https://www.acecqa.gov.au/sites/default/files/2023-01/EYLF-2022-V2.0.pdf" TargetMode="External"/><Relationship Id="rId154" Type="http://schemas.openxmlformats.org/officeDocument/2006/relationships/hyperlink" Target="https://www.coalitionofpeaks.org.au/national-agreement-on-closing-the-gap" TargetMode="External"/><Relationship Id="rId361" Type="http://schemas.openxmlformats.org/officeDocument/2006/relationships/hyperlink" Target="https://doi.org/10.3109/01942630903222118" TargetMode="External"/><Relationship Id="rId599" Type="http://schemas.openxmlformats.org/officeDocument/2006/relationships/hyperlink" Target="http://nymag.com/news/features/47225/" TargetMode="External"/><Relationship Id="rId459" Type="http://schemas.openxmlformats.org/officeDocument/2006/relationships/hyperlink" Target="http://www.rch.org.au/uploadedFiles/Main/Content/ccch/resources_and_publications/Home_visiting_lit_review_RAH_processes_final.pdf" TargetMode="External"/><Relationship Id="rId666" Type="http://schemas.openxmlformats.org/officeDocument/2006/relationships/hyperlink" Target="https://aifs.gov.au/cfca/publications/understanding-safeguarding-practices-children-disability-when-engaging" TargetMode="External"/><Relationship Id="rId16" Type="http://schemas.openxmlformats.org/officeDocument/2006/relationships/hyperlink" Target="https://www.autismcrc.com.au/best-practice/supporting-children" TargetMode="External"/><Relationship Id="rId221" Type="http://schemas.openxmlformats.org/officeDocument/2006/relationships/hyperlink" Target="https://doi.org/10.1155/2012/462531" TargetMode="External"/><Relationship Id="rId319" Type="http://schemas.openxmlformats.org/officeDocument/2006/relationships/hyperlink" Target="https://www.gov.uk/government/publications/the-best-start-for-life-a-vision-for-the-1001-critical-days" TargetMode="External"/><Relationship Id="rId526" Type="http://schemas.openxmlformats.org/officeDocument/2006/relationships/hyperlink" Target="https://doi.org/10.1002/nur.22189" TargetMode="External"/><Relationship Id="rId165" Type="http://schemas.openxmlformats.org/officeDocument/2006/relationships/hyperlink" Target="http://sticerd.lse.ac.uk/dps/case/cp/casepaper203.pdf" TargetMode="External"/><Relationship Id="rId372" Type="http://schemas.openxmlformats.org/officeDocument/2006/relationships/hyperlink" Target="https://apo.org.au/node/27667" TargetMode="External"/><Relationship Id="rId677" Type="http://schemas.openxmlformats.org/officeDocument/2006/relationships/hyperlink" Target="https://doi.org/10.1111/hex.12318" TargetMode="External"/><Relationship Id="rId232" Type="http://schemas.openxmlformats.org/officeDocument/2006/relationships/hyperlink" Target="https://doi.org/10.1044/2020_PERSP-19-00155" TargetMode="External"/><Relationship Id="rId27" Type="http://schemas.openxmlformats.org/officeDocument/2006/relationships/hyperlink" Target="https://www.closingthegap.gov.au/national-agreement" TargetMode="External"/><Relationship Id="rId537" Type="http://schemas.openxmlformats.org/officeDocument/2006/relationships/hyperlink" Target="https://www.dss.gov.au/sites/default/files/documents/10_2014/review_of_the_research_report_2011_0.pdf" TargetMode="External"/><Relationship Id="rId80" Type="http://schemas.openxmlformats.org/officeDocument/2006/relationships/hyperlink" Target="https://doi.org/10.1177/0271121415595550" TargetMode="External"/><Relationship Id="rId176" Type="http://schemas.openxmlformats.org/officeDocument/2006/relationships/hyperlink" Target="https://doi.org/10.1111/j.1365-2214.2010.01160.x" TargetMode="External"/><Relationship Id="rId383" Type="http://schemas.openxmlformats.org/officeDocument/2006/relationships/hyperlink" Target="https://doi.org/10.1111/j.1469-8749.2011.03962.x" TargetMode="External"/><Relationship Id="rId590" Type="http://schemas.openxmlformats.org/officeDocument/2006/relationships/hyperlink" Target="https://doi.org/10.1186/1471-2288-11-15" TargetMode="External"/><Relationship Id="rId604" Type="http://schemas.openxmlformats.org/officeDocument/2006/relationships/hyperlink" Target="http://npdci.fpg.unc.edu/sites/npdci.fpg.unc.edu/files/resources/ICP-demonstration-study-NC-2012.pdf" TargetMode="External"/><Relationship Id="rId243" Type="http://schemas.openxmlformats.org/officeDocument/2006/relationships/hyperlink" Target="https://www.european-agency.org/resources/publications/agency-position-inclusive-education-systems-second-edition" TargetMode="External"/><Relationship Id="rId450" Type="http://schemas.openxmlformats.org/officeDocument/2006/relationships/hyperlink" Target="http://www.rch.org.au/uploadedFiles/Main/Content/ccchdev/CCCH-Towards-a-model-of-evidence-informed-decisio-making-and-service-delivery-Tim-Moore-May2016.pdf" TargetMode="External"/><Relationship Id="rId688" Type="http://schemas.openxmlformats.org/officeDocument/2006/relationships/hyperlink" Target="https://doi.org/10.1080/10522150903503036" TargetMode="External"/><Relationship Id="rId38" Type="http://schemas.openxmlformats.org/officeDocument/2006/relationships/hyperlink" Target="https://hepikorua.education.govt.nz/" TargetMode="External"/><Relationship Id="rId103" Type="http://schemas.openxmlformats.org/officeDocument/2006/relationships/hyperlink" Target="https://doi.org/https://dx.doi.org/10.1016/j.rasd.2019.101497" TargetMode="External"/><Relationship Id="rId310" Type="http://schemas.openxmlformats.org/officeDocument/2006/relationships/hyperlink" Target="https://www.sri.com/wp-content/uploads/2021/12/neils_finalreport_200702.pdf" TargetMode="External"/><Relationship Id="rId548" Type="http://schemas.openxmlformats.org/officeDocument/2006/relationships/hyperlink" Target="https://doi.org/10.1016/S0140-6736(16)31698-1" TargetMode="External"/><Relationship Id="rId91" Type="http://schemas.openxmlformats.org/officeDocument/2006/relationships/hyperlink" Target="https://childsafe.humanrights.gov.au/sites/default/files/201902/National_Principles_for_Child_Safe_Organisations2019.pdf" TargetMode="External"/><Relationship Id="rId187" Type="http://schemas.openxmlformats.org/officeDocument/2006/relationships/hyperlink" Target="https://www.dss.gov.au/families-and-children-publications-articles/dss-early-childhood-best-practice-workshop-report" TargetMode="External"/><Relationship Id="rId394" Type="http://schemas.openxmlformats.org/officeDocument/2006/relationships/hyperlink" Target="https://doi.org/10.1136/bmjopen-2020-045570" TargetMode="External"/><Relationship Id="rId408" Type="http://schemas.openxmlformats.org/officeDocument/2006/relationships/hyperlink" Target="https://doi.org/10.1017/CBO9780511919299.017" TargetMode="External"/><Relationship Id="rId615" Type="http://schemas.openxmlformats.org/officeDocument/2006/relationships/hyperlink" Target="https://doi.org/10.1136/bmj.i4919" TargetMode="External"/><Relationship Id="rId254" Type="http://schemas.openxmlformats.org/officeDocument/2006/relationships/hyperlink" Target="https://doi.org/10.1111/jcpp.13589" TargetMode="External"/><Relationship Id="rId49" Type="http://schemas.openxmlformats.org/officeDocument/2006/relationships/hyperlink" Target="https://dasycenter.org/" TargetMode="External"/><Relationship Id="rId114" Type="http://schemas.openxmlformats.org/officeDocument/2006/relationships/hyperlink" Target="https://doi.org/10.1016/S0140-6736(16)31389-7" TargetMode="External"/><Relationship Id="rId461" Type="http://schemas.openxmlformats.org/officeDocument/2006/relationships/hyperlink" Target="http://www.rch.org.au/emplibrary/ccch/TM_BenSoc_Project_09.pdf" TargetMode="External"/><Relationship Id="rId559" Type="http://schemas.openxmlformats.org/officeDocument/2006/relationships/hyperlink" Target="https://doi.org/10.1136/bmj.312.7023.71" TargetMode="External"/><Relationship Id="rId198" Type="http://schemas.openxmlformats.org/officeDocument/2006/relationships/hyperlink" Target="https://www.dec-sped.org/product-page/dec-recommended-practices-enhancing-services-for-young-children" TargetMode="External"/><Relationship Id="rId321" Type="http://schemas.openxmlformats.org/officeDocument/2006/relationships/hyperlink" Target="https://doi.org/10.1111/cch.12398" TargetMode="External"/><Relationship Id="rId419" Type="http://schemas.openxmlformats.org/officeDocument/2006/relationships/hyperlink" Target="https://doi.org/10.1111/cch.12901" TargetMode="External"/><Relationship Id="rId626" Type="http://schemas.openxmlformats.org/officeDocument/2006/relationships/hyperlink" Target="https://doi.org/10.1111/jcpp.12507"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dss.gov.au/sites/default/files/documents/12_2021/dess5016-national-framework-protecting-childrenaccessible.pdf" TargetMode="External"/><Relationship Id="rId18" Type="http://schemas.openxmlformats.org/officeDocument/2006/relationships/hyperlink" Target="https://www.acecqa.gov.au/" TargetMode="External"/><Relationship Id="rId26" Type="http://schemas.openxmlformats.org/officeDocument/2006/relationships/hyperlink" Target="https://en.wikipedia.org/wiki/Autism_rights_movement" TargetMode="External"/><Relationship Id="rId3" Type="http://schemas.openxmlformats.org/officeDocument/2006/relationships/hyperlink" Target="https://www.health.gov.au/resources/publications/national-fetal-alcohol-spectrum-disorder-fasd-strategic-action-plan-2018-2028-three-year-implementation-review" TargetMode="External"/><Relationship Id="rId21" Type="http://schemas.openxmlformats.org/officeDocument/2006/relationships/hyperlink" Target="https://www.dss.gov.au/disability-and-carers/programs-services/for-people-with-disability/ndis-quality-and-safeguarding-framework-" TargetMode="External"/><Relationship Id="rId34" Type="http://schemas.openxmlformats.org/officeDocument/2006/relationships/hyperlink" Target="https://www.snaicc.org.au/resources/family-matters-national-reflective-practice-tool/" TargetMode="External"/><Relationship Id="rId7" Type="http://schemas.openxmlformats.org/officeDocument/2006/relationships/hyperlink" Target="https://www.accc.gov.au/inquiries-and-consultations/childcare-inquiry-2023" TargetMode="External"/><Relationship Id="rId12" Type="http://schemas.openxmlformats.org/officeDocument/2006/relationships/hyperlink" Target="https://www.education.gov.au/alice-springs-mparntwe-education-declaration/resources/alice-springs-mparntwe-education-declaration" TargetMode="External"/><Relationship Id="rId17" Type="http://schemas.openxmlformats.org/officeDocument/2006/relationships/hyperlink" Target="https://www.education.gov.au/early-childhood/national-quality-framework" TargetMode="External"/><Relationship Id="rId25" Type="http://schemas.openxmlformats.org/officeDocument/2006/relationships/hyperlink" Target="https://www.un.org/sustainabledevelopment/sustainable-development-goals/" TargetMode="External"/><Relationship Id="rId33" Type="http://schemas.openxmlformats.org/officeDocument/2006/relationships/hyperlink" Target="https://www.snaicc.org.au/resources/stronger-safer-together-a-reflective-practice-resource-and-toolkit-for-services-providing-intensive-and-targeted-support-for-aboriginal-and-torres-strait-islander-families/" TargetMode="External"/><Relationship Id="rId2" Type="http://schemas.openxmlformats.org/officeDocument/2006/relationships/hyperlink" Target="https://www.health.gov.au/resources/publications/national-fetal-alcohol-spectrum-disorder-fasd-strategic-action-plan-2018-2028" TargetMode="External"/><Relationship Id="rId16" Type="http://schemas.openxmlformats.org/officeDocument/2006/relationships/hyperlink" Target="https://www.closingthegap.gov.au/national-agreement" TargetMode="External"/><Relationship Id="rId20" Type="http://schemas.openxmlformats.org/officeDocument/2006/relationships/hyperlink" Target="https://www.safetyandquality.gov.au/our-work/partnering-consumers/australian-charter-healthcare-rights" TargetMode="External"/><Relationship Id="rId29" Type="http://schemas.openxmlformats.org/officeDocument/2006/relationships/hyperlink" Target="https://www.cdc.gov/child-development/about/developmental-disability-basics.html" TargetMode="External"/><Relationship Id="rId1" Type="http://schemas.openxmlformats.org/officeDocument/2006/relationships/hyperlink" Target="https://www.dss.gov.au/disability-and-carers/national-autism-strategy" TargetMode="External"/><Relationship Id="rId6" Type="http://schemas.openxmlformats.org/officeDocument/2006/relationships/hyperlink" Target="https://www.education.gov.au/review-inform-better-and-fairer-education-system/review-inform-better-and-fairer-education-system-reports" TargetMode="External"/><Relationship Id="rId11" Type="http://schemas.openxmlformats.org/officeDocument/2006/relationships/hyperlink" Target="http://www.aracy.org.au/documents/item/182" TargetMode="External"/><Relationship Id="rId24" Type="http://schemas.openxmlformats.org/officeDocument/2006/relationships/hyperlink" Target="https://www.crenewbornmedicine.org.au/media/dhgapqa3/02072024_preterm_followup_guideline.pdf" TargetMode="External"/><Relationship Id="rId32" Type="http://schemas.openxmlformats.org/officeDocument/2006/relationships/hyperlink" Target="http://ectacenter.org/decrp/type-checklists.asp" TargetMode="External"/><Relationship Id="rId5" Type="http://schemas.openxmlformats.org/officeDocument/2006/relationships/hyperlink" Target="https://www.dss.gov.au/families-and-children-programs-services-early-years-strategy/early-years-strategy-2024-2034" TargetMode="External"/><Relationship Id="rId15" Type="http://schemas.openxmlformats.org/officeDocument/2006/relationships/hyperlink" Target="https://www.mentalhealthcommission.gov.au/mental-health-reform/childrens-mental-health-and-wellbeing-strategy" TargetMode="External"/><Relationship Id="rId23" Type="http://schemas.openxmlformats.org/officeDocument/2006/relationships/hyperlink" Target="https://www.autismcrc.com.au/best-practice/supporting-children" TargetMode="External"/><Relationship Id="rId28" Type="http://schemas.openxmlformats.org/officeDocument/2006/relationships/hyperlink" Target="http://www.asdetect.org" TargetMode="External"/><Relationship Id="rId36" Type="http://schemas.openxmlformats.org/officeDocument/2006/relationships/hyperlink" Target="https://www.canchild.ca/en/research-in-practice/current-studies/mpoc-2-0-measure-of-processes-of-care" TargetMode="External"/><Relationship Id="rId10" Type="http://schemas.openxmlformats.org/officeDocument/2006/relationships/hyperlink" Target="https://www.acecqa.gov.au/sites/default/files/2023-01/EYLF-2022-V2.0.pdf" TargetMode="External"/><Relationship Id="rId19" Type="http://schemas.openxmlformats.org/officeDocument/2006/relationships/hyperlink" Target="https://www.safetyandquality.gov.au/publications-and-resources/resource-library/national-safety-and-quality-health-service-standards-second-edition" TargetMode="External"/><Relationship Id="rId31" Type="http://schemas.openxmlformats.org/officeDocument/2006/relationships/hyperlink" Target="https://www.ecia.org.au/Resources/Inclusion/Inclusion-Toolkit" TargetMode="External"/><Relationship Id="rId4" Type="http://schemas.openxmlformats.org/officeDocument/2006/relationships/hyperlink" Target="https://disability.royalcommission.gov.au/publications/final-report" TargetMode="External"/><Relationship Id="rId9" Type="http://schemas.openxmlformats.org/officeDocument/2006/relationships/hyperlink" Target="https://www.pc.gov.au/inquiries/completed/childhood" TargetMode="External"/><Relationship Id="rId14" Type="http://schemas.openxmlformats.org/officeDocument/2006/relationships/hyperlink" Target="https://childsafe.humanrights.gov.au/sites/default/files/2019-02/National_Principles_for_Child_Safe_Organisations2019.pdf" TargetMode="External"/><Relationship Id="rId22" Type="http://schemas.openxmlformats.org/officeDocument/2006/relationships/hyperlink" Target="https://www.ndiscommission.gov.au/" TargetMode="External"/><Relationship Id="rId27" Type="http://schemas.openxmlformats.org/officeDocument/2006/relationships/hyperlink" Target="https://www.premier.vic.gov.au/early-support-for-children-with-autism/" TargetMode="External"/><Relationship Id="rId30" Type="http://schemas.openxmlformats.org/officeDocument/2006/relationships/hyperlink" Target="https://ectacenter.org/outcomes.asp" TargetMode="External"/><Relationship Id="rId35" Type="http://schemas.openxmlformats.org/officeDocument/2006/relationships/hyperlink" Target="https://jbi.global/critical-appraisal-tools" TargetMode="External"/><Relationship Id="rId8" Type="http://schemas.openxmlformats.org/officeDocument/2006/relationships/hyperlink" Target="https://www.education.gov.au/early-childhood/resources/inclusion-support-program-review-final-repor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nimelbcloud.sharepoint.com/teams/DSSEarlyChildhood/Shared%20Documents/D1-Desktop%20Review_CI/Question%202/Data/review_448180_included_2024_08_27_tag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nimelbcloud.sharepoint.com/teams/DSSEarlyChildhood/Shared%20Documents/D1-Desktop%20Review_CI/Question%202/Data/review_448180_included_2024_08_27_tag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unimelbcloud.sharepoint.com/teams/DSSEarlyChildhood/Shared%20Documents/D1-Desktop%20Review_CI/Question%202/Data/review_448180_included_2024_08_27_tag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unimelbcloud.sharepoint.com/teams/DSSEarlyChildhood/Shared%20Documents/D1-Desktop%20Review_CI/Question%202/Data/review_448180_included_2024_08_27_ta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[review_448180_included_2024_08_27_tags.xlsx]review_448180_included_csv_2024!PivotTable11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Year of publication: n = 185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review_448180_included_csv_2024!$AH$94</c:f>
              <c:strCache>
                <c:ptCount val="1"/>
                <c:pt idx="0">
                  <c:v>Total</c:v>
                </c:pt>
              </c:strCache>
            </c:strRef>
          </c:tx>
          <c:spPr>
            <a:solidFill>
              <a:schemeClr val="accent1">
                <a:tint val="100000"/>
                <a:shade val="100000"/>
                <a:satMod val="100000"/>
              </a:schemeClr>
            </a:solidFill>
            <a:ln>
              <a:noFill/>
            </a:ln>
            <a:effectLst/>
          </c:spPr>
          <c:invertIfNegative val="0"/>
          <c:cat>
            <c:strRef>
              <c:f>review_448180_included_csv_2024!$AG$95:$AG$109</c:f>
              <c:strCache>
                <c:ptCount val="14"/>
                <c:pt idx="0">
                  <c:v>2006</c:v>
                </c:pt>
                <c:pt idx="1">
                  <c:v>2011</c:v>
                </c:pt>
                <c:pt idx="2">
                  <c:v>2012</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review_448180_included_csv_2024!$AH$95:$AH$109</c:f>
              <c:numCache>
                <c:formatCode>General</c:formatCode>
                <c:ptCount val="14"/>
                <c:pt idx="0">
                  <c:v>1</c:v>
                </c:pt>
                <c:pt idx="1">
                  <c:v>1</c:v>
                </c:pt>
                <c:pt idx="2">
                  <c:v>2</c:v>
                </c:pt>
                <c:pt idx="3">
                  <c:v>10</c:v>
                </c:pt>
                <c:pt idx="4">
                  <c:v>15</c:v>
                </c:pt>
                <c:pt idx="5">
                  <c:v>9</c:v>
                </c:pt>
                <c:pt idx="6">
                  <c:v>11</c:v>
                </c:pt>
                <c:pt idx="7">
                  <c:v>6</c:v>
                </c:pt>
                <c:pt idx="8">
                  <c:v>22</c:v>
                </c:pt>
                <c:pt idx="9">
                  <c:v>19</c:v>
                </c:pt>
                <c:pt idx="10">
                  <c:v>22</c:v>
                </c:pt>
                <c:pt idx="11">
                  <c:v>27</c:v>
                </c:pt>
                <c:pt idx="12">
                  <c:v>25</c:v>
                </c:pt>
                <c:pt idx="13">
                  <c:v>15</c:v>
                </c:pt>
              </c:numCache>
            </c:numRef>
          </c:val>
          <c:extLst>
            <c:ext xmlns:c16="http://schemas.microsoft.com/office/drawing/2014/chart" uri="{C3380CC4-5D6E-409C-BE32-E72D297353CC}">
              <c16:uniqueId val="{00000000-8D4B-A649-ABF8-3079C26230D3}"/>
            </c:ext>
          </c:extLst>
        </c:ser>
        <c:dLbls>
          <c:showLegendKey val="0"/>
          <c:showVal val="0"/>
          <c:showCatName val="0"/>
          <c:showSerName val="0"/>
          <c:showPercent val="0"/>
          <c:showBubbleSize val="0"/>
        </c:dLbls>
        <c:gapWidth val="219"/>
        <c:overlap val="-27"/>
        <c:axId val="975036335"/>
        <c:axId val="975052655"/>
      </c:barChart>
      <c:catAx>
        <c:axId val="97503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052655"/>
        <c:crosses val="autoZero"/>
        <c:auto val="1"/>
        <c:lblAlgn val="ctr"/>
        <c:lblOffset val="100"/>
        <c:noMultiLvlLbl val="0"/>
      </c:catAx>
      <c:valAx>
        <c:axId val="975052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0363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[review_448180_included_2024_08_27_tags.xlsx]review_448180_included_csv_2024!PivotTable12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a:t>
            </a:r>
            <a:r>
              <a:rPr lang="en-US" baseline="0"/>
              <a:t> of publication: n = 185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review_448180_included_csv_2024!$AF$121</c:f>
              <c:strCache>
                <c:ptCount val="1"/>
                <c:pt idx="0">
                  <c:v>Total</c:v>
                </c:pt>
              </c:strCache>
            </c:strRef>
          </c:tx>
          <c:spPr>
            <a:solidFill>
              <a:schemeClr val="accent1">
                <a:tint val="100000"/>
                <a:shade val="100000"/>
                <a:satMod val="100000"/>
              </a:schemeClr>
            </a:solidFill>
            <a:ln>
              <a:noFill/>
            </a:ln>
            <a:effectLst/>
          </c:spPr>
          <c:invertIfNegative val="0"/>
          <c:cat>
            <c:strRef>
              <c:f>review_448180_included_csv_2024!$AE$122:$AE$131</c:f>
              <c:strCache>
                <c:ptCount val="9"/>
                <c:pt idx="0">
                  <c:v>Single case experimental designs</c:v>
                </c:pt>
                <c:pt idx="1">
                  <c:v>Randomised controlled trials</c:v>
                </c:pt>
                <c:pt idx="2">
                  <c:v>Qualitative studies</c:v>
                </c:pt>
                <c:pt idx="3">
                  <c:v>Pre-post test designs</c:v>
                </c:pt>
                <c:pt idx="4">
                  <c:v>First Nations</c:v>
                </c:pt>
                <c:pt idx="5">
                  <c:v>Non-randomised trials</c:v>
                </c:pt>
                <c:pt idx="6">
                  <c:v>Mixed methods</c:v>
                </c:pt>
                <c:pt idx="7">
                  <c:v>Non-experimental study</c:v>
                </c:pt>
                <c:pt idx="8">
                  <c:v>Systematic reviews</c:v>
                </c:pt>
              </c:strCache>
            </c:strRef>
          </c:cat>
          <c:val>
            <c:numRef>
              <c:f>review_448180_included_csv_2024!$AF$122:$AF$131</c:f>
              <c:numCache>
                <c:formatCode>General</c:formatCode>
                <c:ptCount val="9"/>
                <c:pt idx="0">
                  <c:v>57</c:v>
                </c:pt>
                <c:pt idx="1">
                  <c:v>44</c:v>
                </c:pt>
                <c:pt idx="2">
                  <c:v>24</c:v>
                </c:pt>
                <c:pt idx="3">
                  <c:v>20</c:v>
                </c:pt>
                <c:pt idx="4">
                  <c:v>17</c:v>
                </c:pt>
                <c:pt idx="5">
                  <c:v>15</c:v>
                </c:pt>
                <c:pt idx="6">
                  <c:v>3</c:v>
                </c:pt>
                <c:pt idx="7">
                  <c:v>3</c:v>
                </c:pt>
                <c:pt idx="8">
                  <c:v>2</c:v>
                </c:pt>
              </c:numCache>
            </c:numRef>
          </c:val>
          <c:extLst>
            <c:ext xmlns:c16="http://schemas.microsoft.com/office/drawing/2014/chart" uri="{C3380CC4-5D6E-409C-BE32-E72D297353CC}">
              <c16:uniqueId val="{00000000-3895-A34D-8DFF-7F86E242B60E}"/>
            </c:ext>
          </c:extLst>
        </c:ser>
        <c:dLbls>
          <c:showLegendKey val="0"/>
          <c:showVal val="0"/>
          <c:showCatName val="0"/>
          <c:showSerName val="0"/>
          <c:showPercent val="0"/>
          <c:showBubbleSize val="0"/>
        </c:dLbls>
        <c:gapWidth val="219"/>
        <c:overlap val="-27"/>
        <c:axId val="178596400"/>
        <c:axId val="178597360"/>
      </c:barChart>
      <c:catAx>
        <c:axId val="17859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97360"/>
        <c:crosses val="autoZero"/>
        <c:auto val="1"/>
        <c:lblAlgn val="ctr"/>
        <c:lblOffset val="100"/>
        <c:noMultiLvlLbl val="0"/>
      </c:catAx>
      <c:valAx>
        <c:axId val="17859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96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[review_448180_included_2024_08_27_tags.xlsx]review_448180_included_csv_2024!PivotTable10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Child condition in focus: n = 185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review_448180_included_csv_2024!$AH$66</c:f>
              <c:strCache>
                <c:ptCount val="1"/>
                <c:pt idx="0">
                  <c:v>Total</c:v>
                </c:pt>
              </c:strCache>
            </c:strRef>
          </c:tx>
          <c:spPr>
            <a:solidFill>
              <a:schemeClr val="accent1">
                <a:tint val="100000"/>
                <a:shade val="100000"/>
                <a:satMod val="100000"/>
              </a:schemeClr>
            </a:solidFill>
            <a:ln>
              <a:noFill/>
            </a:ln>
            <a:effectLst/>
          </c:spPr>
          <c:invertIfNegative val="0"/>
          <c:cat>
            <c:strRef>
              <c:f>review_448180_included_csv_2024!$AG$67:$AG$88</c:f>
              <c:strCache>
                <c:ptCount val="21"/>
                <c:pt idx="0">
                  <c:v>Autism</c:v>
                </c:pt>
                <c:pt idx="1">
                  <c:v>Disabilities</c:v>
                </c:pt>
                <c:pt idx="2">
                  <c:v>First Nations</c:v>
                </c:pt>
                <c:pt idx="3">
                  <c:v>Language disorder</c:v>
                </c:pt>
                <c:pt idx="4">
                  <c:v>Down syndrome</c:v>
                </c:pt>
                <c:pt idx="5">
                  <c:v>Developmental delay</c:v>
                </c:pt>
                <c:pt idx="6">
                  <c:v>Pre-term infants</c:v>
                </c:pt>
                <c:pt idx="7">
                  <c:v>Cerebral plasy</c:v>
                </c:pt>
                <c:pt idx="8">
                  <c:v>Disabilities </c:v>
                </c:pt>
                <c:pt idx="9">
                  <c:v>Challenging behaviour</c:v>
                </c:pt>
                <c:pt idx="10">
                  <c:v>At risk </c:v>
                </c:pt>
                <c:pt idx="11">
                  <c:v>Social and communication challenges </c:v>
                </c:pt>
                <c:pt idx="12">
                  <c:v>Deaf /hard of hearing</c:v>
                </c:pt>
                <c:pt idx="13">
                  <c:v>Intellectual disability</c:v>
                </c:pt>
                <c:pt idx="14">
                  <c:v>ADHD</c:v>
                </c:pt>
                <c:pt idx="15">
                  <c:v>Tuberous sclerosis complex</c:v>
                </c:pt>
                <c:pt idx="16">
                  <c:v>Special needs infants</c:v>
                </c:pt>
                <c:pt idx="17">
                  <c:v>Complex communication need</c:v>
                </c:pt>
                <c:pt idx="18">
                  <c:v>Visual impairment</c:v>
                </c:pt>
                <c:pt idx="19">
                  <c:v>Exceptional needs</c:v>
                </c:pt>
                <c:pt idx="20">
                  <c:v>Doubly vulnerable</c:v>
                </c:pt>
              </c:strCache>
            </c:strRef>
          </c:cat>
          <c:val>
            <c:numRef>
              <c:f>review_448180_included_csv_2024!$AH$67:$AH$88</c:f>
              <c:numCache>
                <c:formatCode>General</c:formatCode>
                <c:ptCount val="21"/>
                <c:pt idx="0">
                  <c:v>98</c:v>
                </c:pt>
                <c:pt idx="1">
                  <c:v>30</c:v>
                </c:pt>
                <c:pt idx="2">
                  <c:v>17</c:v>
                </c:pt>
                <c:pt idx="3">
                  <c:v>5</c:v>
                </c:pt>
                <c:pt idx="4">
                  <c:v>5</c:v>
                </c:pt>
                <c:pt idx="5">
                  <c:v>4</c:v>
                </c:pt>
                <c:pt idx="6">
                  <c:v>3</c:v>
                </c:pt>
                <c:pt idx="7">
                  <c:v>3</c:v>
                </c:pt>
                <c:pt idx="8">
                  <c:v>3</c:v>
                </c:pt>
                <c:pt idx="9">
                  <c:v>2</c:v>
                </c:pt>
                <c:pt idx="10">
                  <c:v>2</c:v>
                </c:pt>
                <c:pt idx="11">
                  <c:v>2</c:v>
                </c:pt>
                <c:pt idx="12">
                  <c:v>2</c:v>
                </c:pt>
                <c:pt idx="13">
                  <c:v>2</c:v>
                </c:pt>
                <c:pt idx="14">
                  <c:v>1</c:v>
                </c:pt>
                <c:pt idx="15">
                  <c:v>1</c:v>
                </c:pt>
                <c:pt idx="16">
                  <c:v>1</c:v>
                </c:pt>
                <c:pt idx="17">
                  <c:v>1</c:v>
                </c:pt>
                <c:pt idx="18">
                  <c:v>1</c:v>
                </c:pt>
                <c:pt idx="19">
                  <c:v>1</c:v>
                </c:pt>
                <c:pt idx="20">
                  <c:v>1</c:v>
                </c:pt>
              </c:numCache>
            </c:numRef>
          </c:val>
          <c:extLst>
            <c:ext xmlns:c16="http://schemas.microsoft.com/office/drawing/2014/chart" uri="{C3380CC4-5D6E-409C-BE32-E72D297353CC}">
              <c16:uniqueId val="{00000000-1E73-8F44-BEEF-D24FCB181478}"/>
            </c:ext>
          </c:extLst>
        </c:ser>
        <c:dLbls>
          <c:showLegendKey val="0"/>
          <c:showVal val="0"/>
          <c:showCatName val="0"/>
          <c:showSerName val="0"/>
          <c:showPercent val="0"/>
          <c:showBubbleSize val="0"/>
        </c:dLbls>
        <c:gapWidth val="219"/>
        <c:overlap val="-27"/>
        <c:axId val="999798047"/>
        <c:axId val="999796127"/>
      </c:barChart>
      <c:catAx>
        <c:axId val="999798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796127"/>
        <c:crosses val="autoZero"/>
        <c:auto val="1"/>
        <c:lblAlgn val="ctr"/>
        <c:lblOffset val="100"/>
        <c:noMultiLvlLbl val="0"/>
      </c:catAx>
      <c:valAx>
        <c:axId val="99979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7980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[review_448180_included_2024_08_27_tags.xlsx]review_448180_included_csv_2024!PivotTable8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included:</a:t>
            </a:r>
            <a:r>
              <a:rPr lang="en-US" baseline="0"/>
              <a:t> n = 185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review_448180_included_csv_2024!$Z$35</c:f>
              <c:strCache>
                <c:ptCount val="1"/>
                <c:pt idx="0">
                  <c:v>Total</c:v>
                </c:pt>
              </c:strCache>
            </c:strRef>
          </c:tx>
          <c:spPr>
            <a:solidFill>
              <a:schemeClr val="accent1">
                <a:tint val="100000"/>
                <a:shade val="100000"/>
                <a:satMod val="100000"/>
              </a:schemeClr>
            </a:solidFill>
            <a:ln>
              <a:noFill/>
            </a:ln>
            <a:effectLst/>
          </c:spPr>
          <c:invertIfNegative val="0"/>
          <c:cat>
            <c:strRef>
              <c:f>review_448180_included_csv_2024!$Y$36:$Y$48</c:f>
              <c:strCache>
                <c:ptCount val="12"/>
                <c:pt idx="0">
                  <c:v>Child</c:v>
                </c:pt>
                <c:pt idx="1">
                  <c:v>Child; Caregivers </c:v>
                </c:pt>
                <c:pt idx="2">
                  <c:v>Caregivers</c:v>
                </c:pt>
                <c:pt idx="3">
                  <c:v>Child; Professionals </c:v>
                </c:pt>
                <c:pt idx="4">
                  <c:v>Professionals</c:v>
                </c:pt>
                <c:pt idx="5">
                  <c:v>Services</c:v>
                </c:pt>
                <c:pt idx="6">
                  <c:v>Services; Caregivers; Child</c:v>
                </c:pt>
                <c:pt idx="7">
                  <c:v>Caregivers; Professionals</c:v>
                </c:pt>
                <c:pt idx="8">
                  <c:v>Caregivers; Professionals; Child</c:v>
                </c:pt>
                <c:pt idx="9">
                  <c:v>Child; Services</c:v>
                </c:pt>
                <c:pt idx="10">
                  <c:v>Stakeholders</c:v>
                </c:pt>
                <c:pt idx="11">
                  <c:v>Cost</c:v>
                </c:pt>
              </c:strCache>
            </c:strRef>
          </c:cat>
          <c:val>
            <c:numRef>
              <c:f>review_448180_included_csv_2024!$Z$36:$Z$48</c:f>
              <c:numCache>
                <c:formatCode>General</c:formatCode>
                <c:ptCount val="12"/>
                <c:pt idx="0">
                  <c:v>76</c:v>
                </c:pt>
                <c:pt idx="1">
                  <c:v>39</c:v>
                </c:pt>
                <c:pt idx="2">
                  <c:v>31</c:v>
                </c:pt>
                <c:pt idx="3">
                  <c:v>14</c:v>
                </c:pt>
                <c:pt idx="4">
                  <c:v>13</c:v>
                </c:pt>
                <c:pt idx="5">
                  <c:v>3</c:v>
                </c:pt>
                <c:pt idx="6">
                  <c:v>2</c:v>
                </c:pt>
                <c:pt idx="7">
                  <c:v>2</c:v>
                </c:pt>
                <c:pt idx="8">
                  <c:v>2</c:v>
                </c:pt>
                <c:pt idx="9">
                  <c:v>1</c:v>
                </c:pt>
                <c:pt idx="10">
                  <c:v>1</c:v>
                </c:pt>
                <c:pt idx="11">
                  <c:v>1</c:v>
                </c:pt>
              </c:numCache>
            </c:numRef>
          </c:val>
          <c:extLst>
            <c:ext xmlns:c16="http://schemas.microsoft.com/office/drawing/2014/chart" uri="{C3380CC4-5D6E-409C-BE32-E72D297353CC}">
              <c16:uniqueId val="{00000000-72A6-374F-98D6-88CD8F5ED34B}"/>
            </c:ext>
          </c:extLst>
        </c:ser>
        <c:dLbls>
          <c:showLegendKey val="0"/>
          <c:showVal val="0"/>
          <c:showCatName val="0"/>
          <c:showSerName val="0"/>
          <c:showPercent val="0"/>
          <c:showBubbleSize val="0"/>
        </c:dLbls>
        <c:gapWidth val="219"/>
        <c:overlap val="-27"/>
        <c:axId val="975034415"/>
        <c:axId val="975047375"/>
      </c:barChart>
      <c:catAx>
        <c:axId val="97503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047375"/>
        <c:crosses val="autoZero"/>
        <c:auto val="1"/>
        <c:lblAlgn val="ctr"/>
        <c:lblOffset val="100"/>
        <c:noMultiLvlLbl val="0"/>
      </c:catAx>
      <c:valAx>
        <c:axId val="97504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0344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word/theme/themeOverride2.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word/theme/themeOverride3.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word/theme/themeOverride4.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69907e-fffa-4dae-a2fd-9c66158dba87">
      <Terms xmlns="http://schemas.microsoft.com/office/infopath/2007/PartnerControls"/>
    </lcf76f155ced4ddcb4097134ff3c332f>
    <TaxCatchAll xmlns="56421a8b-f8e5-4155-897c-d6214191a5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3824B0C6279646BDAE3BB41C23E709" ma:contentTypeVersion="16" ma:contentTypeDescription="Create a new document." ma:contentTypeScope="" ma:versionID="fb9488d495a98f82e958c962af83cab0">
  <xsd:schema xmlns:xsd="http://www.w3.org/2001/XMLSchema" xmlns:xs="http://www.w3.org/2001/XMLSchema" xmlns:p="http://schemas.microsoft.com/office/2006/metadata/properties" xmlns:ns2="9469907e-fffa-4dae-a2fd-9c66158dba87" xmlns:ns3="56421a8b-f8e5-4155-897c-d6214191a574" targetNamespace="http://schemas.microsoft.com/office/2006/metadata/properties" ma:root="true" ma:fieldsID="0dc09c5945ef610e456c32306fda1555" ns2:_="" ns3:_="">
    <xsd:import namespace="9469907e-fffa-4dae-a2fd-9c66158dba87"/>
    <xsd:import namespace="56421a8b-f8e5-4155-897c-d6214191a5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9907e-fffa-4dae-a2fd-9c66158db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421a8b-f8e5-4155-897c-d6214191a5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fa8783-d126-45b3-bfab-c0d70cc2505f}" ma:internalName="TaxCatchAll" ma:showField="CatchAllData" ma:web="56421a8b-f8e5-4155-897c-d6214191a5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1E062-7E95-D148-941B-B1467CEAA372}">
  <ds:schemaRefs>
    <ds:schemaRef ds:uri="http://schemas.openxmlformats.org/officeDocument/2006/bibliography"/>
  </ds:schemaRefs>
</ds:datastoreItem>
</file>

<file path=customXml/itemProps2.xml><?xml version="1.0" encoding="utf-8"?>
<ds:datastoreItem xmlns:ds="http://schemas.openxmlformats.org/officeDocument/2006/customXml" ds:itemID="{822913BF-0A90-4718-853D-F5FC48C7BBBF}">
  <ds:schemaRefs>
    <ds:schemaRef ds:uri="http://schemas.microsoft.com/office/2006/metadata/properties"/>
    <ds:schemaRef ds:uri="http://schemas.microsoft.com/office/infopath/2007/PartnerControls"/>
    <ds:schemaRef ds:uri="9469907e-fffa-4dae-a2fd-9c66158dba87"/>
    <ds:schemaRef ds:uri="56421a8b-f8e5-4155-897c-d6214191a574"/>
  </ds:schemaRefs>
</ds:datastoreItem>
</file>

<file path=customXml/itemProps3.xml><?xml version="1.0" encoding="utf-8"?>
<ds:datastoreItem xmlns:ds="http://schemas.openxmlformats.org/officeDocument/2006/customXml" ds:itemID="{ACC389E0-E43B-4883-89AA-85AEF5497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9907e-fffa-4dae-a2fd-9c66158dba87"/>
    <ds:schemaRef ds:uri="56421a8b-f8e5-4155-897c-d6214191a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E7BD44-8376-4D64-88C1-5E5B125704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149</Pages>
  <Words>151166</Words>
  <Characters>861651</Characters>
  <Application>Microsoft Office Word</Application>
  <DocSecurity>0</DocSecurity>
  <Lines>7180</Lines>
  <Paragraphs>2021</Paragraphs>
  <ScaleCrop>false</ScaleCrop>
  <Company/>
  <LinksUpToDate>false</LinksUpToDate>
  <CharactersWithSpaces>1010796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Donaldson</dc:creator>
  <cp:keywords/>
  <dc:description/>
  <cp:lastModifiedBy>Christine Imms</cp:lastModifiedBy>
  <cp:revision>4</cp:revision>
  <cp:lastPrinted>2024-11-20T21:57:00Z</cp:lastPrinted>
  <dcterms:created xsi:type="dcterms:W3CDTF">2024-11-13T01:04:00Z</dcterms:created>
  <dcterms:modified xsi:type="dcterms:W3CDTF">2024-11-20T21:58:00Z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0x010100B83824B0C6279646BDAE3BB41C23E709</vt:lpwstr>
  </property>
  <property fmtid="{D5CDD505-2E9C-101B-9397-08002B2CF9AE}" pid="3" name="MediaServiceImageTags">
    <vt:lpwstr/>
  </property>
</Properties>
</file>